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3dc7" w14:textId="ab53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скоординированной политике в области развития биржевой торговли сельскохозяйственными товарами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ноября 2016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пунктом 6 плана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механизмов биржевой торговли сельскохозяйственными товарами и решения задач по реализации скоординированной политики в области развития товарных бирж государств – членов Евразийского экономического союза (далее соответственно – государства-члены,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специфику биржевых торгов товарами, специализацию товарных бирж государств-членов и необходимость проработки вопросов регулирования процесса создания единого торгового биржевого пространства в рамках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равного доступа юридических лиц и индивидуальных предпринимателей (включая фермерские хозяйства) государств-членов к торговле на товарных биржах любого из государств-членов и совершенствования нормативных правовых актов государств-членов в целях создания условий для организации и развития товарной биржевой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определить приоритеты развития биржевой торговли сельскохозяйственными товарами в рамках Союза и направить в Евразийскую экономическую комиссию предложения по формированию механизма взаимодействия и принципов сотрудничества государств-членов в области развития биржевой торговли сельскохозяйственными товарами в рамках Союза, подготовленные с участием товарных бирж и лиц, осуществляющих деятельность в сфере биржевой торговли.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