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e735" w14:textId="c57e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5 июля 2016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августа 2016 г. № 63 «О внесении изменений в единую Товарную номенклатуру внешнеэкономической деятельности Евразийского экономического союза, Единый таможенный тариф Евразийского экономического союза в отношении отдельных видов авиационных двигателей, а также в некоторые решения Высшего Евразийского экономического совета и Совета Евразийской экономической комиссии»: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 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(приложение к Рекомендации Коллегии Евразийской экономической комиссии от 12 марта 2013 г. № 4) с учетом изменения в части дополнения дополнительных примечаний Евразийского экономического союза к группе 84 примечанием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подсубпозиции 8407 10 000 3 термин "взлетная мощность" ("take-off power") означает максимальную мощность, развиваемую авиационным поршневым двигателем.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"Взлетная мощность" ("take-off power") указывается в технической документации и (или) сопроводительных документах, измеряется в киловаттах или лошадиных силах (1 кВт соответствует 1,35962 л.с.).».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