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43991" w14:textId="6c43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глоссарии терминов, используемых при реализации Основных направлений развития механизма "единого окна" в системе регулирования внешнеэкономической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30 августа 2016 года №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вступило в силу 31.08.2016 -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целях исполнения пункта 5.1 раздела XII плана мероприятий по реализации Основных направлений развития механизма «единого окна» в системе регулирования внешнеэкономической деятельности,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8 мая 2015 г. № 19, и формирования единообразного понимания терминологического аппарата при реализации национальных механизмов «единого окна»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 в информационно-телекоммуникационной сети «Интернет» руководствоваться глоссарием терминов, используемых при реализации Основных направлений развития механизма «единого окна» в системе регулирования внешнеэкономической деятельности,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29 мая 2014 г. № 68, который размещен на официальном сайте Евразийского экономического союза в информационно-телекоммуникационной сети «Интернет» по адресу: http://www.eurasiancommission.org/ru/act/tam_sotr/edinoe_okno/Pages/glossary.aspx.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Т.Саркисян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