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e9dc64" w14:textId="7e9dc6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техническом регламенте Евразийского экономического союза "О требованиях к минеральным удобрениям"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Совета Евразийской экономической комиссии от 30 ноября 2016 года № 150.</w:t>
      </w:r>
    </w:p>
    <w:p>
      <w:pPr>
        <w:spacing w:after="0"/>
        <w:ind w:left="0"/>
        <w:jc w:val="left"/>
      </w:pPr>
    </w:p>
    <w:bookmarkStart w:name="z1908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статьей 52 </w:t>
      </w:r>
      <w:r>
        <w:rPr>
          <w:rFonts w:ascii="Times New Roman"/>
          <w:b w:val="false"/>
          <w:i w:val="false"/>
          <w:color w:val="000000"/>
          <w:sz w:val="28"/>
        </w:rPr>
        <w:t>Договора</w:t>
      </w:r>
      <w:r>
        <w:rPr>
          <w:rFonts w:ascii="Times New Roman"/>
          <w:b w:val="false"/>
          <w:i w:val="false"/>
          <w:color w:val="000000"/>
          <w:sz w:val="28"/>
        </w:rPr>
        <w:t xml:space="preserve"> о Евразийском экономическом союзе от 29 мая 2014 года и </w:t>
      </w:r>
      <w:r>
        <w:rPr>
          <w:rFonts w:ascii="Times New Roman"/>
          <w:b w:val="false"/>
          <w:i w:val="false"/>
          <w:color w:val="000000"/>
          <w:sz w:val="28"/>
        </w:rPr>
        <w:t>пунктом 29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№ 1 к Регламенту работы Евразийской экономической комиссии, утвержденному Решением Высшего Евразийского экономического совета от 23 декабря 2014 г. № 98, Совет Евразийской экономической комиссии </w:t>
      </w:r>
      <w:r>
        <w:rPr>
          <w:rFonts w:ascii="Times New Roman"/>
          <w:b/>
          <w:i w:val="false"/>
          <w:color w:val="000000"/>
          <w:sz w:val="28"/>
        </w:rPr>
        <w:t>реши</w:t>
      </w:r>
      <w:r>
        <w:rPr>
          <w:rFonts w:ascii="Times New Roman"/>
          <w:b/>
          <w:i w:val="false"/>
          <w:color w:val="000000"/>
          <w:sz w:val="28"/>
        </w:rPr>
        <w:t>л: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Принять прилагаемый </w:t>
      </w:r>
      <w:r>
        <w:rPr>
          <w:rFonts w:ascii="Times New Roman"/>
          <w:b w:val="false"/>
          <w:i w:val="false"/>
          <w:color w:val="000000"/>
          <w:sz w:val="28"/>
        </w:rPr>
        <w:t>технический 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Евразийского экономического союза "О требованиях к минеральным удобрениям" (ТР ЕАЭС 39/2016).</w:t>
      </w:r>
    </w:p>
    <w:bookmarkStart w:name="z1910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Установить, что технический регламент Евразийского экономического союза "О требованиях к минеральным удобрениям" (ТР ЕАЭС 39/2016) вступает в силу с даты вступления в силу технического регламента Евразийского экономического союза "О безопасности химической продукции" либо с даты вступления в силу решения Совета Евразийской экономической комиссии о порядке формирования и ведения единого реестра разрешенных к обращению на рынке Евразийского экономического союза минеральных удобрений в зависимости от того, какая дата является более поздней, но не ранее чем по истечении 180 календарных дней с даты вступления настоящего Решения в силу.</w:t>
      </w:r>
    </w:p>
    <w:bookmarkEnd w:id="1"/>
    <w:bookmarkStart w:name="z1911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вступает в силу по истечении 30 календарных дней с даты его официального опубликования.</w:t>
      </w:r>
    </w:p>
    <w:bookmarkEnd w:id="2"/>
    <w:bookmarkStart w:name="z1912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Члены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Совета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Евразийской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экономической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комиссии: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Республики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Армения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Республики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Беларусь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Республики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Кыргызской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Российской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Федерации</w:t>
            </w:r>
          </w:p>
        </w:tc>
      </w:tr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Габриелян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Матюшевский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Мамин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О. Панкратов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И. Шувалов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ПРИНЯТ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Решением Совета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Евразийской экономической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ноября 2016 г. № 150</w:t>
            </w:r>
          </w:p>
        </w:tc>
      </w:tr>
    </w:tbl>
    <w:bookmarkStart w:name="z1914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Технический регламент</w:t>
      </w:r>
      <w:r>
        <w:br/>
      </w:r>
      <w:r>
        <w:rPr>
          <w:rFonts w:ascii="Times New Roman"/>
          <w:b/>
          <w:i w:val="false"/>
          <w:color w:val="000000"/>
        </w:rPr>
        <w:t xml:space="preserve">Евразийского экономического союза </w:t>
      </w:r>
      <w:r>
        <w:br/>
      </w:r>
      <w:r>
        <w:rPr>
          <w:rFonts w:ascii="Times New Roman"/>
          <w:b/>
          <w:i w:val="false"/>
          <w:color w:val="000000"/>
        </w:rPr>
        <w:t>"О требованиях к минеральным удобрениям"</w:t>
      </w:r>
      <w:r>
        <w:br/>
      </w:r>
      <w:r>
        <w:rPr>
          <w:rFonts w:ascii="Times New Roman"/>
          <w:b/>
          <w:i w:val="false"/>
          <w:color w:val="000000"/>
        </w:rPr>
        <w:t>(ТР ЕАЭС 39/2016)</w:t>
      </w:r>
    </w:p>
    <w:bookmarkEnd w:id="4"/>
    <w:bookmarkStart w:name="z191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Настоящий технический регламент разработан в соответствии со статьей 52 </w:t>
      </w:r>
      <w:r>
        <w:rPr>
          <w:rFonts w:ascii="Times New Roman"/>
          <w:b w:val="false"/>
          <w:i w:val="false"/>
          <w:color w:val="000000"/>
          <w:sz w:val="28"/>
        </w:rPr>
        <w:t>Договора</w:t>
      </w:r>
      <w:r>
        <w:rPr>
          <w:rFonts w:ascii="Times New Roman"/>
          <w:b w:val="false"/>
          <w:i w:val="false"/>
          <w:color w:val="000000"/>
          <w:sz w:val="28"/>
        </w:rPr>
        <w:t xml:space="preserve"> о Евразийском экономическом союзе от 29 мая 2014 года.</w:t>
      </w:r>
    </w:p>
    <w:bookmarkEnd w:id="5"/>
    <w:bookmarkStart w:name="z191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Настоящий технический регламент устанавливает обязательные для применения и исполнения на территории Евразийского экономического союза (далее – Союз) требования безопасности к минеральным удобрениям, выпускаемым в обращение на рынке Союза и связанным с требованиями к минеральным удобрениям процессам хранения, перевозки и маркировки минеральных удобрений.</w:t>
      </w:r>
    </w:p>
    <w:bookmarkEnd w:id="6"/>
    <w:bookmarkStart w:name="z1917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I. Область применения</w:t>
      </w:r>
    </w:p>
    <w:bookmarkEnd w:id="7"/>
    <w:bookmarkStart w:name="z1918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Настоящий технический регламент разработан в целях защиты на территории Союза жизни и (или) здоровья человека, животных и растений, окружающей среды, имущества, предупреждения действий, вводящих в заблуждение потребителей минеральных удобрений относительно их назначения и безопасности. </w:t>
      </w:r>
    </w:p>
    <w:bookmarkEnd w:id="8"/>
    <w:bookmarkStart w:name="z1919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Настоящий технический регламент распространяется на:</w:t>
      </w:r>
    </w:p>
    <w:bookmarkEnd w:id="9"/>
    <w:bookmarkStart w:name="z1920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а) минеральные удобрения по перечню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№ 1</w:t>
      </w:r>
      <w:r>
        <w:rPr>
          <w:rFonts w:ascii="Times New Roman"/>
          <w:b w:val="false"/>
          <w:i w:val="false"/>
          <w:color w:val="000000"/>
          <w:sz w:val="28"/>
        </w:rPr>
        <w:t>, производимые, ввозимые (импортируемые) на таможенную территорию Союза;</w:t>
      </w:r>
    </w:p>
    <w:bookmarkEnd w:id="10"/>
    <w:bookmarkStart w:name="z1921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б) связанные с требованиями к минеральным удобрениям процессы хранения, перевозки и маркировки минеральных удобрений.</w:t>
      </w:r>
    </w:p>
    <w:bookmarkEnd w:id="11"/>
    <w:bookmarkStart w:name="z1922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Требования настоящего технического регламента не распространяются на органические и органо-минеральные удобрения.</w:t>
      </w:r>
    </w:p>
    <w:bookmarkEnd w:id="12"/>
    <w:bookmarkStart w:name="z1923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Применительно к минеральным удобрениям и их компонентам опасными факторами являются:</w:t>
      </w:r>
    </w:p>
    <w:bookmarkEnd w:id="13"/>
    <w:bookmarkStart w:name="z1924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а) пожаро- и взрывоопасность;</w:t>
      </w:r>
    </w:p>
    <w:bookmarkEnd w:id="14"/>
    <w:bookmarkStart w:name="z1925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б) окисляющие свойства;</w:t>
      </w:r>
    </w:p>
    <w:bookmarkEnd w:id="15"/>
    <w:bookmarkStart w:name="z1926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в) коррозионные свойства;</w:t>
      </w:r>
    </w:p>
    <w:bookmarkEnd w:id="16"/>
    <w:bookmarkStart w:name="z1927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г) опасность для человека: пероральная, дермальная и ингаляционная токсичность, раздражающее действие на кожу и слизистые оболочки, кожно-резорбтивное действие, аллергенность, способность к биоаккумуляции в организме человека и к накоплению в объектах окружающей среды (вода, почва, растения);</w:t>
      </w:r>
    </w:p>
    <w:bookmarkEnd w:id="17"/>
    <w:bookmarkStart w:name="z1928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д) радиактивная опасность;</w:t>
      </w:r>
    </w:p>
    <w:bookmarkEnd w:id="18"/>
    <w:bookmarkStart w:name="z1929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е) влияние на экосистемы.</w:t>
      </w:r>
    </w:p>
    <w:bookmarkEnd w:id="19"/>
    <w:bookmarkStart w:name="z1930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II. Основные понятия</w:t>
      </w:r>
    </w:p>
    <w:bookmarkEnd w:id="20"/>
    <w:bookmarkStart w:name="z1931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Для целей применения настоящего технического регламента используются понятия, которые означают следующее: </w:t>
      </w:r>
    </w:p>
    <w:bookmarkEnd w:id="21"/>
    <w:bookmarkStart w:name="z1932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"изготовитель" – юридическое лицо или физическое лицо, зарегистрированное в качестве индивидуального предпринимателя, в том числе иностранный изготовитель, осуществляющие от своего имени производство или производство и реализацию минеральных удобрений и ответственные за их соответствие требованиям настоящего технического регламента;</w:t>
      </w:r>
    </w:p>
    <w:bookmarkEnd w:id="22"/>
    <w:bookmarkStart w:name="z1933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"импортер" – резидент государства – члена Союза, который заключил с нерезидентом государства – члена Союза внешнеторговый договор на ввоз на территорию Союза минеральных удобрений, осуществляет реализацию минеральных удобрений и несет ответственность за их соответствие требованиям настоящего технического регламента;</w:t>
      </w:r>
    </w:p>
    <w:bookmarkEnd w:id="23"/>
    <w:bookmarkStart w:name="z1934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"микроудобрение" – минеральное удобрение, в котором питательными элементами являются микроэлементы;</w:t>
      </w:r>
    </w:p>
    <w:bookmarkEnd w:id="24"/>
    <w:bookmarkStart w:name="z1935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"минеральное удобрение" – удобрение промышленного или ископаемого происхождения, содержащее питательные элементы в минеральной форме;</w:t>
      </w:r>
    </w:p>
    <w:bookmarkEnd w:id="25"/>
    <w:bookmarkStart w:name="z1936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"паспорт безопасности" – документ установленной формы, содержащий сведения об опасных свойствах минерального удобрения, сведения об изготовителе (уполномоченном изготовителем лице), импортере данного минерального удобрения, меры предупреждения и требования безопасности для обеспечения безопасного обращения на территории Союза минерального удобрения;</w:t>
      </w:r>
    </w:p>
    <w:bookmarkEnd w:id="26"/>
    <w:bookmarkStart w:name="z1937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"питательный элемент, действующее вещество" – химический элемент удобрения, необходимый для роста и развития растений;</w:t>
      </w:r>
    </w:p>
    <w:bookmarkEnd w:id="27"/>
    <w:bookmarkStart w:name="z1938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"предупредительная маркировка" – составная часть информации, представляющая собой комплекс сведений (в виде краткого текста, отдельных графических или цветовых символов и их комбинаций), наносимых на упаковку либо на этикетку;</w:t>
      </w:r>
    </w:p>
    <w:bookmarkEnd w:id="28"/>
    <w:bookmarkStart w:name="z1939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"удобрение" – вещество для питания растений и повышения плодородия почвы;</w:t>
      </w:r>
    </w:p>
    <w:bookmarkEnd w:id="29"/>
    <w:bookmarkStart w:name="z1940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"удобрение с микроэлементами" – минеральное удобрение, содержащее макро- и микроэлементы;</w:t>
      </w:r>
    </w:p>
    <w:bookmarkEnd w:id="30"/>
    <w:bookmarkStart w:name="z1941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"уполномоченное изготовителем лицо" – зарегистрированные в установленном законодательством государства – члена Союза порядке на его территории юридическое лицо или физическое лицо в качестве индивидуального предпринимателя, которые на основании договора с изготовителем, в том числе иностранным изготовителем, осуществляют действия от имени этого изготовителя при оценке соответствия и выпуске в обращение минеральных удобрений на территории Союза, а также несут ответственность за несоответствие минеральных удобрений требованиям технических регламентов Союза (Таможенного союза), действие которых на них распространяется.</w:t>
      </w:r>
    </w:p>
    <w:bookmarkEnd w:id="31"/>
    <w:bookmarkStart w:name="z1942"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III. Правила идентификации минеральных удобрений</w:t>
      </w:r>
    </w:p>
    <w:bookmarkEnd w:id="32"/>
    <w:bookmarkStart w:name="z1943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Идентификация минеральных удобрений проводится изготовителем (уполномоченным изготовителем лицом), импортером, органом государства – члена Союза (далее – государство-член) по осуществлению государственного контроля (надзора), иными заинтересованными лицами. </w:t>
      </w:r>
    </w:p>
    <w:bookmarkEnd w:id="33"/>
    <w:bookmarkStart w:name="z1944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Идентификация минеральных удобрений проводится посредством установления соответствия внешнего вида и состава минерального удобрения, содержания питательных элементов, в том числе макро- и микроэлементов, указанных на упаковке, этикетке или ярлыке и в сопроводительной документации, данным, полученным в ходе лабораторного исследования образца минерального удобрения.</w:t>
      </w:r>
    </w:p>
    <w:bookmarkEnd w:id="34"/>
    <w:bookmarkStart w:name="z1945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IV. Правила обращения минеральных удобрений на рынке Союза</w:t>
      </w:r>
    </w:p>
    <w:bookmarkEnd w:id="35"/>
    <w:bookmarkStart w:name="z1946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Минеральные удобрения выпускаются в обращение на рынке Союза при их соответствии требованиям настоящего технического регламента и иных вступивших в силу технических регламентов Союза (Таможенного союза), действие которых на них распространяется, и при условии, что они прошли оценку соответствия согласно разделу IX настоящего технического регламента. </w:t>
      </w:r>
    </w:p>
    <w:bookmarkEnd w:id="36"/>
    <w:bookmarkStart w:name="z1947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Минеральные удобрения, соответствие которых требованиям настоящего технического регламента и иных вступивших в силу технических регламентов Союза (Таможенного союза), действие которых на них распространяется, не подтверждено, не должны быть маркированы единым знаком обращения продукции на рынке Союза. </w:t>
      </w:r>
    </w:p>
    <w:bookmarkEnd w:id="37"/>
    <w:bookmarkStart w:name="z1948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Минеральные удобрения, не маркированные единым знаком обращения продукции на рынке Союза, не допускаются к выпуску в обращение на рынке Союза.</w:t>
      </w:r>
    </w:p>
    <w:bookmarkEnd w:id="38"/>
    <w:bookmarkStart w:name="z1949" w:id="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V. Требования безопасности минеральных удобрений</w:t>
      </w:r>
    </w:p>
    <w:bookmarkEnd w:id="39"/>
    <w:bookmarkStart w:name="z1950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Минеральные удобрения должны удовлетворять требованиям безопасности, установленным настоящим разделом, а также нормам радиационной и химической безопасности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№ 2</w:t>
      </w:r>
      <w:r>
        <w:rPr>
          <w:rFonts w:ascii="Times New Roman"/>
          <w:b w:val="false"/>
          <w:i w:val="false"/>
          <w:color w:val="000000"/>
          <w:sz w:val="28"/>
        </w:rPr>
        <w:t xml:space="preserve">. </w:t>
      </w:r>
    </w:p>
    <w:bookmarkEnd w:id="40"/>
    <w:bookmarkStart w:name="z1951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Минеральные удобрения должны быть классифицированы по опасным факторам, сведения о которых приводятся в паспорте безопасности и предупредительной маркировке. </w:t>
      </w:r>
    </w:p>
    <w:bookmarkEnd w:id="41"/>
    <w:bookmarkStart w:name="z1952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Минеральные удобрения, предназначенные для реализации через торговую сеть (предприятия или организации оптовой и розничной торговли), должны быть упакованы. Не допускается реализация в розничной торговле минеральных удобрений с нарушенной упаковкой.</w:t>
      </w:r>
    </w:p>
    <w:bookmarkEnd w:id="42"/>
    <w:bookmarkStart w:name="z1953" w:id="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VI. Требования к процессам хранения и перевозки минеральных удобрений</w:t>
      </w:r>
    </w:p>
    <w:bookmarkEnd w:id="43"/>
    <w:bookmarkStart w:name="z1954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Хранение минеральных удобрений осуществляется в соответствии с законодательством государств-членов. </w:t>
      </w:r>
    </w:p>
    <w:bookmarkEnd w:id="44"/>
    <w:bookmarkStart w:name="z1955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Твердые минеральные удобрения перевозятся в крытых железнодорожных вагонах, полувагонах, закрытых транспортных емкостях судов (трюмы, танки) и автомобильным транспортом с обязательным их укрытием в кузове. Упакованные в мягкие контейнеры с полимерными вкладышами твердые минеральные удобрения допускается перевозить в полувагонах, на открытых палубных судах и автомобильным транспортом без укрытия в кузове. Упакованные в полимерные мешки твердые минеральные удобрения допускается перевозить автомобильным транспортом без укрытия в кузове.</w:t>
      </w:r>
    </w:p>
    <w:bookmarkEnd w:id="45"/>
    <w:bookmarkStart w:name="z1956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16. Не допускается перевозка насыпью в одном вагоне, транспортной емкости судна (трюме, танке) или кузове автомобиля других грузов одновременно с минеральными удобрениями. </w:t>
      </w:r>
    </w:p>
    <w:bookmarkEnd w:id="46"/>
    <w:bookmarkStart w:name="z1957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Перевозка минеральных удобрений, классифицированных как опасные грузы, в том числе обладающие пожаро- и взрывоопасными свойствами, должна осуществляться в соответствии с нормами и правилами перевозки опасных грузов, действующими на территориях государств-членов.</w:t>
      </w:r>
    </w:p>
    <w:bookmarkEnd w:id="47"/>
    <w:bookmarkStart w:name="z1958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18. Перевозка жидких минеральных удобрений (аммиачной воды, углеаммиаката, жидких комплексных минеральных удобрений) наливом производится железнодорожным и автомобильным транспортом, в контейнерах или таре в соответствии с положениями, изложенными в паспорте безопасности. </w:t>
      </w:r>
    </w:p>
    <w:bookmarkEnd w:id="48"/>
    <w:bookmarkStart w:name="z1959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Перевозка жидких минеральных удобрений наливом водным транспортом производится в соответствии с требованиями, предусмотренными нормативно-техническими документами на конкретный вид минерального удобрения.</w:t>
      </w:r>
    </w:p>
    <w:bookmarkEnd w:id="49"/>
    <w:bookmarkStart w:name="z1960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Перевозка жидких комплексных минеральных удобрений, расфасованных в потребительскую тару, производится железнодорожным и автомобильным транспортом, транспортными пакетами на поддонах, в контейнерах или таре в соответствии с положениями, изложенными в паспорте безопасности.</w:t>
      </w:r>
    </w:p>
    <w:bookmarkEnd w:id="50"/>
    <w:bookmarkStart w:name="z1961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Степень заполнения емкостей для перевозки жидких минеральных удобрений определяется с учетом объемного расширения продукта при возможном перепаде температур в пути следования.</w:t>
      </w:r>
    </w:p>
    <w:bookmarkEnd w:id="51"/>
    <w:bookmarkStart w:name="z1962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Перевозка минеральных удобрений воздушным транспортом производится в соответствии с требованиями, предусмотренными нормативно-техническими документами на конкретный вид минерального удобрения.</w:t>
      </w:r>
    </w:p>
    <w:bookmarkEnd w:id="52"/>
    <w:bookmarkStart w:name="z1963" w:id="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VII. Требования к маркировке минеральных удобрений</w:t>
      </w:r>
    </w:p>
    <w:bookmarkEnd w:id="53"/>
    <w:bookmarkStart w:name="z1903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Маркировка минеральных удобрений должна содержать следующую информацию:</w:t>
      </w:r>
    </w:p>
    <w:bookmarkEnd w:id="54"/>
    <w:bookmarkStart w:name="z1964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а) наименование минерального удобрения и его назначение;</w:t>
      </w:r>
    </w:p>
    <w:bookmarkEnd w:id="55"/>
    <w:bookmarkStart w:name="z1965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б) наименование и содержание питательных элементов, в том числе микро- и макроэлементов; </w:t>
      </w:r>
    </w:p>
    <w:bookmarkEnd w:id="56"/>
    <w:bookmarkStart w:name="z1966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в) наименование (фирменное наименование) изготовителя и его место нахождения (адрес юридического лица, фактический адрес – для юридического лица, фамилия, имя и отчество (при наличии), место жительства, сведения о государственной регистрации физического лица, зарегистрированного в качестве индивидуального предпринимателя, – для физического лица), наименование страны, где изготовлены минеральные удобрения;</w:t>
      </w:r>
    </w:p>
    <w:bookmarkEnd w:id="57"/>
    <w:bookmarkStart w:name="z1967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г) товарный знак изготовителя (при наличии);</w:t>
      </w:r>
    </w:p>
    <w:bookmarkEnd w:id="58"/>
    <w:bookmarkStart w:name="z1968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д) обозначение документа, в соответствии с которым производится и поставляется минеральное удобрение;</w:t>
      </w:r>
    </w:p>
    <w:bookmarkEnd w:id="59"/>
    <w:bookmarkStart w:name="z1969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е) марка и (или) сорт минерального удобрения (при наличии);</w:t>
      </w:r>
    </w:p>
    <w:bookmarkEnd w:id="60"/>
    <w:bookmarkStart w:name="z1970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ж) номер партии (для фасованных минеральных удобрений);</w:t>
      </w:r>
    </w:p>
    <w:bookmarkEnd w:id="61"/>
    <w:bookmarkStart w:name="z1971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з) номинальное количество минеральных удобрений (масса или объем) (для фасованных минеральных удобрений);</w:t>
      </w:r>
    </w:p>
    <w:bookmarkEnd w:id="62"/>
    <w:bookmarkStart w:name="z1972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и) рекомендации по перевозке, применению и хранению минерального удобрения;</w:t>
      </w:r>
    </w:p>
    <w:bookmarkEnd w:id="63"/>
    <w:bookmarkStart w:name="z1973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к) регистрационный номер минерального удобрения, зарегистрированного в государстве-члене; </w:t>
      </w:r>
    </w:p>
    <w:bookmarkEnd w:id="64"/>
    <w:bookmarkStart w:name="z1974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л) дата изготовления или дата отгрузки минерального удобрения (месяц, год);</w:t>
      </w:r>
    </w:p>
    <w:bookmarkEnd w:id="65"/>
    <w:bookmarkStart w:name="z1975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м) дата фасования (месяц, год – для фасованных минеральных удобрений, если их фасование производится не изготовителем этих минеральных удобрений);</w:t>
      </w:r>
    </w:p>
    <w:bookmarkEnd w:id="66"/>
    <w:bookmarkStart w:name="z1976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н) условия хранения минерального удобрения;</w:t>
      </w:r>
    </w:p>
    <w:bookmarkEnd w:id="67"/>
    <w:bookmarkStart w:name="z1977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о) гарантийный срок хранения минерального удобрения;</w:t>
      </w:r>
    </w:p>
    <w:bookmarkEnd w:id="68"/>
    <w:bookmarkStart w:name="z1978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п) штриховой идентификационный код минерального удобрения (код, представляющий знаки с помощью наборов параллельных штрихов различной толщины и шага, которые оптически считываются путем поперечного сканирования) – для минеральных удобрений, реализуемых через розничную торговую сеть;</w:t>
      </w:r>
    </w:p>
    <w:bookmarkEnd w:id="69"/>
    <w:bookmarkStart w:name="z1979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р) ограничения по применению минерального удобрения (совместимость со средствами защиты растений, фитотоксичность);</w:t>
      </w:r>
    </w:p>
    <w:bookmarkEnd w:id="70"/>
    <w:bookmarkStart w:name="z1980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с) меры предосторожности при работе с минеральным удобрением, его транспортировке и хранении, включая способы обезвреживания пролитого или рассыпанного минерального удобрения;</w:t>
      </w:r>
    </w:p>
    <w:bookmarkEnd w:id="71"/>
    <w:bookmarkStart w:name="z1981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т) способы обезвреживания и утилизации тары из-под минерального удобрения;</w:t>
      </w:r>
    </w:p>
    <w:bookmarkEnd w:id="72"/>
    <w:bookmarkStart w:name="z1982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у) описание клинической картины острых отравлений (при наличии данных), медицинские рекомендации, в том числе с указанием антидота (при наличии) и мер первой помощи при отравлении.</w:t>
      </w:r>
    </w:p>
    <w:bookmarkEnd w:id="73"/>
    <w:bookmarkStart w:name="z1983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Маркировка минеральных удобрений должна содержать соответствующую предупредительную маркировку, если минеральное удобрение классифицируется как опасное.</w:t>
      </w:r>
    </w:p>
    <w:bookmarkEnd w:id="74"/>
    <w:bookmarkStart w:name="z1984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Маркировка фасованных минеральных удобрений наносится на упаковку либо на этикетку или ярлык, прикрепляемые к упаковке способом, обеспечивающим их сохранность.</w:t>
      </w:r>
    </w:p>
    <w:bookmarkEnd w:id="75"/>
    <w:bookmarkStart w:name="z1985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если места для нанесения маркировки в полном объеме на упаковке, этикетке или ярлыке недостаточно, часть информации наносится на листок-вкладыш, который прилагается к каждой единице упаковки, этикетки или ярлыка и на котором приводится информация в соответствии с пунктом 21 настоящего технического регламента, или маркировка наносится на упаковку с обеих сторон.</w:t>
      </w:r>
    </w:p>
    <w:bookmarkEnd w:id="76"/>
    <w:bookmarkStart w:name="z1986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При поставке неупакованных минеральных удобрений информация, указанная в пункте 21 настоящего технического регламента (за исключением подпунктов "ж", "з", "м" и "п"), представляется в составе комплекта сопроводительных документов.</w:t>
      </w:r>
    </w:p>
    <w:bookmarkEnd w:id="77"/>
    <w:bookmarkStart w:name="z1987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Транспортная маркировка минеральных удобрений должна соответствовать нормам и правилам перевозки опасных грузов, действующим на территориях государств-членов.</w:t>
      </w:r>
    </w:p>
    <w:bookmarkEnd w:id="78"/>
    <w:bookmarkStart w:name="z1988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26. Маркировка минеральных удобрений наносится на русском языке и при наличии соответствующих требований в законодательстве государств-членов на государственном (государственных) языке (языках) государства-члена, на территории которого реализуются минеральные удобрения. </w:t>
      </w:r>
    </w:p>
    <w:bookmarkEnd w:id="79"/>
    <w:bookmarkStart w:name="z1989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Маркировка минеральных удобрений должна быть четкой и разборчивой и располагаться в доступном для осмотра месте.</w:t>
      </w:r>
    </w:p>
    <w:bookmarkEnd w:id="80"/>
    <w:bookmarkStart w:name="z1990" w:id="8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VIII. Обеспечение соответствия минеральных удобрений требованиям безопасности</w:t>
      </w:r>
    </w:p>
    <w:bookmarkEnd w:id="81"/>
    <w:bookmarkStart w:name="z1991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Соответствие минеральных удобрений настоящему техническому регламенту обеспечивается выполнением его требований и требований иных вступивших в силу технических регламентов Союза (Таможенного союза), действие которых распространяется на минеральные удобрения, непосредственно либо выполнением требований стандартов, включенных в перечень стандартов, в результате применения которых на добровольной основе обеспечивается соблюдение требований настоящего технического регламента.</w:t>
      </w:r>
    </w:p>
    <w:bookmarkEnd w:id="82"/>
    <w:bookmarkStart w:name="z1992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Методы исследований (испытаний) и измерений минеральных удобрений устанавливаются в стандартах, включенных в перечень стандартов, содержащих правила и методы исследований (испытаний) и измерений, в том числе правила отбора образцов, необходимые для применения и исполнения требований настоящего технического регламента и осуществления оценки соответствия объектов технического регулирования.</w:t>
      </w:r>
    </w:p>
    <w:bookmarkEnd w:id="83"/>
    <w:bookmarkStart w:name="z1993" w:id="8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IX. Оценка соответствия минеральных удобрений</w:t>
      </w:r>
    </w:p>
    <w:bookmarkEnd w:id="84"/>
    <w:bookmarkStart w:name="z1994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30. Оценка соответствия минеральных удобрений требованиям настоящего технического регламента осуществляется в форме регистрации. </w:t>
      </w:r>
    </w:p>
    <w:bookmarkEnd w:id="85"/>
    <w:bookmarkStart w:name="z1995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Регистрация минеральных удобрений проводится уполномоченными органами государств-членов (далее – уполномоченные органы) в порядке, установленном Евразийской экономической комиссией. Минеральные удобрения должны быть внесены в единый реестр разрешенных к обращению на рынке Союза минеральных удобрений.</w:t>
      </w:r>
    </w:p>
    <w:bookmarkEnd w:id="86"/>
    <w:bookmarkStart w:name="z1996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Единый реестр разрешенных к обращению на рынке Союза минеральных удобрений формируется из национальных частей.</w:t>
      </w:r>
    </w:p>
    <w:bookmarkEnd w:id="87"/>
    <w:p>
      <w:pPr>
        <w:spacing w:after="0"/>
        <w:ind w:left="0"/>
        <w:jc w:val="both"/>
      </w:pPr>
      <w:bookmarkStart w:name="z1997" w:id="88"/>
      <w:r>
        <w:rPr>
          <w:rFonts w:ascii="Times New Roman"/>
          <w:b w:val="false"/>
          <w:i w:val="false"/>
          <w:color w:val="000000"/>
          <w:sz w:val="28"/>
        </w:rPr>
        <w:t xml:space="preserve">
      Порядок регистрации минеральных удобрений, формирования </w:t>
      </w:r>
    </w:p>
    <w:bookmarkEnd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и ведения единого реестра разрешенных к обращению на рынке Союза минеральных удобрений разрабатывается и утверждается Евразийской экономической комиссией. </w:t>
      </w:r>
    </w:p>
    <w:p>
      <w:pPr>
        <w:spacing w:after="0"/>
        <w:ind w:left="0"/>
        <w:jc w:val="both"/>
      </w:pPr>
      <w:bookmarkStart w:name="z1998" w:id="89"/>
      <w:r>
        <w:rPr>
          <w:rFonts w:ascii="Times New Roman"/>
          <w:b w:val="false"/>
          <w:i w:val="false"/>
          <w:color w:val="000000"/>
          <w:sz w:val="28"/>
        </w:rPr>
        <w:t xml:space="preserve">
      32. При регистрации минеральных удобрений заявителями могут быть зарегистрированные на территории государства-члена </w:t>
      </w:r>
    </w:p>
    <w:bookmarkEnd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соответствии с его законодательством юридическое лицо или физическое лицо в качестве индивидуального предпринимателя, являющиеся изготовителем, либо уполномоченным изготовителем лицом, либо импортером.</w:t>
      </w:r>
    </w:p>
    <w:bookmarkStart w:name="z1999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Уполномоченный орган:</w:t>
      </w:r>
    </w:p>
    <w:bookmarkEnd w:id="90"/>
    <w:bookmarkStart w:name="z2000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а) осуществляет рассмотрение и проверку представленных документов и содержащихся в них сведений;</w:t>
      </w:r>
    </w:p>
    <w:bookmarkEnd w:id="91"/>
    <w:bookmarkStart w:name="z2001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б) принимает решение о регистрации минерального удобрения;</w:t>
      </w:r>
    </w:p>
    <w:bookmarkEnd w:id="92"/>
    <w:bookmarkStart w:name="z2002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в) присваивает минеральному удобрению индивидуальный регистрационный номер;</w:t>
      </w:r>
    </w:p>
    <w:bookmarkEnd w:id="93"/>
    <w:bookmarkStart w:name="z2003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г) включает минеральное удобрение в национальную часть единого реестра разрешенных к обращению на рынке Союза минеральных удобрений;</w:t>
      </w:r>
    </w:p>
    <w:bookmarkEnd w:id="94"/>
    <w:bookmarkStart w:name="z2004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д) выдает свидетельство о регистрации минерального удобрения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№ 3</w:t>
      </w:r>
      <w:r>
        <w:rPr>
          <w:rFonts w:ascii="Times New Roman"/>
          <w:b w:val="false"/>
          <w:i w:val="false"/>
          <w:color w:val="000000"/>
          <w:sz w:val="28"/>
        </w:rPr>
        <w:t xml:space="preserve">. </w:t>
      </w:r>
    </w:p>
    <w:bookmarkEnd w:id="95"/>
    <w:bookmarkStart w:name="z2005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 Срок действия свидетельства о регистрации минерального удобрения не ограничен.</w:t>
      </w:r>
    </w:p>
    <w:bookmarkEnd w:id="96"/>
    <w:bookmarkStart w:name="z2006" w:id="9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X. Маркировка минеральных удобрений единым знаком обращения продукции на рынке Союза</w:t>
      </w:r>
    </w:p>
    <w:bookmarkEnd w:id="97"/>
    <w:bookmarkStart w:name="z2007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35. Минеральные удобрения, соответствующие требованиям настоящего технического регламента и иных вступивших в силу технических регламентов Союза (Таможенного союза), действие которых на них распространяется, прошедшие оценку соответствия согласно разделу IX настоящего технического регламента, маркируются единым знаком обращения продукции на рынке Союза.</w:t>
      </w:r>
    </w:p>
    <w:bookmarkEnd w:id="98"/>
    <w:bookmarkStart w:name="z2008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36. Маркировка единым знаком обращения продукции на рынке Союза осуществляется перед выпуском минеральных удобрений в обращение на рынке Союза.</w:t>
      </w:r>
    </w:p>
    <w:bookmarkEnd w:id="99"/>
    <w:bookmarkStart w:name="z2009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37. Единый знак обращения продукции на рынке Союза наносится на каждую единицу упаковки минерального удобрения или на этикетку (при невозможности нанесения знака на упаковку), а также приводится в прилагаемых к партии минерального удобрения сопроводительных документах.</w:t>
      </w:r>
    </w:p>
    <w:bookmarkEnd w:id="100"/>
    <w:bookmarkStart w:name="z2010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38. Единый знак обращения продукции на рынке Союза наносится любым способом, обеспечивающим четкое и ясное изображение, сохраняющееся до момента полного использования минерального удобрения или его утилизации.</w:t>
      </w:r>
    </w:p>
    <w:bookmarkEnd w:id="101"/>
    <w:bookmarkStart w:name="z2011" w:id="10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XI. Защитительная оговорка</w:t>
      </w:r>
    </w:p>
    <w:bookmarkEnd w:id="102"/>
    <w:bookmarkStart w:name="z2012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39. Уполномоченные органы государства-члена предпринимают все меры для ограничения и запрета выпуска в обращение на рынке Союза минеральных удобрений, не соответствующих требованиям настоящего технического регламента и иных вступивших в силу технических регламентов Союза (Таможенного союза), действие которых на них распространяется, а также для их изъятия из обращения. </w:t>
      </w:r>
    </w:p>
    <w:bookmarkEnd w:id="103"/>
    <w:bookmarkStart w:name="z2013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этом случае уполномоченный орган государства-члена незамедлительно информирует другие государства-члены о принятых экстренных мерах и приступает к процессу консультаций и переговоров по данному вопросу. </w:t>
      </w:r>
    </w:p>
    <w:bookmarkEnd w:id="10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№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техническому регламенту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Евразийского экономического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союза "О требованиях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минеральным удобрениям"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(ТР ЕАЭС 39/2016)</w:t>
            </w:r>
          </w:p>
        </w:tc>
      </w:tr>
    </w:tbl>
    <w:bookmarkStart w:name="z2015" w:id="10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 Е Р Е Ч Е Н Ь</w:t>
      </w:r>
      <w:r>
        <w:br/>
      </w:r>
      <w:r>
        <w:rPr>
          <w:rFonts w:ascii="Times New Roman"/>
          <w:b/>
          <w:i w:val="false"/>
          <w:color w:val="000000"/>
        </w:rPr>
        <w:t>минеральных удобрений, на которые распространяется действие технического регламента Евразийского экономического союза "О требованиях к минеральным удобрениям"</w:t>
      </w:r>
      <w:r>
        <w:br/>
      </w:r>
      <w:r>
        <w:rPr>
          <w:rFonts w:ascii="Times New Roman"/>
          <w:b/>
          <w:i w:val="false"/>
          <w:color w:val="000000"/>
        </w:rPr>
        <w:t>(ТР ЕАЭС 39/2016)</w:t>
      </w:r>
    </w:p>
    <w:bookmarkEnd w:id="105"/>
    <w:bookmarkStart w:name="z2016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Минеральные удобрения в зависимости от их агрегатного состояния:</w:t>
      </w:r>
    </w:p>
    <w:bookmarkEnd w:id="106"/>
    <w:bookmarkStart w:name="z2017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а) твердые (порошковидные, гранулированные, кристаллические);</w:t>
      </w:r>
    </w:p>
    <w:bookmarkEnd w:id="107"/>
    <w:bookmarkStart w:name="z2018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б) жидкие (раствор, суспензия).</w:t>
      </w:r>
    </w:p>
    <w:bookmarkEnd w:id="108"/>
    <w:bookmarkStart w:name="z2019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Минеральные удобрения по питательным элементам:</w:t>
      </w:r>
    </w:p>
    <w:bookmarkEnd w:id="109"/>
    <w:bookmarkStart w:name="z2020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а) простые минеральные удобрения с заявленным содержанием одного основного питательного элемента (азот, фосфор, калий):</w:t>
      </w:r>
    </w:p>
    <w:bookmarkEnd w:id="110"/>
    <w:bookmarkStart w:name="z2021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азотные;</w:t>
      </w:r>
    </w:p>
    <w:bookmarkEnd w:id="111"/>
    <w:bookmarkStart w:name="z2022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фосфорные;</w:t>
      </w:r>
    </w:p>
    <w:bookmarkEnd w:id="112"/>
    <w:bookmarkStart w:name="z2023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калийные;</w:t>
      </w:r>
    </w:p>
    <w:bookmarkEnd w:id="113"/>
    <w:bookmarkStart w:name="z2024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б) комплексные (сложные, смешанные, сложные смешанные) минеральные удобрения с заявленным содержанием нескольких основных питательных элементов:</w:t>
      </w:r>
    </w:p>
    <w:bookmarkEnd w:id="114"/>
    <w:bookmarkStart w:name="z2025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азотно-фосфорно-калийные;</w:t>
      </w:r>
    </w:p>
    <w:bookmarkEnd w:id="115"/>
    <w:bookmarkStart w:name="z2026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азотно-фосфорные;</w:t>
      </w:r>
    </w:p>
    <w:bookmarkEnd w:id="116"/>
    <w:bookmarkStart w:name="z2027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азотно-калийные;</w:t>
      </w:r>
    </w:p>
    <w:bookmarkEnd w:id="117"/>
    <w:bookmarkStart w:name="z2028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фосфорно-калийные;</w:t>
      </w:r>
    </w:p>
    <w:bookmarkEnd w:id="118"/>
    <w:bookmarkStart w:name="z2029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в) простые и комплексные минеральные удобрения с заявленным содержанием основных питательных элементов (азот, фосфор, калий), и (или) макроэлементов (кальций, магний, натрий, сера), и (или) микроэлементов (бор, марганец, медь, цинк, кобальт, молибден, железо);</w:t>
      </w:r>
    </w:p>
    <w:bookmarkEnd w:id="119"/>
    <w:bookmarkStart w:name="z2030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г) микроудобрения.</w:t>
      </w:r>
    </w:p>
    <w:bookmarkEnd w:id="1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№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техническому регламенту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Евразийского экономического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союза "О требованиях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минеральным удобрениям"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(ТР ЕАЭС 39/2016)</w:t>
            </w:r>
          </w:p>
        </w:tc>
      </w:tr>
    </w:tbl>
    <w:bookmarkStart w:name="z2032" w:id="1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 О Р М Ы</w:t>
      </w:r>
      <w:r>
        <w:br/>
      </w:r>
      <w:r>
        <w:rPr>
          <w:rFonts w:ascii="Times New Roman"/>
          <w:b/>
          <w:i w:val="false"/>
          <w:color w:val="000000"/>
        </w:rPr>
        <w:t>радиационной и химической безопасности минеральных удобрений</w:t>
      </w:r>
    </w:p>
    <w:bookmarkEnd w:id="121"/>
    <w:bookmarkStart w:name="z2033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Нормы радиационной безопасности минеральных удобрений:</w:t>
      </w:r>
    </w:p>
    <w:bookmarkEnd w:id="122"/>
    <w:bookmarkStart w:name="z2034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а) удельная активность естественных (природных) радионуклидов в минеральных удобрениях не должна превышать следующего значения:</w:t>
      </w:r>
    </w:p>
    <w:bookmarkEnd w:id="123"/>
    <w:bookmarkStart w:name="z2035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</w:t>
      </w:r>
      <w:r>
        <w:rPr>
          <w:rFonts w:ascii="Times New Roman"/>
          <w:b w:val="false"/>
          <w:i w:val="false"/>
          <w:color w:val="000000"/>
          <w:vertAlign w:val="subscript"/>
        </w:rPr>
        <w:t>U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+ 1,5 А</w:t>
      </w:r>
      <w:r>
        <w:rPr>
          <w:rFonts w:ascii="Times New Roman"/>
          <w:b w:val="false"/>
          <w:i w:val="false"/>
          <w:color w:val="000000"/>
          <w:vertAlign w:val="subscript"/>
        </w:rPr>
        <w:t>Th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≤ 1,0 кБк/кг,</w:t>
      </w:r>
    </w:p>
    <w:bookmarkEnd w:id="124"/>
    <w:bookmarkStart w:name="z2036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где А</w:t>
      </w:r>
      <w:r>
        <w:rPr>
          <w:rFonts w:ascii="Times New Roman"/>
          <w:b w:val="false"/>
          <w:i w:val="false"/>
          <w:color w:val="000000"/>
          <w:vertAlign w:val="subscript"/>
        </w:rPr>
        <w:t>U</w:t>
      </w:r>
      <w:r>
        <w:rPr>
          <w:rFonts w:ascii="Times New Roman"/>
          <w:b w:val="false"/>
          <w:i w:val="false"/>
          <w:color w:val="000000"/>
          <w:sz w:val="28"/>
        </w:rPr>
        <w:t xml:space="preserve"> и А</w:t>
      </w:r>
      <w:r>
        <w:rPr>
          <w:rFonts w:ascii="Times New Roman"/>
          <w:b w:val="false"/>
          <w:i w:val="false"/>
          <w:color w:val="000000"/>
          <w:vertAlign w:val="subscript"/>
        </w:rPr>
        <w:t>Th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– удельные активности урана-238 (радия-226) и тория-232 (тория-228), находящихся в радиоактивном равновесии с остальными членами уранового и ториевого рядов соответственно;</w:t>
      </w:r>
    </w:p>
    <w:bookmarkEnd w:id="125"/>
    <w:bookmarkStart w:name="z2037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б) в азотных удобрениях, производимых путем химического синтеза, радиоактивность не нормируется;</w:t>
      </w:r>
    </w:p>
    <w:bookmarkEnd w:id="126"/>
    <w:bookmarkStart w:name="z2038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в) допустимое содержание изотопа калия </w:t>
      </w:r>
      <w:r>
        <w:rPr>
          <w:rFonts w:ascii="Times New Roman"/>
          <w:b w:val="false"/>
          <w:i w:val="false"/>
          <w:color w:val="000000"/>
          <w:vertAlign w:val="superscript"/>
        </w:rPr>
        <w:t>40</w:t>
      </w:r>
      <w:r>
        <w:rPr>
          <w:rFonts w:ascii="Times New Roman"/>
          <w:b w:val="false"/>
          <w:i w:val="false"/>
          <w:color w:val="000000"/>
          <w:sz w:val="28"/>
        </w:rPr>
        <w:t>К в минеральных удобрениях не устанавливается.</w:t>
      </w:r>
    </w:p>
    <w:bookmarkEnd w:id="127"/>
    <w:bookmarkStart w:name="z2039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Нормы химической безопасности:</w:t>
      </w:r>
    </w:p>
    <w:bookmarkEnd w:id="128"/>
    <w:bookmarkStart w:name="z2040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а) массовая доля биурета в карбамиде – не более 1,4 %;</w:t>
      </w:r>
    </w:p>
    <w:bookmarkEnd w:id="129"/>
    <w:bookmarkStart w:name="z2041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б) рН водного раствора с массовой долей аммиачной селитры 10 % – не менее 5,0;</w:t>
      </w:r>
    </w:p>
    <w:bookmarkEnd w:id="130"/>
    <w:bookmarkStart w:name="z2042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в) гранулометрический состав аммиачной селитры (массовая доля фракций):</w:t>
      </w:r>
    </w:p>
    <w:bookmarkEnd w:id="131"/>
    <w:bookmarkStart w:name="z2043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менее 1 мм – не более 5 %;</w:t>
      </w:r>
    </w:p>
    <w:bookmarkEnd w:id="132"/>
    <w:bookmarkStart w:name="z2044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менее 0,5 мм – не более 3 %;</w:t>
      </w:r>
    </w:p>
    <w:bookmarkEnd w:id="133"/>
    <w:bookmarkStart w:name="z2045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г) пористость (способность удерживать масло) аммиачной селитры при температуре 25 – 50° С – не более 4 %*;</w:t>
      </w:r>
    </w:p>
    <w:bookmarkEnd w:id="134"/>
    <w:bookmarkStart w:name="z2046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д) содержание горючих веществ в аммиачной селитре:</w:t>
      </w:r>
    </w:p>
    <w:bookmarkEnd w:id="135"/>
    <w:bookmarkStart w:name="z2047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минеральных удобрений, содержащих не менее 31,5 % азота по массе, – не более 0,2 %*;</w:t>
      </w:r>
    </w:p>
    <w:bookmarkEnd w:id="136"/>
    <w:bookmarkStart w:name="z2048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минеральных удобрений, содержащих азот от 28 до 31,5 % по массе, – не более 0,4 %*;</w:t>
      </w:r>
    </w:p>
    <w:bookmarkEnd w:id="137"/>
    <w:bookmarkStart w:name="z2049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е) массовая доля хлора в аммиачной селитре – не более 0,02 %*;</w:t>
      </w:r>
    </w:p>
    <w:bookmarkEnd w:id="138"/>
    <w:bookmarkStart w:name="z2050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ж) содержание меди в аммиачной селитре – не более 10 мг/кг*.</w:t>
      </w:r>
    </w:p>
    <w:bookmarkEnd w:id="139"/>
    <w:bookmarkStart w:name="z2051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</w:t>
      </w:r>
    </w:p>
    <w:bookmarkEnd w:id="140"/>
    <w:bookmarkStart w:name="z2052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* Требование вступает в силу по истечении 6 месяцев со дня вступления в силу решения Евразийской экономической комиссии о включении межгосударственных стандартов, содержащих правила и методы исследований (испытаний) и измерений по маслопоглощению и пористости аммиачной селитры, по содержанию горючих веществ, по массовой доле хлора и содержанию меди в аммиачной селитре соответственно, в перечень международных и региональных (межгосударственных) стандартов, а в случае их отсутствия – национальных (государственных) стандартов, содержащих правила и методы исследований (испытаний) и измерений, в том числе правила отбора образцов, необходимые для применения и исполнения требований технического регламента Евразийского экономического союза "О требованиях к минеральным удобрениям" (ТР ЕАЭС 39/2016) и осуществления оценки соответствия объектов технического регулирования. </w:t>
      </w:r>
    </w:p>
    <w:bookmarkEnd w:id="14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№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техническому регламенту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Евразийского экономического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союза "О требованиях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минеральным удобрениям"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(ТР ЕАЭС 39/2016)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(форма)</w:t>
            </w:r>
          </w:p>
        </w:tc>
      </w:tr>
    </w:tbl>
    <w:bookmarkStart w:name="z2055" w:id="1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СВИДЕТЕЛЬСТВО</w:t>
      </w:r>
      <w:r>
        <w:br/>
      </w:r>
      <w:r>
        <w:rPr>
          <w:rFonts w:ascii="Times New Roman"/>
          <w:b/>
          <w:i w:val="false"/>
          <w:color w:val="000000"/>
        </w:rPr>
        <w:t>О РЕГИСТРАЦИИ МИНЕРАЛЬНОГО УДОБРЕНИЯ</w:t>
      </w:r>
    </w:p>
    <w:bookmarkEnd w:id="142"/>
    <w:bookmarkStart w:name="z2056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_________ от "__" ___________ 20__ г.</w:t>
      </w:r>
    </w:p>
    <w:bookmarkEnd w:id="143"/>
    <w:p>
      <w:pPr>
        <w:spacing w:after="0"/>
        <w:ind w:left="0"/>
        <w:jc w:val="both"/>
      </w:pPr>
      <w:bookmarkStart w:name="z2057" w:id="144"/>
      <w:r>
        <w:rPr>
          <w:rFonts w:ascii="Times New Roman"/>
          <w:b w:val="false"/>
          <w:i w:val="false"/>
          <w:color w:val="000000"/>
          <w:sz w:val="28"/>
        </w:rPr>
        <w:t>
      Настоящее свидетельство выдано ____________________________________________</w:t>
      </w:r>
    </w:p>
    <w:bookmarkEnd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(сведения о государственной регистрации юридического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лица или Ф.И.О. физического лица, зарегистрированного в качестве индивидуального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предпринимателя, место нахождения, в том числе фактический адрес, – для юридического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лица или место жительства – для физического лица, зарегистрированного в качестве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индивидуального предпринимателя, – указать нужное, телефон, факс, адрес электронной почты)</w:t>
      </w:r>
    </w:p>
    <w:p>
      <w:pPr>
        <w:spacing w:after="0"/>
        <w:ind w:left="0"/>
        <w:jc w:val="both"/>
      </w:pPr>
      <w:bookmarkStart w:name="z2058" w:id="145"/>
      <w:r>
        <w:rPr>
          <w:rFonts w:ascii="Times New Roman"/>
          <w:b w:val="false"/>
          <w:i w:val="false"/>
          <w:color w:val="000000"/>
          <w:sz w:val="28"/>
        </w:rPr>
        <w:t>
      В соответствии с техническим регламентом Евразийского экономического союза "О</w:t>
      </w:r>
    </w:p>
    <w:bookmarkEnd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требованиях к минеральным удобрениям" (ТР ЕАЭС 39/2016) минеральное удобрение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(наименование минерального удобрения)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изготовленное___________________________________________________________________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(наименование юридического лица или Ф.И.О. физического лица, зарегистрированного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качестве индивидуального предпринимателя, место нахождения, в том числе фактический адрес, – для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____________юридического лица или место жительства – для физического лица,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зарегистрированного в качестве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______________________________________________________________________________________индивидуального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предпринимателя, – указать нужное, телефон, адрес электронной почты)</w:t>
      </w:r>
    </w:p>
    <w:p>
      <w:pPr>
        <w:spacing w:after="0"/>
        <w:ind w:left="0"/>
        <w:jc w:val="both"/>
      </w:pPr>
      <w:bookmarkStart w:name="z2059" w:id="146"/>
      <w:r>
        <w:rPr>
          <w:rFonts w:ascii="Times New Roman"/>
          <w:b w:val="false"/>
          <w:i w:val="false"/>
          <w:color w:val="000000"/>
          <w:sz w:val="28"/>
        </w:rPr>
        <w:t>
      зарегистрировано за № _____ в ___________________________________</w:t>
      </w:r>
    </w:p>
    <w:bookmarkEnd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 (наименование государства – члена Евразийского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 экономического союза)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допускается к обращению на рынке государств – членов Евразийского экономического союза.</w:t>
      </w:r>
    </w:p>
    <w:p>
      <w:pPr>
        <w:spacing w:after="0"/>
        <w:ind w:left="0"/>
        <w:jc w:val="both"/>
      </w:pPr>
      <w:bookmarkStart w:name="z2060" w:id="147"/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 ________ _____________</w:t>
      </w:r>
    </w:p>
    <w:bookmarkEnd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(должность руководителя уполномоченного органа (подпись) (Ф.И.О.)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государства – члена Евразийского экономического союза)</w:t>
      </w:r>
    </w:p>
    <w:bookmarkStart w:name="z2061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М.П.</w:t>
      </w:r>
    </w:p>
    <w:bookmarkEnd w:id="148"/>
    <w:bookmarkStart w:name="z2062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Примечание. Свидетельство о регистрации минерального удобрения составляется на русском языке и государственном (государственных) языке (языках) государства – члена Евразийского экономического союза, на территории которого реализуются минеральные удобрения, при наличии соответствующих требований в законодательстве такого государства.</w:t>
      </w:r>
    </w:p>
    <w:bookmarkEnd w:id="149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