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40c3" w14:textId="ccf4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Комиссии Таможенного союза в отношении временно ввозимых отдельных видов турбовинтовых гражданских пассажирских самолетов</w:t>
      </w:r>
    </w:p>
    <w:p>
      <w:pPr>
        <w:spacing w:after="0"/>
        <w:ind w:left="0"/>
        <w:jc w:val="both"/>
      </w:pPr>
      <w:r>
        <w:rPr>
          <w:rFonts w:ascii="Times New Roman"/>
          <w:b w:val="false"/>
          <w:i w:val="false"/>
          <w:color w:val="000000"/>
          <w:sz w:val="28"/>
        </w:rPr>
        <w:t>Решение Совета Евразийской экономической комиссии от 30 ноября 2016 года № 138.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Решение утрачивает силу решением Совета Евразийской экономической комиссии от 22.04.2024 </w:t>
      </w:r>
      <w:r>
        <w:rPr>
          <w:rFonts w:ascii="Times New Roman"/>
          <w:b w:val="false"/>
          <w:i w:val="false"/>
          <w:color w:val="ff0000"/>
          <w:sz w:val="28"/>
        </w:rPr>
        <w:t>№ 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280, </w:t>
      </w:r>
      <w:r>
        <w:rPr>
          <w:rFonts w:ascii="Times New Roman"/>
          <w:b w:val="false"/>
          <w:i w:val="false"/>
          <w:color w:val="000000"/>
          <w:sz w:val="28"/>
        </w:rPr>
        <w:t>пунктом 1</w:t>
      </w:r>
      <w:r>
        <w:rPr>
          <w:rFonts w:ascii="Times New Roman"/>
          <w:b w:val="false"/>
          <w:i w:val="false"/>
          <w:color w:val="000000"/>
          <w:sz w:val="28"/>
        </w:rPr>
        <w:t xml:space="preserve"> статьи 282 Таможенного кодекса Таможенного союза и </w:t>
      </w:r>
      <w:r>
        <w:rPr>
          <w:rFonts w:ascii="Times New Roman"/>
          <w:b w:val="false"/>
          <w:i w:val="false"/>
          <w:color w:val="000000"/>
          <w:sz w:val="28"/>
        </w:rPr>
        <w:t>пунктом 5</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пункт 35</w:t>
      </w:r>
      <w:r>
        <w:rPr>
          <w:rFonts w:ascii="Times New Roman"/>
          <w:b w:val="false"/>
          <w:i w:val="false"/>
          <w:color w:val="000000"/>
          <w:sz w:val="28"/>
        </w:rPr>
        <w:t xml:space="preserve"> перечня товаров, временно ввозимых с полным условным освобождением от уплаты таможенных пошлин, налогов, утвержденного Решением Комиссии Таможенного союза от 18 июня 2010 г. № 331, следующие изменения:</w:t>
      </w:r>
    </w:p>
    <w:bookmarkEnd w:id="1"/>
    <w:p>
      <w:pPr>
        <w:spacing w:after="0"/>
        <w:ind w:left="0"/>
        <w:jc w:val="both"/>
      </w:pPr>
      <w:r>
        <w:rPr>
          <w:rFonts w:ascii="Times New Roman"/>
          <w:b w:val="false"/>
          <w:i w:val="false"/>
          <w:color w:val="000000"/>
          <w:sz w:val="28"/>
        </w:rPr>
        <w:t>
      а) в абзаце первом слова "на 72 человека" заменить словами "на 79 человек", слова "до 31 декабря 2015 года" заменить словами "по 31 декабря 2017 г. включительно";</w:t>
      </w:r>
    </w:p>
    <w:p>
      <w:pPr>
        <w:spacing w:after="0"/>
        <w:ind w:left="0"/>
        <w:jc w:val="both"/>
      </w:pPr>
      <w:r>
        <w:rPr>
          <w:rFonts w:ascii="Times New Roman"/>
          <w:b w:val="false"/>
          <w:i w:val="false"/>
          <w:color w:val="000000"/>
          <w:sz w:val="28"/>
        </w:rPr>
        <w:t>
      б) в абзаце втором слова "2 года" заменить словами "10 лет".</w:t>
      </w:r>
    </w:p>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Перечень</w:t>
      </w:r>
      <w:r>
        <w:rPr>
          <w:rFonts w:ascii="Times New Roman"/>
          <w:b w:val="false"/>
          <w:i w:val="false"/>
          <w:color w:val="000000"/>
          <w:sz w:val="28"/>
        </w:rPr>
        <w:t xml:space="preserve"> категорий товаров, в отношении которых устанавливаются более продолжительные, чем установленные Таможенным кодексом Таможенного союза, предельные сроки временного ввоза, утвержденный Решением Комиссии Таможенного союза от 20 сентября 2010 г. № 375, дополнить позицией 13</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1</w:t>
            </w:r>
            <w:r>
              <w:rPr>
                <w:rFonts w:ascii="Times New Roman"/>
                <w:b w:val="false"/>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ввозимые турбовинтовые гражданские пассажирские самолеты (коды 8802 30 000 2, 8802 30 000 7, 8802 40 001 1 и 8802 40 001 6 ТН ВЭД ЕАЭС), с количеством пассажирских мест, указанным в схеме размещения пассажиров (LOPA), одобренной уполномоченным органом, ответственным за поддержание летной годности воздушных судов, не более чем на 79 человек, если на момент их помещения под таможенную процедуру временного ввоза (допуска) с даты их производства, указанной в формуляре воздушного судна, прошло не более 10 лет, в отношении которых предоставлено полное условное освобождение от уплаты ввозных таможенных пошлин, налогов в соответствии с пунктом 35 перечня товаров, временно ввозимых с полным условным освобождением от уплаты таможенных пошлин, налогов, утвержденного Решением Комиссии Таможенного союза от 18 июня 2010 г. № 331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лет".</w:t>
            </w:r>
          </w:p>
        </w:tc>
      </w:tr>
    </w:tbl>
    <w:p>
      <w:pPr>
        <w:spacing w:after="0"/>
        <w:ind w:left="0"/>
        <w:jc w:val="left"/>
      </w:pP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Настоящее Решение вступает в силу по истечении 10 календарных дней с даты его официального опубликования и распространяется на правоотношения, возникшие с даты вступления в силу </w:t>
      </w:r>
      <w:r>
        <w:rPr>
          <w:rFonts w:ascii="Times New Roman"/>
          <w:b w:val="false"/>
          <w:i w:val="false"/>
          <w:color w:val="000000"/>
          <w:sz w:val="28"/>
        </w:rPr>
        <w:t>Решения</w:t>
      </w:r>
      <w:r>
        <w:rPr>
          <w:rFonts w:ascii="Times New Roman"/>
          <w:b w:val="false"/>
          <w:i w:val="false"/>
          <w:color w:val="000000"/>
          <w:sz w:val="28"/>
        </w:rPr>
        <w:t xml:space="preserve"> Совета Евразийской экономической комиссии от 15 августа 2014 г. № 57 и связанные с помещением под таможенную процедуру временного ввоза (допуска) турбовинтовых гражданских пассажирских самолетов, классифицируемых кодами 8802 30 000 2, 8802 30 000 7, 8802 40 001 1 и 8802 40 001 6 ТН ВЭД ЕАЭС, с количеством пассажирских мест, указанным в схеме размещения пассажиров (LOPA), одобренной уполномоченным органом, ответственным за поддержание летной годности воздушных судов, не более чем на 79 человек, на момент помещения которых под таможенную процедуру временного ввоза (допуска) прошло не более 10 лет с даты их производства, за исключением самолетов, срок временного ввоза которых, установленный таможенным органом, истек на дату вступления в силу настоящего Решения.</w:t>
      </w:r>
    </w:p>
    <w:bookmarkEnd w:id="3"/>
    <w:p>
      <w:pPr>
        <w:spacing w:after="0"/>
        <w:ind w:left="0"/>
        <w:jc w:val="both"/>
      </w:pPr>
      <w:r>
        <w:rPr>
          <w:rFonts w:ascii="Times New Roman"/>
          <w:b w:val="false"/>
          <w:i w:val="false"/>
          <w:color w:val="000000"/>
          <w:sz w:val="28"/>
        </w:rPr>
        <w:t>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val="false"/>
                <w:i w:val="false"/>
                <w:color w:val="000000"/>
                <w:sz w:val="20"/>
              </w:rPr>
              <w:t>
</w:t>
            </w:r>
            <w:r>
              <w:rPr>
                <w:rFonts w:ascii="Times New Roman"/>
                <w:b/>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val="false"/>
                <w:i w:val="false"/>
                <w:color w:val="000000"/>
                <w:sz w:val="20"/>
              </w:rPr>
              <w:t>
</w:t>
            </w:r>
            <w:r>
              <w:rPr>
                <w:rFonts w:ascii="Times New Roman"/>
                <w:b/>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val="false"/>
                <w:i w:val="false"/>
                <w:color w:val="000000"/>
                <w:sz w:val="20"/>
              </w:rPr>
              <w:t>
</w:t>
            </w:r>
            <w:r>
              <w:rPr>
                <w:rFonts w:ascii="Times New Roman"/>
                <w:b/>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 </w:t>
            </w:r>
            <w:r>
              <w:rPr>
                <w:rFonts w:ascii="Times New Roman"/>
                <w:b/>
                <w:i w:val="false"/>
                <w:color w:val="000000"/>
                <w:sz w:val="20"/>
              </w:rPr>
              <w:t>Кыргызской</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Российской</w:t>
            </w:r>
          </w:p>
          <w:p>
            <w:pPr>
              <w:spacing w:after="20"/>
              <w:ind w:left="20"/>
              <w:jc w:val="both"/>
            </w:pPr>
            <w:r>
              <w:rPr>
                <w:rFonts w:ascii="Times New Roman"/>
                <w:b w:val="false"/>
                <w:i w:val="false"/>
                <w:color w:val="000000"/>
                <w:sz w:val="20"/>
              </w:rPr>
              <w:t>
</w:t>
            </w:r>
            <w:r>
              <w:rPr>
                <w:rFonts w:ascii="Times New Roman"/>
                <w:b/>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 </w:t>
            </w:r>
            <w:r>
              <w:rPr>
                <w:rFonts w:ascii="Times New Roman"/>
                <w:b/>
                <w:i w:val="false"/>
                <w:color w:val="000000"/>
                <w:sz w:val="20"/>
              </w:rPr>
              <w:t>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 Шувалов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