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c900" w14:textId="40fc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морских судов-трубоукладчиков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ноября 2016 года № 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временно ввозимых с полным условным освобождением от уплаты таможенных пошлин, налогов, утвержденный Решением Комиссии Таможенного союза от 18 июня 2010 г. № 331, дополнить пунктом 38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Морские суда-трубоукладчики, классифицируемые в подсубпозиции 8905 90 100 9 ТН ВЭД ЕАЭС, временно ввозимые на таможенную территорию Евразийского экономического союза для использования при строительстве морских участков газопроводов и помещаемые под таможенную процедуру временного ввоза (допуска) по 31 декабря 2021 г.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полного условного освобождения от уплаты таможенных пошлин, налогов в отношении таких морских судов-трубоукладчиков составляет 5 лет со дня помещения судов под таможенную процедуру временного ввоза (допуска).".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375, дополнить пунктом 15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"15.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суда-трубоукладчики, классифицируемые в подсубпозиции 8905 90 100 9 ТН ВЭД ЕАЭС, временно ввозимые на таможенную территорию Евразийского экономического союза для использования при строительстве морских участков газопроводов, в отношении которых предоставлено полное условное освобождение от уплаты ввозных таможенных пошлин, налогов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лет".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