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721a" w14:textId="1457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Совета Евразийской экономической комиссии от 17 декабря 2012 г. № 118</w:t>
      </w:r>
    </w:p>
    <w:p>
      <w:pPr>
        <w:spacing w:after="0"/>
        <w:ind w:left="0"/>
        <w:jc w:val="both"/>
      </w:pPr>
      <w:r>
        <w:rPr>
          <w:rFonts w:ascii="Times New Roman"/>
          <w:b w:val="false"/>
          <w:i w:val="false"/>
          <w:color w:val="000000"/>
          <w:sz w:val="28"/>
        </w:rPr>
        <w:t>Решение Совета Евразийской экономической комиссии от 18 октября 2016 года № 105</w:t>
      </w:r>
    </w:p>
    <w:p>
      <w:pPr>
        <w:spacing w:after="0"/>
        <w:ind w:left="0"/>
        <w:jc w:val="both"/>
      </w:pPr>
      <w:bookmarkStart w:name="z1" w:id="0"/>
      <w:r>
        <w:rPr>
          <w:rFonts w:ascii="Times New Roman"/>
          <w:b w:val="false"/>
          <w:i w:val="false"/>
          <w:color w:val="000000"/>
          <w:sz w:val="28"/>
        </w:rPr>
        <w:t>
      В соответствии с подпунктом 1 </w:t>
      </w:r>
      <w:r>
        <w:rPr>
          <w:rFonts w:ascii="Times New Roman"/>
          <w:b w:val="false"/>
          <w:i w:val="false"/>
          <w:color w:val="000000"/>
          <w:sz w:val="28"/>
        </w:rPr>
        <w:t>пункта 24</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и </w:t>
      </w:r>
      <w:r>
        <w:rPr>
          <w:rFonts w:ascii="Times New Roman"/>
          <w:b w:val="false"/>
          <w:i w:val="false"/>
          <w:color w:val="000000"/>
          <w:sz w:val="28"/>
        </w:rPr>
        <w:t>пунктом 64</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17 декабря 2012 г. № 118 «О Методике расчета и порядке наложения штрафов, предусмотренных Соглашением о единых принципах и правилах конкуренции» изменения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left"/>
      </w:pPr>
      <w:r>
        <w:rPr>
          <w:rFonts w:ascii="Times New Roman"/>
          <w:b/>
          <w:i w:val="false"/>
          <w:color w:val="000000"/>
        </w:rPr>
        <w:t xml:space="preserve">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Pr>
      <w:tblGrid>
        <w:gridCol w:w="2800"/>
        <w:gridCol w:w="2800"/>
        <w:gridCol w:w="2800"/>
        <w:gridCol w:w="2800"/>
        <w:gridCol w:w="2800"/>
      </w:tblGrid>
      <w:tr>
        <w:trPr>
          <w:trHeight w:val="30" w:hRule="atLeast"/>
        </w:trPr>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Армения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Беларусь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Казахстан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Кыргызской</w:t>
            </w:r>
            <w:r>
              <w:br/>
            </w:r>
            <w:r>
              <w:rPr>
                <w:rFonts w:ascii="Times New Roman"/>
                <w:b/>
                <w:i w:val="false"/>
                <w:color w:val="000000"/>
                <w:sz w:val="20"/>
              </w:rPr>
              <w:t>
Республики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Российской</w:t>
            </w:r>
            <w:r>
              <w:br/>
            </w:r>
            <w:r>
              <w:rPr>
                <w:rFonts w:ascii="Times New Roman"/>
                <w:b/>
                <w:i w:val="false"/>
                <w:color w:val="000000"/>
                <w:sz w:val="20"/>
              </w:rPr>
              <w:t>
Федерации
</w:t>
            </w:r>
          </w:p>
        </w:tc>
      </w:tr>
      <w:tr>
        <w:trPr>
          <w:trHeight w:val="30" w:hRule="atLeast"/>
        </w:trPr>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Габриелян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Матюшевский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Мамин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 Панкратов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 Шувалов 
</w:t>
            </w:r>
          </w:p>
        </w:tc>
      </w:tr>
    </w:tbl>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18 октября 2016 г. № 105  </w:t>
      </w:r>
    </w:p>
    <w:bookmarkEnd w:id="1"/>
    <w:bookmarkStart w:name="z5" w:id="2"/>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Решение Совета Евразийской экономической комиссии от</w:t>
      </w:r>
      <w:r>
        <w:br/>
      </w:r>
      <w:r>
        <w:rPr>
          <w:rFonts w:ascii="Times New Roman"/>
          <w:b/>
          <w:i w:val="false"/>
          <w:color w:val="000000"/>
        </w:rPr>
        <w:t>
17 декабря 2012 г. № 118</w:t>
      </w:r>
    </w:p>
    <w:bookmarkEnd w:id="2"/>
    <w:bookmarkStart w:name="z6" w:id="3"/>
    <w:p>
      <w:pPr>
        <w:spacing w:after="0"/>
        <w:ind w:left="0"/>
        <w:jc w:val="both"/>
      </w:pPr>
      <w:r>
        <w:rPr>
          <w:rFonts w:ascii="Times New Roman"/>
          <w:b w:val="false"/>
          <w:i w:val="false"/>
          <w:color w:val="000000"/>
          <w:sz w:val="28"/>
        </w:rPr>
        <w:t>
      1. В наименовании и </w:t>
      </w:r>
      <w:r>
        <w:rPr>
          <w:rFonts w:ascii="Times New Roman"/>
          <w:b w:val="false"/>
          <w:i w:val="false"/>
          <w:color w:val="000000"/>
          <w:sz w:val="28"/>
        </w:rPr>
        <w:t>пункте 1</w:t>
      </w:r>
      <w:r>
        <w:rPr>
          <w:rFonts w:ascii="Times New Roman"/>
          <w:b w:val="false"/>
          <w:i w:val="false"/>
          <w:color w:val="000000"/>
          <w:sz w:val="28"/>
        </w:rPr>
        <w:t xml:space="preserve"> слова «, предусмотренных Соглашением о единых принципах и правилах конкуренции» заменить словами «за нарушение общих правил конкуренции на трансграничных рынках».</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Методике</w:t>
      </w:r>
      <w:r>
        <w:rPr>
          <w:rFonts w:ascii="Times New Roman"/>
          <w:b w:val="false"/>
          <w:i w:val="false"/>
          <w:color w:val="000000"/>
          <w:sz w:val="28"/>
        </w:rPr>
        <w:t xml:space="preserve"> расчета и порядке наложения штрафов, предусмотренных Соглашением о единых принципах и правилах конкуренции,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xml:space="preserve">
      а)в наименовании слова «, предусмотренных Соглашением о единых принципах и правилах конкуренции» заменить словами «за нарушение общих правил конкуренции на трансграничных рынках»; </w:t>
      </w:r>
      <w:r>
        <w:br/>
      </w:r>
      <w:r>
        <w:rPr>
          <w:rFonts w:ascii="Times New Roman"/>
          <w:b w:val="false"/>
          <w:i w:val="false"/>
          <w:color w:val="000000"/>
          <w:sz w:val="28"/>
        </w:rPr>
        <w:t>
</w:t>
      </w:r>
      <w:r>
        <w:rPr>
          <w:rFonts w:ascii="Times New Roman"/>
          <w:b w:val="false"/>
          <w:i w:val="false"/>
          <w:color w:val="000000"/>
          <w:sz w:val="28"/>
        </w:rPr>
        <w:t xml:space="preserve">
      б)по тексту слова «нарушение правил конкуренции» в соответствующем падеже заменить словом «нарушение» в соответствующем падеже, слово «нарушитель» в соответствующем падеже заменить словом «правонарушитель» в соответствующем падеже, слова «непредставление информации» в соответствующем падеже заменить словами «непредставление или несвоевременное представление в Комиссию сведений (информации), предусмотренных разделом XVIII Договора и Протоколом, в том числе непредставление сведений (информации) по требованию Комиссии, а равно представление в Комиссию заведомо недостоверных сведений (информации)» (за исключением пункта 13 настоящей Методики) в соответствующем падеже, слова «Таможенного союза и Единого экономического пространства» заменить словом «Союза»;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 Настоящие Методика и порядок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Протокола об общих принципах и правилах конкуренции (приложение № 19 к Договору о Евразийском экономическом союзе от 29 мая 2014 года) (далее – Протокол) и определяют порядок расчета Евразийской экономической комиссией (далее – Комиссия) размера штрафов для юридических лиц, должностных лиц, индивидуальных предпринимателей и физических лиц за нарушение общих правил конкуренции на трансграничных рынках на территориях двух и более государств – членов Евразийского экономического союза, предусмотренных </w:t>
      </w:r>
      <w:r>
        <w:rPr>
          <w:rFonts w:ascii="Times New Roman"/>
          <w:b w:val="false"/>
          <w:i w:val="false"/>
          <w:color w:val="000000"/>
          <w:sz w:val="28"/>
        </w:rPr>
        <w:t>статьей 76</w:t>
      </w:r>
      <w:r>
        <w:rPr>
          <w:rFonts w:ascii="Times New Roman"/>
          <w:b w:val="false"/>
          <w:i w:val="false"/>
          <w:color w:val="000000"/>
          <w:sz w:val="28"/>
        </w:rPr>
        <w:t xml:space="preserve"> Договора о Евразийском экономическом союзе от 29 мая 2014 года (далее соответственно – трансграничные рынки, Союз, Договор), а также за непредставление или несвоевременное представление в Комиссию сведений (информации), предусмотренных разделом XVIII Договора и Протоколом, в том числе за непредставление сведений (информации) по требованию Комиссии, а равно за представление в Комиссию заведомо недостоверных сведений (информации).»;</w:t>
      </w:r>
      <w:r>
        <w:br/>
      </w:r>
      <w:r>
        <w:rPr>
          <w:rFonts w:ascii="Times New Roman"/>
          <w:b w:val="false"/>
          <w:i w:val="false"/>
          <w:color w:val="000000"/>
          <w:sz w:val="28"/>
        </w:rPr>
        <w:t>
</w:t>
      </w:r>
      <w:r>
        <w:rPr>
          <w:rFonts w:ascii="Times New Roman"/>
          <w:b w:val="false"/>
          <w:i w:val="false"/>
          <w:color w:val="000000"/>
          <w:sz w:val="28"/>
        </w:rPr>
        <w:t>
      г) абзацы третий и четвертый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«нарушение» – нарушение юридическим лицом, должностным лицом, индивидуальным предпринимателем или физическим лицом общих правил конкуренции на трансграничных рынках, а также непредставление или несвоевременное представление в Комиссию сведений (информации), предусмотренных разделом XVIII Договора и Протоколом, в том числе непредставление сведений (информации) по требованию Комиссии, а равно представление в Комиссию заведомо недостоверных сведений (информации), если не оговорено иное;</w:t>
      </w:r>
      <w:r>
        <w:br/>
      </w:r>
      <w:r>
        <w:rPr>
          <w:rFonts w:ascii="Times New Roman"/>
          <w:b w:val="false"/>
          <w:i w:val="false"/>
          <w:color w:val="000000"/>
          <w:sz w:val="28"/>
        </w:rPr>
        <w:t>
      «правонарушитель» – юридическое лицо, должностное лицо, индивидуальный предприниматель или физическое лицо, признанные Комиссией в соответствии с Порядком рассмотрения дел о нарушении правил конкуренции,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2012 г. № 99, нарушившими общие правила конкуренции на трансграничных рынках, предусмотренные статьей 76 Договора, а также не представившие или несвоевременно представившие в Комиссию сведения (информацию), предусмотренные разделом XVIII Договора и Протоколом, в том числе не представившие сведения (информацию) по требованию Комиссии, а равно представившие в Комиссию заведомо недостоверные сведения (информацию);»;</w:t>
      </w:r>
      <w:r>
        <w:br/>
      </w:r>
      <w:r>
        <w:rPr>
          <w:rFonts w:ascii="Times New Roman"/>
          <w:b w:val="false"/>
          <w:i w:val="false"/>
          <w:color w:val="000000"/>
          <w:sz w:val="28"/>
        </w:rPr>
        <w:t>
</w:t>
      </w:r>
      <w:r>
        <w:rPr>
          <w:rFonts w:ascii="Times New Roman"/>
          <w:b w:val="false"/>
          <w:i w:val="false"/>
          <w:color w:val="000000"/>
          <w:sz w:val="28"/>
        </w:rPr>
        <w:t>
      д) в </w:t>
      </w:r>
      <w:r>
        <w:rPr>
          <w:rFonts w:ascii="Times New Roman"/>
          <w:b w:val="false"/>
          <w:i w:val="false"/>
          <w:color w:val="000000"/>
          <w:sz w:val="28"/>
        </w:rPr>
        <w:t>пункте 3</w:t>
      </w:r>
      <w:r>
        <w:rPr>
          <w:rFonts w:ascii="Times New Roman"/>
          <w:b w:val="false"/>
          <w:i w:val="false"/>
          <w:color w:val="000000"/>
          <w:sz w:val="28"/>
        </w:rPr>
        <w:t xml:space="preserve"> слова «статье 2 Соглашения» заменить словами «пункте 2 Протокола»; </w:t>
      </w:r>
      <w:r>
        <w:br/>
      </w:r>
      <w:r>
        <w:rPr>
          <w:rFonts w:ascii="Times New Roman"/>
          <w:b w:val="false"/>
          <w:i w:val="false"/>
          <w:color w:val="000000"/>
          <w:sz w:val="28"/>
        </w:rPr>
        <w:t>
</w:t>
      </w:r>
      <w:r>
        <w:rPr>
          <w:rFonts w:ascii="Times New Roman"/>
          <w:b w:val="false"/>
          <w:i w:val="false"/>
          <w:color w:val="000000"/>
          <w:sz w:val="28"/>
        </w:rPr>
        <w:t>
      е)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«7. Размер максимального штрафа составляет:</w:t>
      </w:r>
      <w:r>
        <w:br/>
      </w:r>
      <w:r>
        <w:rPr>
          <w:rFonts w:ascii="Times New Roman"/>
          <w:b w:val="false"/>
          <w:i w:val="false"/>
          <w:color w:val="000000"/>
          <w:sz w:val="28"/>
        </w:rPr>
        <w:t>
</w:t>
      </w:r>
      <w:r>
        <w:rPr>
          <w:rFonts w:ascii="Times New Roman"/>
          <w:b w:val="false"/>
          <w:i w:val="false"/>
          <w:color w:val="000000"/>
          <w:sz w:val="28"/>
        </w:rPr>
        <w:t>
      а) за нарушения, предусмотренные подпунктом 1 пункта 16 Протокола: для должностных лиц и индивидуальных предпринимателей – 110 000 российских рублей, для юридических лиц – 1 000 000 российских рублей;</w:t>
      </w:r>
      <w:r>
        <w:br/>
      </w:r>
      <w:r>
        <w:rPr>
          <w:rFonts w:ascii="Times New Roman"/>
          <w:b w:val="false"/>
          <w:i w:val="false"/>
          <w:color w:val="000000"/>
          <w:sz w:val="28"/>
        </w:rPr>
        <w:t>
      б) за нарушения, предусмотренные подпунктом 2 пункта 16 Протокола: для должностных лиц и индивидуальных предпринимателей – 150 000 российских рублей, для юридических лиц – пятнадцать сотых размера суммы выручки правонарушителя от реализации товара (работы, услуги), на рынке которого совершено правонарушение, либо суммы расходов правонарушителя на приобретение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Если размер суммы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максимальный штраф составляет три сотых размера суммы выручки правонарушителя от реализации товара (работы, услуги), на рынке которого совершено правонарушение, либо размера суммы расходов правонарушителя на приобретение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w:t>
      </w:r>
      <w:r>
        <w:br/>
      </w:r>
      <w:r>
        <w:rPr>
          <w:rFonts w:ascii="Times New Roman"/>
          <w:b w:val="false"/>
          <w:i w:val="false"/>
          <w:color w:val="000000"/>
          <w:sz w:val="28"/>
        </w:rPr>
        <w:t>
      в) за нарушения, предусмотренные подпунктом 3 пункта 16 Протокола: для физических лиц – 75 000 российских рублей, для должностных лиц и индивидуальных предпринимателей – 150 000 российских рублей, для юридических лиц – 5 000 000 российских рублей;</w:t>
      </w:r>
      <w:r>
        <w:br/>
      </w:r>
      <w:r>
        <w:rPr>
          <w:rFonts w:ascii="Times New Roman"/>
          <w:b w:val="false"/>
          <w:i w:val="false"/>
          <w:color w:val="000000"/>
          <w:sz w:val="28"/>
        </w:rPr>
        <w:t>
      г) за нарушения, предусмотренные подпунктом 4 пункта 16 Протокола: для должностных лиц и индивидуальных предпринимателей – 150 000 российских рублей, для юридических лиц – пятнадцать сотых размера суммы выручки правонарушителя от реализации товара (работы, услуги), на рынке которого совершено правонарушение, либо суммы расходов правонарушителя на приобретение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Если размер суммы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максимальный штраф составляет три сотых размера суммы выручки правонарушителя от реализации товара (работы, услуги), на рынке которого совершено правонарушение, либо размера суммы расходов правонарушителя на приобретение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w:t>
      </w:r>
      <w:r>
        <w:br/>
      </w:r>
      <w:r>
        <w:rPr>
          <w:rFonts w:ascii="Times New Roman"/>
          <w:b w:val="false"/>
          <w:i w:val="false"/>
          <w:color w:val="000000"/>
          <w:sz w:val="28"/>
        </w:rPr>
        <w:t>
      д) за нарушения, предусмотренные подпунктом 5 пункта 16 Протокола: для физических лиц – 15 000 российских рублей, для должностных лиц и индивидуальных предпринимателей – 60 000 российских рублей, для юридических лиц – 1 000 000 российских рублей.</w:t>
      </w:r>
      <w:r>
        <w:br/>
      </w:r>
      <w:r>
        <w:rPr>
          <w:rFonts w:ascii="Times New Roman"/>
          <w:b w:val="false"/>
          <w:i w:val="false"/>
          <w:color w:val="000000"/>
          <w:sz w:val="28"/>
        </w:rPr>
        <w:t>
      8. Размер минимального штрафа составляет:</w:t>
      </w:r>
      <w:r>
        <w:br/>
      </w:r>
      <w:r>
        <w:rPr>
          <w:rFonts w:ascii="Times New Roman"/>
          <w:b w:val="false"/>
          <w:i w:val="false"/>
          <w:color w:val="000000"/>
          <w:sz w:val="28"/>
        </w:rPr>
        <w:t>
      а) за нарушения, предусмотренные подпунктом 1 пункта 16 Протокола: для должностных лиц и индивидуальных предпринимателей – 20 000 российских рублей, для юридических лиц – 100 000 российских рублей;</w:t>
      </w:r>
      <w:r>
        <w:br/>
      </w:r>
      <w:r>
        <w:rPr>
          <w:rFonts w:ascii="Times New Roman"/>
          <w:b w:val="false"/>
          <w:i w:val="false"/>
          <w:color w:val="000000"/>
          <w:sz w:val="28"/>
        </w:rPr>
        <w:t>
      б) за нарушения, предусмотренные подпунктом 2 пункта 16 Протокола: для должностных лиц и индивидуальных предпринимателей – 20 000 российских рублей, для юридических лиц – одна сотая размера суммы выручки правонарушителя от реализации товара (работы, услуги), на рынке которого совершено правонарушение, либо суммы расходов правонарушителя на приобретение товара (работы, услуги), на рынке которого совершено правонарушение, но не менее 100 000 российских рублей. Если размер суммы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минимальный штраф составляет три тысячных размера суммы выручки правонарушителя от реализации товара (работы, услуги), на рынке которого совершено правонарушение, либо размера суммы расходов правонарушителя на приобретение товара (работы, услуги), на рынке которого совершено правонарушение, но не менее 100 000 российских рублей;</w:t>
      </w:r>
      <w:r>
        <w:br/>
      </w:r>
      <w:r>
        <w:rPr>
          <w:rFonts w:ascii="Times New Roman"/>
          <w:b w:val="false"/>
          <w:i w:val="false"/>
          <w:color w:val="000000"/>
          <w:sz w:val="28"/>
        </w:rPr>
        <w:t>
      в) за нарушения, предусмотренные подпунктом 3 пункта 16 Протокола: для физических лиц – 20 000 российских рублей, для должностных лиц и индивидуальных предпринимателей – 20 000 российских рублей, для юридических лиц – 200 000 российских рублей;</w:t>
      </w:r>
      <w:r>
        <w:br/>
      </w:r>
      <w:r>
        <w:rPr>
          <w:rFonts w:ascii="Times New Roman"/>
          <w:b w:val="false"/>
          <w:i w:val="false"/>
          <w:color w:val="000000"/>
          <w:sz w:val="28"/>
        </w:rPr>
        <w:t>
      г) за нарушения, предусмотренные подпунктом 4 пункта 16 Протокола: для должностных лиц и индивидуальных предпринимателей – 20 000 российских рублей, для юридических лиц – одна сотая размера суммы выручки правонарушителя от реализации товара (работы, услуги), на рынке которого совершено правонарушение, либо суммы расходов правонарушителя на приобретение товара (работы, услуги), на рынке которого совершено правонарушение, но не менее 100 000 российских рублей. Если размер суммы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минимальный штраф составляет три тысячных размера суммы выручки правонарушителя от реализации товара (работы, услуги), на рынке которого совершено правонарушение, либо размера суммы расходов правонарушителя на приобретение товара (работы, услуги), на рынке которого совершено правонарушение, но не менее 100 000 российских рублей;</w:t>
      </w:r>
      <w:r>
        <w:br/>
      </w:r>
      <w:r>
        <w:rPr>
          <w:rFonts w:ascii="Times New Roman"/>
          <w:b w:val="false"/>
          <w:i w:val="false"/>
          <w:color w:val="000000"/>
          <w:sz w:val="28"/>
        </w:rPr>
        <w:t>
      д) за нарушения, предусмотренные подпунктом 5 пункта 16 Протокола: для физических лиц – 10 000 российских рублей, для должностных лиц и индивидуальных предпринимателей – 10 000 российских рублей, для юридических лиц – 150 000 российских рублей.»;</w:t>
      </w:r>
      <w:r>
        <w:br/>
      </w:r>
      <w:r>
        <w:rPr>
          <w:rFonts w:ascii="Times New Roman"/>
          <w:b w:val="false"/>
          <w:i w:val="false"/>
          <w:color w:val="000000"/>
          <w:sz w:val="28"/>
        </w:rPr>
        <w:t>
</w:t>
      </w:r>
      <w:r>
        <w:rPr>
          <w:rFonts w:ascii="Times New Roman"/>
          <w:b w:val="false"/>
          <w:i w:val="false"/>
          <w:color w:val="000000"/>
          <w:sz w:val="28"/>
        </w:rPr>
        <w:t>
      ж)в </w:t>
      </w:r>
      <w:r>
        <w:rPr>
          <w:rFonts w:ascii="Times New Roman"/>
          <w:b w:val="false"/>
          <w:i w:val="false"/>
          <w:color w:val="000000"/>
          <w:sz w:val="28"/>
        </w:rPr>
        <w:t>пункте 11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подпункте «а» слова «статьей 14 Соглашения» заменить словами «пунктом 16 Протокола»;</w:t>
      </w:r>
      <w:r>
        <w:br/>
      </w:r>
      <w:r>
        <w:rPr>
          <w:rFonts w:ascii="Times New Roman"/>
          <w:b w:val="false"/>
          <w:i w:val="false"/>
          <w:color w:val="000000"/>
          <w:sz w:val="28"/>
        </w:rPr>
        <w:t>
</w:t>
      </w:r>
      <w:r>
        <w:rPr>
          <w:rFonts w:ascii="Times New Roman"/>
          <w:b w:val="false"/>
          <w:i w:val="false"/>
          <w:color w:val="000000"/>
          <w:sz w:val="28"/>
        </w:rPr>
        <w:t>
      в подпункте «д» слова «пунктами статьи 14 Соглашения» заменить словами «подпунктами пункта 16 Протокола»;</w:t>
      </w:r>
      <w:r>
        <w:br/>
      </w:r>
      <w:r>
        <w:rPr>
          <w:rFonts w:ascii="Times New Roman"/>
          <w:b w:val="false"/>
          <w:i w:val="false"/>
          <w:color w:val="000000"/>
          <w:sz w:val="28"/>
        </w:rPr>
        <w:t>
</w:t>
      </w:r>
      <w:r>
        <w:rPr>
          <w:rFonts w:ascii="Times New Roman"/>
          <w:b w:val="false"/>
          <w:i w:val="false"/>
          <w:color w:val="000000"/>
          <w:sz w:val="28"/>
        </w:rPr>
        <w:t>
      з)в </w:t>
      </w:r>
      <w:r>
        <w:rPr>
          <w:rFonts w:ascii="Times New Roman"/>
          <w:b w:val="false"/>
          <w:i w:val="false"/>
          <w:color w:val="000000"/>
          <w:sz w:val="28"/>
        </w:rPr>
        <w:t>пункте 14</w:t>
      </w:r>
      <w:r>
        <w:rPr>
          <w:rFonts w:ascii="Times New Roman"/>
          <w:b w:val="false"/>
          <w:i w:val="false"/>
          <w:color w:val="000000"/>
          <w:sz w:val="28"/>
        </w:rPr>
        <w:t xml:space="preserve"> слова «считается подвергнутым» заменить словами «, должностное лицо, индивидуальный предприниматель или физическое лицо считаются подвергнутыми»; </w:t>
      </w:r>
      <w:r>
        <w:br/>
      </w:r>
      <w:r>
        <w:rPr>
          <w:rFonts w:ascii="Times New Roman"/>
          <w:b w:val="false"/>
          <w:i w:val="false"/>
          <w:color w:val="000000"/>
          <w:sz w:val="28"/>
        </w:rPr>
        <w:t>
</w:t>
      </w:r>
      <w:r>
        <w:rPr>
          <w:rFonts w:ascii="Times New Roman"/>
          <w:b w:val="false"/>
          <w:i w:val="false"/>
          <w:color w:val="000000"/>
          <w:sz w:val="28"/>
        </w:rPr>
        <w:t>
      и)в подпункте «д» </w:t>
      </w:r>
      <w:r>
        <w:rPr>
          <w:rFonts w:ascii="Times New Roman"/>
          <w:b w:val="false"/>
          <w:i w:val="false"/>
          <w:color w:val="000000"/>
          <w:sz w:val="28"/>
        </w:rPr>
        <w:t>пункта 15</w:t>
      </w:r>
      <w:r>
        <w:rPr>
          <w:rFonts w:ascii="Times New Roman"/>
          <w:b w:val="false"/>
          <w:i w:val="false"/>
          <w:color w:val="000000"/>
          <w:sz w:val="28"/>
        </w:rPr>
        <w:t xml:space="preserve"> слова «со статьей 14 Соглашения» заменить словами «с </w:t>
      </w:r>
      <w:r>
        <w:rPr>
          <w:rFonts w:ascii="Times New Roman"/>
          <w:b w:val="false"/>
          <w:i w:val="false"/>
          <w:color w:val="000000"/>
          <w:sz w:val="28"/>
        </w:rPr>
        <w:t>пунктом 16</w:t>
      </w:r>
      <w:r>
        <w:rPr>
          <w:rFonts w:ascii="Times New Roman"/>
          <w:b w:val="false"/>
          <w:i w:val="false"/>
          <w:color w:val="000000"/>
          <w:sz w:val="28"/>
        </w:rPr>
        <w:t xml:space="preserve"> Протокола»; </w:t>
      </w:r>
      <w:r>
        <w:br/>
      </w:r>
      <w:r>
        <w:rPr>
          <w:rFonts w:ascii="Times New Roman"/>
          <w:b w:val="false"/>
          <w:i w:val="false"/>
          <w:color w:val="000000"/>
          <w:sz w:val="28"/>
        </w:rPr>
        <w:t>
</w:t>
      </w:r>
      <w:r>
        <w:rPr>
          <w:rFonts w:ascii="Times New Roman"/>
          <w:b w:val="false"/>
          <w:i w:val="false"/>
          <w:color w:val="000000"/>
          <w:sz w:val="28"/>
        </w:rPr>
        <w:t>
      к)в </w:t>
      </w:r>
      <w:r>
        <w:rPr>
          <w:rFonts w:ascii="Times New Roman"/>
          <w:b w:val="false"/>
          <w:i w:val="false"/>
          <w:color w:val="000000"/>
          <w:sz w:val="28"/>
        </w:rPr>
        <w:t>пункте 16</w:t>
      </w:r>
      <w:r>
        <w:rPr>
          <w:rFonts w:ascii="Times New Roman"/>
          <w:b w:val="false"/>
          <w:i w:val="false"/>
          <w:color w:val="000000"/>
          <w:sz w:val="28"/>
        </w:rPr>
        <w:t xml:space="preserve"> слова «в связи с запросом комиссии по рассмотрению дела о нарушении правил конкуренции» исключить; </w:t>
      </w:r>
      <w:r>
        <w:br/>
      </w:r>
      <w:r>
        <w:rPr>
          <w:rFonts w:ascii="Times New Roman"/>
          <w:b w:val="false"/>
          <w:i w:val="false"/>
          <w:color w:val="000000"/>
          <w:sz w:val="28"/>
        </w:rPr>
        <w:t>
</w:t>
      </w:r>
      <w:r>
        <w:rPr>
          <w:rFonts w:ascii="Times New Roman"/>
          <w:b w:val="false"/>
          <w:i w:val="false"/>
          <w:color w:val="000000"/>
          <w:sz w:val="28"/>
        </w:rPr>
        <w:t>
      л)в </w:t>
      </w:r>
      <w:r>
        <w:rPr>
          <w:rFonts w:ascii="Times New Roman"/>
          <w:b w:val="false"/>
          <w:i w:val="false"/>
          <w:color w:val="000000"/>
          <w:sz w:val="28"/>
        </w:rPr>
        <w:t>пункте 17</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абзац первый перед словом «принимается» дополнить словами «в связи с запросом по рассмотрению дела о нарушении»;</w:t>
      </w:r>
      <w:r>
        <w:br/>
      </w:r>
      <w:r>
        <w:rPr>
          <w:rFonts w:ascii="Times New Roman"/>
          <w:b w:val="false"/>
          <w:i w:val="false"/>
          <w:color w:val="000000"/>
          <w:sz w:val="28"/>
        </w:rPr>
        <w:t>
</w:t>
      </w:r>
      <w:r>
        <w:rPr>
          <w:rFonts w:ascii="Times New Roman"/>
          <w:b w:val="false"/>
          <w:i w:val="false"/>
          <w:color w:val="000000"/>
          <w:sz w:val="28"/>
        </w:rPr>
        <w:t>
      подпункты «а» и «б» изложить в следующей редакции:</w:t>
      </w:r>
      <w:r>
        <w:br/>
      </w:r>
      <w:r>
        <w:rPr>
          <w:rFonts w:ascii="Times New Roman"/>
          <w:b w:val="false"/>
          <w:i w:val="false"/>
          <w:color w:val="000000"/>
          <w:sz w:val="28"/>
        </w:rPr>
        <w:t>
      «а) уполномоченное структурное подразделение Комиссии, в компетенцию которого входят проведение расследований и подготовка материалов дел о нарушении и которое выявило факт непредставления или несвоевременного представления в Комиссию сведений (информации), предусмотренных разделом XVIII Договора и Протоколом, в том числе факт непредставления сведений (информации) по требованию Комиссии, а равно факт представления в Комиссию заведомо недостоверных сведений (информации), готовит служебную записку на имя курирующего это структурное подразделение члена Коллегии Комиссии;</w:t>
      </w:r>
      <w:r>
        <w:br/>
      </w:r>
      <w:r>
        <w:rPr>
          <w:rFonts w:ascii="Times New Roman"/>
          <w:b w:val="false"/>
          <w:i w:val="false"/>
          <w:color w:val="000000"/>
          <w:sz w:val="28"/>
        </w:rPr>
        <w:t>
      б) подготовка проекта решения Коллегии Комиссии о наложении штрафа за непредставление или несвоевременное представление в Комиссию сведений (информации), предусмотренных разделом XVIII Договора и Протоколом, в том числе за непредставление сведений (информации) по требованию Комиссии, а равно за представление в Комиссию заведомо недостоверных сведений (информации) осуществляется комиссией по рассмотрению соответствующего дела, создаваемой и действующей по правилам, установленным для комиссии по рассмотрению дела о нарушении в соответствии с Порядком рассмотрения дел о нарушении правил конкуренции,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2012 г. № 99;»;</w:t>
      </w:r>
      <w:r>
        <w:br/>
      </w:r>
      <w:r>
        <w:rPr>
          <w:rFonts w:ascii="Times New Roman"/>
          <w:b w:val="false"/>
          <w:i w:val="false"/>
          <w:color w:val="000000"/>
          <w:sz w:val="28"/>
        </w:rPr>
        <w:t>
</w:t>
      </w:r>
      <w:r>
        <w:rPr>
          <w:rFonts w:ascii="Times New Roman"/>
          <w:b w:val="false"/>
          <w:i w:val="false"/>
          <w:color w:val="000000"/>
          <w:sz w:val="28"/>
        </w:rPr>
        <w:t>
      м) в </w:t>
      </w:r>
      <w:r>
        <w:rPr>
          <w:rFonts w:ascii="Times New Roman"/>
          <w:b w:val="false"/>
          <w:i w:val="false"/>
          <w:color w:val="000000"/>
          <w:sz w:val="28"/>
        </w:rPr>
        <w:t>пункте 18</w:t>
      </w:r>
      <w:r>
        <w:rPr>
          <w:rFonts w:ascii="Times New Roman"/>
          <w:b w:val="false"/>
          <w:i w:val="false"/>
          <w:color w:val="000000"/>
          <w:sz w:val="28"/>
        </w:rPr>
        <w:t xml:space="preserve"> слова «в соответствии с Регламентом работы Евразийской экономической комиссии, утвержденным Решением Высшего Евразийского экономического совета от 18 ноября 2011 г. № 1,» исключить; </w:t>
      </w:r>
      <w:r>
        <w:br/>
      </w:r>
      <w:r>
        <w:rPr>
          <w:rFonts w:ascii="Times New Roman"/>
          <w:b w:val="false"/>
          <w:i w:val="false"/>
          <w:color w:val="000000"/>
          <w:sz w:val="28"/>
        </w:rPr>
        <w:t>
</w:t>
      </w:r>
      <w:r>
        <w:rPr>
          <w:rFonts w:ascii="Times New Roman"/>
          <w:b w:val="false"/>
          <w:i w:val="false"/>
          <w:color w:val="000000"/>
          <w:sz w:val="28"/>
        </w:rPr>
        <w:t>
      н) в </w:t>
      </w:r>
      <w:r>
        <w:rPr>
          <w:rFonts w:ascii="Times New Roman"/>
          <w:b w:val="false"/>
          <w:i w:val="false"/>
          <w:color w:val="000000"/>
          <w:sz w:val="28"/>
        </w:rPr>
        <w:t>пункте 19</w:t>
      </w:r>
      <w:r>
        <w:rPr>
          <w:rFonts w:ascii="Times New Roman"/>
          <w:b w:val="false"/>
          <w:i w:val="false"/>
          <w:color w:val="000000"/>
          <w:sz w:val="28"/>
        </w:rPr>
        <w:t xml:space="preserve"> слова «Соответствующий национальный орган» заменить словом «Орган»; </w:t>
      </w:r>
      <w:r>
        <w:br/>
      </w:r>
      <w:r>
        <w:rPr>
          <w:rFonts w:ascii="Times New Roman"/>
          <w:b w:val="false"/>
          <w:i w:val="false"/>
          <w:color w:val="000000"/>
          <w:sz w:val="28"/>
        </w:rPr>
        <w:t>
</w:t>
      </w:r>
      <w:r>
        <w:rPr>
          <w:rFonts w:ascii="Times New Roman"/>
          <w:b w:val="false"/>
          <w:i w:val="false"/>
          <w:color w:val="000000"/>
          <w:sz w:val="28"/>
        </w:rPr>
        <w:t>
      о) в </w:t>
      </w:r>
      <w:r>
        <w:rPr>
          <w:rFonts w:ascii="Times New Roman"/>
          <w:b w:val="false"/>
          <w:i w:val="false"/>
          <w:color w:val="000000"/>
          <w:sz w:val="28"/>
        </w:rPr>
        <w:t>приложении № 1</w:t>
      </w:r>
      <w:r>
        <w:rPr>
          <w:rFonts w:ascii="Times New Roman"/>
          <w:b w:val="false"/>
          <w:i w:val="false"/>
          <w:color w:val="000000"/>
          <w:sz w:val="28"/>
        </w:rPr>
        <w:t xml:space="preserve"> к указанным Методике и порядку:</w:t>
      </w:r>
      <w:r>
        <w:br/>
      </w:r>
      <w:r>
        <w:rPr>
          <w:rFonts w:ascii="Times New Roman"/>
          <w:b w:val="false"/>
          <w:i w:val="false"/>
          <w:color w:val="000000"/>
          <w:sz w:val="28"/>
        </w:rPr>
        <w:t>
</w:t>
      </w:r>
      <w:r>
        <w:rPr>
          <w:rFonts w:ascii="Times New Roman"/>
          <w:b w:val="false"/>
          <w:i w:val="false"/>
          <w:color w:val="000000"/>
          <w:sz w:val="28"/>
        </w:rPr>
        <w:t>
      в нумерационном заголовке слова «, предусмотренных Соглашением о единых принципах и правилах конкуренции» заменить словами «за нарушение общих правил конкуренции на трансграничных рынках»;</w:t>
      </w:r>
      <w:r>
        <w:br/>
      </w:r>
      <w:r>
        <w:rPr>
          <w:rFonts w:ascii="Times New Roman"/>
          <w:b w:val="false"/>
          <w:i w:val="false"/>
          <w:color w:val="000000"/>
          <w:sz w:val="28"/>
        </w:rPr>
        <w:t>
</w:t>
      </w:r>
      <w:r>
        <w:rPr>
          <w:rFonts w:ascii="Times New Roman"/>
          <w:b w:val="false"/>
          <w:i w:val="false"/>
          <w:color w:val="000000"/>
          <w:sz w:val="28"/>
        </w:rPr>
        <w:t>
      в наименовании слова «штрафа за нарушение правил конкуренции, предусмотренных статьей 14 Соглашения о единых принципах и правилах конкуренции» заменить словами «штрафов за нарушение общих правил конкуренции на трансграничных рынках»;</w:t>
      </w:r>
      <w:r>
        <w:br/>
      </w:r>
      <w:r>
        <w:rPr>
          <w:rFonts w:ascii="Times New Roman"/>
          <w:b w:val="false"/>
          <w:i w:val="false"/>
          <w:color w:val="000000"/>
          <w:sz w:val="28"/>
        </w:rPr>
        <w:t>
</w:t>
      </w:r>
      <w:r>
        <w:rPr>
          <w:rFonts w:ascii="Times New Roman"/>
          <w:b w:val="false"/>
          <w:i w:val="false"/>
          <w:color w:val="000000"/>
          <w:sz w:val="28"/>
        </w:rPr>
        <w:t>
      по тексту слова «части 2 статьи 14 Соглашения» заменить словами «подпункта 2 пункта 16 Протокола»;</w:t>
      </w:r>
      <w:r>
        <w:br/>
      </w:r>
      <w:r>
        <w:rPr>
          <w:rFonts w:ascii="Times New Roman"/>
          <w:b w:val="false"/>
          <w:i w:val="false"/>
          <w:color w:val="000000"/>
          <w:sz w:val="28"/>
        </w:rPr>
        <w:t>
</w:t>
      </w:r>
      <w:r>
        <w:rPr>
          <w:rFonts w:ascii="Times New Roman"/>
          <w:b w:val="false"/>
          <w:i w:val="false"/>
          <w:color w:val="000000"/>
          <w:sz w:val="28"/>
        </w:rPr>
        <w:t>
      в разделе «Обстоятельства, смягчающие ответственность»:</w:t>
      </w:r>
      <w:r>
        <w:br/>
      </w:r>
      <w:r>
        <w:rPr>
          <w:rFonts w:ascii="Times New Roman"/>
          <w:b w:val="false"/>
          <w:i w:val="false"/>
          <w:color w:val="000000"/>
          <w:sz w:val="28"/>
        </w:rPr>
        <w:t>
</w:t>
      </w:r>
      <w:r>
        <w:rPr>
          <w:rFonts w:ascii="Times New Roman"/>
          <w:b w:val="false"/>
          <w:i w:val="false"/>
          <w:color w:val="000000"/>
          <w:sz w:val="28"/>
        </w:rPr>
        <w:t>
      по тексту слова «юридическое лицо, нарушившее правила конкуренции,» в соответствующем падеже заменить словом «правонарушитель» в соответствующем падеже;</w:t>
      </w:r>
      <w:r>
        <w:br/>
      </w:r>
      <w:r>
        <w:rPr>
          <w:rFonts w:ascii="Times New Roman"/>
          <w:b w:val="false"/>
          <w:i w:val="false"/>
          <w:color w:val="000000"/>
          <w:sz w:val="28"/>
        </w:rPr>
        <w:t>
</w:t>
      </w:r>
      <w:r>
        <w:rPr>
          <w:rFonts w:ascii="Times New Roman"/>
          <w:b w:val="false"/>
          <w:i w:val="false"/>
          <w:color w:val="000000"/>
          <w:sz w:val="28"/>
        </w:rPr>
        <w:t>
      позицию 1 в графе первой изложить в следующей редакции:</w:t>
      </w:r>
      <w:r>
        <w:br/>
      </w:r>
      <w:r>
        <w:rPr>
          <w:rFonts w:ascii="Times New Roman"/>
          <w:b w:val="false"/>
          <w:i w:val="false"/>
          <w:color w:val="000000"/>
          <w:sz w:val="28"/>
        </w:rPr>
        <w:t>
      «1. Добровольное прекращение нарушения общих правил конкуренции на трансграничных рынках юридическим лицом, должностным лицом, индивидуальным предпринимателем или физическом лицом, признанными Евразийской экономической комиссией (далее – Комиссия) в соответствии с Порядком рассмотрения дел о нарушении правил конкуренции,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2012 г. № 99, нарушившими общие правила конкуренции на трансграничных рынках, предусмотренные </w:t>
      </w:r>
      <w:r>
        <w:rPr>
          <w:rFonts w:ascii="Times New Roman"/>
          <w:b w:val="false"/>
          <w:i w:val="false"/>
          <w:color w:val="000000"/>
          <w:sz w:val="28"/>
        </w:rPr>
        <w:t>статьей 76</w:t>
      </w:r>
      <w:r>
        <w:rPr>
          <w:rFonts w:ascii="Times New Roman"/>
          <w:b w:val="false"/>
          <w:i w:val="false"/>
          <w:color w:val="000000"/>
          <w:sz w:val="28"/>
        </w:rPr>
        <w:t xml:space="preserve"> Договора о Евразийском экономическом союзе от 29 мая 2014 года (далее – Договор), а также не представившими или несвоевременно представившими в Комиссию сведения (информацию), предусмотренные разделом XVIII Договора и </w:t>
      </w:r>
      <w:r>
        <w:rPr>
          <w:rFonts w:ascii="Times New Roman"/>
          <w:b w:val="false"/>
          <w:i w:val="false"/>
          <w:color w:val="000000"/>
          <w:sz w:val="28"/>
        </w:rPr>
        <w:t>Протоколом</w:t>
      </w:r>
      <w:r>
        <w:rPr>
          <w:rFonts w:ascii="Times New Roman"/>
          <w:b w:val="false"/>
          <w:i w:val="false"/>
          <w:color w:val="000000"/>
          <w:sz w:val="28"/>
        </w:rPr>
        <w:t xml:space="preserve"> об общих принципах и правилах конкуренции (приложение № 19 к Договору) (далее – Протокол), в том числе не представившими сведения (информацию) по требованию Комиссии, а равно представившими в Комиссию заведомо недостоверные сведения (информацию) (далее – правонарушители)»;</w:t>
      </w:r>
      <w:r>
        <w:br/>
      </w:r>
      <w:r>
        <w:rPr>
          <w:rFonts w:ascii="Times New Roman"/>
          <w:b w:val="false"/>
          <w:i w:val="false"/>
          <w:color w:val="000000"/>
          <w:sz w:val="28"/>
        </w:rPr>
        <w:t>
</w:t>
      </w:r>
      <w:r>
        <w:rPr>
          <w:rFonts w:ascii="Times New Roman"/>
          <w:b w:val="false"/>
          <w:i w:val="false"/>
          <w:color w:val="000000"/>
          <w:sz w:val="28"/>
        </w:rPr>
        <w:t>
      в позиции 2 слова «юридическим лицом, нарушившим правила конкуренции» заменить словом «правонарушителем»;</w:t>
      </w:r>
      <w:r>
        <w:br/>
      </w:r>
      <w:r>
        <w:rPr>
          <w:rFonts w:ascii="Times New Roman"/>
          <w:b w:val="false"/>
          <w:i w:val="false"/>
          <w:color w:val="000000"/>
          <w:sz w:val="28"/>
        </w:rPr>
        <w:t>
</w:t>
      </w:r>
      <w:r>
        <w:rPr>
          <w:rFonts w:ascii="Times New Roman"/>
          <w:b w:val="false"/>
          <w:i w:val="false"/>
          <w:color w:val="000000"/>
          <w:sz w:val="28"/>
        </w:rPr>
        <w:t>
      позицию 3 изложить в следующей редакции:</w:t>
      </w:r>
    </w:p>
    <w:bookmarkEnd w:id="3"/>
    <w:tbl>
      <w:tblPr>
        <w:tblW w:w="0" w:type="auto"/>
        <w:tblCellSpacing w:w="0" w:type="auto"/>
        <w:tblBorders>
          <w:top w:val="none"/>
          <w:left w:val="none"/>
          <w:bottom w:val="none"/>
          <w:right w:val="none"/>
          <w:insideH w:val="none"/>
          <w:insideV w:val="none"/>
        </w:tblBorders>
      </w:tblPr>
      <w:tblGrid>
        <w:gridCol w:w="6643"/>
        <w:gridCol w:w="936"/>
        <w:gridCol w:w="6421"/>
      </w:tblGrid>
      <w:tr>
        <w:trPr>
          <w:trHeight w:val="3870" w:hRule="atLeast"/>
        </w:trPr>
        <w:tc>
          <w:tcPr>
            <w:tcW w:w="6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Добровольное сообщение </w:t>
            </w:r>
            <w:r>
              <w:br/>
            </w:r>
            <w:r>
              <w:rPr>
                <w:rFonts w:ascii="Times New Roman"/>
                <w:b w:val="false"/>
                <w:i w:val="false"/>
                <w:color w:val="000000"/>
                <w:sz w:val="20"/>
              </w:rPr>
              <w:t xml:space="preserve">
о нарушении правонарушителем общих правил конкуренции </w:t>
            </w:r>
            <w:r>
              <w:br/>
            </w:r>
            <w:r>
              <w:rPr>
                <w:rFonts w:ascii="Times New Roman"/>
                <w:b w:val="false"/>
                <w:i w:val="false"/>
                <w:color w:val="000000"/>
                <w:sz w:val="20"/>
              </w:rPr>
              <w:t xml:space="preserve">
на трансграничном рынке </w:t>
            </w:r>
            <w:r>
              <w:br/>
            </w:r>
            <w:r>
              <w:rPr>
                <w:rFonts w:ascii="Times New Roman"/>
                <w:b w:val="false"/>
                <w:i w:val="false"/>
                <w:color w:val="000000"/>
                <w:sz w:val="20"/>
              </w:rPr>
              <w:t xml:space="preserve">
в Комиссию и (или) уполномоченный орган государства – члена Евразийского экономического союза в соответствии с Протоколом </w:t>
            </w:r>
          </w:p>
        </w:tc>
        <w:tc>
          <w:tcPr>
            <w:tcW w:w="9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правонарушитель, добровольно сообщивший о заключении </w:t>
            </w:r>
            <w:r>
              <w:br/>
            </w:r>
            <w:r>
              <w:rPr>
                <w:rFonts w:ascii="Times New Roman"/>
                <w:b w:val="false"/>
                <w:i w:val="false"/>
                <w:color w:val="000000"/>
                <w:sz w:val="20"/>
              </w:rPr>
              <w:t>
им соглашения, недопустимого в соответствии со </w:t>
            </w:r>
            <w:r>
              <w:rPr>
                <w:rFonts w:ascii="Times New Roman"/>
                <w:b w:val="false"/>
                <w:i w:val="false"/>
                <w:color w:val="000000"/>
                <w:sz w:val="20"/>
              </w:rPr>
              <w:t>статьей 76</w:t>
            </w:r>
            <w:r>
              <w:rPr>
                <w:rFonts w:ascii="Times New Roman"/>
                <w:b w:val="false"/>
                <w:i w:val="false"/>
                <w:color w:val="000000"/>
                <w:sz w:val="20"/>
              </w:rPr>
              <w:t xml:space="preserve"> Договора, освобождается от ответственности за правонарушения, предусмотренные подпунктом 2 пункта 16 Протокола, в порядке, предусмотренном пунктом 19 Протокола»;</w:t>
            </w:r>
          </w:p>
        </w:tc>
      </w:tr>
    </w:tbl>
    <w:bookmarkStart w:name="z37" w:id="4"/>
    <w:p>
      <w:pPr>
        <w:spacing w:after="0"/>
        <w:ind w:left="0"/>
        <w:jc w:val="both"/>
      </w:pPr>
      <w:r>
        <w:rPr>
          <w:rFonts w:ascii="Times New Roman"/>
          <w:b w:val="false"/>
          <w:i w:val="false"/>
          <w:color w:val="000000"/>
          <w:sz w:val="28"/>
        </w:rPr>
        <w:t>
      в позиции 5 слово «такого» исключить;</w:t>
      </w:r>
      <w:r>
        <w:br/>
      </w:r>
      <w:r>
        <w:rPr>
          <w:rFonts w:ascii="Times New Roman"/>
          <w:b w:val="false"/>
          <w:i w:val="false"/>
          <w:color w:val="000000"/>
          <w:sz w:val="28"/>
        </w:rPr>
        <w:t>
</w:t>
      </w:r>
      <w:r>
        <w:rPr>
          <w:rFonts w:ascii="Times New Roman"/>
          <w:b w:val="false"/>
          <w:i w:val="false"/>
          <w:color w:val="000000"/>
          <w:sz w:val="28"/>
        </w:rPr>
        <w:t>
      в позициях 7 и 8 слово «приступило» заменить словом «приступил»;</w:t>
      </w:r>
      <w:r>
        <w:br/>
      </w:r>
      <w:r>
        <w:rPr>
          <w:rFonts w:ascii="Times New Roman"/>
          <w:b w:val="false"/>
          <w:i w:val="false"/>
          <w:color w:val="000000"/>
          <w:sz w:val="28"/>
        </w:rPr>
        <w:t>
</w:t>
      </w:r>
      <w:r>
        <w:rPr>
          <w:rFonts w:ascii="Times New Roman"/>
          <w:b w:val="false"/>
          <w:i w:val="false"/>
          <w:color w:val="000000"/>
          <w:sz w:val="28"/>
        </w:rPr>
        <w:t>
      в разделе «Обстоятельства, отягчающие ответственность»:</w:t>
      </w:r>
      <w:r>
        <w:br/>
      </w:r>
      <w:r>
        <w:rPr>
          <w:rFonts w:ascii="Times New Roman"/>
          <w:b w:val="false"/>
          <w:i w:val="false"/>
          <w:color w:val="000000"/>
          <w:sz w:val="28"/>
        </w:rPr>
        <w:t>
</w:t>
      </w:r>
      <w:r>
        <w:rPr>
          <w:rFonts w:ascii="Times New Roman"/>
          <w:b w:val="false"/>
          <w:i w:val="false"/>
          <w:color w:val="000000"/>
          <w:sz w:val="28"/>
        </w:rPr>
        <w:t>
      по тексту слова «юридическим лицом» заменить словом «правонарушителем»;</w:t>
      </w:r>
      <w:r>
        <w:br/>
      </w:r>
      <w:r>
        <w:rPr>
          <w:rFonts w:ascii="Times New Roman"/>
          <w:b w:val="false"/>
          <w:i w:val="false"/>
          <w:color w:val="000000"/>
          <w:sz w:val="28"/>
        </w:rPr>
        <w:t>
      позицию 1 в графе первой изложить в следующей редакции:</w:t>
      </w:r>
      <w:r>
        <w:br/>
      </w:r>
      <w:r>
        <w:rPr>
          <w:rFonts w:ascii="Times New Roman"/>
          <w:b w:val="false"/>
          <w:i w:val="false"/>
          <w:color w:val="000000"/>
          <w:sz w:val="28"/>
        </w:rPr>
        <w:t>
      «1. Повторное нарушение общих правил конкуренции на трансграничных рынках, если за совершение первого нарушения к правонарушителю уже была применена мера ответственности в виде штрафа в течение 1 года с даты окончания исполнения решения о назначении наказания»;</w:t>
      </w:r>
      <w:r>
        <w:br/>
      </w:r>
      <w:r>
        <w:rPr>
          <w:rFonts w:ascii="Times New Roman"/>
          <w:b w:val="false"/>
          <w:i w:val="false"/>
          <w:color w:val="000000"/>
          <w:sz w:val="28"/>
        </w:rPr>
        <w:t>
</w:t>
      </w:r>
      <w:r>
        <w:rPr>
          <w:rFonts w:ascii="Times New Roman"/>
          <w:b w:val="false"/>
          <w:i w:val="false"/>
          <w:color w:val="000000"/>
          <w:sz w:val="28"/>
        </w:rPr>
        <w:t>
      п) </w:t>
      </w:r>
      <w:r>
        <w:rPr>
          <w:rFonts w:ascii="Times New Roman"/>
          <w:b w:val="false"/>
          <w:i w:val="false"/>
          <w:color w:val="000000"/>
          <w:sz w:val="28"/>
        </w:rPr>
        <w:t>приложение № 2</w:t>
      </w:r>
      <w:r>
        <w:rPr>
          <w:rFonts w:ascii="Times New Roman"/>
          <w:b w:val="false"/>
          <w:i w:val="false"/>
          <w:color w:val="000000"/>
          <w:sz w:val="28"/>
        </w:rPr>
        <w:t xml:space="preserve"> к указанным Методике и порядку изложить в следующей редакции: </w:t>
      </w:r>
    </w:p>
    <w:bookmarkEnd w:id="4"/>
    <w:bookmarkStart w:name="z8" w:id="5"/>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Методике расчета и порядку      </w:t>
      </w:r>
      <w:r>
        <w:br/>
      </w:r>
      <w:r>
        <w:rPr>
          <w:rFonts w:ascii="Times New Roman"/>
          <w:b w:val="false"/>
          <w:i w:val="false"/>
          <w:color w:val="000000"/>
          <w:sz w:val="28"/>
        </w:rPr>
        <w:t>
наложения штрафов за нарушение общих</w:t>
      </w:r>
      <w:r>
        <w:br/>
      </w:r>
      <w:r>
        <w:rPr>
          <w:rFonts w:ascii="Times New Roman"/>
          <w:b w:val="false"/>
          <w:i w:val="false"/>
          <w:color w:val="000000"/>
          <w:sz w:val="28"/>
        </w:rPr>
        <w:t>
правил конкуренции на трансграничных рынках</w:t>
      </w:r>
    </w:p>
    <w:bookmarkEnd w:id="5"/>
    <w:bookmarkStart w:name="z9" w:id="6"/>
    <w:p>
      <w:pPr>
        <w:spacing w:after="0"/>
        <w:ind w:left="0"/>
        <w:jc w:val="left"/>
      </w:pPr>
      <w:r>
        <w:rPr>
          <w:rFonts w:ascii="Times New Roman"/>
          <w:b/>
          <w:i w:val="false"/>
          <w:color w:val="000000"/>
        </w:rPr>
        <w:t xml:space="preserve"> 
ПЕРЕЧЕНЬ</w:t>
      </w:r>
      <w:r>
        <w:br/>
      </w:r>
      <w:r>
        <w:rPr>
          <w:rFonts w:ascii="Times New Roman"/>
          <w:b/>
          <w:i w:val="false"/>
          <w:color w:val="000000"/>
        </w:rPr>
        <w:t>
обстоятельств, смягчающих ответственность,</w:t>
      </w:r>
      <w:r>
        <w:br/>
      </w:r>
      <w:r>
        <w:rPr>
          <w:rFonts w:ascii="Times New Roman"/>
          <w:b/>
          <w:i w:val="false"/>
          <w:color w:val="000000"/>
        </w:rPr>
        <w:t>
и обстоятельств, отягчающих ответственность, учитываемых при</w:t>
      </w:r>
      <w:r>
        <w:br/>
      </w:r>
      <w:r>
        <w:rPr>
          <w:rFonts w:ascii="Times New Roman"/>
          <w:b/>
          <w:i w:val="false"/>
          <w:color w:val="000000"/>
        </w:rPr>
        <w:t>
расчете размера штрафов за непредставление или несвоевременное</w:t>
      </w:r>
      <w:r>
        <w:br/>
      </w:r>
      <w:r>
        <w:rPr>
          <w:rFonts w:ascii="Times New Roman"/>
          <w:b/>
          <w:i w:val="false"/>
          <w:color w:val="000000"/>
        </w:rPr>
        <w:t>
представление в Евразийскую экономическую комиссию сведений</w:t>
      </w:r>
      <w:r>
        <w:br/>
      </w:r>
      <w:r>
        <w:rPr>
          <w:rFonts w:ascii="Times New Roman"/>
          <w:b/>
          <w:i w:val="false"/>
          <w:color w:val="000000"/>
        </w:rPr>
        <w:t>
(информации), предусмотренных разделом XVIII Договора о</w:t>
      </w:r>
      <w:r>
        <w:br/>
      </w:r>
      <w:r>
        <w:rPr>
          <w:rFonts w:ascii="Times New Roman"/>
          <w:b/>
          <w:i w:val="false"/>
          <w:color w:val="000000"/>
        </w:rPr>
        <w:t>
Евразийском экономическом союзе от 29 мая 2014 года и</w:t>
      </w:r>
      <w:r>
        <w:br/>
      </w:r>
      <w:r>
        <w:rPr>
          <w:rFonts w:ascii="Times New Roman"/>
          <w:b/>
          <w:i w:val="false"/>
          <w:color w:val="000000"/>
        </w:rPr>
        <w:t>
Протоколом об общих принципах и правилах конкуренции</w:t>
      </w:r>
      <w:r>
        <w:br/>
      </w:r>
      <w:r>
        <w:rPr>
          <w:rFonts w:ascii="Times New Roman"/>
          <w:b/>
          <w:i w:val="false"/>
          <w:color w:val="000000"/>
        </w:rPr>
        <w:t>
(приложение № 19 к указанному Договору), в том числе за</w:t>
      </w:r>
      <w:r>
        <w:br/>
      </w:r>
      <w:r>
        <w:rPr>
          <w:rFonts w:ascii="Times New Roman"/>
          <w:b/>
          <w:i w:val="false"/>
          <w:color w:val="000000"/>
        </w:rPr>
        <w:t>
непредставление сведений (информации) по требованию Комиссии,</w:t>
      </w:r>
      <w:r>
        <w:br/>
      </w:r>
      <w:r>
        <w:rPr>
          <w:rFonts w:ascii="Times New Roman"/>
          <w:b/>
          <w:i w:val="false"/>
          <w:color w:val="000000"/>
        </w:rPr>
        <w:t>
а равно за представление в Комиссию заведомо недостоверных</w:t>
      </w:r>
      <w:r>
        <w:br/>
      </w:r>
      <w:r>
        <w:rPr>
          <w:rFonts w:ascii="Times New Roman"/>
          <w:b/>
          <w:i w:val="false"/>
          <w:color w:val="000000"/>
        </w:rPr>
        <w:t>
сведений (информации), предусмотренных подпунктом 5 пункта 16</w:t>
      </w:r>
      <w:r>
        <w:br/>
      </w:r>
      <w:r>
        <w:rPr>
          <w:rFonts w:ascii="Times New Roman"/>
          <w:b/>
          <w:i w:val="false"/>
          <w:color w:val="000000"/>
        </w:rPr>
        <w:t>
указанного Протокола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6"/>
        <w:gridCol w:w="3614"/>
      </w:tblGrid>
      <w:tr>
        <w:trPr>
          <w:trHeight w:val="30" w:hRule="atLeast"/>
        </w:trPr>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Весовой коэффициент</w:t>
            </w:r>
          </w:p>
        </w:tc>
      </w:tr>
    </w:tbl>
    <w:tbl>
      <w:tblPr>
        <w:tblW w:w="0" w:type="auto"/>
        <w:tblCellSpacing w:w="0" w:type="auto"/>
        <w:tblBorders>
          <w:top w:val="none"/>
          <w:left w:val="none"/>
          <w:bottom w:val="none"/>
          <w:right w:val="none"/>
          <w:insideH w:val="none"/>
          <w:insideV w:val="none"/>
        </w:tblBorders>
      </w:tblPr>
      <w:tblGrid>
        <w:gridCol w:w="10484"/>
        <w:gridCol w:w="3516"/>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Обстоятельства, смягчающие ответственность </w:t>
            </w:r>
          </w:p>
        </w:tc>
      </w:tr>
      <w:tr>
        <w:trPr>
          <w:trHeight w:val="30" w:hRule="atLeast"/>
        </w:trPr>
        <w:tc>
          <w:tcPr>
            <w:tcW w:w="10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Непредставление или несвоевременное представление юридическим лицом, должностным лицом, индивидуальным предпринимателем или физическим лицом, признанными Евразийской экономической комиссией (далее – Комиссия) в соответствии с Порядком рассмотрения дел о нарушении правил конкуренции, утвержденным Решением Совета Евразийской экономической комиссии от 23 ноября 2012 г. № 99, нарушившими общие правила конкуренции на трансграничных рынках, предусмотренные статьей 76 Договора о Евразийском экономическом союзе от 29 мая 2014 года (далее – Договор), а также не представившими или несвоевременно представившими в Комиссию сведения (информацию), предусмотренные разделом XVIII Договора и Протоколом об общих принципах и правилах конкуренции (приложение № 19 к Договору) (далее – Протокол), в том числе не представившими сведения (информацию) по требованию Комиссии, а равно представившими в Комиссию заведомо недостоверные сведения (информацию) (далее – правонарушитель), впервые</w:t>
            </w:r>
          </w:p>
        </w:tc>
        <w:tc>
          <w:tcPr>
            <w:tcW w:w="3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Добровольное прекращение противоправного поведения правонарушителем</w:t>
            </w:r>
          </w:p>
        </w:tc>
        <w:tc>
          <w:tcPr>
            <w:tcW w:w="3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Обстоятельства, отягчающие ответственность </w:t>
            </w:r>
          </w:p>
        </w:tc>
      </w:tr>
      <w:tr>
        <w:trPr>
          <w:trHeight w:val="30" w:hRule="atLeast"/>
        </w:trPr>
        <w:tc>
          <w:tcPr>
            <w:tcW w:w="10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Повторное непредставление или несвоевременное представление правонарушителем в Комиссию сведений (информации), предусмотренных разделом XVIII Договора и Протоколом, в том числе непредставление сведений (информации) по требованию Комиссии, а равно представление в Комиссию заведомо недостоверных сведений (информации), если за совершение первого нарушения к правонарушителю уже была применена мера ответственности в виде штрафа в течение 1 года с даты принятия решения по делу</w:t>
            </w:r>
          </w:p>
        </w:tc>
        <w:tc>
          <w:tcPr>
            <w:tcW w:w="3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