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d2ab" w14:textId="c71d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 регламент Таможенного союза «О безопасности упаковки» (ТР ТС 005/2011),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96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упаковки»</w:t>
      </w:r>
      <w:r>
        <w:br/>
      </w:r>
      <w:r>
        <w:rPr>
          <w:rFonts w:ascii="Times New Roman"/>
          <w:b/>
          <w:i w:val="false"/>
          <w:color w:val="000000"/>
        </w:rPr>
        <w:t>
(ТР ТС 005/2011)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«Приложением 5» дополнить словами «(далее – упаковка (укупорочные средства))»;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«цифрового обозначения» заменить словами «цифрового кода»;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Настоящий технический регламент не распространяется на упаковку (укупорочные средства) для медицинских изделий, лекарственных средств, фармацевтической продукции, табачных изделий и опасных грузов, а также на грузовые контейнеры и поддоны для перевозки грузов автомобильным, железнодорожным, морским и воздушным транспортом.».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абзаца четвертого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«комбинированный материал – двухслойный или многослойный материал, слои которого не могут быть разделены без утраты функциональных или физических свойств такого материала;»;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после абзаца десятого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«сопроводительная документация – документация, содержащая информацию о продукции при выпуске ее в обращение (документация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качестве и (или) количестве продукции, расчетная и комплексная);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– срок, в течение которого изделие при соблюдении установленных изготовителем (производителем) условий хранения соответствует требованиям настоящего технического регламента;».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«Приложении 1» заменить словами «Приложениях 1 и 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химической стойкости» заменить словами «, химической стойкости и герметичности»;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«(кроме бутылок)»;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абзаце втором слова «с высоты без разрушения» заменить словами «и (или) при испытании на горизонтальный удар»;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«и (или) обеспечивать прочность при штабелировании»;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ручки упаковки (при наличии) должны быть прочно прикреплены к упаковке и должны выдерживать установленную нагрузку.»;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третий подпункта 6.5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6.8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«водостойкой» заменить словом «водонепроницаемой»;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должна быть герметичной при укупоривании.»;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«гидростатическое»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кронен-пробки должны быть стойкими к коррозии;»;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«и комбинированные»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«гидростатическое»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9.3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«агломерированные 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9.5 следующего содержания: «9.5 комбинированные укупорочные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клеевой шов термоусадочных и обкаточных колпачков должен быть прочным;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уплотнительные прокладки не должны расслаиваться.»;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подпункт 11.4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Маркировка должна содержать информацию, необходимую для идентификации материала, из которого изготавливается упаковка (укупорочные средства), в целях облегчения сбора и повторного использования упаковки. Маркировка должна быть прочной, стойкой к истиранию и долговечной. Маркировка, необходимая для идентификации материала, из которого изготавливается упаковка (укупорочные средства), должна быть нанесена непосредственно на упаковку и (или) сопроводительную документацию. В случае отсутствия на упаковке соответствующей маркировки изготовитель продукции, который упаковывает данную продукцию в упаковку, должен нанести на ярлык (этикетку) маркировку, необходимую для идентификации материала, из которого изготавливается упаковка, в соответствии с сопроводительной документацией на упаковку. При наличии технологических и конструктивных возможностей, определяемых изготовителем, маркировка наносится непосредственно на укупорочные средства, при их отсутствии соответствующая информация указывается в сопроводительной документации на укупорочные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Маркировка должна содержать цифровой код и (или) буквенное обозначение (аббревиатуру) материала, из которого изготавливается упаковка (укупорочные средства), в соответствии с Приложением 3 и должна содержать символы в соответствии с Приложением 4: рисунок 1 (упаковка (укупорочные средства), предназначенная для контакта с пищевой продукцией), рисунок 2 (возможность утилизации использованной упаковки (укупорочных средств) – петля Мебиуса).».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«схемы 3д, 4д, 5д» заменить словами «схемы 3д, 4д, 6д»;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содержания:«- осуществление производственного контроля (для схем 1д, 3д и 6д).»;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«- сертификат на систему менеджмента (копия сертификата)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(схема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на поставку (контракт) и сопроводительную документацию (о количестве продукции) (схемы 2д, 4д);»;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«сертификат соответствия на систему менеджмента или акт (протокол) оценки системы менеджмента (при наличии),»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пунктами 12 и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 желанию изготовителя (уполномоченного изготовителем лица), импортера декларирование соответствия по схемам 1д и 2д может быть заменено декларированием соответствия по схемам 3д, 4д, 6д.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Упаковка (укупорочные средства), бывшая в употреблении, не подлежит подтверждению соответствия требованиям настоящего технического регламента.».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сноске со знаком «****» слова «и укупорочных средств, произведенных» заменить словами «, произведенной».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«Приложение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ТРЕБОВАНИЯ,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предъявляемые к органолептическим показателям упаковки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(укупорочных средств), контактирующей с пищевой продукцией,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включая детское питание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57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Органолептические показатели образца упаковки (укупорочных средств)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 образца (баллы)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Органолептические показатели водных вытяжек при испытании упаковки (укупорочных средств) с влажностью более 15 %, предназначенных для контакта с пищевыми продуктами, включая детское питание 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 (баллы)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Привкус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Муть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Осадок*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Окрашивание*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Органолептические показатели воздушной вытяжки из упаковки (укупорочных средств) с влажностью до 15 %, предназначенной для контакта с пищевой продукцией, включая детское питание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 сорбента** (баллы)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Вкус сорбента**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сорбента**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</w:tbl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Окрашивание водной вытяжки и осадок при моделировании укупорочных корковых изделий и изделий из древесины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Исходя из условий эксплуатации упаковки (укупорочных средств) в качестве сорбента применяются пищевые продукты (хлеб, печенье, мука, масло и др.).».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«Приложение 3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Цифровой код и буквенное обозначение (аббревиатура) материала,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из которого изготавливается упаковка (укупорочные средства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1"/>
        <w:gridCol w:w="4668"/>
        <w:gridCol w:w="3581"/>
      </w:tblGrid>
      <w:tr>
        <w:trPr>
          <w:trHeight w:val="495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Буквенное обозначение (аббревиатура)*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 или PETE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или 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высокой плотности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PE-HD или HDPE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или 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Поливинилхлорид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PVC или V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или 3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низкой плотности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PE-LD или LDPE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или 4</w:t>
            </w:r>
          </w:p>
        </w:tc>
      </w:tr>
      <w:tr>
        <w:trPr>
          <w:trHeight w:val="6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или 5</w:t>
            </w:r>
          </w:p>
        </w:tc>
      </w:tr>
      <w:tr>
        <w:trPr>
          <w:trHeight w:val="405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или 6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пластмассы О или OTHER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или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Гофрированный картон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картона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бумаги и картона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ALU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металлы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– 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и древесные материалы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– 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– 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Бесцветное стекло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стекло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Коричневое стекло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стекол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– 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материалы**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картон/различные материалы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картон/пластмасса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картон/алюминий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картон/белая жесть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картон/пластмасса/ алюминий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картон/пластмасса/ алюминий/белая жесть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– 89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Пластмасса/алюминий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Пластмасса/белая жесть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Пластмасса/различные металлы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– 94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Стекло/пластмасса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Стекло/алюминий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Стекло/белая жесть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Стекло/различные металлы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Используются только заглавные буквы. Например, полиэтилентерефталат (варианты):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**Маркируются следующим образом: латинская буква C и через косую черту обозначение основного материала по массе в композиции. Например, бумага и картон/пластмасса/алюминий – C/PAP: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432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08"/>
        <w:gridCol w:w="11392"/>
      </w:tblGrid>
      <w:tr>
        <w:trPr>
          <w:trHeight w:val="30" w:hRule="atLeast"/>
        </w:trPr>
        <w:tc>
          <w:tcPr>
            <w:tcW w:w="2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Знаки идентификации проставляются следующим образом: внутри петли Мебиуса – цифровой код и (или) буквенное обозначение, под петлей Мебиуса – рисунок 2 в соответствии с Приложением 4 к техническому регламенту Таможенного союза «О безопасности упаковки» (ТР ТС 005/2011).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код или буквенное обозначение не проставляется при отсутствии петли Мебиуса.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код и буквенное обозначение могут использоваться в любом из предложенных вариантов.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Размеры символов устанавливаются изготовителем упаковки в зависимости от технических возможностей. Символы могут быть выполнены любым контрастным по отношению к цвету упаковки цветом или рельефно.</w:t>
            </w:r>
          </w:p>
        </w:tc>
      </w:tr>
    </w:tbl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СИМВОЛЫ,</w:t>
      </w:r>
      <w:r>
        <w:br/>
      </w:r>
      <w:r>
        <w:rPr>
          <w:rFonts w:ascii="Times New Roman"/>
          <w:b/>
          <w:i w:val="false"/>
          <w:color w:val="000000"/>
        </w:rPr>
        <w:t>
наносимые на маркировку упаковки (укупорочных средств)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806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Рис. 1. Упаковка (укупорочные средства), предназначенная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контакта с пищевой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Символ, обозначающий, что упаковка предназначена для контакта с пищевой продукцией, допускается наносить как без рамки, так и в рамке (круглой, квадратной и др.).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Рис. 2. Возможность утилизации использованной упаковки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(укупорочных средств) – петля Мебиуса».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