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3080" w14:textId="0533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обращения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ноября 2016 года № 92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государства – члена Евразийского экономического союза вправе проводить в соответствии с законодательством данного государства – члена Евразийского экономического союза процедуру определения взаимозаменяемости лекарственных препаратов с целью использования при осуществлении закупок для государственных и муниципальных нужд, реализации программ лекарственного обеспечения, финансируемых с участием средств государственного и муниципального бюджетов, государственных внебюджетных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государства – члена Евразийского экономического союза об определении взаимозаменяемости лекарственного препарата действует на территории государства – члена Евразийского экономического союза, в соответствии с законодательством которого оно принято.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уполномоченного органа государства – члена Евразийского экономического союза о выдаче регистрационного удостоверения, действительного на территории Евразийского экономического союза, принимается без учета результатов определения взаимозаменяемости лекарственного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взаимозаменяемости лекарственного препарата не влияет на дальнейшее обращение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лекарственного препарата в рамках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государств – членов Евразийского экономического союза вправе вести реестр (перечень) взаимозаменяемых лекарственных препаратов, обращающихся на территории государства – члена Евразийского экономического союза, в порядке, установленном законодательством государств – членов Евразийского экономического союза, с использованием сведений единого реестра зарегистрированных лекарственных средств Евразийского экономического союза, в том числе для информирования субъектов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Российской Федерации обобщить данные, полученные по итогам определения взаимозаменяемости лекарственных препаратов в Российской Федерации и представить в Евразийскую экономическую комиссию доклад о результатах применения указанной процедуры в срок до 31 декабря 2018 года и представить на рассмотрение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10 календарных дней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2 декабря 2015 года,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 Понятие «обращение лекарственных средств» определено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