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8c32e" w14:textId="1c8c3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надлежащей клинической практики Евразийского экономического союза</w:t>
      </w:r>
    </w:p>
    <w:p>
      <w:pPr>
        <w:spacing w:after="0"/>
        <w:ind w:left="0"/>
        <w:jc w:val="both"/>
      </w:pPr>
      <w:r>
        <w:rPr>
          <w:rFonts w:ascii="Times New Roman"/>
          <w:b w:val="false"/>
          <w:i w:val="false"/>
          <w:color w:val="000000"/>
          <w:sz w:val="28"/>
        </w:rPr>
        <w:t>Решение Совета Евразийской экономической комиссии от 3 ноября 2016 года № 79.</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Договора о Евразийском экономическом союзе от 29 мая 2014 года, статьей 6 Соглашения о единых принципах и правилах обращения лекарственных средств в рамках Евразийского экономического союза от 23 декабря 2014 года, </w:t>
      </w:r>
      <w:r>
        <w:rPr>
          <w:rFonts w:ascii="Times New Roman"/>
          <w:b w:val="false"/>
          <w:i w:val="false"/>
          <w:color w:val="000000"/>
          <w:sz w:val="28"/>
        </w:rPr>
        <w:t>пунктом 83</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и </w:t>
      </w:r>
      <w:r>
        <w:rPr>
          <w:rFonts w:ascii="Times New Roman"/>
          <w:b w:val="false"/>
          <w:i w:val="false"/>
          <w:color w:val="000000"/>
          <w:sz w:val="28"/>
        </w:rPr>
        <w:t>Решением</w:t>
      </w:r>
      <w:r>
        <w:rPr>
          <w:rFonts w:ascii="Times New Roman"/>
          <w:b w:val="false"/>
          <w:i w:val="false"/>
          <w:color w:val="000000"/>
          <w:sz w:val="28"/>
        </w:rPr>
        <w:t xml:space="preserve"> Высшего Евразийского экономического совета от 23 декабря 2014 г. № 108 "О реализации Соглашения о единых принципах и правилах обращения лекарственных средств в рамках Евразийского экономического союза"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надлежащей клинической практики Евразийского экономического союза.</w:t>
      </w:r>
    </w:p>
    <w:bookmarkEnd w:id="1"/>
    <w:bookmarkStart w:name="z5" w:id="2"/>
    <w:p>
      <w:pPr>
        <w:spacing w:after="0"/>
        <w:ind w:left="0"/>
        <w:jc w:val="both"/>
      </w:pPr>
      <w:r>
        <w:rPr>
          <w:rFonts w:ascii="Times New Roman"/>
          <w:b w:val="false"/>
          <w:i w:val="false"/>
          <w:color w:val="000000"/>
          <w:sz w:val="28"/>
        </w:rPr>
        <w:t>
      2. Настоящее Решение вступает в силу по истечении 10 календарных дней с даты вступления в силу Протокола, подписанного 2 декабря 2015 года, о присоединении Республики Армения к Соглашению о единых принципах и правилах обращения лекарственных средств в рамках Евразийского экономического союза от 23 декабря 2014 года, но не ранее чем по истечении 10 календарных дней с даты официального опубликования настоящего Решения.</w:t>
      </w:r>
    </w:p>
    <w:bookmarkEnd w:id="2"/>
    <w:bookmarkStart w:name="z6" w:id="3"/>
    <w:p>
      <w:pPr>
        <w:spacing w:after="0"/>
        <w:ind w:left="0"/>
        <w:jc w:val="both"/>
      </w:pPr>
      <w:r>
        <w:rPr>
          <w:rFonts w:ascii="Times New Roman"/>
          <w:b w:val="false"/>
          <w:i w:val="false"/>
          <w:color w:val="000000"/>
          <w:sz w:val="28"/>
        </w:rPr>
        <w:t>
      Члены Совета Евразийской экономической комиссии:</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 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 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Кыргызской 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Российской 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Габриелян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 </w:t>
            </w:r>
            <w:r>
              <w:rPr>
                <w:rFonts w:ascii="Times New Roman"/>
                <w:b/>
                <w:i w:val="false"/>
                <w:color w:val="000000"/>
                <w:sz w:val="20"/>
              </w:rPr>
              <w:t>Матюшевский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Мамин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 Панкратов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 Шувалов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Совета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3 ноября 2016 г. № 79</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 августа 2025 г. № 63)</w:t>
            </w:r>
          </w:p>
        </w:tc>
      </w:tr>
    </w:tbl>
    <w:bookmarkStart w:name="z11" w:id="4"/>
    <w:p>
      <w:pPr>
        <w:spacing w:after="0"/>
        <w:ind w:left="0"/>
        <w:jc w:val="left"/>
      </w:pPr>
      <w:r>
        <w:rPr>
          <w:rFonts w:ascii="Times New Roman"/>
          <w:b/>
          <w:i w:val="false"/>
          <w:color w:val="000000"/>
        </w:rPr>
        <w:t xml:space="preserve"> ПРАВИЛА</w:t>
      </w:r>
      <w:r>
        <w:br/>
      </w:r>
      <w:r>
        <w:rPr>
          <w:rFonts w:ascii="Times New Roman"/>
          <w:b/>
          <w:i w:val="false"/>
          <w:color w:val="000000"/>
        </w:rPr>
        <w:t>надлежащей клинической практики Евразийского экономического союза</w:t>
      </w:r>
    </w:p>
    <w:bookmarkEnd w:id="4"/>
    <w:p>
      <w:pPr>
        <w:spacing w:after="0"/>
        <w:ind w:left="0"/>
        <w:jc w:val="both"/>
      </w:pPr>
      <w:r>
        <w:rPr>
          <w:rFonts w:ascii="Times New Roman"/>
          <w:b w:val="false"/>
          <w:i w:val="false"/>
          <w:color w:val="ff0000"/>
          <w:sz w:val="28"/>
        </w:rPr>
        <w:t xml:space="preserve">
      Сноска. Правила – в редакции решения Совета Евразийской экономической комиссии от 01.08.2025 </w:t>
      </w:r>
      <w:r>
        <w:rPr>
          <w:rFonts w:ascii="Times New Roman"/>
          <w:b w:val="false"/>
          <w:i w:val="false"/>
          <w:color w:val="ff0000"/>
          <w:sz w:val="28"/>
        </w:rPr>
        <w:t>№ 63</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1540" w:id="5"/>
    <w:p>
      <w:pPr>
        <w:spacing w:after="0"/>
        <w:ind w:left="0"/>
        <w:jc w:val="left"/>
      </w:pPr>
      <w:r>
        <w:rPr>
          <w:rFonts w:ascii="Times New Roman"/>
          <w:b/>
          <w:i w:val="false"/>
          <w:color w:val="000000"/>
        </w:rPr>
        <w:t xml:space="preserve"> I. Общие положения</w:t>
      </w:r>
    </w:p>
    <w:bookmarkEnd w:id="5"/>
    <w:bookmarkStart w:name="z1541" w:id="6"/>
    <w:p>
      <w:pPr>
        <w:spacing w:after="0"/>
        <w:ind w:left="0"/>
        <w:jc w:val="both"/>
      </w:pPr>
      <w:r>
        <w:rPr>
          <w:rFonts w:ascii="Times New Roman"/>
          <w:b w:val="false"/>
          <w:i w:val="false"/>
          <w:color w:val="000000"/>
          <w:sz w:val="28"/>
        </w:rPr>
        <w:t>
      Настоящие Правила представляют собой международный этический и научный стандарт планирования и проведения исследований с участием человека в качестве субъекта исследований, а также документального оформления и представления результатов таких исследований.</w:t>
      </w:r>
    </w:p>
    <w:bookmarkEnd w:id="6"/>
    <w:bookmarkStart w:name="z1542" w:id="7"/>
    <w:p>
      <w:pPr>
        <w:spacing w:after="0"/>
        <w:ind w:left="0"/>
        <w:jc w:val="both"/>
      </w:pPr>
      <w:r>
        <w:rPr>
          <w:rFonts w:ascii="Times New Roman"/>
          <w:b w:val="false"/>
          <w:i w:val="false"/>
          <w:color w:val="000000"/>
          <w:sz w:val="28"/>
        </w:rPr>
        <w:t>
      Соблюдение положений настоящих Правил служит для общества гарантией того, что права, безопасность и благополучие субъектов исследования защищены, согласуются с принципами, заложенными Хельсинской декларацией, принятой на XVIII Генеральной ассамблее Всемирной медицинской ассоциации в 1964 году, и что данные исследования достоверны.</w:t>
      </w:r>
    </w:p>
    <w:bookmarkEnd w:id="7"/>
    <w:bookmarkStart w:name="z1543" w:id="8"/>
    <w:p>
      <w:pPr>
        <w:spacing w:after="0"/>
        <w:ind w:left="0"/>
        <w:jc w:val="both"/>
      </w:pPr>
      <w:r>
        <w:rPr>
          <w:rFonts w:ascii="Times New Roman"/>
          <w:b w:val="false"/>
          <w:i w:val="false"/>
          <w:color w:val="000000"/>
          <w:sz w:val="28"/>
        </w:rPr>
        <w:t>
      Целью настоящих Правил является установление единого порядка проведения клинических исследований (испытаний) лекарственных средств, что должно способствовать обеспечению функционирования общего рынка лекарственных средств в рамках Евразийского экономического союза (далее – Союз), взаимному признанию данных исследований уполномоченными органами государств – членов Союза (далее – государства-члены), а также признанию результатов исследований проведенных на таможенной территории Союза и за ее пределами.</w:t>
      </w:r>
    </w:p>
    <w:bookmarkEnd w:id="8"/>
    <w:bookmarkStart w:name="z1544" w:id="9"/>
    <w:p>
      <w:pPr>
        <w:spacing w:after="0"/>
        <w:ind w:left="0"/>
        <w:jc w:val="both"/>
      </w:pPr>
      <w:r>
        <w:rPr>
          <w:rFonts w:ascii="Times New Roman"/>
          <w:b w:val="false"/>
          <w:i w:val="false"/>
          <w:color w:val="000000"/>
          <w:sz w:val="28"/>
        </w:rPr>
        <w:t>
      Нумерация, использованная в разделе II настоящих Правил, соответствует нумерации, применяемой в международной редакции надлежащей клинической практики, в части всех подразделов, за исключением подраздела 1, в котором понятия расположены в алфавитном порядке.</w:t>
      </w:r>
    </w:p>
    <w:bookmarkEnd w:id="9"/>
    <w:bookmarkStart w:name="z1545" w:id="10"/>
    <w:p>
      <w:pPr>
        <w:spacing w:after="0"/>
        <w:ind w:left="0"/>
        <w:jc w:val="both"/>
      </w:pPr>
      <w:r>
        <w:rPr>
          <w:rFonts w:ascii="Times New Roman"/>
          <w:b w:val="false"/>
          <w:i w:val="false"/>
          <w:color w:val="000000"/>
          <w:sz w:val="28"/>
        </w:rPr>
        <w:t>
      Настоящие Правила подготовлены на основе ICH GCP – Руководства по надлежащей клинической практике, которое является документом E6 (R2) Международного совета по гармонизации технических требований к фармацевтическим препаратам для медицинского применения.</w:t>
      </w:r>
    </w:p>
    <w:bookmarkEnd w:id="10"/>
    <w:bookmarkStart w:name="z1546" w:id="11"/>
    <w:p>
      <w:pPr>
        <w:spacing w:after="0"/>
        <w:ind w:left="0"/>
        <w:jc w:val="both"/>
      </w:pPr>
      <w:r>
        <w:rPr>
          <w:rFonts w:ascii="Times New Roman"/>
          <w:b w:val="false"/>
          <w:i w:val="false"/>
          <w:color w:val="000000"/>
          <w:sz w:val="28"/>
        </w:rPr>
        <w:t>
      Развитие технологий и процессов управления рисками открывает новые возможности повышения эффективности проведения исследований лекарственных препаратов, позволяет сфокусироваться на наиболее значимых аспектах. Прогресс в области документирования и представления результатов исследований в части перехода от информации на бумажных носителях в формат электронных данных облегчает внедрение современных подходов. Например, централизованный мониторинг в настоящее время может давать больше преимуществ и в большем количестве исследований. Настоящие Правила были дополнены, чтобы способствовать внедрению усовершенствованных и более эффективных подходов к планированию, проведению, контролю, документированию и представлению результатов исследований при сохранении обеспечения защиты субъектов исследования и достоверности результатов исследований. Чтобы улучшить качество и эффективность исследований были обновлены требования к электронным записям и основным документам.</w:t>
      </w:r>
    </w:p>
    <w:bookmarkEnd w:id="11"/>
    <w:bookmarkStart w:name="z1547" w:id="12"/>
    <w:p>
      <w:pPr>
        <w:spacing w:after="0"/>
        <w:ind w:left="0"/>
        <w:jc w:val="both"/>
      </w:pPr>
      <w:r>
        <w:rPr>
          <w:rFonts w:ascii="Times New Roman"/>
          <w:b w:val="false"/>
          <w:i w:val="false"/>
          <w:color w:val="000000"/>
          <w:sz w:val="28"/>
        </w:rPr>
        <w:t>
      Настоящие Правила связаны с актами органов Союза в сфере проведения клинических исследований.</w:t>
      </w:r>
    </w:p>
    <w:bookmarkEnd w:id="12"/>
    <w:bookmarkStart w:name="z1548" w:id="13"/>
    <w:p>
      <w:pPr>
        <w:spacing w:after="0"/>
        <w:ind w:left="0"/>
        <w:jc w:val="both"/>
      </w:pPr>
      <w:r>
        <w:rPr>
          <w:rFonts w:ascii="Times New Roman"/>
          <w:b w:val="false"/>
          <w:i w:val="false"/>
          <w:color w:val="000000"/>
          <w:sz w:val="28"/>
        </w:rPr>
        <w:t xml:space="preserve">
      Учитывая важность поддержания актов органов Союза в сфере обращения лекарственных средств в соответствии с современными международными стандартами, настоящие Правила были дополнены на основе последней редакции Руководства по надлежащей клинической практике ICH E6 (R2). </w:t>
      </w:r>
    </w:p>
    <w:bookmarkEnd w:id="13"/>
    <w:bookmarkStart w:name="z1549" w:id="14"/>
    <w:p>
      <w:pPr>
        <w:spacing w:after="0"/>
        <w:ind w:left="0"/>
        <w:jc w:val="both"/>
      </w:pPr>
      <w:r>
        <w:rPr>
          <w:rFonts w:ascii="Times New Roman"/>
          <w:b w:val="false"/>
          <w:i w:val="false"/>
          <w:color w:val="000000"/>
          <w:sz w:val="28"/>
        </w:rPr>
        <w:t xml:space="preserve">
      Настоящие Правила необходимо соблюдать при проведении любых исследований лекарственных препаратов, данные которых представляются в уполномоченные органы (экспертные организации) государств-членов. </w:t>
      </w:r>
    </w:p>
    <w:bookmarkEnd w:id="14"/>
    <w:bookmarkStart w:name="z1550" w:id="15"/>
    <w:p>
      <w:pPr>
        <w:spacing w:after="0"/>
        <w:ind w:left="0"/>
        <w:jc w:val="both"/>
      </w:pPr>
      <w:r>
        <w:rPr>
          <w:rFonts w:ascii="Times New Roman"/>
          <w:b w:val="false"/>
          <w:i w:val="false"/>
          <w:color w:val="000000"/>
          <w:sz w:val="28"/>
        </w:rPr>
        <w:t>
      Принципы, установленные настоящими Правилами, применимы также и к иным клиническим исследованиям, которые могут оказать влияние на безопасность и благополучие человека, выступающего в качестве субъекта исследования.</w:t>
      </w:r>
    </w:p>
    <w:bookmarkEnd w:id="15"/>
    <w:bookmarkStart w:name="z1551" w:id="16"/>
    <w:p>
      <w:pPr>
        <w:spacing w:after="0"/>
        <w:ind w:left="0"/>
        <w:jc w:val="both"/>
      </w:pPr>
      <w:r>
        <w:rPr>
          <w:rFonts w:ascii="Times New Roman"/>
          <w:b w:val="false"/>
          <w:i w:val="false"/>
          <w:color w:val="000000"/>
          <w:sz w:val="28"/>
        </w:rPr>
        <w:t>
      Настоящие Правила подлежат пересмотру на регулярной основе с учетом опыта их применения в государствах-членах, а также в случае изменения международных норм проведения исследований (с внесением необходимых изменений).</w:t>
      </w:r>
    </w:p>
    <w:bookmarkEnd w:id="16"/>
    <w:bookmarkStart w:name="z1552" w:id="17"/>
    <w:p>
      <w:pPr>
        <w:spacing w:after="0"/>
        <w:ind w:left="0"/>
        <w:jc w:val="left"/>
      </w:pPr>
      <w:r>
        <w:rPr>
          <w:rFonts w:ascii="Times New Roman"/>
          <w:b/>
          <w:i w:val="false"/>
          <w:color w:val="000000"/>
        </w:rPr>
        <w:t xml:space="preserve"> II. Основная часть</w:t>
      </w:r>
    </w:p>
    <w:bookmarkEnd w:id="17"/>
    <w:bookmarkStart w:name="z1553" w:id="18"/>
    <w:p>
      <w:pPr>
        <w:spacing w:after="0"/>
        <w:ind w:left="0"/>
        <w:jc w:val="left"/>
      </w:pPr>
      <w:r>
        <w:rPr>
          <w:rFonts w:ascii="Times New Roman"/>
          <w:b/>
          <w:i w:val="false"/>
          <w:color w:val="000000"/>
        </w:rPr>
        <w:t xml:space="preserve"> 1. Определения</w:t>
      </w:r>
    </w:p>
    <w:bookmarkEnd w:id="18"/>
    <w:bookmarkStart w:name="z1554" w:id="19"/>
    <w:p>
      <w:pPr>
        <w:spacing w:after="0"/>
        <w:ind w:left="0"/>
        <w:jc w:val="both"/>
      </w:pPr>
      <w:r>
        <w:rPr>
          <w:rFonts w:ascii="Times New Roman"/>
          <w:b w:val="false"/>
          <w:i w:val="false"/>
          <w:color w:val="000000"/>
          <w:sz w:val="28"/>
        </w:rPr>
        <w:t>
      Для целей настоящих Правил используются понятия, которые означают следующее:</w:t>
      </w:r>
    </w:p>
    <w:bookmarkEnd w:id="19"/>
    <w:bookmarkStart w:name="z1555" w:id="20"/>
    <w:p>
      <w:pPr>
        <w:spacing w:after="0"/>
        <w:ind w:left="0"/>
        <w:jc w:val="both"/>
      </w:pPr>
      <w:r>
        <w:rPr>
          <w:rFonts w:ascii="Times New Roman"/>
          <w:b w:val="false"/>
          <w:i w:val="false"/>
          <w:color w:val="000000"/>
          <w:sz w:val="28"/>
        </w:rPr>
        <w:t>
      1.1. "аудит" (audit) – систематическая и независимая проверка относящихся к исследованию деятельности и документации, проводимая для подтверждения соответствия этой деятельности, а также процедур сбора, анализа и представления данных протоколу клинического исследования, стандартным операционным процедурам спонсора, надлежащей клинической практике и применимым требованиям;</w:t>
      </w:r>
    </w:p>
    <w:bookmarkEnd w:id="20"/>
    <w:bookmarkStart w:name="z1556" w:id="21"/>
    <w:p>
      <w:pPr>
        <w:spacing w:after="0"/>
        <w:ind w:left="0"/>
        <w:jc w:val="both"/>
      </w:pPr>
      <w:r>
        <w:rPr>
          <w:rFonts w:ascii="Times New Roman"/>
          <w:b w:val="false"/>
          <w:i w:val="false"/>
          <w:color w:val="000000"/>
          <w:sz w:val="28"/>
        </w:rPr>
        <w:t>
      1.2. "благополучие субъектов исследования (пациентов)" (well-being (of the trial subjects (patients))) – физическое и психическое здоровье субъектов, участвующих в исследовании;</w:t>
      </w:r>
    </w:p>
    <w:bookmarkEnd w:id="21"/>
    <w:bookmarkStart w:name="z1557" w:id="22"/>
    <w:p>
      <w:pPr>
        <w:spacing w:after="0"/>
        <w:ind w:left="0"/>
        <w:jc w:val="both"/>
      </w:pPr>
      <w:r>
        <w:rPr>
          <w:rFonts w:ascii="Times New Roman"/>
          <w:b w:val="false"/>
          <w:i w:val="false"/>
          <w:color w:val="000000"/>
          <w:sz w:val="28"/>
        </w:rPr>
        <w:t>
      1.3. "брошюра исследователя" (investigator's brochure) – сводное изложение клинических и доклинических данных об исследуемом лекарственном препарате, относящихся к его исследованию с участием человека в качестве субъекта исследования;</w:t>
      </w:r>
    </w:p>
    <w:bookmarkEnd w:id="22"/>
    <w:bookmarkStart w:name="z1558" w:id="23"/>
    <w:p>
      <w:pPr>
        <w:spacing w:after="0"/>
        <w:ind w:left="0"/>
        <w:jc w:val="both"/>
      </w:pPr>
      <w:r>
        <w:rPr>
          <w:rFonts w:ascii="Times New Roman"/>
          <w:b w:val="false"/>
          <w:i w:val="false"/>
          <w:color w:val="000000"/>
          <w:sz w:val="28"/>
        </w:rPr>
        <w:t>
      1.4. "валидация компьютеризированных систем" (validation of computerized systems) – процесс установления и документирования факта, свидетельствующего о том, что требования, предъявляемые к компьютеризированной системе пользователем, постоянно соблюдаются с момента проектирования до вывода компьютеризированной системы из эксплуатации или перехода на новую компьютеризированную систему. Подход к валидации компьютеризированных систем должен основываться на оценке рисков, которая учитывает назначение компьютеризированной системы и способность этой системы влиять на защиту субъектов и достоверность результатов исследования;</w:t>
      </w:r>
    </w:p>
    <w:bookmarkEnd w:id="23"/>
    <w:bookmarkStart w:name="z1559" w:id="24"/>
    <w:p>
      <w:pPr>
        <w:spacing w:after="0"/>
        <w:ind w:left="0"/>
        <w:jc w:val="both"/>
      </w:pPr>
      <w:r>
        <w:rPr>
          <w:rFonts w:ascii="Times New Roman"/>
          <w:b w:val="false"/>
          <w:i w:val="false"/>
          <w:color w:val="000000"/>
          <w:sz w:val="28"/>
        </w:rPr>
        <w:t>
      1.5. "дизайн исследования" (study design) – общий план исследования, описание способа проведения исследования в зависимости от отбора и формирования групп субъектов исследования, маскирования данных;</w:t>
      </w:r>
    </w:p>
    <w:bookmarkEnd w:id="24"/>
    <w:bookmarkStart w:name="z1560" w:id="25"/>
    <w:p>
      <w:pPr>
        <w:spacing w:after="0"/>
        <w:ind w:left="0"/>
        <w:jc w:val="both"/>
      </w:pPr>
      <w:r>
        <w:rPr>
          <w:rFonts w:ascii="Times New Roman"/>
          <w:b w:val="false"/>
          <w:i w:val="false"/>
          <w:color w:val="000000"/>
          <w:sz w:val="28"/>
        </w:rPr>
        <w:t>
      1.6. "договор" (contract) – датированное и подписанное соглашение между двумя или более сторонами, которое устанавливает договоренности, касающиеся распределения объема работ и обязанностей при проведении исследования, а также при необходимости финансовых вопросов. Основой договора должен служить протокол клинического исследования;</w:t>
      </w:r>
    </w:p>
    <w:bookmarkEnd w:id="25"/>
    <w:bookmarkStart w:name="z1561" w:id="26"/>
    <w:p>
      <w:pPr>
        <w:spacing w:after="0"/>
        <w:ind w:left="0"/>
        <w:jc w:val="both"/>
      </w:pPr>
      <w:r>
        <w:rPr>
          <w:rFonts w:ascii="Times New Roman"/>
          <w:b w:val="false"/>
          <w:i w:val="false"/>
          <w:color w:val="000000"/>
          <w:sz w:val="28"/>
        </w:rPr>
        <w:t>
      1.7. "доклинические исследования" (nonclinical study)" – биомедицинские исследования, проводимые без участия человека в качестве субъекта исследования;</w:t>
      </w:r>
    </w:p>
    <w:bookmarkEnd w:id="26"/>
    <w:bookmarkStart w:name="z1562" w:id="27"/>
    <w:p>
      <w:pPr>
        <w:spacing w:after="0"/>
        <w:ind w:left="0"/>
        <w:jc w:val="both"/>
      </w:pPr>
      <w:r>
        <w:rPr>
          <w:rFonts w:ascii="Times New Roman"/>
          <w:b w:val="false"/>
          <w:i w:val="false"/>
          <w:color w:val="000000"/>
          <w:sz w:val="28"/>
        </w:rPr>
        <w:t>
      1.8. "документальный след" (audit trail) – документация, позволяющая восстановить ход событий;</w:t>
      </w:r>
    </w:p>
    <w:bookmarkEnd w:id="27"/>
    <w:bookmarkStart w:name="z1563" w:id="28"/>
    <w:p>
      <w:pPr>
        <w:spacing w:after="0"/>
        <w:ind w:left="0"/>
        <w:jc w:val="both"/>
      </w:pPr>
      <w:r>
        <w:rPr>
          <w:rFonts w:ascii="Times New Roman"/>
          <w:b w:val="false"/>
          <w:i w:val="false"/>
          <w:color w:val="000000"/>
          <w:sz w:val="28"/>
        </w:rPr>
        <w:t>
      1.9. "документация" (documentation) – все записи в любой форме (включая записи на бумажных, электронных, магнитных или оптических носителях, сканограммы, рентгеновские снимки, электрокардиограммы и т. п.), которые описывают либо регистрируют методы, организацию и (или) результаты исследования, а также влияющие на исследование факторы и принятые меры;</w:t>
      </w:r>
    </w:p>
    <w:bookmarkEnd w:id="28"/>
    <w:bookmarkStart w:name="z1564" w:id="29"/>
    <w:p>
      <w:pPr>
        <w:spacing w:after="0"/>
        <w:ind w:left="0"/>
        <w:jc w:val="both"/>
      </w:pPr>
      <w:r>
        <w:rPr>
          <w:rFonts w:ascii="Times New Roman"/>
          <w:b w:val="false"/>
          <w:i w:val="false"/>
          <w:color w:val="000000"/>
          <w:sz w:val="28"/>
        </w:rPr>
        <w:t xml:space="preserve">
      1.10. "заверенная копия" (certified copy) – копия (независимо от типа носителя) оригинальной записи, которая, как было подтверждено (например, датированной подписью или валидированным процессом создания копии), содержит ту же информацию, включая данные, которые описывают контекст, содержание и структуру, что и оригинальная запись; </w:t>
      </w:r>
    </w:p>
    <w:bookmarkEnd w:id="29"/>
    <w:bookmarkStart w:name="z1565" w:id="30"/>
    <w:p>
      <w:pPr>
        <w:spacing w:after="0"/>
        <w:ind w:left="0"/>
        <w:jc w:val="both"/>
      </w:pPr>
      <w:r>
        <w:rPr>
          <w:rFonts w:ascii="Times New Roman"/>
          <w:b w:val="false"/>
          <w:i w:val="false"/>
          <w:color w:val="000000"/>
          <w:sz w:val="28"/>
        </w:rPr>
        <w:t>
      1.11. "заключение независимого этического комитета (совета по этике, комиссии по вопросам этики)" (opinion (in relation to Independent Ethics Committee (Ethical Council))) – документ в письменной форме, который содержит заключение и (или) рекомендации независимого этического комитета относительно участия человека в исследовании;</w:t>
      </w:r>
    </w:p>
    <w:bookmarkEnd w:id="30"/>
    <w:bookmarkStart w:name="z1566" w:id="31"/>
    <w:p>
      <w:pPr>
        <w:spacing w:after="0"/>
        <w:ind w:left="0"/>
        <w:jc w:val="both"/>
      </w:pPr>
      <w:r>
        <w:rPr>
          <w:rFonts w:ascii="Times New Roman"/>
          <w:b w:val="false"/>
          <w:i w:val="false"/>
          <w:color w:val="000000"/>
          <w:sz w:val="28"/>
        </w:rPr>
        <w:t xml:space="preserve">
      1.12. "законный представитель" (legally acceptable representative)" – физическое или юридическое лицо либо иной субъект права, имеющие в силу закона право давать согласие на участие в клиническом исследовании от имени потенциального субъекта исследования; </w:t>
      </w:r>
    </w:p>
    <w:bookmarkEnd w:id="31"/>
    <w:bookmarkStart w:name="z1567" w:id="32"/>
    <w:p>
      <w:pPr>
        <w:spacing w:after="0"/>
        <w:ind w:left="0"/>
        <w:jc w:val="both"/>
      </w:pPr>
      <w:r>
        <w:rPr>
          <w:rFonts w:ascii="Times New Roman"/>
          <w:b w:val="false"/>
          <w:i w:val="false"/>
          <w:color w:val="000000"/>
          <w:sz w:val="28"/>
        </w:rPr>
        <w:t>
      1.13. "идентификационный код субъекта" (subject identification code) – уникальный код, присваиваемый исследователем каждому субъекту исследования для обеспечения конфиденциальности его личных данных и используемый вместо имени субъекта исследования в отчетах по нежелательным явлениям и (или) других данных, относящихся к исследованию;</w:t>
      </w:r>
    </w:p>
    <w:bookmarkEnd w:id="32"/>
    <w:bookmarkStart w:name="z1568" w:id="33"/>
    <w:p>
      <w:pPr>
        <w:spacing w:after="0"/>
        <w:ind w:left="0"/>
        <w:jc w:val="both"/>
      </w:pPr>
      <w:r>
        <w:rPr>
          <w:rFonts w:ascii="Times New Roman"/>
          <w:b w:val="false"/>
          <w:i w:val="false"/>
          <w:color w:val="000000"/>
          <w:sz w:val="28"/>
        </w:rPr>
        <w:t>
      1.14. "индивидуальная регистрационная карта", "ИРК" (Case Report Form, CRF) – документ на бумажном, электронном или оптическом носителе, предназначенный для внесения всей предусмотренной протоколом клинического исследования и подлежащей передаче спонсору информации по каждому субъекту исследования;</w:t>
      </w:r>
    </w:p>
    <w:bookmarkEnd w:id="33"/>
    <w:bookmarkStart w:name="z1569" w:id="34"/>
    <w:p>
      <w:pPr>
        <w:spacing w:after="0"/>
        <w:ind w:left="0"/>
        <w:jc w:val="both"/>
      </w:pPr>
      <w:r>
        <w:rPr>
          <w:rFonts w:ascii="Times New Roman"/>
          <w:b w:val="false"/>
          <w:i w:val="false"/>
          <w:color w:val="000000"/>
          <w:sz w:val="28"/>
        </w:rPr>
        <w:t>
      1.15. "инспекция (проверка)" (inspection) – действие уполномоченного органа, заключающееся в проведении официальной проверки документов, инфраструктуры, записей, соглашений об обеспечении качества и любых других источников, которые расцениваются уполномоченным органом как относящиеся к исследованию и которые могут быть расположены в исследовательском центре, на объектах спонсора и (или) контрактной исследовательской организации или в других организациях, которые, по мнению уполномоченного органа, требуют инспектирования;</w:t>
      </w:r>
    </w:p>
    <w:bookmarkEnd w:id="34"/>
    <w:bookmarkStart w:name="z1570" w:id="35"/>
    <w:p>
      <w:pPr>
        <w:spacing w:after="0"/>
        <w:ind w:left="0"/>
        <w:jc w:val="both"/>
      </w:pPr>
      <w:r>
        <w:rPr>
          <w:rFonts w:ascii="Times New Roman"/>
          <w:b w:val="false"/>
          <w:i w:val="false"/>
          <w:color w:val="000000"/>
          <w:sz w:val="28"/>
        </w:rPr>
        <w:t xml:space="preserve">
      1.16. "информированное согласие" (informed consent) – процесс добровольного подтверждения субъектом своего согласия на участие в конкретном исследовании после получения информации обо всех значимых для принятия им решения аспектах исследования. Информированное согласие документируется посредством подписания и датирования формы информированного согласия; </w:t>
      </w:r>
    </w:p>
    <w:bookmarkEnd w:id="35"/>
    <w:bookmarkStart w:name="z1571" w:id="36"/>
    <w:p>
      <w:pPr>
        <w:spacing w:after="0"/>
        <w:ind w:left="0"/>
        <w:jc w:val="both"/>
      </w:pPr>
      <w:r>
        <w:rPr>
          <w:rFonts w:ascii="Times New Roman"/>
          <w:b w:val="false"/>
          <w:i w:val="false"/>
          <w:color w:val="000000"/>
          <w:sz w:val="28"/>
        </w:rPr>
        <w:t>
      1.17. "исследователь" (investigator) – физическое лицо, отвечающее за проведение исследования в исследовательском центре. В случае проведения исследования в исследовательском центре группой лиц, исследователем (главным исследователем) является руководитель группы;</w:t>
      </w:r>
    </w:p>
    <w:bookmarkEnd w:id="36"/>
    <w:bookmarkStart w:name="z1572" w:id="37"/>
    <w:p>
      <w:pPr>
        <w:spacing w:after="0"/>
        <w:ind w:left="0"/>
        <w:jc w:val="both"/>
      </w:pPr>
      <w:r>
        <w:rPr>
          <w:rFonts w:ascii="Times New Roman"/>
          <w:b w:val="false"/>
          <w:i w:val="false"/>
          <w:color w:val="000000"/>
          <w:sz w:val="28"/>
        </w:rPr>
        <w:t>
      1.18. "исследователь-координатор" (coordinating investigator) – исследователь, отвечающий за координацию деятельности исследователей всех исследовательских центров, участвующих в многоцентровом клиническом исследовании;</w:t>
      </w:r>
    </w:p>
    <w:bookmarkEnd w:id="37"/>
    <w:bookmarkStart w:name="z1573" w:id="38"/>
    <w:p>
      <w:pPr>
        <w:spacing w:after="0"/>
        <w:ind w:left="0"/>
        <w:jc w:val="both"/>
      </w:pPr>
      <w:r>
        <w:rPr>
          <w:rFonts w:ascii="Times New Roman"/>
          <w:b w:val="false"/>
          <w:i w:val="false"/>
          <w:color w:val="000000"/>
          <w:sz w:val="28"/>
        </w:rPr>
        <w:t xml:space="preserve">
      1.19. "исследователь (медицинская организация)" (investigator (institution))" – исследователь и (или) организация (в зависимости от применимых нормативных требований); </w:t>
      </w:r>
    </w:p>
    <w:bookmarkEnd w:id="38"/>
    <w:bookmarkStart w:name="z1574" w:id="39"/>
    <w:p>
      <w:pPr>
        <w:spacing w:after="0"/>
        <w:ind w:left="0"/>
        <w:jc w:val="both"/>
      </w:pPr>
      <w:r>
        <w:rPr>
          <w:rFonts w:ascii="Times New Roman"/>
          <w:b w:val="false"/>
          <w:i w:val="false"/>
          <w:color w:val="000000"/>
          <w:sz w:val="28"/>
        </w:rPr>
        <w:t>
      1.20. "исследовательский центр" (trial site) – фактическое место проведения исследования;</w:t>
      </w:r>
    </w:p>
    <w:bookmarkEnd w:id="39"/>
    <w:p>
      <w:pPr>
        <w:spacing w:after="0"/>
        <w:ind w:left="0"/>
        <w:jc w:val="both"/>
      </w:pPr>
      <w:bookmarkStart w:name="z1575" w:id="40"/>
      <w:r>
        <w:rPr>
          <w:rFonts w:ascii="Times New Roman"/>
          <w:b w:val="false"/>
          <w:i w:val="false"/>
          <w:color w:val="000000"/>
          <w:sz w:val="28"/>
        </w:rPr>
        <w:t xml:space="preserve">
      1.21. "исследуемый лекарственный препарат" (investigational medicinal product) – лекарственный препарат, который в исследовании подвергается испытанию или применяется для сравнения, включая плацебо, в том числе зарегистрированный лекарственный препарат </w:t>
      </w:r>
    </w:p>
    <w:bookmarkEnd w:id="40"/>
    <w:p>
      <w:pPr>
        <w:spacing w:after="0"/>
        <w:ind w:left="0"/>
        <w:jc w:val="both"/>
      </w:pPr>
      <w:r>
        <w:rPr>
          <w:rFonts w:ascii="Times New Roman"/>
          <w:b w:val="false"/>
          <w:i w:val="false"/>
          <w:color w:val="000000"/>
          <w:sz w:val="28"/>
        </w:rPr>
        <w:t xml:space="preserve">(в случае, если его способ применения отличается от утвержденного, </w:t>
      </w:r>
    </w:p>
    <w:p>
      <w:pPr>
        <w:spacing w:after="0"/>
        <w:ind w:left="0"/>
        <w:jc w:val="both"/>
      </w:pPr>
      <w:r>
        <w:rPr>
          <w:rFonts w:ascii="Times New Roman"/>
          <w:b w:val="false"/>
          <w:i w:val="false"/>
          <w:color w:val="000000"/>
          <w:sz w:val="28"/>
        </w:rPr>
        <w:t>а также при его использовании по новому показанию или для получения дополнительной информации по утвержденному показанию);</w:t>
      </w:r>
    </w:p>
    <w:bookmarkStart w:name="z1576" w:id="41"/>
    <w:p>
      <w:pPr>
        <w:spacing w:after="0"/>
        <w:ind w:left="0"/>
        <w:jc w:val="both"/>
      </w:pPr>
      <w:r>
        <w:rPr>
          <w:rFonts w:ascii="Times New Roman"/>
          <w:b w:val="false"/>
          <w:i w:val="false"/>
          <w:color w:val="000000"/>
          <w:sz w:val="28"/>
        </w:rPr>
        <w:t>
      1.22. "клиническое исследование" (clinical trial) – любое исследование, проводимое с участием человека в качестве субъекта для выявления или подтверждения клинических и (или) фармакологических эффектов исследуемых препаратов, и (или) выявления нежелательных реакций на исследуемые препараты, и (или) изучения их всасывания, распределения, метаболизма и выведения из организма человека с целью оценки их безопасности и (или) эффективности;</w:t>
      </w:r>
    </w:p>
    <w:bookmarkEnd w:id="41"/>
    <w:bookmarkStart w:name="z1577" w:id="42"/>
    <w:p>
      <w:pPr>
        <w:spacing w:after="0"/>
        <w:ind w:left="0"/>
        <w:jc w:val="both"/>
      </w:pPr>
      <w:r>
        <w:rPr>
          <w:rFonts w:ascii="Times New Roman"/>
          <w:b w:val="false"/>
          <w:i w:val="false"/>
          <w:color w:val="000000"/>
          <w:sz w:val="28"/>
        </w:rPr>
        <w:t>
      1.23. "контрактная исследовательская организация" (contract research organization, CRO) – физическое лицо или организация (коммерческая, научно-исследовательская или иная), которая в рамках договора со спонсором выполняет одну или более из его обязанностей и функций, связанных с проведением клинического исследования;</w:t>
      </w:r>
    </w:p>
    <w:bookmarkEnd w:id="42"/>
    <w:bookmarkStart w:name="z1578" w:id="43"/>
    <w:p>
      <w:pPr>
        <w:spacing w:after="0"/>
        <w:ind w:left="0"/>
        <w:jc w:val="both"/>
      </w:pPr>
      <w:r>
        <w:rPr>
          <w:rFonts w:ascii="Times New Roman"/>
          <w:b w:val="false"/>
          <w:i w:val="false"/>
          <w:color w:val="000000"/>
          <w:sz w:val="28"/>
        </w:rPr>
        <w:t>
      1.24. "контроль качества" (quality control, QC)" – методы и меры, являющиеся частью системы обеспечения качества и используемые для проверки соответствия выполняемых при проведении исследования процедур предъявляемым требованиям к их качеству;</w:t>
      </w:r>
    </w:p>
    <w:bookmarkEnd w:id="43"/>
    <w:bookmarkStart w:name="z1579" w:id="44"/>
    <w:p>
      <w:pPr>
        <w:spacing w:after="0"/>
        <w:ind w:left="0"/>
        <w:jc w:val="both"/>
      </w:pPr>
      <w:r>
        <w:rPr>
          <w:rFonts w:ascii="Times New Roman"/>
          <w:b w:val="false"/>
          <w:i w:val="false"/>
          <w:color w:val="000000"/>
          <w:sz w:val="28"/>
        </w:rPr>
        <w:t>
      1.25. "конфиденциальность" (confidentiality) – сохранение в тайне от неуполномоченных лиц информации, принадлежащей спонсору, или информации, позволяющей идентифицировать субъекта исследования;</w:t>
      </w:r>
    </w:p>
    <w:bookmarkEnd w:id="44"/>
    <w:bookmarkStart w:name="z1580" w:id="45"/>
    <w:p>
      <w:pPr>
        <w:spacing w:after="0"/>
        <w:ind w:left="0"/>
        <w:jc w:val="both"/>
      </w:pPr>
      <w:r>
        <w:rPr>
          <w:rFonts w:ascii="Times New Roman"/>
          <w:b w:val="false"/>
          <w:i w:val="false"/>
          <w:color w:val="000000"/>
          <w:sz w:val="28"/>
        </w:rPr>
        <w:t>
      1.26. "координационный комитет" (coordinating committee) – комитет, который может быть организован спонсором для координации проведения многоцентрового клинического исследования;</w:t>
      </w:r>
    </w:p>
    <w:bookmarkEnd w:id="45"/>
    <w:bookmarkStart w:name="z1581" w:id="46"/>
    <w:p>
      <w:pPr>
        <w:spacing w:after="0"/>
        <w:ind w:left="0"/>
        <w:jc w:val="both"/>
      </w:pPr>
      <w:r>
        <w:rPr>
          <w:rFonts w:ascii="Times New Roman"/>
          <w:b w:val="false"/>
          <w:i w:val="false"/>
          <w:color w:val="000000"/>
          <w:sz w:val="28"/>
        </w:rPr>
        <w:t xml:space="preserve">
      1.27. "медицинская организация" (institution (medical)) – организация здравоохранения (вне зависимости от ее организационно-правовой формы), в которой проводится клиническое исследование; </w:t>
      </w:r>
    </w:p>
    <w:bookmarkEnd w:id="46"/>
    <w:bookmarkStart w:name="z1582" w:id="47"/>
    <w:p>
      <w:pPr>
        <w:spacing w:after="0"/>
        <w:ind w:left="0"/>
        <w:jc w:val="both"/>
      </w:pPr>
      <w:r>
        <w:rPr>
          <w:rFonts w:ascii="Times New Roman"/>
          <w:b w:val="false"/>
          <w:i w:val="false"/>
          <w:color w:val="000000"/>
          <w:sz w:val="28"/>
        </w:rPr>
        <w:t>
      1.28. "многоцентровое клиническое исследование" (multicentre trial) – клиническое исследование, проводимое по единому протоколу более чем в 1 исследовательском центре и более чем 1 исследователем;</w:t>
      </w:r>
    </w:p>
    <w:bookmarkEnd w:id="47"/>
    <w:bookmarkStart w:name="z1583" w:id="48"/>
    <w:p>
      <w:pPr>
        <w:spacing w:after="0"/>
        <w:ind w:left="0"/>
        <w:jc w:val="both"/>
      </w:pPr>
      <w:r>
        <w:rPr>
          <w:rFonts w:ascii="Times New Roman"/>
          <w:b w:val="false"/>
          <w:i w:val="false"/>
          <w:color w:val="000000"/>
          <w:sz w:val="28"/>
        </w:rPr>
        <w:t>
      1.29. "мониторинг" (monitoring) – деятельность, заключающаяся в контроле за ходом клинического исследования, обеспечении его проведения, сбора данных и представления результатов в соответствии с протоколом клинического исследования, стандартными операционными процедурами, надлежащей клинической практикой и применимыми требованиями;</w:t>
      </w:r>
    </w:p>
    <w:bookmarkEnd w:id="48"/>
    <w:bookmarkStart w:name="z1584" w:id="49"/>
    <w:p>
      <w:pPr>
        <w:spacing w:after="0"/>
        <w:ind w:left="0"/>
        <w:jc w:val="both"/>
      </w:pPr>
      <w:r>
        <w:rPr>
          <w:rFonts w:ascii="Times New Roman"/>
          <w:b w:val="false"/>
          <w:i w:val="false"/>
          <w:color w:val="000000"/>
          <w:sz w:val="28"/>
        </w:rPr>
        <w:t>
      1.30. "надлежащая клиническая практика" (Good Clinical Practice; GCP) – свод этических и научных требований к планированию, проведению, реализации, мониторингу, аудиту, документированию, анализу и представлению результатов клинических исследований, обеспечивающих защиту прав, безопасности и благополучия субъектов исследования и получение в рамках клинического исследования надежных и достоверных данных;</w:t>
      </w:r>
    </w:p>
    <w:bookmarkEnd w:id="49"/>
    <w:bookmarkStart w:name="z1585" w:id="50"/>
    <w:p>
      <w:pPr>
        <w:spacing w:after="0"/>
        <w:ind w:left="0"/>
        <w:jc w:val="both"/>
      </w:pPr>
      <w:r>
        <w:rPr>
          <w:rFonts w:ascii="Times New Roman"/>
          <w:b w:val="false"/>
          <w:i w:val="false"/>
          <w:color w:val="000000"/>
          <w:sz w:val="28"/>
        </w:rPr>
        <w:t xml:space="preserve">
      1.31. "нежелательная реакция" (adverse reaction) – относительно предрегистрационного клинического применения нового лекарственного препарата или его применения по новым показаниям, особенно, если терапевтические дозы точно не установлены – все негативные реакции, связанные с применением любой дозы лекарственного препарата. При этом термин "связанная с применением лекарственного препарата" означает, что существует хотя бы минимальная возможность наличия причинно-следственной связи между лекарственным препаратом и нежелательным явлением, то есть взаимосвязь не исключена. Для зарегистрированных лекарственных препаратов под нежелательной реакцией понимается любая негативная реакция, связанная с применением лекарственного препарата в обычных дозах, используемых для профилактики, диагностики или лечения заболеваний, а также для изменения физиологических функций; </w:t>
      </w:r>
    </w:p>
    <w:bookmarkEnd w:id="50"/>
    <w:bookmarkStart w:name="z1586" w:id="51"/>
    <w:p>
      <w:pPr>
        <w:spacing w:after="0"/>
        <w:ind w:left="0"/>
        <w:jc w:val="both"/>
      </w:pPr>
      <w:r>
        <w:rPr>
          <w:rFonts w:ascii="Times New Roman"/>
          <w:b w:val="false"/>
          <w:i w:val="false"/>
          <w:color w:val="000000"/>
          <w:sz w:val="28"/>
        </w:rPr>
        <w:t>
      1.32. "нежелательное явление" (adverse event) – любое неблагоприятное изменение в состоянии здоровья пациента или субъекта исследования, которому введен лекарственный препарат, независимо от причинно-следственной связи с его применением. Нежелательное явление может представлять собой любое неблагоприятное и непреднамеренное изменение (например, отклонение лабораторного показателя от нормы), симптом или заболевание, время возникновения которых не исключает причинно-следственной связи с применением лекарственного препарата (вне зависимости от наличия или отсутствия взаимосвязи с применением лекарственного препарата);</w:t>
      </w:r>
    </w:p>
    <w:bookmarkEnd w:id="51"/>
    <w:bookmarkStart w:name="z1587" w:id="52"/>
    <w:p>
      <w:pPr>
        <w:spacing w:after="0"/>
        <w:ind w:left="0"/>
        <w:jc w:val="both"/>
      </w:pPr>
      <w:r>
        <w:rPr>
          <w:rFonts w:ascii="Times New Roman"/>
          <w:b w:val="false"/>
          <w:i w:val="false"/>
          <w:color w:val="000000"/>
          <w:sz w:val="28"/>
        </w:rPr>
        <w:t>
      1.33. "независимый комитет по мониторингу данных", "НКМД" (Independent Data-Monitoring Committee, IDMC (Data and Safety Monitoring Board, Monitoring Committee, Data Monitoring Committee)) – независимый комитет, который может быть образован по инициативе спонсора для периодического рассмотрения хода клинического исследования, данных по безопасности и (или) основных параметров эффективности, а также для выработки рекомендаций для спонсора о целесообразности продолжения, прекращения исследования или внесения в него изменений;</w:t>
      </w:r>
    </w:p>
    <w:bookmarkEnd w:id="52"/>
    <w:bookmarkStart w:name="z1588" w:id="53"/>
    <w:p>
      <w:pPr>
        <w:spacing w:after="0"/>
        <w:ind w:left="0"/>
        <w:jc w:val="both"/>
      </w:pPr>
      <w:r>
        <w:rPr>
          <w:rFonts w:ascii="Times New Roman"/>
          <w:b w:val="false"/>
          <w:i w:val="false"/>
          <w:color w:val="000000"/>
          <w:sz w:val="28"/>
        </w:rPr>
        <w:t xml:space="preserve">
      1.34. "независимый этический комитет", "НЭК" (Independent Ethics Committee, IEC) – независимый орган (экспертный совет или комитет, действующий на уровне организации, региональном, национальном или международном уровне), состоящий из медицинских работников а также лиц, не имеющих отношения к медицине, который обеспечивает защиту прав, безопасности и благополучия субъектов исследования и выступает для общества гарантом такой защиты, в частности путем рассмотрения, утверждения (одобрения) протокола клинического исследования, кандидатур исследователей, исследовательских центров, а также материалов и методов, которые предполагается использовать для получения и документирования информированного согласия субъектов исследования. Правовой статус, состав, функции и порядок работы независимых этических комитетов, а также применимые к ним требования могут различаться в разных государствах-членах, тем не менее НЭК должны функционировать в соответствии с настоящими Правилами; </w:t>
      </w:r>
    </w:p>
    <w:bookmarkEnd w:id="53"/>
    <w:bookmarkStart w:name="z1589" w:id="54"/>
    <w:p>
      <w:pPr>
        <w:spacing w:after="0"/>
        <w:ind w:left="0"/>
        <w:jc w:val="both"/>
      </w:pPr>
      <w:r>
        <w:rPr>
          <w:rFonts w:ascii="Times New Roman"/>
          <w:b w:val="false"/>
          <w:i w:val="false"/>
          <w:color w:val="000000"/>
          <w:sz w:val="28"/>
        </w:rPr>
        <w:t>
      1.35. "незаинтересованный свидетель" (impartial witness) – физическое лицо, которое непричастно к проведению клинического исследования, на которое не могут оказать давление участники клинического исследования и которое в случае, если субъект исследования или его законный представитель не умеют или не способны читать, присутствует во время получения информированного согласия, а также зачитывает текст информированного согласия и любые другие предоставляемые субъекту исследования письменные материалы;</w:t>
      </w:r>
    </w:p>
    <w:bookmarkEnd w:id="54"/>
    <w:bookmarkStart w:name="z1590" w:id="55"/>
    <w:p>
      <w:pPr>
        <w:spacing w:after="0"/>
        <w:ind w:left="0"/>
        <w:jc w:val="both"/>
      </w:pPr>
      <w:r>
        <w:rPr>
          <w:rFonts w:ascii="Times New Roman"/>
          <w:b w:val="false"/>
          <w:i w:val="false"/>
          <w:color w:val="000000"/>
          <w:sz w:val="28"/>
        </w:rPr>
        <w:t xml:space="preserve">
      1.36. "непредвиденная нежелательная реакция" (unexpected adverse drug reaction) – нежелательная реакция, сущность или тяжесть которой не согласуется с известной информацией о лекарственном препарате (например, с брошюрой исследователя для незарегистрированного исследуемого препарата или с инструкцией по медицинскому применению (листком-вкладышем) либо общей характеристикой лекарственного препарата для зарегистрированного препарата); </w:t>
      </w:r>
    </w:p>
    <w:bookmarkEnd w:id="55"/>
    <w:bookmarkStart w:name="z1591" w:id="56"/>
    <w:p>
      <w:pPr>
        <w:spacing w:after="0"/>
        <w:ind w:left="0"/>
        <w:jc w:val="both"/>
      </w:pPr>
      <w:r>
        <w:rPr>
          <w:rFonts w:ascii="Times New Roman"/>
          <w:b w:val="false"/>
          <w:i w:val="false"/>
          <w:color w:val="000000"/>
          <w:sz w:val="28"/>
        </w:rPr>
        <w:t>
      1.37. "обеспечение качества" (quality assurance, QA) – совокупность систематических и планомерных действий, целью которых является обеспечение соответствия проводимого исследования, сбора, регистрации и представления данных надлежащей клинической практике и применимым требованиям;</w:t>
      </w:r>
    </w:p>
    <w:bookmarkEnd w:id="56"/>
    <w:p>
      <w:pPr>
        <w:spacing w:after="0"/>
        <w:ind w:left="0"/>
        <w:jc w:val="both"/>
      </w:pPr>
      <w:bookmarkStart w:name="z1592" w:id="57"/>
      <w:r>
        <w:rPr>
          <w:rFonts w:ascii="Times New Roman"/>
          <w:b w:val="false"/>
          <w:i w:val="false"/>
          <w:color w:val="000000"/>
          <w:sz w:val="28"/>
        </w:rPr>
        <w:t xml:space="preserve">
      1.38. "одобрение экспертного совета организации" (approval </w:t>
      </w:r>
    </w:p>
    <w:bookmarkEnd w:id="57"/>
    <w:p>
      <w:pPr>
        <w:spacing w:after="0"/>
        <w:ind w:left="0"/>
        <w:jc w:val="both"/>
      </w:pPr>
      <w:r>
        <w:rPr>
          <w:rFonts w:ascii="Times New Roman"/>
          <w:b w:val="false"/>
          <w:i w:val="false"/>
          <w:color w:val="000000"/>
          <w:sz w:val="28"/>
        </w:rPr>
        <w:t>(in relation to Institutional Review Boards))" – заключение, принятое экспертным советом организации, подтверждающее факт проведения экспертизы клинического исследования и являющееся разрешением на его проведение в данной организации в соответствии с инструкциями ЭСО, нормативными документами медицинской организации, а также надлежащей клинической практикой и применимыми требованиями;</w:t>
      </w:r>
    </w:p>
    <w:bookmarkStart w:name="z1593" w:id="58"/>
    <w:p>
      <w:pPr>
        <w:spacing w:after="0"/>
        <w:ind w:left="0"/>
        <w:jc w:val="both"/>
      </w:pPr>
      <w:r>
        <w:rPr>
          <w:rFonts w:ascii="Times New Roman"/>
          <w:b w:val="false"/>
          <w:i w:val="false"/>
          <w:color w:val="000000"/>
          <w:sz w:val="28"/>
        </w:rPr>
        <w:t>
      1.39. "основные документы" (essential documents)" – документы, которые в совокупности или по отдельности позволяют оценить ход клинического исследования и качество полученных данных;</w:t>
      </w:r>
    </w:p>
    <w:bookmarkEnd w:id="58"/>
    <w:bookmarkStart w:name="z1594" w:id="59"/>
    <w:p>
      <w:pPr>
        <w:spacing w:after="0"/>
        <w:ind w:left="0"/>
        <w:jc w:val="both"/>
      </w:pPr>
      <w:r>
        <w:rPr>
          <w:rFonts w:ascii="Times New Roman"/>
          <w:b w:val="false"/>
          <w:i w:val="false"/>
          <w:color w:val="000000"/>
          <w:sz w:val="28"/>
        </w:rPr>
        <w:t>
      1.40. "отчет монитора" (monitoring report) – письменный отчет монитора спонсору после каждого визита в исследовательский центр и (или) контакта с исследователями в соответствии со стандартными операционными процедурами спонсора;</w:t>
      </w:r>
    </w:p>
    <w:bookmarkEnd w:id="59"/>
    <w:bookmarkStart w:name="z1595" w:id="60"/>
    <w:p>
      <w:pPr>
        <w:spacing w:after="0"/>
        <w:ind w:left="0"/>
        <w:jc w:val="both"/>
      </w:pPr>
      <w:r>
        <w:rPr>
          <w:rFonts w:ascii="Times New Roman"/>
          <w:b w:val="false"/>
          <w:i w:val="false"/>
          <w:color w:val="000000"/>
          <w:sz w:val="28"/>
        </w:rPr>
        <w:t>
      1.41. "отчет об аудите" (audit report) – заключение в письменной форме аудитора спонсора о результатах аудита;</w:t>
      </w:r>
    </w:p>
    <w:bookmarkEnd w:id="60"/>
    <w:bookmarkStart w:name="z1596" w:id="61"/>
    <w:p>
      <w:pPr>
        <w:spacing w:after="0"/>
        <w:ind w:left="0"/>
        <w:jc w:val="both"/>
      </w:pPr>
      <w:r>
        <w:rPr>
          <w:rFonts w:ascii="Times New Roman"/>
          <w:b w:val="false"/>
          <w:i w:val="false"/>
          <w:color w:val="000000"/>
          <w:sz w:val="28"/>
        </w:rPr>
        <w:t xml:space="preserve">
      1.42. "отчет о клиническом исследовании" (clinical trial (study) report) – оформленное в письменном виде описание клинического исследования какого-либо терапевтического, профилактического или диагностического средства с участием человека в качестве субъекта исследования, объединяющее клиническое и статистическое описания, представление данных и их анализ, составленное в соответствии с требованиями согласно приложению № 1 к настоящим Правилам и подразделом 5 раздела I приложения № 1 к Правилам регистрации и экспертизы лекарственных средств для медицинского применения, утвержденным Решением Совета Евразийской экономической комиссии от 3 ноября 2016 г. № 78, при сопровождении заявления о регистрации; </w:t>
      </w:r>
    </w:p>
    <w:bookmarkEnd w:id="61"/>
    <w:bookmarkStart w:name="z1597" w:id="62"/>
    <w:p>
      <w:pPr>
        <w:spacing w:after="0"/>
        <w:ind w:left="0"/>
        <w:jc w:val="both"/>
      </w:pPr>
      <w:r>
        <w:rPr>
          <w:rFonts w:ascii="Times New Roman"/>
          <w:b w:val="false"/>
          <w:i w:val="false"/>
          <w:color w:val="000000"/>
          <w:sz w:val="28"/>
        </w:rPr>
        <w:t>
      1.43. "первичная документация", "оригинальные медицинские записи" (original medical record (source documents)) – исходные документы, данные и записи (например, истории болезни, амбулаторные карты, лабораторные записи, заметки, дневники субъектов исследования, вопросники, журналы выдачи медикаментов, записи автоматических устройств, верифицированные и заверенные копии или выписки, микрофиши, фотонегативы, микропленки или магнитные носители, рентгеновские снимки, любые записи, относящиеся к пациенту, в том числе хранящиеся в аптеке, лабораториях и отделениях инструментальной диагностики, используемых в клиническом исследовании);</w:t>
      </w:r>
    </w:p>
    <w:bookmarkEnd w:id="62"/>
    <w:bookmarkStart w:name="z1598" w:id="63"/>
    <w:p>
      <w:pPr>
        <w:spacing w:after="0"/>
        <w:ind w:left="0"/>
        <w:jc w:val="both"/>
      </w:pPr>
      <w:r>
        <w:rPr>
          <w:rFonts w:ascii="Times New Roman"/>
          <w:b w:val="false"/>
          <w:i w:val="false"/>
          <w:color w:val="000000"/>
          <w:sz w:val="28"/>
        </w:rPr>
        <w:t>
      1.44. "первичные данные" (source data) – информация, содержащаяся в оригинальных медицинских записях и их заверенных копиях, о результатах клинических наблюдений, обследований и другой деятельности, позволяющая воссоздать ход клинического исследования и оценить его. Первичные данные содержатся в первичной документации (подлинниках или их заверенных копиях);</w:t>
      </w:r>
    </w:p>
    <w:bookmarkEnd w:id="63"/>
    <w:bookmarkStart w:name="z1599" w:id="64"/>
    <w:p>
      <w:pPr>
        <w:spacing w:after="0"/>
        <w:ind w:left="0"/>
        <w:jc w:val="both"/>
      </w:pPr>
      <w:r>
        <w:rPr>
          <w:rFonts w:ascii="Times New Roman"/>
          <w:b w:val="false"/>
          <w:i w:val="false"/>
          <w:color w:val="000000"/>
          <w:sz w:val="28"/>
        </w:rPr>
        <w:t>
      1.45. "план мониторинга" (monitoring plan) – документ, который описывает стратегию, методы, распределение обязанностей и требования к мониторингу клинического исследования;</w:t>
      </w:r>
    </w:p>
    <w:bookmarkEnd w:id="64"/>
    <w:bookmarkStart w:name="z1600" w:id="65"/>
    <w:p>
      <w:pPr>
        <w:spacing w:after="0"/>
        <w:ind w:left="0"/>
        <w:jc w:val="both"/>
      </w:pPr>
      <w:r>
        <w:rPr>
          <w:rFonts w:ascii="Times New Roman"/>
          <w:b w:val="false"/>
          <w:i w:val="false"/>
          <w:color w:val="000000"/>
          <w:sz w:val="28"/>
        </w:rPr>
        <w:t xml:space="preserve">
      1.46. "поправка к протоколу" (protocol amendment) – оформленное в письменном виде описание изменений или официальное разъяснение протокола клинического исследования; </w:t>
      </w:r>
    </w:p>
    <w:bookmarkEnd w:id="65"/>
    <w:bookmarkStart w:name="z1601" w:id="66"/>
    <w:p>
      <w:pPr>
        <w:spacing w:after="0"/>
        <w:ind w:left="0"/>
        <w:jc w:val="both"/>
      </w:pPr>
      <w:r>
        <w:rPr>
          <w:rFonts w:ascii="Times New Roman"/>
          <w:b w:val="false"/>
          <w:i w:val="false"/>
          <w:color w:val="000000"/>
          <w:sz w:val="28"/>
        </w:rPr>
        <w:t>
      1.47. "препарат сравнения" (comparator (product)) – исследуемый или зарегистрированный лекарственный препарат (активный контроль) либо плацебо, используемые для контроля в клиническом исследовании;</w:t>
      </w:r>
    </w:p>
    <w:bookmarkEnd w:id="66"/>
    <w:bookmarkStart w:name="z1602" w:id="67"/>
    <w:p>
      <w:pPr>
        <w:spacing w:after="0"/>
        <w:ind w:left="0"/>
        <w:jc w:val="both"/>
      </w:pPr>
      <w:r>
        <w:rPr>
          <w:rFonts w:ascii="Times New Roman"/>
          <w:b w:val="false"/>
          <w:i w:val="false"/>
          <w:color w:val="000000"/>
          <w:sz w:val="28"/>
        </w:rPr>
        <w:t>
      1.48. "применимые требования" (applicable regulatory requirement(s)) – акты, составляющие право Союза и законодательство государств-членов в сфере обращения лекарственных средств, регулирующие проведение клинических исследований;</w:t>
      </w:r>
    </w:p>
    <w:bookmarkEnd w:id="67"/>
    <w:bookmarkStart w:name="z1603" w:id="68"/>
    <w:p>
      <w:pPr>
        <w:spacing w:after="0"/>
        <w:ind w:left="0"/>
        <w:jc w:val="both"/>
      </w:pPr>
      <w:r>
        <w:rPr>
          <w:rFonts w:ascii="Times New Roman"/>
          <w:b w:val="false"/>
          <w:i w:val="false"/>
          <w:color w:val="000000"/>
          <w:sz w:val="28"/>
        </w:rPr>
        <w:t>
      1.49. "промежуточный отчет о клиническом исследовании" (interim clinical trial (study report)) – отчет о промежуточных результатах и их оценке, основанный на проведенном в ходе клинического исследования анализе данных;</w:t>
      </w:r>
    </w:p>
    <w:bookmarkEnd w:id="68"/>
    <w:bookmarkStart w:name="z1604" w:id="69"/>
    <w:p>
      <w:pPr>
        <w:spacing w:after="0"/>
        <w:ind w:left="0"/>
        <w:jc w:val="both"/>
      </w:pPr>
      <w:r>
        <w:rPr>
          <w:rFonts w:ascii="Times New Roman"/>
          <w:b w:val="false"/>
          <w:i w:val="false"/>
          <w:color w:val="000000"/>
          <w:sz w:val="28"/>
        </w:rPr>
        <w:t>
      1.50. "протокол клинического исследования" (protocol) – документ, описывающий цели, дизайн, методологию, статистические методы и организацию исследования. Помимо этого, протокол клинического исследования обычно содержит полученные ранее данные и обоснование исследования, однако эта информация может быть представлена и в других документах, на которые ссылается протокол клинического исследования. Применительно к настоящим Правилам понятие "протокол" включает в себя как все последующие версии протокола, так и поправки к нему;</w:t>
      </w:r>
    </w:p>
    <w:bookmarkEnd w:id="69"/>
    <w:bookmarkStart w:name="z1605" w:id="70"/>
    <w:p>
      <w:pPr>
        <w:spacing w:after="0"/>
        <w:ind w:left="0"/>
        <w:jc w:val="both"/>
      </w:pPr>
      <w:r>
        <w:rPr>
          <w:rFonts w:ascii="Times New Roman"/>
          <w:b w:val="false"/>
          <w:i w:val="false"/>
          <w:color w:val="000000"/>
          <w:sz w:val="28"/>
        </w:rPr>
        <w:t xml:space="preserve">
      1.51. "прямой доступ" (direct access) – разрешение на проверку, анализ, верификацию и копирование любых записей и отчетов, необходимых для оценки клинического исследования. Лица, имеющие право прямого доступа (например, представители уполномоченных органов государств-членов или уполномоченных органов третьих стран, мониторы и аудиторы спонсора), должны принимать все разумные меры для соблюдения применимых нормативных требований по защите конфиденциальности информации, позволяющей идентифицировать субъектов, и информации, принадлежащей спонсору; </w:t>
      </w:r>
    </w:p>
    <w:bookmarkEnd w:id="70"/>
    <w:bookmarkStart w:name="z1606" w:id="71"/>
    <w:p>
      <w:pPr>
        <w:spacing w:after="0"/>
        <w:ind w:left="0"/>
        <w:jc w:val="both"/>
      </w:pPr>
      <w:r>
        <w:rPr>
          <w:rFonts w:ascii="Times New Roman"/>
          <w:b w:val="false"/>
          <w:i w:val="false"/>
          <w:color w:val="000000"/>
          <w:sz w:val="28"/>
        </w:rPr>
        <w:t>
      1.52. "рандомизация" (randomization) – процесс распределения субъектов исследования по группам лечения или контроля случайным образом, позволяющий свести к минимуму субъективность;</w:t>
      </w:r>
    </w:p>
    <w:bookmarkEnd w:id="71"/>
    <w:bookmarkStart w:name="z1607" w:id="72"/>
    <w:p>
      <w:pPr>
        <w:spacing w:after="0"/>
        <w:ind w:left="0"/>
        <w:jc w:val="both"/>
      </w:pPr>
      <w:r>
        <w:rPr>
          <w:rFonts w:ascii="Times New Roman"/>
          <w:b w:val="false"/>
          <w:i w:val="false"/>
          <w:color w:val="000000"/>
          <w:sz w:val="28"/>
        </w:rPr>
        <w:t>
      1.53. "рутинная клиническая практика" (routine clinical practice) – шаблонные (однотипные) медицинские диагностические и лечебные процедуры, технологии или мероприятия, которые выполняются для данной группы пациентов или данного стандарта оказания медицинской помощи;</w:t>
      </w:r>
    </w:p>
    <w:bookmarkEnd w:id="72"/>
    <w:bookmarkStart w:name="z1608" w:id="73"/>
    <w:p>
      <w:pPr>
        <w:spacing w:after="0"/>
        <w:ind w:left="0"/>
        <w:jc w:val="both"/>
      </w:pPr>
      <w:r>
        <w:rPr>
          <w:rFonts w:ascii="Times New Roman"/>
          <w:b w:val="false"/>
          <w:i w:val="false"/>
          <w:color w:val="000000"/>
          <w:sz w:val="28"/>
        </w:rPr>
        <w:t>
      1.54. "сертификат аудита" (audit certificate) – документ, составленный аудитором в подтверждение факта проведения аудита;</w:t>
      </w:r>
    </w:p>
    <w:bookmarkEnd w:id="73"/>
    <w:bookmarkStart w:name="z1609" w:id="74"/>
    <w:p>
      <w:pPr>
        <w:spacing w:after="0"/>
        <w:ind w:left="0"/>
        <w:jc w:val="both"/>
      </w:pPr>
      <w:r>
        <w:rPr>
          <w:rFonts w:ascii="Times New Roman"/>
          <w:b w:val="false"/>
          <w:i w:val="false"/>
          <w:color w:val="000000"/>
          <w:sz w:val="28"/>
        </w:rPr>
        <w:t xml:space="preserve">
      1.55. "серьезное нежелательное явление", "серьезная нежелательная реакция" (serious adverse event; SAE or serious adverse drug reaction; serious ADR) – неблагоприятное медицинское событие, которое вне зависимости от дозы лекарственного препарата привело к смерти, представляет собой угрозу для жизни, требует госпитализации или ее продления, привело к стойкой или значительной нетрудоспособности или инвалидности или представляет собой врожденную аномалию (врожденный порок развития) и сведения о котором представляются в соответствии с пунктом 1.2.1 приложения № 11 к настоящим Правилам; </w:t>
      </w:r>
    </w:p>
    <w:bookmarkEnd w:id="74"/>
    <w:bookmarkStart w:name="z1610" w:id="75"/>
    <w:p>
      <w:pPr>
        <w:spacing w:after="0"/>
        <w:ind w:left="0"/>
        <w:jc w:val="both"/>
      </w:pPr>
      <w:r>
        <w:rPr>
          <w:rFonts w:ascii="Times New Roman"/>
          <w:b w:val="false"/>
          <w:i w:val="false"/>
          <w:color w:val="000000"/>
          <w:sz w:val="28"/>
        </w:rPr>
        <w:t>
      1.56. "слепой метод (маскировка)" (blinding (masking)) – метод, при применении которого одной или нескольким участвующим в клиническом исследовании сторонам неизвестно, какое лечение назначено субъекту исследования. Простой слепой метод предусматривает неосведомленность субъектов исследования о назначенном им виде лечения, в то время как двойной слепой метод подразумевает неосведомленность в этом субъектов исследования, исследователей, мониторов и в некоторых случаях лиц, выполняющих статистическую обработку данных;</w:t>
      </w:r>
    </w:p>
    <w:bookmarkEnd w:id="75"/>
    <w:bookmarkStart w:name="z1611" w:id="76"/>
    <w:p>
      <w:pPr>
        <w:spacing w:after="0"/>
        <w:ind w:left="0"/>
        <w:jc w:val="both"/>
      </w:pPr>
      <w:r>
        <w:rPr>
          <w:rFonts w:ascii="Times New Roman"/>
          <w:b w:val="false"/>
          <w:i w:val="false"/>
          <w:color w:val="000000"/>
          <w:sz w:val="28"/>
        </w:rPr>
        <w:t>
      1.57. "соблюдение требований (применительно к клиническим исследованиям)" (compliance (in relation to trials)) – соответствие всем связанным с клиническим исследованием требованиям, надлежащей клинической практике и иным применимым требованиям;</w:t>
      </w:r>
    </w:p>
    <w:bookmarkEnd w:id="76"/>
    <w:bookmarkStart w:name="z1612" w:id="77"/>
    <w:p>
      <w:pPr>
        <w:spacing w:after="0"/>
        <w:ind w:left="0"/>
        <w:jc w:val="both"/>
      </w:pPr>
      <w:r>
        <w:rPr>
          <w:rFonts w:ascii="Times New Roman"/>
          <w:b w:val="false"/>
          <w:i w:val="false"/>
          <w:color w:val="000000"/>
          <w:sz w:val="28"/>
        </w:rPr>
        <w:t xml:space="preserve">
      1.58. "соисследователь (subinvestigator)" – любой член исследовательского коллектива, назначенный исследователем и (или) осуществляющий под его контролем значимые процедуры клинического исследования в исследовательском центре и (или) принимающий важные решения, связанные с исследованием (например, интерн, ординатор, научный сотрудник); </w:t>
      </w:r>
    </w:p>
    <w:bookmarkEnd w:id="77"/>
    <w:bookmarkStart w:name="z1613" w:id="78"/>
    <w:p>
      <w:pPr>
        <w:spacing w:after="0"/>
        <w:ind w:left="0"/>
        <w:jc w:val="both"/>
      </w:pPr>
      <w:r>
        <w:rPr>
          <w:rFonts w:ascii="Times New Roman"/>
          <w:b w:val="false"/>
          <w:i w:val="false"/>
          <w:color w:val="000000"/>
          <w:sz w:val="28"/>
        </w:rPr>
        <w:t>
      1.59. "спонсор" (sponsor) – физическое или юридическое лицо, отвечающее за инициацию, организацию и обеспечение финансирования клинического исследования;</w:t>
      </w:r>
    </w:p>
    <w:bookmarkEnd w:id="78"/>
    <w:bookmarkStart w:name="z1614" w:id="79"/>
    <w:p>
      <w:pPr>
        <w:spacing w:after="0"/>
        <w:ind w:left="0"/>
        <w:jc w:val="both"/>
      </w:pPr>
      <w:r>
        <w:rPr>
          <w:rFonts w:ascii="Times New Roman"/>
          <w:b w:val="false"/>
          <w:i w:val="false"/>
          <w:color w:val="000000"/>
          <w:sz w:val="28"/>
        </w:rPr>
        <w:t>
      1.60. "спонсор-исследователь" (sponsor-investigator) – физическое лицо, которое самостоятельно или совместно с другими лицами инициирует и проводит клиническое исследование и под непосредственным руководством которого исследуемый препарат либо назначается, либо выдается субъекту исследования, либо принимается им. Обязанности спонсора-исследователя включают в себя обязанности как спонсора, так и исследователя;</w:t>
      </w:r>
    </w:p>
    <w:bookmarkEnd w:id="79"/>
    <w:bookmarkStart w:name="z1615" w:id="80"/>
    <w:p>
      <w:pPr>
        <w:spacing w:after="0"/>
        <w:ind w:left="0"/>
        <w:jc w:val="both"/>
      </w:pPr>
      <w:r>
        <w:rPr>
          <w:rFonts w:ascii="Times New Roman"/>
          <w:b w:val="false"/>
          <w:i w:val="false"/>
          <w:color w:val="000000"/>
          <w:sz w:val="28"/>
        </w:rPr>
        <w:t>
      1.61. "стандартные операционные процедуры", "СОП" (standard operating procedures; SOPs) – подробные письменные инструкции, предназначенные для достижения единообразия при осуществлении определенной деятельности;</w:t>
      </w:r>
    </w:p>
    <w:bookmarkEnd w:id="80"/>
    <w:bookmarkStart w:name="z1616" w:id="81"/>
    <w:p>
      <w:pPr>
        <w:spacing w:after="0"/>
        <w:ind w:left="0"/>
        <w:jc w:val="both"/>
      </w:pPr>
      <w:r>
        <w:rPr>
          <w:rFonts w:ascii="Times New Roman"/>
          <w:b w:val="false"/>
          <w:i w:val="false"/>
          <w:color w:val="000000"/>
          <w:sz w:val="28"/>
        </w:rPr>
        <w:t>
      1.62. "субъект (субъект исследования)" (subject (trial subject)) – физическое лицо, участвующее в клиническом исследовании в составе группы, получающей исследуемый препарат, либо в составе контрольной группы;</w:t>
      </w:r>
    </w:p>
    <w:bookmarkEnd w:id="81"/>
    <w:bookmarkStart w:name="z1617" w:id="82"/>
    <w:p>
      <w:pPr>
        <w:spacing w:after="0"/>
        <w:ind w:left="0"/>
        <w:jc w:val="both"/>
      </w:pPr>
      <w:r>
        <w:rPr>
          <w:rFonts w:ascii="Times New Roman"/>
          <w:b w:val="false"/>
          <w:i w:val="false"/>
          <w:color w:val="000000"/>
          <w:sz w:val="28"/>
        </w:rPr>
        <w:t>
      1.63. "уполномоченные органы" (regulatory authorities) – органы государств-членов и третьих стран, обладающие правом осуществлять регулирующие функции, в том числе уполномоченные на рассмотрение представленных им клинических данных, а также проведение инспекции;</w:t>
      </w:r>
    </w:p>
    <w:bookmarkEnd w:id="82"/>
    <w:bookmarkStart w:name="z1618" w:id="83"/>
    <w:p>
      <w:pPr>
        <w:spacing w:after="0"/>
        <w:ind w:left="0"/>
        <w:jc w:val="both"/>
      </w:pPr>
      <w:r>
        <w:rPr>
          <w:rFonts w:ascii="Times New Roman"/>
          <w:b w:val="false"/>
          <w:i w:val="false"/>
          <w:color w:val="000000"/>
          <w:sz w:val="28"/>
        </w:rPr>
        <w:t>
      1.64. "уязвимые субъекты исследования" (vulnerable subjects) – лица, на желание которых участвовать в клиническом исследовании может оказать чрезмерное влияние ожидание (обоснованное или необоснованное) тех или иных преимуществ, связанных с участием в исследовании, или санкции вышестоящих лиц в случае отказа от участия. К уязвимым субъектам исследования относятся учащиеся высших и средних медицинских (стоматологических) и фармацевтических учебных заведений, младший персонал клиник и лабораторий, служащие фармацевтических компаний, военнослужащие, заключенные, а также больные, страдающие неизлечимыми заболеваниями, лица, находящиеся в домах по уходу, малообеспеченные и безработные, пациенты, находящиеся в неотложном состоянии, представители национальных меньшинств, лица без определенного места жительства, беженцы, несовершеннолетние и лица, находящиеся под опекой или попечительством, а также лица, неспособные дать согласие;</w:t>
      </w:r>
    </w:p>
    <w:bookmarkEnd w:id="83"/>
    <w:bookmarkStart w:name="z1619" w:id="84"/>
    <w:p>
      <w:pPr>
        <w:spacing w:after="0"/>
        <w:ind w:left="0"/>
        <w:jc w:val="both"/>
      </w:pPr>
      <w:r>
        <w:rPr>
          <w:rFonts w:ascii="Times New Roman"/>
          <w:b w:val="false"/>
          <w:i w:val="false"/>
          <w:color w:val="000000"/>
          <w:sz w:val="28"/>
        </w:rPr>
        <w:t xml:space="preserve">
      1.65. "экспертный совет организации", "ЭСО" (Institutional Review Board, IRB) – независимый орган, состоящий из лиц, работающих в области медицины, науки, а также не имеющих отношения к науке, который обеспечивает защиту прав, безопасности и благополучия субъектов исследования, в том числе путем рассмотрения, утверждения (одобрения) протокола клинического исследования и поправок к нему, а также материалов и методов, которые предполагается использовать для получения и документирования информированного согласия субъектов исследования. </w:t>
      </w:r>
    </w:p>
    <w:bookmarkEnd w:id="84"/>
    <w:bookmarkStart w:name="z1620" w:id="85"/>
    <w:p>
      <w:pPr>
        <w:spacing w:after="0"/>
        <w:ind w:left="0"/>
        <w:jc w:val="left"/>
      </w:pPr>
      <w:r>
        <w:rPr>
          <w:rFonts w:ascii="Times New Roman"/>
          <w:b/>
          <w:i w:val="false"/>
          <w:color w:val="000000"/>
        </w:rPr>
        <w:t xml:space="preserve"> 2. Принципы надлежащей клинической практики</w:t>
      </w:r>
    </w:p>
    <w:bookmarkEnd w:id="85"/>
    <w:bookmarkStart w:name="z1621" w:id="86"/>
    <w:p>
      <w:pPr>
        <w:spacing w:after="0"/>
        <w:ind w:left="0"/>
        <w:jc w:val="both"/>
      </w:pPr>
      <w:r>
        <w:rPr>
          <w:rFonts w:ascii="Times New Roman"/>
          <w:b w:val="false"/>
          <w:i w:val="false"/>
          <w:color w:val="000000"/>
          <w:sz w:val="28"/>
        </w:rPr>
        <w:t>
      2.1. Клинические исследования должны проводиться в соответствии с этическими принципами, заложенными Хельсинской декларацией, принятой на XVIII Генеральной ассамблее Всемирной медицинской ассоциации в 1964 году, и отраженными в настоящих Правилах и применимых требованиях.</w:t>
      </w:r>
    </w:p>
    <w:bookmarkEnd w:id="86"/>
    <w:bookmarkStart w:name="z1622" w:id="87"/>
    <w:p>
      <w:pPr>
        <w:spacing w:after="0"/>
        <w:ind w:left="0"/>
        <w:jc w:val="both"/>
      </w:pPr>
      <w:r>
        <w:rPr>
          <w:rFonts w:ascii="Times New Roman"/>
          <w:b w:val="false"/>
          <w:i w:val="false"/>
          <w:color w:val="000000"/>
          <w:sz w:val="28"/>
        </w:rPr>
        <w:t>
      2.2. До начала исследования должна быть проведена оценка соотношения предвидимого (предсказуемого) риска и неудобств с ожидаемой пользой для субъекта исследования и общества. Исследование может быть начато и продолжено только в том случае, если ожидаемая польза оправдывает риск.</w:t>
      </w:r>
    </w:p>
    <w:bookmarkEnd w:id="87"/>
    <w:bookmarkStart w:name="z1623" w:id="88"/>
    <w:p>
      <w:pPr>
        <w:spacing w:after="0"/>
        <w:ind w:left="0"/>
        <w:jc w:val="both"/>
      </w:pPr>
      <w:r>
        <w:rPr>
          <w:rFonts w:ascii="Times New Roman"/>
          <w:b w:val="false"/>
          <w:i w:val="false"/>
          <w:color w:val="000000"/>
          <w:sz w:val="28"/>
        </w:rPr>
        <w:t>
      2.3. Права, безопасность и благополучие субъектов исследования имеют первостепенное значение и должны превалировать над интересами науки и общества.</w:t>
      </w:r>
    </w:p>
    <w:bookmarkEnd w:id="88"/>
    <w:bookmarkStart w:name="z1624" w:id="89"/>
    <w:p>
      <w:pPr>
        <w:spacing w:after="0"/>
        <w:ind w:left="0"/>
        <w:jc w:val="both"/>
      </w:pPr>
      <w:r>
        <w:rPr>
          <w:rFonts w:ascii="Times New Roman"/>
          <w:b w:val="false"/>
          <w:i w:val="false"/>
          <w:color w:val="000000"/>
          <w:sz w:val="28"/>
        </w:rPr>
        <w:t>
      2.4. Информация (доклиническая и клиническая) об исследуемом препарате должна быть достаточной для обоснования предполагаемого клинического исследования.</w:t>
      </w:r>
    </w:p>
    <w:bookmarkEnd w:id="89"/>
    <w:bookmarkStart w:name="z1625" w:id="90"/>
    <w:p>
      <w:pPr>
        <w:spacing w:after="0"/>
        <w:ind w:left="0"/>
        <w:jc w:val="both"/>
      </w:pPr>
      <w:r>
        <w:rPr>
          <w:rFonts w:ascii="Times New Roman"/>
          <w:b w:val="false"/>
          <w:i w:val="false"/>
          <w:color w:val="000000"/>
          <w:sz w:val="28"/>
        </w:rPr>
        <w:t>
      2.5. Клинические исследования должны соответствовать научным требованиям и должны быть четко и подробно описаны в протоколе клинического исследования.</w:t>
      </w:r>
    </w:p>
    <w:bookmarkEnd w:id="90"/>
    <w:bookmarkStart w:name="z1626" w:id="91"/>
    <w:p>
      <w:pPr>
        <w:spacing w:after="0"/>
        <w:ind w:left="0"/>
        <w:jc w:val="both"/>
      </w:pPr>
      <w:r>
        <w:rPr>
          <w:rFonts w:ascii="Times New Roman"/>
          <w:b w:val="false"/>
          <w:i w:val="false"/>
          <w:color w:val="000000"/>
          <w:sz w:val="28"/>
        </w:rPr>
        <w:t>
      2.6. Клиническое исследование должно проводиться в соответствии с протоколом, утвержденным (одобренным) экспертным советом организации (независимым этическим комитетом (НЭК)).</w:t>
      </w:r>
    </w:p>
    <w:bookmarkEnd w:id="91"/>
    <w:bookmarkStart w:name="z1627" w:id="92"/>
    <w:p>
      <w:pPr>
        <w:spacing w:after="0"/>
        <w:ind w:left="0"/>
        <w:jc w:val="both"/>
      </w:pPr>
      <w:r>
        <w:rPr>
          <w:rFonts w:ascii="Times New Roman"/>
          <w:b w:val="false"/>
          <w:i w:val="false"/>
          <w:color w:val="000000"/>
          <w:sz w:val="28"/>
        </w:rPr>
        <w:t>
      2.7. Ответственность за оказываемую субъекту исследования медицинскую помощь и принятие решений медицинского характера несет врач.</w:t>
      </w:r>
    </w:p>
    <w:bookmarkEnd w:id="92"/>
    <w:bookmarkStart w:name="z1628" w:id="93"/>
    <w:p>
      <w:pPr>
        <w:spacing w:after="0"/>
        <w:ind w:left="0"/>
        <w:jc w:val="both"/>
      </w:pPr>
      <w:r>
        <w:rPr>
          <w:rFonts w:ascii="Times New Roman"/>
          <w:b w:val="false"/>
          <w:i w:val="false"/>
          <w:color w:val="000000"/>
          <w:sz w:val="28"/>
        </w:rPr>
        <w:t>
      2.8. Все проводящие исследование лица должны иметь соответствующие образование, подготовку и опыт для выполнения возложенных на них задач.</w:t>
      </w:r>
    </w:p>
    <w:bookmarkEnd w:id="93"/>
    <w:bookmarkStart w:name="z1629" w:id="94"/>
    <w:p>
      <w:pPr>
        <w:spacing w:after="0"/>
        <w:ind w:left="0"/>
        <w:jc w:val="both"/>
      </w:pPr>
      <w:r>
        <w:rPr>
          <w:rFonts w:ascii="Times New Roman"/>
          <w:b w:val="false"/>
          <w:i w:val="false"/>
          <w:color w:val="000000"/>
          <w:sz w:val="28"/>
        </w:rPr>
        <w:t>
      2.9. Добровольное информированное согласие должно быть получено у каждого субъекта до его включения в исследование.</w:t>
      </w:r>
    </w:p>
    <w:bookmarkEnd w:id="94"/>
    <w:bookmarkStart w:name="z1630" w:id="95"/>
    <w:p>
      <w:pPr>
        <w:spacing w:after="0"/>
        <w:ind w:left="0"/>
        <w:jc w:val="both"/>
      </w:pPr>
      <w:r>
        <w:rPr>
          <w:rFonts w:ascii="Times New Roman"/>
          <w:b w:val="false"/>
          <w:i w:val="false"/>
          <w:color w:val="000000"/>
          <w:sz w:val="28"/>
        </w:rPr>
        <w:t>
      2.10. Всю полученную при проведении клинического исследования информацию необходимо регистрировать, передавать и хранить таким образом, чтобы обеспечить точность и правильность ее представления, интерпретации и верификации.</w:t>
      </w:r>
    </w:p>
    <w:bookmarkEnd w:id="95"/>
    <w:bookmarkStart w:name="z1631" w:id="96"/>
    <w:p>
      <w:pPr>
        <w:spacing w:after="0"/>
        <w:ind w:left="0"/>
        <w:jc w:val="both"/>
      </w:pPr>
      <w:r>
        <w:rPr>
          <w:rFonts w:ascii="Times New Roman"/>
          <w:b w:val="false"/>
          <w:i w:val="false"/>
          <w:color w:val="000000"/>
          <w:sz w:val="28"/>
        </w:rPr>
        <w:t>
      Этот принцип применим ко всем записям, предусмотренным настоящими Правилами, вне зависимости от типа используемого носителя.</w:t>
      </w:r>
    </w:p>
    <w:bookmarkEnd w:id="96"/>
    <w:bookmarkStart w:name="z1632" w:id="97"/>
    <w:p>
      <w:pPr>
        <w:spacing w:after="0"/>
        <w:ind w:left="0"/>
        <w:jc w:val="both"/>
      </w:pPr>
      <w:r>
        <w:rPr>
          <w:rFonts w:ascii="Times New Roman"/>
          <w:b w:val="false"/>
          <w:i w:val="false"/>
          <w:color w:val="000000"/>
          <w:sz w:val="28"/>
        </w:rPr>
        <w:t>
      2.11. Конфиденциальность записей, позволяющих идентифицировать субъектов исследования, должна быть обеспечена в целях соблюдения права на частную жизнь и защиту конфиденциальности в соответствии с применимыми требованиями.</w:t>
      </w:r>
    </w:p>
    <w:bookmarkEnd w:id="97"/>
    <w:bookmarkStart w:name="z1633" w:id="98"/>
    <w:p>
      <w:pPr>
        <w:spacing w:after="0"/>
        <w:ind w:left="0"/>
        <w:jc w:val="both"/>
      </w:pPr>
      <w:r>
        <w:rPr>
          <w:rFonts w:ascii="Times New Roman"/>
          <w:b w:val="false"/>
          <w:i w:val="false"/>
          <w:color w:val="000000"/>
          <w:sz w:val="28"/>
        </w:rPr>
        <w:t>
      2.12. Производство и хранение исследуемых лекарственных препаратов, а также обращение с ними необходимо осуществлять в соответствии с правилами надлежащей производственной практики. Исследуемые препараты должны применяться в соответствии с утвержденным протоколом.</w:t>
      </w:r>
    </w:p>
    <w:bookmarkEnd w:id="98"/>
    <w:bookmarkStart w:name="z1634" w:id="99"/>
    <w:p>
      <w:pPr>
        <w:spacing w:after="0"/>
        <w:ind w:left="0"/>
        <w:jc w:val="both"/>
      </w:pPr>
      <w:r>
        <w:rPr>
          <w:rFonts w:ascii="Times New Roman"/>
          <w:b w:val="false"/>
          <w:i w:val="false"/>
          <w:color w:val="000000"/>
          <w:sz w:val="28"/>
        </w:rPr>
        <w:t>
      2.13. Необходимо внедрить системы с процедурами, которые обеспечивают качество каждого аспекта клинического исследования.</w:t>
      </w:r>
    </w:p>
    <w:bookmarkEnd w:id="99"/>
    <w:bookmarkStart w:name="z1635" w:id="100"/>
    <w:p>
      <w:pPr>
        <w:spacing w:after="0"/>
        <w:ind w:left="0"/>
        <w:jc w:val="both"/>
      </w:pPr>
      <w:r>
        <w:rPr>
          <w:rFonts w:ascii="Times New Roman"/>
          <w:b w:val="false"/>
          <w:i w:val="false"/>
          <w:color w:val="000000"/>
          <w:sz w:val="28"/>
        </w:rPr>
        <w:t>
      Такие системы должны фокусироваться на тех аспектах клинического исследования, которые обеспечивают защиту субъектов исследования и достоверность его результатов.</w:t>
      </w:r>
    </w:p>
    <w:bookmarkEnd w:id="100"/>
    <w:bookmarkStart w:name="z1636" w:id="101"/>
    <w:p>
      <w:pPr>
        <w:spacing w:after="0"/>
        <w:ind w:left="0"/>
        <w:jc w:val="left"/>
      </w:pPr>
      <w:r>
        <w:rPr>
          <w:rFonts w:ascii="Times New Roman"/>
          <w:b/>
          <w:i w:val="false"/>
          <w:color w:val="000000"/>
        </w:rPr>
        <w:t xml:space="preserve"> 3. Экспертный совет организации (независимый этический комитет) (ЭСО (НЭК))</w:t>
      </w:r>
    </w:p>
    <w:bookmarkEnd w:id="101"/>
    <w:bookmarkStart w:name="z1637" w:id="102"/>
    <w:p>
      <w:pPr>
        <w:spacing w:after="0"/>
        <w:ind w:left="0"/>
        <w:jc w:val="both"/>
      </w:pPr>
      <w:r>
        <w:rPr>
          <w:rFonts w:ascii="Times New Roman"/>
          <w:b w:val="false"/>
          <w:i w:val="false"/>
          <w:color w:val="000000"/>
          <w:sz w:val="28"/>
        </w:rPr>
        <w:t>
      3.1. Обязанности.</w:t>
      </w:r>
    </w:p>
    <w:bookmarkEnd w:id="102"/>
    <w:bookmarkStart w:name="z1638" w:id="103"/>
    <w:p>
      <w:pPr>
        <w:spacing w:after="0"/>
        <w:ind w:left="0"/>
        <w:jc w:val="both"/>
      </w:pPr>
      <w:r>
        <w:rPr>
          <w:rFonts w:ascii="Times New Roman"/>
          <w:b w:val="false"/>
          <w:i w:val="false"/>
          <w:color w:val="000000"/>
          <w:sz w:val="28"/>
        </w:rPr>
        <w:t>
      3.1.1. Экспертный совет организации (независимый этический комитет) призван защищать права, безопасность и благополучие всех субъектов исследования. Исследованиям с участием уязвимых субъектов должно быть уделено особое внимание.</w:t>
      </w:r>
    </w:p>
    <w:bookmarkEnd w:id="103"/>
    <w:bookmarkStart w:name="z1639" w:id="104"/>
    <w:p>
      <w:pPr>
        <w:spacing w:after="0"/>
        <w:ind w:left="0"/>
        <w:jc w:val="both"/>
      </w:pPr>
      <w:r>
        <w:rPr>
          <w:rFonts w:ascii="Times New Roman"/>
          <w:b w:val="false"/>
          <w:i w:val="false"/>
          <w:color w:val="000000"/>
          <w:sz w:val="28"/>
        </w:rPr>
        <w:t>
      3.1.2. ЭСО (НЭК) должен получить на рассмотрение следующие документы:</w:t>
      </w:r>
    </w:p>
    <w:bookmarkEnd w:id="104"/>
    <w:bookmarkStart w:name="z1640" w:id="105"/>
    <w:p>
      <w:pPr>
        <w:spacing w:after="0"/>
        <w:ind w:left="0"/>
        <w:jc w:val="both"/>
      </w:pPr>
      <w:r>
        <w:rPr>
          <w:rFonts w:ascii="Times New Roman"/>
          <w:b w:val="false"/>
          <w:i w:val="false"/>
          <w:color w:val="000000"/>
          <w:sz w:val="28"/>
        </w:rPr>
        <w:t xml:space="preserve">
      протокол (поправки к протоколу); </w:t>
      </w:r>
    </w:p>
    <w:bookmarkEnd w:id="105"/>
    <w:bookmarkStart w:name="z1641" w:id="106"/>
    <w:p>
      <w:pPr>
        <w:spacing w:after="0"/>
        <w:ind w:left="0"/>
        <w:jc w:val="both"/>
      </w:pPr>
      <w:r>
        <w:rPr>
          <w:rFonts w:ascii="Times New Roman"/>
          <w:b w:val="false"/>
          <w:i w:val="false"/>
          <w:color w:val="000000"/>
          <w:sz w:val="28"/>
        </w:rPr>
        <w:t>
      письменную форму информированного согласия и ее последующие редакции, предлагаемые исследователем для использования в исследовании;</w:t>
      </w:r>
    </w:p>
    <w:bookmarkEnd w:id="106"/>
    <w:bookmarkStart w:name="z1642" w:id="107"/>
    <w:p>
      <w:pPr>
        <w:spacing w:after="0"/>
        <w:ind w:left="0"/>
        <w:jc w:val="both"/>
      </w:pPr>
      <w:r>
        <w:rPr>
          <w:rFonts w:ascii="Times New Roman"/>
          <w:b w:val="false"/>
          <w:i w:val="false"/>
          <w:color w:val="000000"/>
          <w:sz w:val="28"/>
        </w:rPr>
        <w:t>
      описание действий, направленных на привлечение субъектов к участию в исследовании (например, рекламные объявления);</w:t>
      </w:r>
    </w:p>
    <w:bookmarkEnd w:id="107"/>
    <w:bookmarkStart w:name="z1643" w:id="108"/>
    <w:p>
      <w:pPr>
        <w:spacing w:after="0"/>
        <w:ind w:left="0"/>
        <w:jc w:val="both"/>
      </w:pPr>
      <w:r>
        <w:rPr>
          <w:rFonts w:ascii="Times New Roman"/>
          <w:b w:val="false"/>
          <w:i w:val="false"/>
          <w:color w:val="000000"/>
          <w:sz w:val="28"/>
        </w:rPr>
        <w:t>
      письменные материалы, которые будут представлены субъектам исследования;</w:t>
      </w:r>
    </w:p>
    <w:bookmarkEnd w:id="108"/>
    <w:bookmarkStart w:name="z1644" w:id="109"/>
    <w:p>
      <w:pPr>
        <w:spacing w:after="0"/>
        <w:ind w:left="0"/>
        <w:jc w:val="both"/>
      </w:pPr>
      <w:r>
        <w:rPr>
          <w:rFonts w:ascii="Times New Roman"/>
          <w:b w:val="false"/>
          <w:i w:val="false"/>
          <w:color w:val="000000"/>
          <w:sz w:val="28"/>
        </w:rPr>
        <w:t>
      брошюру исследователя;</w:t>
      </w:r>
    </w:p>
    <w:bookmarkEnd w:id="109"/>
    <w:bookmarkStart w:name="z1645" w:id="110"/>
    <w:p>
      <w:pPr>
        <w:spacing w:after="0"/>
        <w:ind w:left="0"/>
        <w:jc w:val="both"/>
      </w:pPr>
      <w:r>
        <w:rPr>
          <w:rFonts w:ascii="Times New Roman"/>
          <w:b w:val="false"/>
          <w:i w:val="false"/>
          <w:color w:val="000000"/>
          <w:sz w:val="28"/>
        </w:rPr>
        <w:t>
      известную информацию, касающуюся безопасности;</w:t>
      </w:r>
    </w:p>
    <w:bookmarkEnd w:id="110"/>
    <w:bookmarkStart w:name="z1646" w:id="111"/>
    <w:p>
      <w:pPr>
        <w:spacing w:after="0"/>
        <w:ind w:left="0"/>
        <w:jc w:val="both"/>
      </w:pPr>
      <w:r>
        <w:rPr>
          <w:rFonts w:ascii="Times New Roman"/>
          <w:b w:val="false"/>
          <w:i w:val="false"/>
          <w:color w:val="000000"/>
          <w:sz w:val="28"/>
        </w:rPr>
        <w:t>
      информацию о выплатах и компенсациях субъектам исследования;</w:t>
      </w:r>
    </w:p>
    <w:bookmarkEnd w:id="111"/>
    <w:bookmarkStart w:name="z1647" w:id="112"/>
    <w:p>
      <w:pPr>
        <w:spacing w:after="0"/>
        <w:ind w:left="0"/>
        <w:jc w:val="both"/>
      </w:pPr>
      <w:r>
        <w:rPr>
          <w:rFonts w:ascii="Times New Roman"/>
          <w:b w:val="false"/>
          <w:i w:val="false"/>
          <w:color w:val="000000"/>
          <w:sz w:val="28"/>
        </w:rPr>
        <w:t>
      текущую редакцию резюме исследователя (curriculum vitae) и (или) другие материалы, подтверждающие его квалификацию;</w:t>
      </w:r>
    </w:p>
    <w:bookmarkEnd w:id="112"/>
    <w:bookmarkStart w:name="z1648" w:id="113"/>
    <w:p>
      <w:pPr>
        <w:spacing w:after="0"/>
        <w:ind w:left="0"/>
        <w:jc w:val="both"/>
      </w:pPr>
      <w:r>
        <w:rPr>
          <w:rFonts w:ascii="Times New Roman"/>
          <w:b w:val="false"/>
          <w:i w:val="false"/>
          <w:color w:val="000000"/>
          <w:sz w:val="28"/>
        </w:rPr>
        <w:t>
      другие документы, которые могут потребоваться ЭСО (НЭК) для выполнения его обязанностей.</w:t>
      </w:r>
    </w:p>
    <w:bookmarkEnd w:id="113"/>
    <w:bookmarkStart w:name="z1649" w:id="114"/>
    <w:p>
      <w:pPr>
        <w:spacing w:after="0"/>
        <w:ind w:left="0"/>
        <w:jc w:val="both"/>
      </w:pPr>
      <w:r>
        <w:rPr>
          <w:rFonts w:ascii="Times New Roman"/>
          <w:b w:val="false"/>
          <w:i w:val="false"/>
          <w:color w:val="000000"/>
          <w:sz w:val="28"/>
        </w:rPr>
        <w:t>
      ЭСО (НЭК) должен рассмотреть вопрос о проведении предлагаемого клинического исследования в соответствующие сроки и дать заключение в письменном виде, четко идентифицируя исследование, рассмотренные документы и даты при принятии следующих возможных решений:</w:t>
      </w:r>
    </w:p>
    <w:bookmarkEnd w:id="114"/>
    <w:bookmarkStart w:name="z1650" w:id="115"/>
    <w:p>
      <w:pPr>
        <w:spacing w:after="0"/>
        <w:ind w:left="0"/>
        <w:jc w:val="both"/>
      </w:pPr>
      <w:r>
        <w:rPr>
          <w:rFonts w:ascii="Times New Roman"/>
          <w:b w:val="false"/>
          <w:i w:val="false"/>
          <w:color w:val="000000"/>
          <w:sz w:val="28"/>
        </w:rPr>
        <w:t>
      одобрение (выдача заключения) на проведение исследования;</w:t>
      </w:r>
    </w:p>
    <w:bookmarkEnd w:id="115"/>
    <w:bookmarkStart w:name="z1651" w:id="116"/>
    <w:p>
      <w:pPr>
        <w:spacing w:after="0"/>
        <w:ind w:left="0"/>
        <w:jc w:val="both"/>
      </w:pPr>
      <w:r>
        <w:rPr>
          <w:rFonts w:ascii="Times New Roman"/>
          <w:b w:val="false"/>
          <w:i w:val="false"/>
          <w:color w:val="000000"/>
          <w:sz w:val="28"/>
        </w:rPr>
        <w:t>
      требование о внесении изменений в представленную документацию до получения одобрения (выдачи заключения) на проведение исследования;</w:t>
      </w:r>
    </w:p>
    <w:bookmarkEnd w:id="116"/>
    <w:bookmarkStart w:name="z1652" w:id="117"/>
    <w:p>
      <w:pPr>
        <w:spacing w:after="0"/>
        <w:ind w:left="0"/>
        <w:jc w:val="both"/>
      </w:pPr>
      <w:r>
        <w:rPr>
          <w:rFonts w:ascii="Times New Roman"/>
          <w:b w:val="false"/>
          <w:i w:val="false"/>
          <w:color w:val="000000"/>
          <w:sz w:val="28"/>
        </w:rPr>
        <w:t>
      отказ в одобрении (выдаче заключения) на проведение исследования;</w:t>
      </w:r>
    </w:p>
    <w:bookmarkEnd w:id="117"/>
    <w:bookmarkStart w:name="z1653" w:id="118"/>
    <w:p>
      <w:pPr>
        <w:spacing w:after="0"/>
        <w:ind w:left="0"/>
        <w:jc w:val="both"/>
      </w:pPr>
      <w:r>
        <w:rPr>
          <w:rFonts w:ascii="Times New Roman"/>
          <w:b w:val="false"/>
          <w:i w:val="false"/>
          <w:color w:val="000000"/>
          <w:sz w:val="28"/>
        </w:rPr>
        <w:t>
      отмена (приостановка) сделанного ранее одобрения (выданного заключения) на проведение исследования.</w:t>
      </w:r>
    </w:p>
    <w:bookmarkEnd w:id="118"/>
    <w:bookmarkStart w:name="z1654" w:id="119"/>
    <w:p>
      <w:pPr>
        <w:spacing w:after="0"/>
        <w:ind w:left="0"/>
        <w:jc w:val="both"/>
      </w:pPr>
      <w:r>
        <w:rPr>
          <w:rFonts w:ascii="Times New Roman"/>
          <w:b w:val="false"/>
          <w:i w:val="false"/>
          <w:color w:val="000000"/>
          <w:sz w:val="28"/>
        </w:rPr>
        <w:t>
      3.1.3. ЭСО (НЭК) должен оценить соответствие квалификации исследователя предлагаемому исследованию на основании текущей редакции резюме исследователя (curriculum vitae) и (или) другой соответствующей документации, запрошенной ЭСО (НЭК).</w:t>
      </w:r>
    </w:p>
    <w:bookmarkEnd w:id="119"/>
    <w:bookmarkStart w:name="z1655" w:id="120"/>
    <w:p>
      <w:pPr>
        <w:spacing w:after="0"/>
        <w:ind w:left="0"/>
        <w:jc w:val="both"/>
      </w:pPr>
      <w:r>
        <w:rPr>
          <w:rFonts w:ascii="Times New Roman"/>
          <w:b w:val="false"/>
          <w:i w:val="false"/>
          <w:color w:val="000000"/>
          <w:sz w:val="28"/>
        </w:rPr>
        <w:t>
      3.1.4. ЭСО (НЭК) должен периодически рассматривать документацию по каждому текущему исследованию с частотой, зависящей от степени риска, которому подвергаются субъекты исследования, но не реже 1 раза в год.</w:t>
      </w:r>
    </w:p>
    <w:bookmarkEnd w:id="120"/>
    <w:bookmarkStart w:name="z1656" w:id="121"/>
    <w:p>
      <w:pPr>
        <w:spacing w:after="0"/>
        <w:ind w:left="0"/>
        <w:jc w:val="both"/>
      </w:pPr>
      <w:r>
        <w:rPr>
          <w:rFonts w:ascii="Times New Roman"/>
          <w:b w:val="false"/>
          <w:i w:val="false"/>
          <w:color w:val="000000"/>
          <w:sz w:val="28"/>
        </w:rPr>
        <w:t>
      3.1.5. ЭСО (НЭК) может потребовать, чтобы субъектам исследования, помимо информации, указанной в пункте 4.8.10 настоящих Правил, были представлены дополнительные сведения об исследовании, если, по мнению ЭСО (НЭК), это необходимо для защиты прав и здоровья субъектов исследования, а также для гарантии их безопасности.</w:t>
      </w:r>
    </w:p>
    <w:bookmarkEnd w:id="121"/>
    <w:bookmarkStart w:name="z1657" w:id="122"/>
    <w:p>
      <w:pPr>
        <w:spacing w:after="0"/>
        <w:ind w:left="0"/>
        <w:jc w:val="both"/>
      </w:pPr>
      <w:r>
        <w:rPr>
          <w:rFonts w:ascii="Times New Roman"/>
          <w:b w:val="false"/>
          <w:i w:val="false"/>
          <w:color w:val="000000"/>
          <w:sz w:val="28"/>
        </w:rPr>
        <w:t>
      3.1.6. В случае если согласие на участие субъекта в исследовании, не связанном с лечением, дает его законный представитель в соответствии с пунктами 4.8.12 и 4.8.14 настоящих Правил, ЭСО (НЭК) должен убедиться, что представленный протокол и (или) другая документация соответствуют этическим и другим применимым требованиям к подобным клиническим исследованиям.</w:t>
      </w:r>
    </w:p>
    <w:bookmarkEnd w:id="122"/>
    <w:bookmarkStart w:name="z1658" w:id="123"/>
    <w:p>
      <w:pPr>
        <w:spacing w:after="0"/>
        <w:ind w:left="0"/>
        <w:jc w:val="both"/>
      </w:pPr>
      <w:r>
        <w:rPr>
          <w:rFonts w:ascii="Times New Roman"/>
          <w:b w:val="false"/>
          <w:i w:val="false"/>
          <w:color w:val="000000"/>
          <w:sz w:val="28"/>
        </w:rPr>
        <w:t>
      3.1.7. В случае если в протоколе указывается на невозможность получения согласия на участие в исследовании от субъекта исследования или его законного представителя в соответствии с пунктом 4.8.15 настоящих Правил до момента включения субъекта в исследование (например, при неотложном состоянии), ЭСО (НЭК) должен убедиться в том, что представленный протокол и (или) другая документация соответствуют этическим и другим применимым требованиям к подобным клиническим исследованиям.</w:t>
      </w:r>
    </w:p>
    <w:bookmarkEnd w:id="123"/>
    <w:bookmarkStart w:name="z1659" w:id="124"/>
    <w:p>
      <w:pPr>
        <w:spacing w:after="0"/>
        <w:ind w:left="0"/>
        <w:jc w:val="both"/>
      </w:pPr>
      <w:r>
        <w:rPr>
          <w:rFonts w:ascii="Times New Roman"/>
          <w:b w:val="false"/>
          <w:i w:val="false"/>
          <w:color w:val="000000"/>
          <w:sz w:val="28"/>
        </w:rPr>
        <w:t>
      3.1.8. ЭСО (НЭК) рассматривает размер и порядок выплат субъекту исследования, чтобы убедиться в отсутствии необоснованной заинтересованности или принуждения субъектов исследования. Размер выплат субъектам исследования должен определять пропорционально их участию в исследовании, но не должен зависеть исключительно от того, завершил субъект исследование полностью или нет.</w:t>
      </w:r>
    </w:p>
    <w:bookmarkEnd w:id="124"/>
    <w:bookmarkStart w:name="z1660" w:id="125"/>
    <w:p>
      <w:pPr>
        <w:spacing w:after="0"/>
        <w:ind w:left="0"/>
        <w:jc w:val="both"/>
      </w:pPr>
      <w:r>
        <w:rPr>
          <w:rFonts w:ascii="Times New Roman"/>
          <w:b w:val="false"/>
          <w:i w:val="false"/>
          <w:color w:val="000000"/>
          <w:sz w:val="28"/>
        </w:rPr>
        <w:t xml:space="preserve">
      3.1.9. ЭСО (НЭК) должен убедиться в том, что информация, касающаяся выплат субъектам исследования, включая способы, размер и порядок выплат, отражена в письменной форме информированного согласия и в других представляемых субъектам исследования материалах. Должно быть указано, каким образом будет определяться пропорциональность выплат. </w:t>
      </w:r>
    </w:p>
    <w:bookmarkEnd w:id="125"/>
    <w:bookmarkStart w:name="z1661" w:id="126"/>
    <w:p>
      <w:pPr>
        <w:spacing w:after="0"/>
        <w:ind w:left="0"/>
        <w:jc w:val="both"/>
      </w:pPr>
      <w:r>
        <w:rPr>
          <w:rFonts w:ascii="Times New Roman"/>
          <w:b w:val="false"/>
          <w:i w:val="false"/>
          <w:color w:val="000000"/>
          <w:sz w:val="28"/>
        </w:rPr>
        <w:t>
      3.2. Состав, функции и порядок работы.</w:t>
      </w:r>
    </w:p>
    <w:bookmarkEnd w:id="126"/>
    <w:bookmarkStart w:name="z1662" w:id="127"/>
    <w:p>
      <w:pPr>
        <w:spacing w:after="0"/>
        <w:ind w:left="0"/>
        <w:jc w:val="both"/>
      </w:pPr>
      <w:r>
        <w:rPr>
          <w:rFonts w:ascii="Times New Roman"/>
          <w:b w:val="false"/>
          <w:i w:val="false"/>
          <w:color w:val="000000"/>
          <w:sz w:val="28"/>
        </w:rPr>
        <w:t>
      3.2.1. В состав ЭСО (НЭК) должно входить достаточное число лиц, обладающих в совокупности необходимой квалификацией и опытом для рассмотрения и проведения экспертной оценки научных, медицинских и этических аспектов планируемого исследования.</w:t>
      </w:r>
    </w:p>
    <w:bookmarkEnd w:id="127"/>
    <w:bookmarkStart w:name="z1663" w:id="128"/>
    <w:p>
      <w:pPr>
        <w:spacing w:after="0"/>
        <w:ind w:left="0"/>
        <w:jc w:val="both"/>
      </w:pPr>
      <w:r>
        <w:rPr>
          <w:rFonts w:ascii="Times New Roman"/>
          <w:b w:val="false"/>
          <w:i w:val="false"/>
          <w:color w:val="000000"/>
          <w:sz w:val="28"/>
        </w:rPr>
        <w:t>
      Следует предусмотреть включение в состав ЭСО (НЭК):</w:t>
      </w:r>
    </w:p>
    <w:bookmarkEnd w:id="128"/>
    <w:bookmarkStart w:name="z1664" w:id="129"/>
    <w:p>
      <w:pPr>
        <w:spacing w:after="0"/>
        <w:ind w:left="0"/>
        <w:jc w:val="both"/>
      </w:pPr>
      <w:r>
        <w:rPr>
          <w:rFonts w:ascii="Times New Roman"/>
          <w:b w:val="false"/>
          <w:i w:val="false"/>
          <w:color w:val="000000"/>
          <w:sz w:val="28"/>
        </w:rPr>
        <w:t>
      а) не менее 5 человек;</w:t>
      </w:r>
    </w:p>
    <w:bookmarkEnd w:id="129"/>
    <w:bookmarkStart w:name="z1665" w:id="130"/>
    <w:p>
      <w:pPr>
        <w:spacing w:after="0"/>
        <w:ind w:left="0"/>
        <w:jc w:val="both"/>
      </w:pPr>
      <w:r>
        <w:rPr>
          <w:rFonts w:ascii="Times New Roman"/>
          <w:b w:val="false"/>
          <w:i w:val="false"/>
          <w:color w:val="000000"/>
          <w:sz w:val="28"/>
        </w:rPr>
        <w:t>
      б) по крайней мере 1 человека, не специализирующегося в области научных исследований (деятельности);</w:t>
      </w:r>
    </w:p>
    <w:bookmarkEnd w:id="130"/>
    <w:bookmarkStart w:name="z1666" w:id="131"/>
    <w:p>
      <w:pPr>
        <w:spacing w:after="0"/>
        <w:ind w:left="0"/>
        <w:jc w:val="both"/>
      </w:pPr>
      <w:r>
        <w:rPr>
          <w:rFonts w:ascii="Times New Roman"/>
          <w:b w:val="false"/>
          <w:i w:val="false"/>
          <w:color w:val="000000"/>
          <w:sz w:val="28"/>
        </w:rPr>
        <w:t>
      в) по крайней мере 1 человека, не являющегося сотрудником медицинской организации (исследовательского центра), в которой проводится исследование.</w:t>
      </w:r>
    </w:p>
    <w:bookmarkEnd w:id="131"/>
    <w:bookmarkStart w:name="z1667" w:id="132"/>
    <w:p>
      <w:pPr>
        <w:spacing w:after="0"/>
        <w:ind w:left="0"/>
        <w:jc w:val="both"/>
      </w:pPr>
      <w:r>
        <w:rPr>
          <w:rFonts w:ascii="Times New Roman"/>
          <w:b w:val="false"/>
          <w:i w:val="false"/>
          <w:color w:val="000000"/>
          <w:sz w:val="28"/>
        </w:rPr>
        <w:t xml:space="preserve">
      Голосовать (выражать мнение относительно исследования) имеют право только те члены ЭСО (НЭК), которые не зависят от исследователя и спонсора данного исследования. ЭСО (НЭК) должен вести список членов с указанием их квалификации. </w:t>
      </w:r>
    </w:p>
    <w:bookmarkEnd w:id="132"/>
    <w:bookmarkStart w:name="z1668" w:id="133"/>
    <w:p>
      <w:pPr>
        <w:spacing w:after="0"/>
        <w:ind w:left="0"/>
        <w:jc w:val="both"/>
      </w:pPr>
      <w:r>
        <w:rPr>
          <w:rFonts w:ascii="Times New Roman"/>
          <w:b w:val="false"/>
          <w:i w:val="false"/>
          <w:color w:val="000000"/>
          <w:sz w:val="28"/>
        </w:rPr>
        <w:t>
      3.2.2. ЭСО (НЭК) должен осуществлять деятельность в соответствии с документально оформленными рабочими процедурами, документировать результаты своей работы и вести протоколы заседаний. Его деятельность должна соответствовать настоящим Правилам и применимым требованиям законодательства государств-членов.</w:t>
      </w:r>
    </w:p>
    <w:bookmarkEnd w:id="133"/>
    <w:bookmarkStart w:name="z1669" w:id="134"/>
    <w:p>
      <w:pPr>
        <w:spacing w:after="0"/>
        <w:ind w:left="0"/>
        <w:jc w:val="both"/>
      </w:pPr>
      <w:r>
        <w:rPr>
          <w:rFonts w:ascii="Times New Roman"/>
          <w:b w:val="false"/>
          <w:i w:val="false"/>
          <w:color w:val="000000"/>
          <w:sz w:val="28"/>
        </w:rPr>
        <w:t>
      3.2.3. ЭСО (НЭК) принимает решения на объявленных заседаниях при наличии кворума, определенного рабочими процедурами.</w:t>
      </w:r>
    </w:p>
    <w:bookmarkEnd w:id="134"/>
    <w:bookmarkStart w:name="z1670" w:id="135"/>
    <w:p>
      <w:pPr>
        <w:spacing w:after="0"/>
        <w:ind w:left="0"/>
        <w:jc w:val="both"/>
      </w:pPr>
      <w:r>
        <w:rPr>
          <w:rFonts w:ascii="Times New Roman"/>
          <w:b w:val="false"/>
          <w:i w:val="false"/>
          <w:color w:val="000000"/>
          <w:sz w:val="28"/>
        </w:rPr>
        <w:t>
      3.2.4. Только члены ЭСО (НЭК), принимавшие непосредственное участие в рассмотрении документации по исследованию и обсуждении, могут участвовать в голосовании (выражать свое мнение) и (или) давать рекомендации.</w:t>
      </w:r>
    </w:p>
    <w:bookmarkEnd w:id="135"/>
    <w:bookmarkStart w:name="z1671" w:id="136"/>
    <w:p>
      <w:pPr>
        <w:spacing w:after="0"/>
        <w:ind w:left="0"/>
        <w:jc w:val="both"/>
      </w:pPr>
      <w:r>
        <w:rPr>
          <w:rFonts w:ascii="Times New Roman"/>
          <w:b w:val="false"/>
          <w:i w:val="false"/>
          <w:color w:val="000000"/>
          <w:sz w:val="28"/>
        </w:rPr>
        <w:t>
      3.2.5. Исследователь может представлять информацию по любым аспектам исследования, но не может участвовать в прениях или в голосовании (выработке мнения) ЭСО (НЭК).</w:t>
      </w:r>
    </w:p>
    <w:bookmarkEnd w:id="136"/>
    <w:bookmarkStart w:name="z1672" w:id="137"/>
    <w:p>
      <w:pPr>
        <w:spacing w:after="0"/>
        <w:ind w:left="0"/>
        <w:jc w:val="both"/>
      </w:pPr>
      <w:r>
        <w:rPr>
          <w:rFonts w:ascii="Times New Roman"/>
          <w:b w:val="false"/>
          <w:i w:val="false"/>
          <w:color w:val="000000"/>
          <w:sz w:val="28"/>
        </w:rPr>
        <w:t>
      3.2.6. ЭСО (НЭК), может прибегать к помощи независимых экспертов по специальным вопросам.</w:t>
      </w:r>
    </w:p>
    <w:bookmarkEnd w:id="137"/>
    <w:bookmarkStart w:name="z1673" w:id="138"/>
    <w:p>
      <w:pPr>
        <w:spacing w:after="0"/>
        <w:ind w:left="0"/>
        <w:jc w:val="both"/>
      </w:pPr>
      <w:r>
        <w:rPr>
          <w:rFonts w:ascii="Times New Roman"/>
          <w:b w:val="false"/>
          <w:i w:val="false"/>
          <w:color w:val="000000"/>
          <w:sz w:val="28"/>
        </w:rPr>
        <w:t>
      3.3. Процедуры.</w:t>
      </w:r>
    </w:p>
    <w:bookmarkEnd w:id="138"/>
    <w:bookmarkStart w:name="z1674" w:id="139"/>
    <w:p>
      <w:pPr>
        <w:spacing w:after="0"/>
        <w:ind w:left="0"/>
        <w:jc w:val="both"/>
      </w:pPr>
      <w:r>
        <w:rPr>
          <w:rFonts w:ascii="Times New Roman"/>
          <w:b w:val="false"/>
          <w:i w:val="false"/>
          <w:color w:val="000000"/>
          <w:sz w:val="28"/>
        </w:rPr>
        <w:t>
      ЭСО (НЭК) должен разработать, документально оформить и соблюдать стандартные рабочие процедуры, регламентирующие:</w:t>
      </w:r>
    </w:p>
    <w:bookmarkEnd w:id="139"/>
    <w:bookmarkStart w:name="z1675" w:id="140"/>
    <w:p>
      <w:pPr>
        <w:spacing w:after="0"/>
        <w:ind w:left="0"/>
        <w:jc w:val="both"/>
      </w:pPr>
      <w:r>
        <w:rPr>
          <w:rFonts w:ascii="Times New Roman"/>
          <w:b w:val="false"/>
          <w:i w:val="false"/>
          <w:color w:val="000000"/>
          <w:sz w:val="28"/>
        </w:rPr>
        <w:t>
      3.3.1. Состав (фамилии, имена, отчества (при наличии) и квалификацию членов) ЭСО (НЭК) и учредивший его орган.</w:t>
      </w:r>
    </w:p>
    <w:bookmarkEnd w:id="140"/>
    <w:bookmarkStart w:name="z1676" w:id="141"/>
    <w:p>
      <w:pPr>
        <w:spacing w:after="0"/>
        <w:ind w:left="0"/>
        <w:jc w:val="both"/>
      </w:pPr>
      <w:r>
        <w:rPr>
          <w:rFonts w:ascii="Times New Roman"/>
          <w:b w:val="false"/>
          <w:i w:val="false"/>
          <w:color w:val="000000"/>
          <w:sz w:val="28"/>
        </w:rPr>
        <w:t>
      3.3.2. Порядок назначения заседаний, оповещения членов ЭСО (НЭК) о предстоящих заседаниях, а также организацию заседаний.</w:t>
      </w:r>
    </w:p>
    <w:bookmarkEnd w:id="141"/>
    <w:bookmarkStart w:name="z1677" w:id="142"/>
    <w:p>
      <w:pPr>
        <w:spacing w:after="0"/>
        <w:ind w:left="0"/>
        <w:jc w:val="both"/>
      </w:pPr>
      <w:r>
        <w:rPr>
          <w:rFonts w:ascii="Times New Roman"/>
          <w:b w:val="false"/>
          <w:i w:val="false"/>
          <w:color w:val="000000"/>
          <w:sz w:val="28"/>
        </w:rPr>
        <w:t>
      3.3.3. Порядок первичного и последующего рассмотрения документации по исследованию.</w:t>
      </w:r>
    </w:p>
    <w:bookmarkEnd w:id="142"/>
    <w:bookmarkStart w:name="z1678" w:id="143"/>
    <w:p>
      <w:pPr>
        <w:spacing w:after="0"/>
        <w:ind w:left="0"/>
        <w:jc w:val="both"/>
      </w:pPr>
      <w:r>
        <w:rPr>
          <w:rFonts w:ascii="Times New Roman"/>
          <w:b w:val="false"/>
          <w:i w:val="false"/>
          <w:color w:val="000000"/>
          <w:sz w:val="28"/>
        </w:rPr>
        <w:t>
      3.3.4. Периодичность последующего рассмотрения документации по исследованию.</w:t>
      </w:r>
    </w:p>
    <w:bookmarkEnd w:id="143"/>
    <w:bookmarkStart w:name="z1679" w:id="144"/>
    <w:p>
      <w:pPr>
        <w:spacing w:after="0"/>
        <w:ind w:left="0"/>
        <w:jc w:val="both"/>
      </w:pPr>
      <w:r>
        <w:rPr>
          <w:rFonts w:ascii="Times New Roman"/>
          <w:b w:val="false"/>
          <w:i w:val="false"/>
          <w:color w:val="000000"/>
          <w:sz w:val="28"/>
        </w:rPr>
        <w:t>
      3.3.5. Порядок ускоренного рассмотрения документации в соответствии с применимыми требованиями для одобрения (выдачи заключения) при незначительном изменении в текущих исследованиях, уже получивших одобрение (заключение) ЭСО (НЭК).</w:t>
      </w:r>
    </w:p>
    <w:bookmarkEnd w:id="144"/>
    <w:bookmarkStart w:name="z1680" w:id="145"/>
    <w:p>
      <w:pPr>
        <w:spacing w:after="0"/>
        <w:ind w:left="0"/>
        <w:jc w:val="both"/>
      </w:pPr>
      <w:r>
        <w:rPr>
          <w:rFonts w:ascii="Times New Roman"/>
          <w:b w:val="false"/>
          <w:i w:val="false"/>
          <w:color w:val="000000"/>
          <w:sz w:val="28"/>
        </w:rPr>
        <w:t>
      3.3.6. Недопустимость включения субъектов в исследование до того, как ЭСО (НЭК) выдаст письменное одобрение (заключение) на проведение исследования.</w:t>
      </w:r>
    </w:p>
    <w:bookmarkEnd w:id="145"/>
    <w:bookmarkStart w:name="z1681" w:id="146"/>
    <w:p>
      <w:pPr>
        <w:spacing w:after="0"/>
        <w:ind w:left="0"/>
        <w:jc w:val="both"/>
      </w:pPr>
      <w:r>
        <w:rPr>
          <w:rFonts w:ascii="Times New Roman"/>
          <w:b w:val="false"/>
          <w:i w:val="false"/>
          <w:color w:val="000000"/>
          <w:sz w:val="28"/>
        </w:rPr>
        <w:t>
      3.3.7. Недопустимость в соответствии с пунктом 4.5.2 настоящих Правил отклонения от протокола или его изменений без предварительного письменного одобрения (заключения) соответствующих поправок ЭСО (НЭК), за исключением тех случаев, когда изменения направлены на устранение непосредственной угрозы субъектам исследования или когда изменения касаются только административных и материально-технических аспектов исследования (например, смена монитора, изменение номера телефона).</w:t>
      </w:r>
    </w:p>
    <w:bookmarkEnd w:id="146"/>
    <w:bookmarkStart w:name="z1682" w:id="147"/>
    <w:p>
      <w:pPr>
        <w:spacing w:after="0"/>
        <w:ind w:left="0"/>
        <w:jc w:val="both"/>
      </w:pPr>
      <w:r>
        <w:rPr>
          <w:rFonts w:ascii="Times New Roman"/>
          <w:b w:val="false"/>
          <w:i w:val="false"/>
          <w:color w:val="000000"/>
          <w:sz w:val="28"/>
        </w:rPr>
        <w:t>
      3.3.8. Обязанность исследователя незамедлительно сообщать ЭСО (НЭК):</w:t>
      </w:r>
    </w:p>
    <w:bookmarkEnd w:id="147"/>
    <w:bookmarkStart w:name="z1683" w:id="148"/>
    <w:p>
      <w:pPr>
        <w:spacing w:after="0"/>
        <w:ind w:left="0"/>
        <w:jc w:val="both"/>
      </w:pPr>
      <w:r>
        <w:rPr>
          <w:rFonts w:ascii="Times New Roman"/>
          <w:b w:val="false"/>
          <w:i w:val="false"/>
          <w:color w:val="000000"/>
          <w:sz w:val="28"/>
        </w:rPr>
        <w:t>
      а) об отклонениях от протокола или изменениях протокола, произведенных для устранения непосредственной угрозы субъектам исследования в соответствии с пунктами 3.3.7, 4.5.2 и 4.5.4 настоящих Правил;</w:t>
      </w:r>
    </w:p>
    <w:bookmarkEnd w:id="148"/>
    <w:bookmarkStart w:name="z1684" w:id="149"/>
    <w:p>
      <w:pPr>
        <w:spacing w:after="0"/>
        <w:ind w:left="0"/>
        <w:jc w:val="both"/>
      </w:pPr>
      <w:r>
        <w:rPr>
          <w:rFonts w:ascii="Times New Roman"/>
          <w:b w:val="false"/>
          <w:i w:val="false"/>
          <w:color w:val="000000"/>
          <w:sz w:val="28"/>
        </w:rPr>
        <w:t>
      б) об изменениях, увеличивающих риск для субъектов исследования и (или) существенно влияющих на проведение исследования, в соответствии с пунктом 4.10.2 настоящих Правил;</w:t>
      </w:r>
    </w:p>
    <w:bookmarkEnd w:id="149"/>
    <w:bookmarkStart w:name="z1685" w:id="150"/>
    <w:p>
      <w:pPr>
        <w:spacing w:after="0"/>
        <w:ind w:left="0"/>
        <w:jc w:val="both"/>
      </w:pPr>
      <w:r>
        <w:rPr>
          <w:rFonts w:ascii="Times New Roman"/>
          <w:b w:val="false"/>
          <w:i w:val="false"/>
          <w:color w:val="000000"/>
          <w:sz w:val="28"/>
        </w:rPr>
        <w:t>
      в) обо всех серьезных непредвиденных нежелательных реакциях;</w:t>
      </w:r>
    </w:p>
    <w:bookmarkEnd w:id="150"/>
    <w:bookmarkStart w:name="z1686" w:id="151"/>
    <w:p>
      <w:pPr>
        <w:spacing w:after="0"/>
        <w:ind w:left="0"/>
        <w:jc w:val="both"/>
      </w:pPr>
      <w:r>
        <w:rPr>
          <w:rFonts w:ascii="Times New Roman"/>
          <w:b w:val="false"/>
          <w:i w:val="false"/>
          <w:color w:val="000000"/>
          <w:sz w:val="28"/>
        </w:rPr>
        <w:t>
      г) о новых данных, которые могут свидетельствовать о возрастании риска для субъектов исследования или неблагоприятно повлиять на ход исследования.</w:t>
      </w:r>
    </w:p>
    <w:bookmarkEnd w:id="151"/>
    <w:bookmarkStart w:name="z1687" w:id="152"/>
    <w:p>
      <w:pPr>
        <w:spacing w:after="0"/>
        <w:ind w:left="0"/>
        <w:jc w:val="both"/>
      </w:pPr>
      <w:r>
        <w:rPr>
          <w:rFonts w:ascii="Times New Roman"/>
          <w:b w:val="false"/>
          <w:i w:val="false"/>
          <w:color w:val="000000"/>
          <w:sz w:val="28"/>
        </w:rPr>
        <w:t>
      3.3.9. Обязанность ЭСО (НЭК) незамедлительно в письменном виде сообщать исследователю (медицинской организации):</w:t>
      </w:r>
    </w:p>
    <w:bookmarkEnd w:id="152"/>
    <w:bookmarkStart w:name="z1688" w:id="153"/>
    <w:p>
      <w:pPr>
        <w:spacing w:after="0"/>
        <w:ind w:left="0"/>
        <w:jc w:val="both"/>
      </w:pPr>
      <w:r>
        <w:rPr>
          <w:rFonts w:ascii="Times New Roman"/>
          <w:b w:val="false"/>
          <w:i w:val="false"/>
          <w:color w:val="000000"/>
          <w:sz w:val="28"/>
        </w:rPr>
        <w:t>
      а) о своих решениях (заключениях), касающихся исследования;</w:t>
      </w:r>
    </w:p>
    <w:bookmarkEnd w:id="153"/>
    <w:bookmarkStart w:name="z1689" w:id="154"/>
    <w:p>
      <w:pPr>
        <w:spacing w:after="0"/>
        <w:ind w:left="0"/>
        <w:jc w:val="both"/>
      </w:pPr>
      <w:r>
        <w:rPr>
          <w:rFonts w:ascii="Times New Roman"/>
          <w:b w:val="false"/>
          <w:i w:val="false"/>
          <w:color w:val="000000"/>
          <w:sz w:val="28"/>
        </w:rPr>
        <w:t>
      б) о причинах вынесения решений (заключений);</w:t>
      </w:r>
    </w:p>
    <w:bookmarkEnd w:id="154"/>
    <w:bookmarkStart w:name="z1690" w:id="155"/>
    <w:p>
      <w:pPr>
        <w:spacing w:after="0"/>
        <w:ind w:left="0"/>
        <w:jc w:val="both"/>
      </w:pPr>
      <w:r>
        <w:rPr>
          <w:rFonts w:ascii="Times New Roman"/>
          <w:b w:val="false"/>
          <w:i w:val="false"/>
          <w:color w:val="000000"/>
          <w:sz w:val="28"/>
        </w:rPr>
        <w:t>
      в) о порядке (процедурах) обжалования решений (заключений).</w:t>
      </w:r>
    </w:p>
    <w:bookmarkEnd w:id="155"/>
    <w:bookmarkStart w:name="z1691" w:id="156"/>
    <w:p>
      <w:pPr>
        <w:spacing w:after="0"/>
        <w:ind w:left="0"/>
        <w:jc w:val="both"/>
      </w:pPr>
      <w:r>
        <w:rPr>
          <w:rFonts w:ascii="Times New Roman"/>
          <w:b w:val="false"/>
          <w:i w:val="false"/>
          <w:color w:val="000000"/>
          <w:sz w:val="28"/>
        </w:rPr>
        <w:t>
      3.4. Документация.</w:t>
      </w:r>
    </w:p>
    <w:bookmarkEnd w:id="156"/>
    <w:bookmarkStart w:name="z1692" w:id="157"/>
    <w:p>
      <w:pPr>
        <w:spacing w:after="0"/>
        <w:ind w:left="0"/>
        <w:jc w:val="both"/>
      </w:pPr>
      <w:r>
        <w:rPr>
          <w:rFonts w:ascii="Times New Roman"/>
          <w:b w:val="false"/>
          <w:i w:val="false"/>
          <w:color w:val="000000"/>
          <w:sz w:val="28"/>
        </w:rPr>
        <w:t>
      ЭСО (НЭК) должен хранить относящуюся к исследованию документацию (в частности, письменные процедуры, перечни своих членов с указанием рода деятельности и места работы, представленные на рассмотрение документы, протоколы заседаний и корреспонденцию) в течение не менее 3 лет после завершения исследования и представлять ее по требованию уполномоченных органов. Исследователи, спонсор, уполномоченные органы могут запрашивать у ЭСО (НЭК) информацию о его процедурах и перечни членов.</w:t>
      </w:r>
    </w:p>
    <w:bookmarkEnd w:id="157"/>
    <w:bookmarkStart w:name="z1693" w:id="158"/>
    <w:p>
      <w:pPr>
        <w:spacing w:after="0"/>
        <w:ind w:left="0"/>
        <w:jc w:val="left"/>
      </w:pPr>
      <w:r>
        <w:rPr>
          <w:rFonts w:ascii="Times New Roman"/>
          <w:b/>
          <w:i w:val="false"/>
          <w:color w:val="000000"/>
        </w:rPr>
        <w:t xml:space="preserve"> 4. Исследователь</w:t>
      </w:r>
    </w:p>
    <w:bookmarkEnd w:id="158"/>
    <w:bookmarkStart w:name="z1694" w:id="159"/>
    <w:p>
      <w:pPr>
        <w:spacing w:after="0"/>
        <w:ind w:left="0"/>
        <w:jc w:val="both"/>
      </w:pPr>
      <w:r>
        <w:rPr>
          <w:rFonts w:ascii="Times New Roman"/>
          <w:b w:val="false"/>
          <w:i w:val="false"/>
          <w:color w:val="000000"/>
          <w:sz w:val="28"/>
        </w:rPr>
        <w:t>
      4.1. Квалификация и обязательства исследователя.</w:t>
      </w:r>
    </w:p>
    <w:bookmarkEnd w:id="159"/>
    <w:bookmarkStart w:name="z1695" w:id="160"/>
    <w:p>
      <w:pPr>
        <w:spacing w:after="0"/>
        <w:ind w:left="0"/>
        <w:jc w:val="both"/>
      </w:pPr>
      <w:r>
        <w:rPr>
          <w:rFonts w:ascii="Times New Roman"/>
          <w:b w:val="false"/>
          <w:i w:val="false"/>
          <w:color w:val="000000"/>
          <w:sz w:val="28"/>
        </w:rPr>
        <w:t>
      4.1.1. Исследователь должен иметь соответствующие квалификацию, образование, профессиональную подготовку и опыт, позволяющие ему принять на себя ответственность за надлежащее проведение клинического исследования. Квалификация исследователя должна соответствовать применимым требованиям и подтверждаться актуальным резюме (curriculum vitae) и (или) другими документами, которые могут быть запрошены спонсором, ЭСО (НЭК) и (или) уполномоченными органами.</w:t>
      </w:r>
    </w:p>
    <w:bookmarkEnd w:id="160"/>
    <w:bookmarkStart w:name="z1696" w:id="161"/>
    <w:p>
      <w:pPr>
        <w:spacing w:after="0"/>
        <w:ind w:left="0"/>
        <w:jc w:val="both"/>
      </w:pPr>
      <w:r>
        <w:rPr>
          <w:rFonts w:ascii="Times New Roman"/>
          <w:b w:val="false"/>
          <w:i w:val="false"/>
          <w:color w:val="000000"/>
          <w:sz w:val="28"/>
        </w:rPr>
        <w:t>
      4.1.2. Исследователь должен внимательно ознакомиться с правилами надлежащего применения исследуемого препарата, изложенными в протоколе, текущей редакции брошюры исследователя, общей характеристике лекарственного препарата и других источниках информации, представленных спонсором.</w:t>
      </w:r>
    </w:p>
    <w:bookmarkEnd w:id="161"/>
    <w:bookmarkStart w:name="z1697" w:id="162"/>
    <w:p>
      <w:pPr>
        <w:spacing w:after="0"/>
        <w:ind w:left="0"/>
        <w:jc w:val="both"/>
      </w:pPr>
      <w:r>
        <w:rPr>
          <w:rFonts w:ascii="Times New Roman"/>
          <w:b w:val="false"/>
          <w:i w:val="false"/>
          <w:color w:val="000000"/>
          <w:sz w:val="28"/>
        </w:rPr>
        <w:t>
      4.1.3. Исследователь должен знать и соблюдать настоящие Правила и применимые требования.</w:t>
      </w:r>
    </w:p>
    <w:bookmarkEnd w:id="162"/>
    <w:bookmarkStart w:name="z1698" w:id="163"/>
    <w:p>
      <w:pPr>
        <w:spacing w:after="0"/>
        <w:ind w:left="0"/>
        <w:jc w:val="both"/>
      </w:pPr>
      <w:r>
        <w:rPr>
          <w:rFonts w:ascii="Times New Roman"/>
          <w:b w:val="false"/>
          <w:i w:val="false"/>
          <w:color w:val="000000"/>
          <w:sz w:val="28"/>
        </w:rPr>
        <w:t>
      4.1.4. Исследователь (медицинская организация) должен содействовать проведению спонсором мониторинга и аудита, а также проведению уполномоченными органами инспекций.</w:t>
      </w:r>
    </w:p>
    <w:bookmarkEnd w:id="163"/>
    <w:bookmarkStart w:name="z1699" w:id="164"/>
    <w:p>
      <w:pPr>
        <w:spacing w:after="0"/>
        <w:ind w:left="0"/>
        <w:jc w:val="both"/>
      </w:pPr>
      <w:r>
        <w:rPr>
          <w:rFonts w:ascii="Times New Roman"/>
          <w:b w:val="false"/>
          <w:i w:val="false"/>
          <w:color w:val="000000"/>
          <w:sz w:val="28"/>
        </w:rPr>
        <w:t>
      4.1.5. Исследователь должен вести перечень обладающих необходимой квалификацией лиц, которые по его поручению осуществляют определенную деятельность в рамках исследования.</w:t>
      </w:r>
    </w:p>
    <w:bookmarkEnd w:id="164"/>
    <w:bookmarkStart w:name="z1700" w:id="165"/>
    <w:p>
      <w:pPr>
        <w:spacing w:after="0"/>
        <w:ind w:left="0"/>
        <w:jc w:val="both"/>
      </w:pPr>
      <w:r>
        <w:rPr>
          <w:rFonts w:ascii="Times New Roman"/>
          <w:b w:val="false"/>
          <w:i w:val="false"/>
          <w:color w:val="000000"/>
          <w:sz w:val="28"/>
        </w:rPr>
        <w:t>
      4.2. Соответствующие ресурсы.</w:t>
      </w:r>
    </w:p>
    <w:bookmarkEnd w:id="165"/>
    <w:bookmarkStart w:name="z1701" w:id="166"/>
    <w:p>
      <w:pPr>
        <w:spacing w:after="0"/>
        <w:ind w:left="0"/>
        <w:jc w:val="both"/>
      </w:pPr>
      <w:r>
        <w:rPr>
          <w:rFonts w:ascii="Times New Roman"/>
          <w:b w:val="false"/>
          <w:i w:val="false"/>
          <w:color w:val="000000"/>
          <w:sz w:val="28"/>
        </w:rPr>
        <w:t>
      4.2.1. Исследователь должен быть способен продемонстрировать (например, на основании ретроспективных данных) возможность набора в течение определенного периода требуемого количества подходящих субъектов исследования, соответствующих критериям отбора.</w:t>
      </w:r>
    </w:p>
    <w:bookmarkEnd w:id="166"/>
    <w:bookmarkStart w:name="z1702" w:id="167"/>
    <w:p>
      <w:pPr>
        <w:spacing w:after="0"/>
        <w:ind w:left="0"/>
        <w:jc w:val="both"/>
      </w:pPr>
      <w:r>
        <w:rPr>
          <w:rFonts w:ascii="Times New Roman"/>
          <w:b w:val="false"/>
          <w:i w:val="false"/>
          <w:color w:val="000000"/>
          <w:sz w:val="28"/>
        </w:rPr>
        <w:t>
      4.2.2. Исследователь должен иметь достаточное количество времени, чтобы надлежащим образом провести и завершить исследование в течение установленного периода.</w:t>
      </w:r>
    </w:p>
    <w:bookmarkEnd w:id="167"/>
    <w:bookmarkStart w:name="z1703" w:id="168"/>
    <w:p>
      <w:pPr>
        <w:spacing w:after="0"/>
        <w:ind w:left="0"/>
        <w:jc w:val="both"/>
      </w:pPr>
      <w:r>
        <w:rPr>
          <w:rFonts w:ascii="Times New Roman"/>
          <w:b w:val="false"/>
          <w:i w:val="false"/>
          <w:color w:val="000000"/>
          <w:sz w:val="28"/>
        </w:rPr>
        <w:t>
      4.2.3. Исследователь должен располагать достаточным количеством квалифицированных сотрудников и материальных ресурсов (помещения, оборудование) в период исследования для того, чтобы провести это исследование надлежащим и безопасным образом.</w:t>
      </w:r>
    </w:p>
    <w:bookmarkEnd w:id="168"/>
    <w:bookmarkStart w:name="z1704" w:id="169"/>
    <w:p>
      <w:pPr>
        <w:spacing w:after="0"/>
        <w:ind w:left="0"/>
        <w:jc w:val="both"/>
      </w:pPr>
      <w:r>
        <w:rPr>
          <w:rFonts w:ascii="Times New Roman"/>
          <w:b w:val="false"/>
          <w:i w:val="false"/>
          <w:color w:val="000000"/>
          <w:sz w:val="28"/>
        </w:rPr>
        <w:t>
      4.2.4. Исследователь отвечает за то, чтобы все занятые в клиническом исследовании сотрудники были знакомы с протоколом и информацией об исследуемом препарате, а также со своими функциями и обязанностями.</w:t>
      </w:r>
    </w:p>
    <w:bookmarkEnd w:id="169"/>
    <w:bookmarkStart w:name="z1705" w:id="170"/>
    <w:p>
      <w:pPr>
        <w:spacing w:after="0"/>
        <w:ind w:left="0"/>
        <w:jc w:val="both"/>
      </w:pPr>
      <w:r>
        <w:rPr>
          <w:rFonts w:ascii="Times New Roman"/>
          <w:b w:val="false"/>
          <w:i w:val="false"/>
          <w:color w:val="000000"/>
          <w:sz w:val="28"/>
        </w:rPr>
        <w:t xml:space="preserve">
      4.2.5. Исследователь должен контролировать деятельность сотрудников или иных лиц, которым он передал те или иные обязанности и функции в рамках проведения исследования в исследовательском центре. </w:t>
      </w:r>
    </w:p>
    <w:bookmarkEnd w:id="170"/>
    <w:bookmarkStart w:name="z1706" w:id="171"/>
    <w:p>
      <w:pPr>
        <w:spacing w:after="0"/>
        <w:ind w:left="0"/>
        <w:jc w:val="both"/>
      </w:pPr>
      <w:r>
        <w:rPr>
          <w:rFonts w:ascii="Times New Roman"/>
          <w:b w:val="false"/>
          <w:i w:val="false"/>
          <w:color w:val="000000"/>
          <w:sz w:val="28"/>
        </w:rPr>
        <w:t>
      4.2.6. Если исследователь (медицинская организация) прибегает к услугам какого-либо лица для выполнения тех или иных связанных c проведением исследования обязанностей и функций, он должен:</w:t>
      </w:r>
    </w:p>
    <w:bookmarkEnd w:id="171"/>
    <w:bookmarkStart w:name="z1707" w:id="172"/>
    <w:p>
      <w:pPr>
        <w:spacing w:after="0"/>
        <w:ind w:left="0"/>
        <w:jc w:val="both"/>
      </w:pPr>
      <w:r>
        <w:rPr>
          <w:rFonts w:ascii="Times New Roman"/>
          <w:b w:val="false"/>
          <w:i w:val="false"/>
          <w:color w:val="000000"/>
          <w:sz w:val="28"/>
        </w:rPr>
        <w:t>
      убедиться (получить документальное подтверждение) в том, что данное лицо обладает достаточной квалификацией для выполнения этих обязанностей и функций;</w:t>
      </w:r>
    </w:p>
    <w:bookmarkEnd w:id="172"/>
    <w:bookmarkStart w:name="z1708" w:id="173"/>
    <w:p>
      <w:pPr>
        <w:spacing w:after="0"/>
        <w:ind w:left="0"/>
        <w:jc w:val="both"/>
      </w:pPr>
      <w:r>
        <w:rPr>
          <w:rFonts w:ascii="Times New Roman"/>
          <w:b w:val="false"/>
          <w:i w:val="false"/>
          <w:color w:val="000000"/>
          <w:sz w:val="28"/>
        </w:rPr>
        <w:t>
      внедрить процедуры, направленные на обеспечение полноты выполнения связанных c проведением исследования обязанностей и функций и целостности полученных данных.</w:t>
      </w:r>
    </w:p>
    <w:bookmarkEnd w:id="173"/>
    <w:bookmarkStart w:name="z1709" w:id="174"/>
    <w:p>
      <w:pPr>
        <w:spacing w:after="0"/>
        <w:ind w:left="0"/>
        <w:jc w:val="both"/>
      </w:pPr>
      <w:r>
        <w:rPr>
          <w:rFonts w:ascii="Times New Roman"/>
          <w:b w:val="false"/>
          <w:i w:val="false"/>
          <w:color w:val="000000"/>
          <w:sz w:val="28"/>
        </w:rPr>
        <w:t>
      4.3. Оказание медицинской помощи субъектам исследования.</w:t>
      </w:r>
    </w:p>
    <w:bookmarkEnd w:id="174"/>
    <w:bookmarkStart w:name="z1710" w:id="175"/>
    <w:p>
      <w:pPr>
        <w:spacing w:after="0"/>
        <w:ind w:left="0"/>
        <w:jc w:val="both"/>
      </w:pPr>
      <w:r>
        <w:rPr>
          <w:rFonts w:ascii="Times New Roman"/>
          <w:b w:val="false"/>
          <w:i w:val="false"/>
          <w:color w:val="000000"/>
          <w:sz w:val="28"/>
        </w:rPr>
        <w:t>
      4.3.1. Являющийся исследователем или соисследователем врач несет ответственность за все принимаемые в рамках исследования решения медицинского характера.</w:t>
      </w:r>
    </w:p>
    <w:bookmarkEnd w:id="175"/>
    <w:bookmarkStart w:name="z1711" w:id="176"/>
    <w:p>
      <w:pPr>
        <w:spacing w:after="0"/>
        <w:ind w:left="0"/>
        <w:jc w:val="both"/>
      </w:pPr>
      <w:r>
        <w:rPr>
          <w:rFonts w:ascii="Times New Roman"/>
          <w:b w:val="false"/>
          <w:i w:val="false"/>
          <w:color w:val="000000"/>
          <w:sz w:val="28"/>
        </w:rPr>
        <w:t>
      4.3.2. Во время и по завершении участия субъекта в исследовании исследователь (медицинская организация) должен обеспечить оказание субъекту исследования необходимой медицинской помощи в случае возникновения любых связанных с исследованием нежелательных явлений, включая клинически значимые изменения лабораторных показателей. Исследователь (медицинская организация) обязан информировать субъекта исследования о ставших известными исследователю интеркуррентных заболеваниях, требующих медицинской помощи.</w:t>
      </w:r>
    </w:p>
    <w:bookmarkEnd w:id="176"/>
    <w:bookmarkStart w:name="z1712" w:id="177"/>
    <w:p>
      <w:pPr>
        <w:spacing w:after="0"/>
        <w:ind w:left="0"/>
        <w:jc w:val="both"/>
      </w:pPr>
      <w:r>
        <w:rPr>
          <w:rFonts w:ascii="Times New Roman"/>
          <w:b w:val="false"/>
          <w:i w:val="false"/>
          <w:color w:val="000000"/>
          <w:sz w:val="28"/>
        </w:rPr>
        <w:t>
      4.3.3. Исследователю следует сообщить лечащему врачу, если таковой имеется, об участии субъекта в исследовании при условии, что субъект не возражает против информирования лечащего врача.</w:t>
      </w:r>
    </w:p>
    <w:bookmarkEnd w:id="177"/>
    <w:bookmarkStart w:name="z1713" w:id="178"/>
    <w:p>
      <w:pPr>
        <w:spacing w:after="0"/>
        <w:ind w:left="0"/>
        <w:jc w:val="both"/>
      </w:pPr>
      <w:r>
        <w:rPr>
          <w:rFonts w:ascii="Times New Roman"/>
          <w:b w:val="false"/>
          <w:i w:val="false"/>
          <w:color w:val="000000"/>
          <w:sz w:val="28"/>
        </w:rPr>
        <w:t>
      4.3.4. Субъект исследования не обязан сообщать о причинах, побудивших его досрочно прекратить участие в исследовании, однако исследователь должен попытаться установить эти причины, соблюдая при этом права субъекта исследования.</w:t>
      </w:r>
    </w:p>
    <w:bookmarkEnd w:id="178"/>
    <w:bookmarkStart w:name="z1714" w:id="179"/>
    <w:p>
      <w:pPr>
        <w:spacing w:after="0"/>
        <w:ind w:left="0"/>
        <w:jc w:val="both"/>
      </w:pPr>
      <w:r>
        <w:rPr>
          <w:rFonts w:ascii="Times New Roman"/>
          <w:b w:val="false"/>
          <w:i w:val="false"/>
          <w:color w:val="000000"/>
          <w:sz w:val="28"/>
        </w:rPr>
        <w:t>
      4.4. Контакты с ЭСО (НЭК).</w:t>
      </w:r>
    </w:p>
    <w:bookmarkEnd w:id="179"/>
    <w:bookmarkStart w:name="z1715" w:id="180"/>
    <w:p>
      <w:pPr>
        <w:spacing w:after="0"/>
        <w:ind w:left="0"/>
        <w:jc w:val="both"/>
      </w:pPr>
      <w:r>
        <w:rPr>
          <w:rFonts w:ascii="Times New Roman"/>
          <w:b w:val="false"/>
          <w:i w:val="false"/>
          <w:color w:val="000000"/>
          <w:sz w:val="28"/>
        </w:rPr>
        <w:t>
      4.4.1. Перед тем как начать исследование, исследователь (медицинская организация) должен получить письменное и датированное одобрение (заключение) ЭСО (НЭК) протокола, письменной формы информированного согласия и ее последующих редакций, мер, направленных на привлечение субъектов к участию в исследовании (например, рекламных объявлений), и любых других письменных материалов, которые предполагается представить субъектам исследования.</w:t>
      </w:r>
    </w:p>
    <w:bookmarkEnd w:id="180"/>
    <w:bookmarkStart w:name="z1716" w:id="181"/>
    <w:p>
      <w:pPr>
        <w:spacing w:after="0"/>
        <w:ind w:left="0"/>
        <w:jc w:val="both"/>
      </w:pPr>
      <w:r>
        <w:rPr>
          <w:rFonts w:ascii="Times New Roman"/>
          <w:b w:val="false"/>
          <w:i w:val="false"/>
          <w:color w:val="000000"/>
          <w:sz w:val="28"/>
        </w:rPr>
        <w:t>
      4.4.2. Вместе с другими документами исследователь (медицинская организация) должен представить ЭСО (НЭК) последнюю редакцию брошюры исследователя. Если брошюру исследователя дополняют в ходе исследования, исследователь (медицинская организация) обязан представить ЭСО (НЭК) новую редакцию брошюры исследователя.</w:t>
      </w:r>
    </w:p>
    <w:bookmarkEnd w:id="181"/>
    <w:bookmarkStart w:name="z1717" w:id="182"/>
    <w:p>
      <w:pPr>
        <w:spacing w:after="0"/>
        <w:ind w:left="0"/>
        <w:jc w:val="both"/>
      </w:pPr>
      <w:r>
        <w:rPr>
          <w:rFonts w:ascii="Times New Roman"/>
          <w:b w:val="false"/>
          <w:i w:val="false"/>
          <w:color w:val="000000"/>
          <w:sz w:val="28"/>
        </w:rPr>
        <w:t>
      4.4.3. В течение исследования исследователь (медицинская организация) должен представлять ЭСО (НЭК) все подлежащие рассмотрению документы.</w:t>
      </w:r>
    </w:p>
    <w:bookmarkEnd w:id="182"/>
    <w:bookmarkStart w:name="z1718" w:id="183"/>
    <w:p>
      <w:pPr>
        <w:spacing w:after="0"/>
        <w:ind w:left="0"/>
        <w:jc w:val="both"/>
      </w:pPr>
      <w:r>
        <w:rPr>
          <w:rFonts w:ascii="Times New Roman"/>
          <w:b w:val="false"/>
          <w:i w:val="false"/>
          <w:color w:val="000000"/>
          <w:sz w:val="28"/>
        </w:rPr>
        <w:t>
      4.5. Соблюдение протокола.</w:t>
      </w:r>
    </w:p>
    <w:bookmarkEnd w:id="183"/>
    <w:bookmarkStart w:name="z1719" w:id="184"/>
    <w:p>
      <w:pPr>
        <w:spacing w:after="0"/>
        <w:ind w:left="0"/>
        <w:jc w:val="both"/>
      </w:pPr>
      <w:r>
        <w:rPr>
          <w:rFonts w:ascii="Times New Roman"/>
          <w:b w:val="false"/>
          <w:i w:val="false"/>
          <w:color w:val="000000"/>
          <w:sz w:val="28"/>
        </w:rPr>
        <w:t>
      4.5.1. Исследователь (медицинская организация) должен проводить исследование в соответствии с протоколом, согласованным со спонсором и при необходимости с уполномоченными органами и утвержденным (одобренным) ЭСО (НЭК). В подтверждение договоренности исследователь (медицинская организация) и спонсор подписывают протокол или заключают отдельный договор.</w:t>
      </w:r>
    </w:p>
    <w:bookmarkEnd w:id="184"/>
    <w:bookmarkStart w:name="z1720" w:id="185"/>
    <w:p>
      <w:pPr>
        <w:spacing w:after="0"/>
        <w:ind w:left="0"/>
        <w:jc w:val="both"/>
      </w:pPr>
      <w:r>
        <w:rPr>
          <w:rFonts w:ascii="Times New Roman"/>
          <w:b w:val="false"/>
          <w:i w:val="false"/>
          <w:color w:val="000000"/>
          <w:sz w:val="28"/>
        </w:rPr>
        <w:t>
      4.5.2. Исследователь не должен отклоняться от протокола или вносить в него изменения без согласия спонсора и без предварительного рассмотрения и получения документально оформленного одобрения (заключения) ЭСО (НЭК) относительно поправки к протоколу, кроме тех случаев, когда необходимо устранить непосредственную угрозу субъектам исследования или когда изменения касаются только административных или технических аспектов исследования (например, замена монитора, изменение номера телефона).</w:t>
      </w:r>
    </w:p>
    <w:bookmarkEnd w:id="185"/>
    <w:bookmarkStart w:name="z1721" w:id="186"/>
    <w:p>
      <w:pPr>
        <w:spacing w:after="0"/>
        <w:ind w:left="0"/>
        <w:jc w:val="both"/>
      </w:pPr>
      <w:r>
        <w:rPr>
          <w:rFonts w:ascii="Times New Roman"/>
          <w:b w:val="false"/>
          <w:i w:val="false"/>
          <w:color w:val="000000"/>
          <w:sz w:val="28"/>
        </w:rPr>
        <w:t>
      4.5.3. Исследователь или назначенное им лицо должны пояснять и документально оформлять любые отклонения от утвержденного протокола.</w:t>
      </w:r>
    </w:p>
    <w:bookmarkEnd w:id="186"/>
    <w:bookmarkStart w:name="z1722" w:id="187"/>
    <w:p>
      <w:pPr>
        <w:spacing w:after="0"/>
        <w:ind w:left="0"/>
        <w:jc w:val="both"/>
      </w:pPr>
      <w:r>
        <w:rPr>
          <w:rFonts w:ascii="Times New Roman"/>
          <w:b w:val="false"/>
          <w:i w:val="false"/>
          <w:color w:val="000000"/>
          <w:sz w:val="28"/>
        </w:rPr>
        <w:t>
      4.5.4. Исследователь может отклоняться от протокола или вносить в него изменения для устранения непосредственной угрозы субъектам исследования без предварительного одобрения (получения заключения) ЭСО (НЭК). В кратчайшие сроки описание отклонений или изменений с указанием их причин и при необходимости предлагаемые поправки к протоколу должны быть направлены:</w:t>
      </w:r>
    </w:p>
    <w:bookmarkEnd w:id="187"/>
    <w:bookmarkStart w:name="z1723" w:id="188"/>
    <w:p>
      <w:pPr>
        <w:spacing w:after="0"/>
        <w:ind w:left="0"/>
        <w:jc w:val="both"/>
      </w:pPr>
      <w:r>
        <w:rPr>
          <w:rFonts w:ascii="Times New Roman"/>
          <w:b w:val="false"/>
          <w:i w:val="false"/>
          <w:color w:val="000000"/>
          <w:sz w:val="28"/>
        </w:rPr>
        <w:t>
      а) ЭСО (НЭК) для рассмотрения и одобрения (выдачи заключения);</w:t>
      </w:r>
    </w:p>
    <w:bookmarkEnd w:id="188"/>
    <w:bookmarkStart w:name="z1724" w:id="189"/>
    <w:p>
      <w:pPr>
        <w:spacing w:after="0"/>
        <w:ind w:left="0"/>
        <w:jc w:val="both"/>
      </w:pPr>
      <w:r>
        <w:rPr>
          <w:rFonts w:ascii="Times New Roman"/>
          <w:b w:val="false"/>
          <w:i w:val="false"/>
          <w:color w:val="000000"/>
          <w:sz w:val="28"/>
        </w:rPr>
        <w:t>
      б) спонсору для согласования с ним;</w:t>
      </w:r>
    </w:p>
    <w:bookmarkEnd w:id="189"/>
    <w:bookmarkStart w:name="z1725" w:id="190"/>
    <w:p>
      <w:pPr>
        <w:spacing w:after="0"/>
        <w:ind w:left="0"/>
        <w:jc w:val="both"/>
      </w:pPr>
      <w:r>
        <w:rPr>
          <w:rFonts w:ascii="Times New Roman"/>
          <w:b w:val="false"/>
          <w:i w:val="false"/>
          <w:color w:val="000000"/>
          <w:sz w:val="28"/>
        </w:rPr>
        <w:t>
      в) уполномоченным органам при необходимости.</w:t>
      </w:r>
    </w:p>
    <w:bookmarkEnd w:id="190"/>
    <w:bookmarkStart w:name="z1726" w:id="191"/>
    <w:p>
      <w:pPr>
        <w:spacing w:after="0"/>
        <w:ind w:left="0"/>
        <w:jc w:val="both"/>
      </w:pPr>
      <w:r>
        <w:rPr>
          <w:rFonts w:ascii="Times New Roman"/>
          <w:b w:val="false"/>
          <w:i w:val="false"/>
          <w:color w:val="000000"/>
          <w:sz w:val="28"/>
        </w:rPr>
        <w:t>
      4.6. Исследуемые препараты.</w:t>
      </w:r>
    </w:p>
    <w:bookmarkEnd w:id="191"/>
    <w:bookmarkStart w:name="z1727" w:id="192"/>
    <w:p>
      <w:pPr>
        <w:spacing w:after="0"/>
        <w:ind w:left="0"/>
        <w:jc w:val="both"/>
      </w:pPr>
      <w:r>
        <w:rPr>
          <w:rFonts w:ascii="Times New Roman"/>
          <w:b w:val="false"/>
          <w:i w:val="false"/>
          <w:color w:val="000000"/>
          <w:sz w:val="28"/>
        </w:rPr>
        <w:t>
      4.6.1. Ответственность за учет исследуемых препаратов в исследовательском центре возложена на исследователя (медицинскую организацию).</w:t>
      </w:r>
    </w:p>
    <w:bookmarkEnd w:id="192"/>
    <w:bookmarkStart w:name="z1728" w:id="193"/>
    <w:p>
      <w:pPr>
        <w:spacing w:after="0"/>
        <w:ind w:left="0"/>
        <w:jc w:val="both"/>
      </w:pPr>
      <w:r>
        <w:rPr>
          <w:rFonts w:ascii="Times New Roman"/>
          <w:b w:val="false"/>
          <w:i w:val="false"/>
          <w:color w:val="000000"/>
          <w:sz w:val="28"/>
        </w:rPr>
        <w:t>
      4.6.2. Если это разрешено (требуется), исследователь (медицинская организация) может (должен) передать некоторые или все обязанности исследователя (медицинской организации) по учету исследуемых препаратов в исследовательском центре аптечному работнику (провизору) или иному лицу, подконтрольному исследователю (медицинской организации).</w:t>
      </w:r>
    </w:p>
    <w:bookmarkEnd w:id="193"/>
    <w:bookmarkStart w:name="z1729" w:id="194"/>
    <w:p>
      <w:pPr>
        <w:spacing w:after="0"/>
        <w:ind w:left="0"/>
        <w:jc w:val="both"/>
      </w:pPr>
      <w:r>
        <w:rPr>
          <w:rFonts w:ascii="Times New Roman"/>
          <w:b w:val="false"/>
          <w:i w:val="false"/>
          <w:color w:val="000000"/>
          <w:sz w:val="28"/>
        </w:rPr>
        <w:t>
      4.6.3. Исследователь (медицинская организация), аптечный работник (провизор) или иное уполномоченное исследователем (медицинской организацией) лицо должны вести учет поставок препаратов в исследовательский центр, их фактического количества в центре, использования каждым субъектом, а также учет возврата спонсору либо иного распоряжения неиспользованными препаратами. Записи по учету должны включать в себя даты, количество, номера партий (серий), сроки годности (где применимо) и уникальные коды исследуемых препаратов и субъектов исследования. Исследователь должен вести записи, должным образом подтверждающие, что субъекты исследования получали исследуемые препараты в дозах, предусмотренных протоколом, в количествах, согласующихся с общим количеством исследуемых препаратов, полученных от спонсора.</w:t>
      </w:r>
    </w:p>
    <w:bookmarkEnd w:id="194"/>
    <w:bookmarkStart w:name="z1730" w:id="195"/>
    <w:p>
      <w:pPr>
        <w:spacing w:after="0"/>
        <w:ind w:left="0"/>
        <w:jc w:val="both"/>
      </w:pPr>
      <w:r>
        <w:rPr>
          <w:rFonts w:ascii="Times New Roman"/>
          <w:b w:val="false"/>
          <w:i w:val="false"/>
          <w:color w:val="000000"/>
          <w:sz w:val="28"/>
        </w:rPr>
        <w:t>
      4.6.4. Исследуемые препараты необходимо хранить в соответствии с инструкциями спонсора согласно пунктам 5.13.2 и 5.14.3 настоящих Правил и применимыми требованиями.</w:t>
      </w:r>
    </w:p>
    <w:bookmarkEnd w:id="195"/>
    <w:bookmarkStart w:name="z1731" w:id="196"/>
    <w:p>
      <w:pPr>
        <w:spacing w:after="0"/>
        <w:ind w:left="0"/>
        <w:jc w:val="both"/>
      </w:pPr>
      <w:r>
        <w:rPr>
          <w:rFonts w:ascii="Times New Roman"/>
          <w:b w:val="false"/>
          <w:i w:val="false"/>
          <w:color w:val="000000"/>
          <w:sz w:val="28"/>
        </w:rPr>
        <w:t>
      4.6.5. Исследователь должен обеспечить использование исследуемых препаратов в соответствии с утвержденным протоколом.</w:t>
      </w:r>
    </w:p>
    <w:bookmarkEnd w:id="196"/>
    <w:p>
      <w:pPr>
        <w:spacing w:after="0"/>
        <w:ind w:left="0"/>
        <w:jc w:val="both"/>
      </w:pPr>
      <w:bookmarkStart w:name="z1732" w:id="197"/>
      <w:r>
        <w:rPr>
          <w:rFonts w:ascii="Times New Roman"/>
          <w:b w:val="false"/>
          <w:i w:val="false"/>
          <w:color w:val="000000"/>
          <w:sz w:val="28"/>
        </w:rPr>
        <w:t xml:space="preserve">
      4.6.6. Исследователь или уполномоченное им лицо должны разъяснять каждому субъекту исследования правила применения исследуемых препаратов и через приемлемые интервалы времени </w:t>
      </w:r>
    </w:p>
    <w:bookmarkEnd w:id="197"/>
    <w:p>
      <w:pPr>
        <w:spacing w:after="0"/>
        <w:ind w:left="0"/>
        <w:jc w:val="both"/>
      </w:pPr>
      <w:r>
        <w:rPr>
          <w:rFonts w:ascii="Times New Roman"/>
          <w:b w:val="false"/>
          <w:i w:val="false"/>
          <w:color w:val="000000"/>
          <w:sz w:val="28"/>
        </w:rPr>
        <w:t>(в зависимости от исследования) проверять соблюдение этих инструкций каждым субъектом исследования.</w:t>
      </w:r>
    </w:p>
    <w:bookmarkStart w:name="z1733" w:id="198"/>
    <w:p>
      <w:pPr>
        <w:spacing w:after="0"/>
        <w:ind w:left="0"/>
        <w:jc w:val="both"/>
      </w:pPr>
      <w:r>
        <w:rPr>
          <w:rFonts w:ascii="Times New Roman"/>
          <w:b w:val="false"/>
          <w:i w:val="false"/>
          <w:color w:val="000000"/>
          <w:sz w:val="28"/>
        </w:rPr>
        <w:t>
      4.7. Рандомизация и раскрытие кода.</w:t>
      </w:r>
    </w:p>
    <w:bookmarkEnd w:id="198"/>
    <w:bookmarkStart w:name="z1734" w:id="199"/>
    <w:p>
      <w:pPr>
        <w:spacing w:after="0"/>
        <w:ind w:left="0"/>
        <w:jc w:val="both"/>
      </w:pPr>
      <w:r>
        <w:rPr>
          <w:rFonts w:ascii="Times New Roman"/>
          <w:b w:val="false"/>
          <w:i w:val="false"/>
          <w:color w:val="000000"/>
          <w:sz w:val="28"/>
        </w:rPr>
        <w:t>
      Исследователь должен применять предусмотренную в исследовании методику рандомизации, если таковая имеется, и обеспечивать раскрытие кода только в соответствии с протоколом. Если исследование проводится слепым методом, исследователь должен незамедлительно документально оформить и объяснить спонсору любое преждевременное раскрытие кода исследуемых препаратов (например, случайное раскрытие кода, раскрытие кода в связи с серьезным нежелательным явлением).</w:t>
      </w:r>
    </w:p>
    <w:bookmarkEnd w:id="199"/>
    <w:bookmarkStart w:name="z1735" w:id="200"/>
    <w:p>
      <w:pPr>
        <w:spacing w:after="0"/>
        <w:ind w:left="0"/>
        <w:jc w:val="both"/>
      </w:pPr>
      <w:r>
        <w:rPr>
          <w:rFonts w:ascii="Times New Roman"/>
          <w:b w:val="false"/>
          <w:i w:val="false"/>
          <w:color w:val="000000"/>
          <w:sz w:val="28"/>
        </w:rPr>
        <w:t>
      4.8. Информированное согласие субъектов исследования.</w:t>
      </w:r>
    </w:p>
    <w:bookmarkEnd w:id="200"/>
    <w:bookmarkStart w:name="z1736" w:id="201"/>
    <w:p>
      <w:pPr>
        <w:spacing w:after="0"/>
        <w:ind w:left="0"/>
        <w:jc w:val="both"/>
      </w:pPr>
      <w:r>
        <w:rPr>
          <w:rFonts w:ascii="Times New Roman"/>
          <w:b w:val="false"/>
          <w:i w:val="false"/>
          <w:color w:val="000000"/>
          <w:sz w:val="28"/>
        </w:rPr>
        <w:t>
      4.8.1. При получении и документальном оформлении информированного согласия исследователь должен соблюдать применимые требования, требования настоящих Правил и этических принципов, заложенных в Хельсинской декларации, принятой на XVIII Генеральной ассамблее Всемирной медицинской ассоциации в 1964 году. До начала исследования исследователь должен получить письменное одобрение (заключение) ЭСО (НЭК) письменной формы информированного согласия и других письменных материалов, представляемых субъектам.</w:t>
      </w:r>
    </w:p>
    <w:bookmarkEnd w:id="201"/>
    <w:bookmarkStart w:name="z1737" w:id="202"/>
    <w:p>
      <w:pPr>
        <w:spacing w:after="0"/>
        <w:ind w:left="0"/>
        <w:jc w:val="both"/>
      </w:pPr>
      <w:r>
        <w:rPr>
          <w:rFonts w:ascii="Times New Roman"/>
          <w:b w:val="false"/>
          <w:i w:val="false"/>
          <w:color w:val="000000"/>
          <w:sz w:val="28"/>
        </w:rPr>
        <w:t>
      4.8.2. Письменную форму информированного согласия и другие письменные материалы, представляемые субъектам, следует дополнять (исправлять) по мере появления новой информации, которая может оказаться существенной для согласия субъекта. Дополненные (исправленные) письменная форма информированного согласия и другие письменные материалы, представляемые субъекту, должны быть разрешены (одобрены) ЭСО (НЭК) до начала их использования в исследовании. Субъект или его законный представитель должны быть своевременно ознакомлены с новой информацией, способной повлиять на желание субъекта продолжать участие в исследовании. Факт передачи этой информации должен быть документально оформлен.</w:t>
      </w:r>
    </w:p>
    <w:bookmarkEnd w:id="202"/>
    <w:bookmarkStart w:name="z1738" w:id="203"/>
    <w:p>
      <w:pPr>
        <w:spacing w:after="0"/>
        <w:ind w:left="0"/>
        <w:jc w:val="both"/>
      </w:pPr>
      <w:r>
        <w:rPr>
          <w:rFonts w:ascii="Times New Roman"/>
          <w:b w:val="false"/>
          <w:i w:val="false"/>
          <w:color w:val="000000"/>
          <w:sz w:val="28"/>
        </w:rPr>
        <w:t>
      4.8.3. Ни исследователь, ни другие занятые в исследовании лица не должны принуждать субъекта или использовать иные некорректные методы воздействия с целью склонить его к участию либо продолжению участия в исследовании.</w:t>
      </w:r>
    </w:p>
    <w:bookmarkEnd w:id="203"/>
    <w:bookmarkStart w:name="z1739" w:id="204"/>
    <w:p>
      <w:pPr>
        <w:spacing w:after="0"/>
        <w:ind w:left="0"/>
        <w:jc w:val="both"/>
      </w:pPr>
      <w:r>
        <w:rPr>
          <w:rFonts w:ascii="Times New Roman"/>
          <w:b w:val="false"/>
          <w:i w:val="false"/>
          <w:color w:val="000000"/>
          <w:sz w:val="28"/>
        </w:rPr>
        <w:t>
      4.8.4. Ни устная, ни письменная информация, касающаяся исследования, включая письменную форму информированного согласия пациента, не должна содержать формулировок, прямо или косвенно склоняющих субъекта или его законного представителя отказаться от своих законных прав, а также формулировок, прямо или косвенно освобождающих исследователя, медицинскую организацию, спонсора или их представителей от ответственности за халатность.</w:t>
      </w:r>
    </w:p>
    <w:bookmarkEnd w:id="204"/>
    <w:bookmarkStart w:name="z1740" w:id="205"/>
    <w:p>
      <w:pPr>
        <w:spacing w:after="0"/>
        <w:ind w:left="0"/>
        <w:jc w:val="both"/>
      </w:pPr>
      <w:r>
        <w:rPr>
          <w:rFonts w:ascii="Times New Roman"/>
          <w:b w:val="false"/>
          <w:i w:val="false"/>
          <w:color w:val="000000"/>
          <w:sz w:val="28"/>
        </w:rPr>
        <w:t>
      4.8.5. Исследователь или уполномоченное им лицо должны в полной мере проинформировать субъекта или, если субъект не способен дать информированное согласие, его законного представителя обо всех значимых аспектах исследования, в том числе ознакомить с информацией об исследовании в письменной форме и одобрением (положительным заключением) ЭСО (НЭК).</w:t>
      </w:r>
    </w:p>
    <w:bookmarkEnd w:id="205"/>
    <w:bookmarkStart w:name="z1741" w:id="206"/>
    <w:p>
      <w:pPr>
        <w:spacing w:after="0"/>
        <w:ind w:left="0"/>
        <w:jc w:val="both"/>
      </w:pPr>
      <w:r>
        <w:rPr>
          <w:rFonts w:ascii="Times New Roman"/>
          <w:b w:val="false"/>
          <w:i w:val="false"/>
          <w:color w:val="000000"/>
          <w:sz w:val="28"/>
        </w:rPr>
        <w:t>
      4.8.6. Информация об исследовании в устной и письменной форме, включая письменную форму информированного согласия, должна содержать как можно меньше специальных терминов и быть понятна субъекту или в соответствующих случаях его законному представителю и незаинтересованному свидетелю.</w:t>
      </w:r>
    </w:p>
    <w:bookmarkEnd w:id="206"/>
    <w:bookmarkStart w:name="z1742" w:id="207"/>
    <w:p>
      <w:pPr>
        <w:spacing w:after="0"/>
        <w:ind w:left="0"/>
        <w:jc w:val="both"/>
      </w:pPr>
      <w:r>
        <w:rPr>
          <w:rFonts w:ascii="Times New Roman"/>
          <w:b w:val="false"/>
          <w:i w:val="false"/>
          <w:color w:val="000000"/>
          <w:sz w:val="28"/>
        </w:rPr>
        <w:t>
      4.8.7. Перед получением информированного согласия исследователь или уполномоченное им лицо должны предоставить субъекту или его законному представителю достаточное количество времени и возможность получить более подробную информацию об исследовании для принятия решения об участии в нем или отказе от такого участия. Субъект или его законный представитель должны получить исчерпывающие ответы на все вопросы об исследовании.</w:t>
      </w:r>
    </w:p>
    <w:bookmarkEnd w:id="207"/>
    <w:bookmarkStart w:name="z1743" w:id="208"/>
    <w:p>
      <w:pPr>
        <w:spacing w:after="0"/>
        <w:ind w:left="0"/>
        <w:jc w:val="both"/>
      </w:pPr>
      <w:r>
        <w:rPr>
          <w:rFonts w:ascii="Times New Roman"/>
          <w:b w:val="false"/>
          <w:i w:val="false"/>
          <w:color w:val="000000"/>
          <w:sz w:val="28"/>
        </w:rPr>
        <w:t>
      4.8.8. До начала участия в исследовании субъект или его законный представитель, а также лицо, проводившее разъяснительную беседу, должны подписать и собственноручно датировать письменную форму информированного согласия.</w:t>
      </w:r>
    </w:p>
    <w:bookmarkEnd w:id="208"/>
    <w:bookmarkStart w:name="z1744" w:id="209"/>
    <w:p>
      <w:pPr>
        <w:spacing w:after="0"/>
        <w:ind w:left="0"/>
        <w:jc w:val="both"/>
      </w:pPr>
      <w:r>
        <w:rPr>
          <w:rFonts w:ascii="Times New Roman"/>
          <w:b w:val="false"/>
          <w:i w:val="false"/>
          <w:color w:val="000000"/>
          <w:sz w:val="28"/>
        </w:rPr>
        <w:t>
      4.8.9. Если субъект или его законный представитель не способны читать, во время проведения разъяснительной беседы должен присутствовать незаинтересованный свидетель. После того как субъекту или его законному представителю прочитали и разъяснили письменную форму информированного согласия и другие представляемые субъекту письменные материалы и субъект или его законный представитель дал устное согласие на участие субъекта в исследовании и, если способен, подписал с указанием даты письменную форму информированного согласия, незаинтересованный свидетель должен ее подписать и собственноручно поставить дату. Подписывая письменную форму информированного согласия, незаинтересованный свидетель подтверждает, что информация, содержащаяся в указанной форме и других письменных материалах, была разъяснена и понята субъектом или его законным представителем и что согласие на участие в исследовании дано субъектом или его законным представителем добровольно.</w:t>
      </w:r>
    </w:p>
    <w:bookmarkEnd w:id="209"/>
    <w:bookmarkStart w:name="z1745" w:id="210"/>
    <w:p>
      <w:pPr>
        <w:spacing w:after="0"/>
        <w:ind w:left="0"/>
        <w:jc w:val="both"/>
      </w:pPr>
      <w:r>
        <w:rPr>
          <w:rFonts w:ascii="Times New Roman"/>
          <w:b w:val="false"/>
          <w:i w:val="false"/>
          <w:color w:val="000000"/>
          <w:sz w:val="28"/>
        </w:rPr>
        <w:t>
      4.8.10. В ходе разъяснительной беседы, а также в письменной форме информированного согласия и других письменных материалах, представляемых субъектам, должно быть разъяснено следующее:</w:t>
      </w:r>
    </w:p>
    <w:bookmarkEnd w:id="210"/>
    <w:bookmarkStart w:name="z1746" w:id="211"/>
    <w:p>
      <w:pPr>
        <w:spacing w:after="0"/>
        <w:ind w:left="0"/>
        <w:jc w:val="both"/>
      </w:pPr>
      <w:r>
        <w:rPr>
          <w:rFonts w:ascii="Times New Roman"/>
          <w:b w:val="false"/>
          <w:i w:val="false"/>
          <w:color w:val="000000"/>
          <w:sz w:val="28"/>
        </w:rPr>
        <w:t>
      а) исследование носит экспериментальный характер;</w:t>
      </w:r>
    </w:p>
    <w:bookmarkEnd w:id="211"/>
    <w:bookmarkStart w:name="z1747" w:id="212"/>
    <w:p>
      <w:pPr>
        <w:spacing w:after="0"/>
        <w:ind w:left="0"/>
        <w:jc w:val="both"/>
      </w:pPr>
      <w:r>
        <w:rPr>
          <w:rFonts w:ascii="Times New Roman"/>
          <w:b w:val="false"/>
          <w:i w:val="false"/>
          <w:color w:val="000000"/>
          <w:sz w:val="28"/>
        </w:rPr>
        <w:t>
      б) цель исследования;</w:t>
      </w:r>
    </w:p>
    <w:bookmarkEnd w:id="212"/>
    <w:bookmarkStart w:name="z1748" w:id="213"/>
    <w:p>
      <w:pPr>
        <w:spacing w:after="0"/>
        <w:ind w:left="0"/>
        <w:jc w:val="both"/>
      </w:pPr>
      <w:r>
        <w:rPr>
          <w:rFonts w:ascii="Times New Roman"/>
          <w:b w:val="false"/>
          <w:i w:val="false"/>
          <w:color w:val="000000"/>
          <w:sz w:val="28"/>
        </w:rPr>
        <w:t>
      в) варианты лечения в процессе исследования и вероятность случайного распределения в одну из групп лечения;</w:t>
      </w:r>
    </w:p>
    <w:bookmarkEnd w:id="213"/>
    <w:bookmarkStart w:name="z1749" w:id="214"/>
    <w:p>
      <w:pPr>
        <w:spacing w:after="0"/>
        <w:ind w:left="0"/>
        <w:jc w:val="both"/>
      </w:pPr>
      <w:r>
        <w:rPr>
          <w:rFonts w:ascii="Times New Roman"/>
          <w:b w:val="false"/>
          <w:i w:val="false"/>
          <w:color w:val="000000"/>
          <w:sz w:val="28"/>
        </w:rPr>
        <w:t>
      г) процедуры исследования, включая все инвазивные процедуры;</w:t>
      </w:r>
    </w:p>
    <w:bookmarkEnd w:id="214"/>
    <w:bookmarkStart w:name="z1750" w:id="215"/>
    <w:p>
      <w:pPr>
        <w:spacing w:after="0"/>
        <w:ind w:left="0"/>
        <w:jc w:val="both"/>
      </w:pPr>
      <w:r>
        <w:rPr>
          <w:rFonts w:ascii="Times New Roman"/>
          <w:b w:val="false"/>
          <w:i w:val="false"/>
          <w:color w:val="000000"/>
          <w:sz w:val="28"/>
        </w:rPr>
        <w:t>
      д) обязанности субъекта;</w:t>
      </w:r>
    </w:p>
    <w:bookmarkEnd w:id="215"/>
    <w:bookmarkStart w:name="z1751" w:id="216"/>
    <w:p>
      <w:pPr>
        <w:spacing w:after="0"/>
        <w:ind w:left="0"/>
        <w:jc w:val="both"/>
      </w:pPr>
      <w:r>
        <w:rPr>
          <w:rFonts w:ascii="Times New Roman"/>
          <w:b w:val="false"/>
          <w:i w:val="false"/>
          <w:color w:val="000000"/>
          <w:sz w:val="28"/>
        </w:rPr>
        <w:t>
      е) аспекты исследования, которые носят экспериментальный характер;</w:t>
      </w:r>
    </w:p>
    <w:bookmarkEnd w:id="216"/>
    <w:bookmarkStart w:name="z1752" w:id="217"/>
    <w:p>
      <w:pPr>
        <w:spacing w:after="0"/>
        <w:ind w:left="0"/>
        <w:jc w:val="both"/>
      </w:pPr>
      <w:r>
        <w:rPr>
          <w:rFonts w:ascii="Times New Roman"/>
          <w:b w:val="false"/>
          <w:i w:val="false"/>
          <w:color w:val="000000"/>
          <w:sz w:val="28"/>
        </w:rPr>
        <w:t>
      ж) ожидаемые риск или неудобства для субъекта, а также в соответствующих случаях – для эмбриона, плода или младенца;</w:t>
      </w:r>
    </w:p>
    <w:bookmarkEnd w:id="217"/>
    <w:bookmarkStart w:name="z1753" w:id="218"/>
    <w:p>
      <w:pPr>
        <w:spacing w:after="0"/>
        <w:ind w:left="0"/>
        <w:jc w:val="both"/>
      </w:pPr>
      <w:r>
        <w:rPr>
          <w:rFonts w:ascii="Times New Roman"/>
          <w:b w:val="false"/>
          <w:i w:val="false"/>
          <w:color w:val="000000"/>
          <w:sz w:val="28"/>
        </w:rPr>
        <w:t>
      з) ожидаемые выгода и (или) польза. Если пользы с медицинской точки зрения не предполагается, субъект должен быть поставлен об этом в известность;</w:t>
      </w:r>
    </w:p>
    <w:bookmarkEnd w:id="218"/>
    <w:bookmarkStart w:name="z1754" w:id="219"/>
    <w:p>
      <w:pPr>
        <w:spacing w:after="0"/>
        <w:ind w:left="0"/>
        <w:jc w:val="both"/>
      </w:pPr>
      <w:r>
        <w:rPr>
          <w:rFonts w:ascii="Times New Roman"/>
          <w:b w:val="false"/>
          <w:i w:val="false"/>
          <w:color w:val="000000"/>
          <w:sz w:val="28"/>
        </w:rPr>
        <w:t>
      и) иные, помимо предусмотренных в исследовании, процедуры или методы лечения, которые могут быть доступны субъекту, их значимые потенциальные выгода и (или) польза, а также риски;</w:t>
      </w:r>
    </w:p>
    <w:bookmarkEnd w:id="219"/>
    <w:bookmarkStart w:name="z1755" w:id="220"/>
    <w:p>
      <w:pPr>
        <w:spacing w:after="0"/>
        <w:ind w:left="0"/>
        <w:jc w:val="both"/>
      </w:pPr>
      <w:r>
        <w:rPr>
          <w:rFonts w:ascii="Times New Roman"/>
          <w:b w:val="false"/>
          <w:i w:val="false"/>
          <w:color w:val="000000"/>
          <w:sz w:val="28"/>
        </w:rPr>
        <w:t>
      к) компенсация и (или) лечение, доступные субъекту в случае причинения вреда его здоровью в результате участия в исследовании;</w:t>
      </w:r>
    </w:p>
    <w:bookmarkEnd w:id="220"/>
    <w:bookmarkStart w:name="z1756" w:id="221"/>
    <w:p>
      <w:pPr>
        <w:spacing w:after="0"/>
        <w:ind w:left="0"/>
        <w:jc w:val="both"/>
      </w:pPr>
      <w:r>
        <w:rPr>
          <w:rFonts w:ascii="Times New Roman"/>
          <w:b w:val="false"/>
          <w:i w:val="false"/>
          <w:color w:val="000000"/>
          <w:sz w:val="28"/>
        </w:rPr>
        <w:t>
      л) планируемые выплаты субъекту за его участие в исследовании, если таковые предусмотрены;</w:t>
      </w:r>
    </w:p>
    <w:bookmarkEnd w:id="221"/>
    <w:bookmarkStart w:name="z1757" w:id="222"/>
    <w:p>
      <w:pPr>
        <w:spacing w:after="0"/>
        <w:ind w:left="0"/>
        <w:jc w:val="both"/>
      </w:pPr>
      <w:r>
        <w:rPr>
          <w:rFonts w:ascii="Times New Roman"/>
          <w:b w:val="false"/>
          <w:i w:val="false"/>
          <w:color w:val="000000"/>
          <w:sz w:val="28"/>
        </w:rPr>
        <w:t>
      м) планируемые расходы субъекта, связанные с его участием в исследовании, если таковые ожидаются;</w:t>
      </w:r>
    </w:p>
    <w:bookmarkEnd w:id="222"/>
    <w:bookmarkStart w:name="z1758" w:id="223"/>
    <w:p>
      <w:pPr>
        <w:spacing w:after="0"/>
        <w:ind w:left="0"/>
        <w:jc w:val="both"/>
      </w:pPr>
      <w:r>
        <w:rPr>
          <w:rFonts w:ascii="Times New Roman"/>
          <w:b w:val="false"/>
          <w:i w:val="false"/>
          <w:color w:val="000000"/>
          <w:sz w:val="28"/>
        </w:rPr>
        <w:t>
      н) участие субъекта в исследовании является добровольным, он может отказаться от участия или выйти из исследования в любой момент без каких-либо санкций для себя или потери выгоды;</w:t>
      </w:r>
    </w:p>
    <w:bookmarkEnd w:id="223"/>
    <w:bookmarkStart w:name="z1759" w:id="224"/>
    <w:p>
      <w:pPr>
        <w:spacing w:after="0"/>
        <w:ind w:left="0"/>
        <w:jc w:val="both"/>
      </w:pPr>
      <w:r>
        <w:rPr>
          <w:rFonts w:ascii="Times New Roman"/>
          <w:b w:val="false"/>
          <w:i w:val="false"/>
          <w:color w:val="000000"/>
          <w:sz w:val="28"/>
        </w:rPr>
        <w:t>
      о) мониторы, аудиторы, ЭСО (НЭК) и уполномоченные органы в той мере, в какой это допускается законодательством государств-членов, будут иметь прямой доступ к оригинальным медицинским записям субъекта для проверки процедур и (или) данных клинического исследования, не нарушая при этом конфиденциальности данных субъекта, и субъект или его законный представитель, подписывая письменную форму информированного согласия, дает разрешение на такой доступ;</w:t>
      </w:r>
    </w:p>
    <w:bookmarkEnd w:id="224"/>
    <w:bookmarkStart w:name="z1760" w:id="225"/>
    <w:p>
      <w:pPr>
        <w:spacing w:after="0"/>
        <w:ind w:left="0"/>
        <w:jc w:val="both"/>
      </w:pPr>
      <w:r>
        <w:rPr>
          <w:rFonts w:ascii="Times New Roman"/>
          <w:b w:val="false"/>
          <w:i w:val="false"/>
          <w:color w:val="000000"/>
          <w:sz w:val="28"/>
        </w:rPr>
        <w:t>
      п) записи, идентифицирующие субъекта, будут сохранены в тайне и могут быть раскрыты только в той мере, в какой это допускается законодательством государств-членов. При публикации результатов исследования конфиденциальность данных субъекта будет сохранена;</w:t>
      </w:r>
    </w:p>
    <w:bookmarkEnd w:id="225"/>
    <w:bookmarkStart w:name="z1761" w:id="226"/>
    <w:p>
      <w:pPr>
        <w:spacing w:after="0"/>
        <w:ind w:left="0"/>
        <w:jc w:val="both"/>
      </w:pPr>
      <w:r>
        <w:rPr>
          <w:rFonts w:ascii="Times New Roman"/>
          <w:b w:val="false"/>
          <w:i w:val="false"/>
          <w:color w:val="000000"/>
          <w:sz w:val="28"/>
        </w:rPr>
        <w:t>
      р) субъект или его законный представитель будут своевременно ознакомлены с новой информацией, способной повлиять на желание субъекта продолжать участие в исследовании;</w:t>
      </w:r>
    </w:p>
    <w:bookmarkEnd w:id="226"/>
    <w:bookmarkStart w:name="z1762" w:id="227"/>
    <w:p>
      <w:pPr>
        <w:spacing w:after="0"/>
        <w:ind w:left="0"/>
        <w:jc w:val="both"/>
      </w:pPr>
      <w:r>
        <w:rPr>
          <w:rFonts w:ascii="Times New Roman"/>
          <w:b w:val="false"/>
          <w:i w:val="false"/>
          <w:color w:val="000000"/>
          <w:sz w:val="28"/>
        </w:rPr>
        <w:t>
      с) лица, к которым можно обратиться для получения дополнительной информации об исследовании и правах субъектов исследования, а также в случае причинения вреда здоровью субъекта в результате его участия в исследовании;</w:t>
      </w:r>
    </w:p>
    <w:bookmarkEnd w:id="227"/>
    <w:bookmarkStart w:name="z1763" w:id="228"/>
    <w:p>
      <w:pPr>
        <w:spacing w:after="0"/>
        <w:ind w:left="0"/>
        <w:jc w:val="both"/>
      </w:pPr>
      <w:r>
        <w:rPr>
          <w:rFonts w:ascii="Times New Roman"/>
          <w:b w:val="false"/>
          <w:i w:val="false"/>
          <w:color w:val="000000"/>
          <w:sz w:val="28"/>
        </w:rPr>
        <w:t>
      т) возможные обстоятельства и (или) причины, по которым участие субъекта в исследовании может быть прекращено;</w:t>
      </w:r>
    </w:p>
    <w:bookmarkEnd w:id="228"/>
    <w:bookmarkStart w:name="z1764" w:id="229"/>
    <w:p>
      <w:pPr>
        <w:spacing w:after="0"/>
        <w:ind w:left="0"/>
        <w:jc w:val="both"/>
      </w:pPr>
      <w:r>
        <w:rPr>
          <w:rFonts w:ascii="Times New Roman"/>
          <w:b w:val="false"/>
          <w:i w:val="false"/>
          <w:color w:val="000000"/>
          <w:sz w:val="28"/>
        </w:rPr>
        <w:t>
      у) предполагаемая длительность участия субъекта в исследовании;</w:t>
      </w:r>
    </w:p>
    <w:bookmarkEnd w:id="229"/>
    <w:bookmarkStart w:name="z1765" w:id="230"/>
    <w:p>
      <w:pPr>
        <w:spacing w:after="0"/>
        <w:ind w:left="0"/>
        <w:jc w:val="both"/>
      </w:pPr>
      <w:r>
        <w:rPr>
          <w:rFonts w:ascii="Times New Roman"/>
          <w:b w:val="false"/>
          <w:i w:val="false"/>
          <w:color w:val="000000"/>
          <w:sz w:val="28"/>
        </w:rPr>
        <w:t>
      ф) приблизительное количество субъектов, которых предполагается включить в исследование.</w:t>
      </w:r>
    </w:p>
    <w:bookmarkEnd w:id="230"/>
    <w:bookmarkStart w:name="z1766" w:id="231"/>
    <w:p>
      <w:pPr>
        <w:spacing w:after="0"/>
        <w:ind w:left="0"/>
        <w:jc w:val="both"/>
      </w:pPr>
      <w:r>
        <w:rPr>
          <w:rFonts w:ascii="Times New Roman"/>
          <w:b w:val="false"/>
          <w:i w:val="false"/>
          <w:color w:val="000000"/>
          <w:sz w:val="28"/>
        </w:rPr>
        <w:t>
      4.8.11. Перед включением в исследование субъект или его законный представитель должен получить подписанный экземпляр письменной формы информированного согласия с указанием даты и другие предоставляемые субъектам письменные материалы. Во время участия субъекта в исследовании он или его законный представитель должен получать подписанные экземпляры всех последующих редакций письменной формы информированного согласия с указанием даты и копии всех поправок к другим письменным материалам, представляемым субъектам.</w:t>
      </w:r>
    </w:p>
    <w:bookmarkEnd w:id="231"/>
    <w:bookmarkStart w:name="z1767" w:id="232"/>
    <w:p>
      <w:pPr>
        <w:spacing w:after="0"/>
        <w:ind w:left="0"/>
        <w:jc w:val="both"/>
      </w:pPr>
      <w:r>
        <w:rPr>
          <w:rFonts w:ascii="Times New Roman"/>
          <w:b w:val="false"/>
          <w:i w:val="false"/>
          <w:color w:val="000000"/>
          <w:sz w:val="28"/>
        </w:rPr>
        <w:t>
      4.8.12. Если в клиническом исследовании участвуют субъекты, которые могут быть включены в исследование только на основании согласия их законных представителей (например, несовершеннолетние, пациенты с выраженным слабоумием), субъект должен быть проинформирован об исследовании в соответствии с его способностью понять эту информацию и, если субъект в состоянии, он должен подписать с указанием даты письменную форму информированного согласия.</w:t>
      </w:r>
    </w:p>
    <w:bookmarkEnd w:id="232"/>
    <w:bookmarkStart w:name="z1768" w:id="233"/>
    <w:p>
      <w:pPr>
        <w:spacing w:after="0"/>
        <w:ind w:left="0"/>
        <w:jc w:val="both"/>
      </w:pPr>
      <w:r>
        <w:rPr>
          <w:rFonts w:ascii="Times New Roman"/>
          <w:b w:val="false"/>
          <w:i w:val="false"/>
          <w:color w:val="000000"/>
          <w:sz w:val="28"/>
        </w:rPr>
        <w:t>
      4.8.13. Кроме случаев, описанных в пункте 4.8.14 настоящих Правил, в исследование, не связанное с лечением (то есть исследование, в котором не предполагается непосредственной с медицинской точки зрения пользы для субъекта), могут быть включены только субъекты, которые лично дают свое согласие и собственноручно подписывают и датируют письменную форму информированного согласия.</w:t>
      </w:r>
    </w:p>
    <w:bookmarkEnd w:id="233"/>
    <w:bookmarkStart w:name="z1769" w:id="234"/>
    <w:p>
      <w:pPr>
        <w:spacing w:after="0"/>
        <w:ind w:left="0"/>
        <w:jc w:val="both"/>
      </w:pPr>
      <w:r>
        <w:rPr>
          <w:rFonts w:ascii="Times New Roman"/>
          <w:b w:val="false"/>
          <w:i w:val="false"/>
          <w:color w:val="000000"/>
          <w:sz w:val="28"/>
        </w:rPr>
        <w:t>
      4.8.14. В исследование, не связанное с лечением, субъекты могут быть включены с согласия их законных представителей при соблюдении следующих условий:</w:t>
      </w:r>
    </w:p>
    <w:bookmarkEnd w:id="234"/>
    <w:bookmarkStart w:name="z1770" w:id="235"/>
    <w:p>
      <w:pPr>
        <w:spacing w:after="0"/>
        <w:ind w:left="0"/>
        <w:jc w:val="both"/>
      </w:pPr>
      <w:r>
        <w:rPr>
          <w:rFonts w:ascii="Times New Roman"/>
          <w:b w:val="false"/>
          <w:i w:val="false"/>
          <w:color w:val="000000"/>
          <w:sz w:val="28"/>
        </w:rPr>
        <w:t>
      а) цели исследования не могут быть достигнуты посредством исследования с участием субъектов, которые могут дать свое согласие лично;</w:t>
      </w:r>
    </w:p>
    <w:bookmarkEnd w:id="235"/>
    <w:bookmarkStart w:name="z1771" w:id="236"/>
    <w:p>
      <w:pPr>
        <w:spacing w:after="0"/>
        <w:ind w:left="0"/>
        <w:jc w:val="both"/>
      </w:pPr>
      <w:r>
        <w:rPr>
          <w:rFonts w:ascii="Times New Roman"/>
          <w:b w:val="false"/>
          <w:i w:val="false"/>
          <w:color w:val="000000"/>
          <w:sz w:val="28"/>
        </w:rPr>
        <w:t>
      б) ожидаемый риск для субъектов незначителен;</w:t>
      </w:r>
    </w:p>
    <w:bookmarkEnd w:id="236"/>
    <w:bookmarkStart w:name="z1772" w:id="237"/>
    <w:p>
      <w:pPr>
        <w:spacing w:after="0"/>
        <w:ind w:left="0"/>
        <w:jc w:val="both"/>
      </w:pPr>
      <w:r>
        <w:rPr>
          <w:rFonts w:ascii="Times New Roman"/>
          <w:b w:val="false"/>
          <w:i w:val="false"/>
          <w:color w:val="000000"/>
          <w:sz w:val="28"/>
        </w:rPr>
        <w:t>
      в) негативное воздействие на здоровье субъекта сведено к минимуму и незначительно;</w:t>
      </w:r>
    </w:p>
    <w:bookmarkEnd w:id="237"/>
    <w:bookmarkStart w:name="z1773" w:id="238"/>
    <w:p>
      <w:pPr>
        <w:spacing w:after="0"/>
        <w:ind w:left="0"/>
        <w:jc w:val="both"/>
      </w:pPr>
      <w:r>
        <w:rPr>
          <w:rFonts w:ascii="Times New Roman"/>
          <w:b w:val="false"/>
          <w:i w:val="false"/>
          <w:color w:val="000000"/>
          <w:sz w:val="28"/>
        </w:rPr>
        <w:t>
      г) исследование не запрещено законодательством государства-члена;</w:t>
      </w:r>
    </w:p>
    <w:bookmarkEnd w:id="238"/>
    <w:bookmarkStart w:name="z1774" w:id="239"/>
    <w:p>
      <w:pPr>
        <w:spacing w:after="0"/>
        <w:ind w:left="0"/>
        <w:jc w:val="both"/>
      </w:pPr>
      <w:r>
        <w:rPr>
          <w:rFonts w:ascii="Times New Roman"/>
          <w:b w:val="false"/>
          <w:i w:val="false"/>
          <w:color w:val="000000"/>
          <w:sz w:val="28"/>
        </w:rPr>
        <w:t>
      д) для включения таких субъектов в исследование запрошено специальное одобрение (заключение) ЭСО (НЭК), учитывающее этот аспект.</w:t>
      </w:r>
    </w:p>
    <w:bookmarkEnd w:id="239"/>
    <w:bookmarkStart w:name="z1775" w:id="240"/>
    <w:p>
      <w:pPr>
        <w:spacing w:after="0"/>
        <w:ind w:left="0"/>
        <w:jc w:val="both"/>
      </w:pPr>
      <w:r>
        <w:rPr>
          <w:rFonts w:ascii="Times New Roman"/>
          <w:b w:val="false"/>
          <w:i w:val="false"/>
          <w:color w:val="000000"/>
          <w:sz w:val="28"/>
        </w:rPr>
        <w:t>
      Подобные исследования (за исключением обоснованных случаев) должны проводиться с участием субъектов, имеющих заболевания, для лечения которых предназначен исследуемый препарат. Субъекты в таких исследованиях должны находиться под тщательным наблюдением, и их участие должно быть прекращено, если есть основания полагать, что они испытывают чрезмерный дискомфорт.</w:t>
      </w:r>
    </w:p>
    <w:bookmarkEnd w:id="240"/>
    <w:bookmarkStart w:name="z1776" w:id="241"/>
    <w:p>
      <w:pPr>
        <w:spacing w:after="0"/>
        <w:ind w:left="0"/>
        <w:jc w:val="both"/>
      </w:pPr>
      <w:r>
        <w:rPr>
          <w:rFonts w:ascii="Times New Roman"/>
          <w:b w:val="false"/>
          <w:i w:val="false"/>
          <w:color w:val="000000"/>
          <w:sz w:val="28"/>
        </w:rPr>
        <w:t>
      4.8.15. При неотложных состояниях, когда до включения в исследование невозможно получить согласие самого субъекта, оно должно быть запрошено у его законного представителя, если таковой присутствует. Если предварительное согласие самого субъекта невозможно и отсутствует его законный представитель, для включения субъекта в исследование должны быть приняты предусмотренные протоколом и (или) другими документами и разрешенные (одобренные) ЭСО (НЭК) меры, направленные на защиту прав, безопасности и благополучия субъекта, а также обеспечивающие соответствие применимым требованиям. Субъект или его законный представитель должны быть в кратчайшие сроки поставлены в известность об исследовании, и у них должно быть запрошено согласие на продолжение участия в исследовании, а также информированное согласие в соответствии с пунктом 4.8.10 настоящих Правил.</w:t>
      </w:r>
    </w:p>
    <w:bookmarkEnd w:id="241"/>
    <w:bookmarkStart w:name="z1777" w:id="242"/>
    <w:p>
      <w:pPr>
        <w:spacing w:after="0"/>
        <w:ind w:left="0"/>
        <w:jc w:val="both"/>
      </w:pPr>
      <w:r>
        <w:rPr>
          <w:rFonts w:ascii="Times New Roman"/>
          <w:b w:val="false"/>
          <w:i w:val="false"/>
          <w:color w:val="000000"/>
          <w:sz w:val="28"/>
        </w:rPr>
        <w:t>
      4.9. Документация и отчетность.</w:t>
      </w:r>
    </w:p>
    <w:bookmarkEnd w:id="242"/>
    <w:bookmarkStart w:name="z1778" w:id="243"/>
    <w:p>
      <w:pPr>
        <w:spacing w:after="0"/>
        <w:ind w:left="0"/>
        <w:jc w:val="both"/>
      </w:pPr>
      <w:r>
        <w:rPr>
          <w:rFonts w:ascii="Times New Roman"/>
          <w:b w:val="false"/>
          <w:i w:val="false"/>
          <w:color w:val="000000"/>
          <w:sz w:val="28"/>
        </w:rPr>
        <w:t xml:space="preserve">
      4.9.0. Исследователь (медицинская организация) должен вести соответствующим образом составленные и точные первичные документы и записи об исследовании, в которых отражаются все значимые для исследования данные по каждому субъекту исследования в исследовательском центре. Первичные данные должны быть разборчивыми, оригинальными, точными, полными, должны регистрироваться в процессе осуществления наблюдений таким образом, чтобы их можно было атрибутировать. Изменения первичных данных должны быть прослеживаемыми, не должны скрывать первоначально введенные данные и при необходимости подлежат объяснению (например, посредством документального следа). </w:t>
      </w:r>
    </w:p>
    <w:bookmarkEnd w:id="243"/>
    <w:bookmarkStart w:name="z1779" w:id="244"/>
    <w:p>
      <w:pPr>
        <w:spacing w:after="0"/>
        <w:ind w:left="0"/>
        <w:jc w:val="both"/>
      </w:pPr>
      <w:r>
        <w:rPr>
          <w:rFonts w:ascii="Times New Roman"/>
          <w:b w:val="false"/>
          <w:i w:val="false"/>
          <w:color w:val="000000"/>
          <w:sz w:val="28"/>
        </w:rPr>
        <w:t>
      4.9.1. Исследователь должен обеспечивать правильность, полноту, разборчивость и своевременность предоставления спонсору данных, содержащихся в индивидуальной регистрационной карте и во всех требуемых отчетах.</w:t>
      </w:r>
    </w:p>
    <w:bookmarkEnd w:id="244"/>
    <w:bookmarkStart w:name="z1780" w:id="245"/>
    <w:p>
      <w:pPr>
        <w:spacing w:after="0"/>
        <w:ind w:left="0"/>
        <w:jc w:val="both"/>
      </w:pPr>
      <w:r>
        <w:rPr>
          <w:rFonts w:ascii="Times New Roman"/>
          <w:b w:val="false"/>
          <w:i w:val="false"/>
          <w:color w:val="000000"/>
          <w:sz w:val="28"/>
        </w:rPr>
        <w:t>
      4.9.2. Данные, содержащиеся в индивидуальной регистрационной карте, должны соответствовать первичной документации, из которой они перенесены, имеющиеся расхождения должны быть объяснены.</w:t>
      </w:r>
    </w:p>
    <w:bookmarkEnd w:id="245"/>
    <w:bookmarkStart w:name="z1781" w:id="246"/>
    <w:p>
      <w:pPr>
        <w:spacing w:after="0"/>
        <w:ind w:left="0"/>
        <w:jc w:val="both"/>
      </w:pPr>
      <w:r>
        <w:rPr>
          <w:rFonts w:ascii="Times New Roman"/>
          <w:b w:val="false"/>
          <w:i w:val="false"/>
          <w:color w:val="000000"/>
          <w:sz w:val="28"/>
        </w:rPr>
        <w:t>
      4.9.3. Любые изменения или исправления в индивидуальной регистрационной карте должны быть подписаны, датированы, объяснены (при необходимости) и не должны скрывать первоначальную запись (должен быть сохранен документальный след). Это относится к изменениям или исправлениям как на бумажных, так и на электронных носителях (в соответствии с подпунктом "о" пункта 5.18.4 настоящих Правил). Спонсор должен представить исследователю и (или) его уполномоченным представителям инструкцию о порядке оформления таких исправлений. Спонсор должен иметь письменные процедуры, предусматривающие, что изменения или исправления в индивидуальной регистрационной карте, вносимые его уполномоченными представителями, документально оформляются, являются необходимыми и одобряются исследователем. Исследователь должен хранить записи об этих изменениях и исправлениях.</w:t>
      </w:r>
    </w:p>
    <w:bookmarkEnd w:id="246"/>
    <w:bookmarkStart w:name="z1782" w:id="247"/>
    <w:p>
      <w:pPr>
        <w:spacing w:after="0"/>
        <w:ind w:left="0"/>
        <w:jc w:val="both"/>
      </w:pPr>
      <w:r>
        <w:rPr>
          <w:rFonts w:ascii="Times New Roman"/>
          <w:b w:val="false"/>
          <w:i w:val="false"/>
          <w:color w:val="000000"/>
          <w:sz w:val="28"/>
        </w:rPr>
        <w:t>
      4.9.4. Исследователь (медицинская организация) должен вести документацию исследования согласно подразделу 8 настоящего раздела и применимым требованиям. Исследователь (медицинская организация) должен принимать меры, предотвращающие случайное или преждевременное уничтожение этих документов.</w:t>
      </w:r>
    </w:p>
    <w:bookmarkEnd w:id="247"/>
    <w:bookmarkStart w:name="z1783" w:id="248"/>
    <w:p>
      <w:pPr>
        <w:spacing w:after="0"/>
        <w:ind w:left="0"/>
        <w:jc w:val="both"/>
      </w:pPr>
      <w:r>
        <w:rPr>
          <w:rFonts w:ascii="Times New Roman"/>
          <w:b w:val="false"/>
          <w:i w:val="false"/>
          <w:color w:val="000000"/>
          <w:sz w:val="28"/>
        </w:rPr>
        <w:t>
      4.9.5. Основные документы должны храниться не менее 2 лет после утверждения последней заявки на регистрацию лекарственного препарата в государстве-члене и до тех пор, пока ни одна из заявок не будет находиться на рассмотрении и не будет планироваться новых заявок, или не менее 2 лет после официального прекращения клинической разработки исследуемого препарата. Эти документы должны храниться более длительный срок в случае, если это предусмотрено применимыми требованиями или договором со спонсором. Ответственностью спонсора является информирование исследователя (медицинской организации) об истечении срока хранения документации (в соответствии с пунктом 5.5.12 настоящих Правил).</w:t>
      </w:r>
    </w:p>
    <w:bookmarkEnd w:id="248"/>
    <w:bookmarkStart w:name="z1784" w:id="249"/>
    <w:p>
      <w:pPr>
        <w:spacing w:after="0"/>
        <w:ind w:left="0"/>
        <w:jc w:val="both"/>
      </w:pPr>
      <w:r>
        <w:rPr>
          <w:rFonts w:ascii="Times New Roman"/>
          <w:b w:val="false"/>
          <w:i w:val="false"/>
          <w:color w:val="000000"/>
          <w:sz w:val="28"/>
        </w:rPr>
        <w:t>
      4.9.6. Финансовые аспекты исследования должны быть отражены в договоре между спонсором и исследователем (медицинской организацией).</w:t>
      </w:r>
    </w:p>
    <w:bookmarkEnd w:id="249"/>
    <w:bookmarkStart w:name="z1785" w:id="250"/>
    <w:p>
      <w:pPr>
        <w:spacing w:after="0"/>
        <w:ind w:left="0"/>
        <w:jc w:val="both"/>
      </w:pPr>
      <w:r>
        <w:rPr>
          <w:rFonts w:ascii="Times New Roman"/>
          <w:b w:val="false"/>
          <w:i w:val="false"/>
          <w:color w:val="000000"/>
          <w:sz w:val="28"/>
        </w:rPr>
        <w:t>
      4.9.7. По запросу монитора, аудитора, ЭСО (НЭК) или уполномоченного органа исследователь (медицинская организация) должен обеспечить прямой доступ ко всем записям, относящимся к исследованию.</w:t>
      </w:r>
    </w:p>
    <w:bookmarkEnd w:id="250"/>
    <w:bookmarkStart w:name="z1786" w:id="251"/>
    <w:p>
      <w:pPr>
        <w:spacing w:after="0"/>
        <w:ind w:left="0"/>
        <w:jc w:val="both"/>
      </w:pPr>
      <w:r>
        <w:rPr>
          <w:rFonts w:ascii="Times New Roman"/>
          <w:b w:val="false"/>
          <w:i w:val="false"/>
          <w:color w:val="000000"/>
          <w:sz w:val="28"/>
        </w:rPr>
        <w:t>
      4.10. Отчеты о ходе исследования.</w:t>
      </w:r>
    </w:p>
    <w:bookmarkEnd w:id="251"/>
    <w:bookmarkStart w:name="z1787" w:id="252"/>
    <w:p>
      <w:pPr>
        <w:spacing w:after="0"/>
        <w:ind w:left="0"/>
        <w:jc w:val="both"/>
      </w:pPr>
      <w:r>
        <w:rPr>
          <w:rFonts w:ascii="Times New Roman"/>
          <w:b w:val="false"/>
          <w:i w:val="false"/>
          <w:color w:val="000000"/>
          <w:sz w:val="28"/>
        </w:rPr>
        <w:t>
      4.10.1. Исследователь должен представлять ЭСО (НЭК) краткие письменные отчеты о ходе исследования ежегодно или чаще, если этого требует ЭСО (НЭК).</w:t>
      </w:r>
    </w:p>
    <w:bookmarkEnd w:id="252"/>
    <w:bookmarkStart w:name="z1788" w:id="253"/>
    <w:p>
      <w:pPr>
        <w:spacing w:after="0"/>
        <w:ind w:left="0"/>
        <w:jc w:val="both"/>
      </w:pPr>
      <w:r>
        <w:rPr>
          <w:rFonts w:ascii="Times New Roman"/>
          <w:b w:val="false"/>
          <w:i w:val="false"/>
          <w:color w:val="000000"/>
          <w:sz w:val="28"/>
        </w:rPr>
        <w:t>
      4.10.2. Исследователь должен незамедлительно представлять письменные отчеты спонсору, ЭСО (НЭК) (в соответствии с пунктом 3.3.8 настоящих Правил) и, в соответствующих случаях, организации о любых изменениях, существенно влияющих на проведение исследования и (или) увеличивающих степень риска для субъектов.</w:t>
      </w:r>
    </w:p>
    <w:bookmarkEnd w:id="253"/>
    <w:bookmarkStart w:name="z1789" w:id="254"/>
    <w:p>
      <w:pPr>
        <w:spacing w:after="0"/>
        <w:ind w:left="0"/>
        <w:jc w:val="both"/>
      </w:pPr>
      <w:r>
        <w:rPr>
          <w:rFonts w:ascii="Times New Roman"/>
          <w:b w:val="false"/>
          <w:i w:val="false"/>
          <w:color w:val="000000"/>
          <w:sz w:val="28"/>
        </w:rPr>
        <w:t>
      4.11. Представление информации по безопасности.</w:t>
      </w:r>
    </w:p>
    <w:bookmarkEnd w:id="254"/>
    <w:bookmarkStart w:name="z1790" w:id="255"/>
    <w:p>
      <w:pPr>
        <w:spacing w:after="0"/>
        <w:ind w:left="0"/>
        <w:jc w:val="both"/>
      </w:pPr>
      <w:r>
        <w:rPr>
          <w:rFonts w:ascii="Times New Roman"/>
          <w:b w:val="false"/>
          <w:i w:val="false"/>
          <w:color w:val="000000"/>
          <w:sz w:val="28"/>
        </w:rPr>
        <w:t xml:space="preserve">
      4.11.1. Обо всех серьезных нежелательных явлениях необходимо немедленно сообщать спонсору, за исключением тех из них, которые в протоколе или в другом документе (например, в брошюре исследователя) определены как не требующие срочного репортирования. После первичного срочного сообщения необходимо в кратчайшие сроки представить подробное письменное сообщение. Первичное и последующие сообщения должны идентифицировать субъектов исследования по присвоенным им уникальным кодам, а не по именам, персональным идентификационным номерам и (или) адресам субъектов. Исследователь должен также соблюдать применимые требования и предоставлять информацию о серьезном нежелательном явлении в соответствии с порядком согласно приложению № 11. </w:t>
      </w:r>
    </w:p>
    <w:bookmarkEnd w:id="255"/>
    <w:p>
      <w:pPr>
        <w:spacing w:after="0"/>
        <w:ind w:left="0"/>
        <w:jc w:val="both"/>
      </w:pPr>
      <w:bookmarkStart w:name="z1791" w:id="256"/>
      <w:r>
        <w:rPr>
          <w:rFonts w:ascii="Times New Roman"/>
          <w:b w:val="false"/>
          <w:i w:val="false"/>
          <w:color w:val="000000"/>
          <w:sz w:val="28"/>
        </w:rPr>
        <w:t xml:space="preserve">
      4.11.2. Обо всех нежелательных явлениях и (или) отклонениях лабораторных показателей от нормы, определенных протоколом </w:t>
      </w:r>
    </w:p>
    <w:bookmarkEnd w:id="256"/>
    <w:p>
      <w:pPr>
        <w:spacing w:after="0"/>
        <w:ind w:left="0"/>
        <w:jc w:val="both"/>
      </w:pPr>
      <w:r>
        <w:rPr>
          <w:rFonts w:ascii="Times New Roman"/>
          <w:b w:val="false"/>
          <w:i w:val="false"/>
          <w:color w:val="000000"/>
          <w:sz w:val="28"/>
        </w:rPr>
        <w:t>в качестве критичных для оценки безопасности, необходимо сообщать спонсору в соответствии с требованиями к представлению сообщений о нежелательных явлениях в сроки, определенные спонсором в протоколе.</w:t>
      </w:r>
    </w:p>
    <w:bookmarkStart w:name="z1792" w:id="257"/>
    <w:p>
      <w:pPr>
        <w:spacing w:after="0"/>
        <w:ind w:left="0"/>
        <w:jc w:val="both"/>
      </w:pPr>
      <w:r>
        <w:rPr>
          <w:rFonts w:ascii="Times New Roman"/>
          <w:b w:val="false"/>
          <w:i w:val="false"/>
          <w:color w:val="000000"/>
          <w:sz w:val="28"/>
        </w:rPr>
        <w:t>
      4.11.3. При сообщениях о смерти исследователь обязан по запросу спонсора, уполномоченного органа и ЭСО (НЭК) представить дополнительную информацию (например, протокол вскрытия и посмертный эпикриз).</w:t>
      </w:r>
    </w:p>
    <w:bookmarkEnd w:id="257"/>
    <w:bookmarkStart w:name="z1793" w:id="258"/>
    <w:p>
      <w:pPr>
        <w:spacing w:after="0"/>
        <w:ind w:left="0"/>
        <w:jc w:val="both"/>
      </w:pPr>
      <w:r>
        <w:rPr>
          <w:rFonts w:ascii="Times New Roman"/>
          <w:b w:val="false"/>
          <w:i w:val="false"/>
          <w:color w:val="000000"/>
          <w:sz w:val="28"/>
        </w:rPr>
        <w:t>
      4.12. Преждевременное прекращение или приостановление исследования.</w:t>
      </w:r>
    </w:p>
    <w:bookmarkEnd w:id="258"/>
    <w:bookmarkStart w:name="z1794" w:id="259"/>
    <w:p>
      <w:pPr>
        <w:spacing w:after="0"/>
        <w:ind w:left="0"/>
        <w:jc w:val="both"/>
      </w:pPr>
      <w:r>
        <w:rPr>
          <w:rFonts w:ascii="Times New Roman"/>
          <w:b w:val="false"/>
          <w:i w:val="false"/>
          <w:color w:val="000000"/>
          <w:sz w:val="28"/>
        </w:rPr>
        <w:t>
      Если по какой-либо причине исследование преждевременно прекращено или приостановлено, исследователь (медицинская организация) должен незамедлительно информировать субъектов исследования, обеспечить им соответствующие лечение и наблюдение и, если предусмотрено применимыми требованиями, информировать уполномоченные органы. Кроме того:</w:t>
      </w:r>
    </w:p>
    <w:bookmarkEnd w:id="259"/>
    <w:bookmarkStart w:name="z1795" w:id="260"/>
    <w:p>
      <w:pPr>
        <w:spacing w:after="0"/>
        <w:ind w:left="0"/>
        <w:jc w:val="both"/>
      </w:pPr>
      <w:r>
        <w:rPr>
          <w:rFonts w:ascii="Times New Roman"/>
          <w:b w:val="false"/>
          <w:i w:val="false"/>
          <w:color w:val="000000"/>
          <w:sz w:val="28"/>
        </w:rPr>
        <w:t>
      4.12.1. Если исследователь преждевременно прекращает или приостанавливает исследование без предварительного согласия спонсора, он должен сообщить об этом медицинской организации (если применимо) и исследователь (медицинская организация) должен незамедлительно проинформировать об этом спонсора и ЭСО (НЭК) и представить им подробное объяснение причин приостановления или прекращения исследования в письменной форме.</w:t>
      </w:r>
    </w:p>
    <w:bookmarkEnd w:id="260"/>
    <w:bookmarkStart w:name="z1796" w:id="261"/>
    <w:p>
      <w:pPr>
        <w:spacing w:after="0"/>
        <w:ind w:left="0"/>
        <w:jc w:val="both"/>
      </w:pPr>
      <w:r>
        <w:rPr>
          <w:rFonts w:ascii="Times New Roman"/>
          <w:b w:val="false"/>
          <w:i w:val="false"/>
          <w:color w:val="000000"/>
          <w:sz w:val="28"/>
        </w:rPr>
        <w:t>
      4.12.2. Если спонсор прекращает или приостанавливает исследование (в соответствии с пунктом 5.21 настоящих Правил), исследователь должен незамедлительно сообщить об этом медицинской организации (если применимо), и исследователь (медицинская организация) должен незамедлительно проинформировать об этом ЭСО (НЭК) и представить ему подробное письменное объяснение причин приостановления или прекращения исследования.</w:t>
      </w:r>
    </w:p>
    <w:bookmarkEnd w:id="261"/>
    <w:bookmarkStart w:name="z1797" w:id="262"/>
    <w:p>
      <w:pPr>
        <w:spacing w:after="0"/>
        <w:ind w:left="0"/>
        <w:jc w:val="both"/>
      </w:pPr>
      <w:r>
        <w:rPr>
          <w:rFonts w:ascii="Times New Roman"/>
          <w:b w:val="false"/>
          <w:i w:val="false"/>
          <w:color w:val="000000"/>
          <w:sz w:val="28"/>
        </w:rPr>
        <w:t>
      4.12.3. Если ЭСО (НЭК) окончательно или временно отзывает одобрение (заключение) на проведение исследования (в соответствии с пунктами 3.1.2 и 3.3.9 настоящих Правил), исследователь должен сообщить об этом медицинской организации (если применимо) и исследователь (медицинская организация) должен незамедлительно проинформировать об этом спонсора и представить ему подробное объяснение причины прекращения или приостановления исследования в письменной форме.</w:t>
      </w:r>
    </w:p>
    <w:bookmarkEnd w:id="262"/>
    <w:bookmarkStart w:name="z1798" w:id="263"/>
    <w:p>
      <w:pPr>
        <w:spacing w:after="0"/>
        <w:ind w:left="0"/>
        <w:jc w:val="both"/>
      </w:pPr>
      <w:r>
        <w:rPr>
          <w:rFonts w:ascii="Times New Roman"/>
          <w:b w:val="false"/>
          <w:i w:val="false"/>
          <w:color w:val="000000"/>
          <w:sz w:val="28"/>
        </w:rPr>
        <w:t>
      4.13. Итоговый отчет исследователя.</w:t>
      </w:r>
    </w:p>
    <w:bookmarkEnd w:id="263"/>
    <w:bookmarkStart w:name="z1799" w:id="264"/>
    <w:p>
      <w:pPr>
        <w:spacing w:after="0"/>
        <w:ind w:left="0"/>
        <w:jc w:val="both"/>
      </w:pPr>
      <w:r>
        <w:rPr>
          <w:rFonts w:ascii="Times New Roman"/>
          <w:b w:val="false"/>
          <w:i w:val="false"/>
          <w:color w:val="000000"/>
          <w:sz w:val="28"/>
        </w:rPr>
        <w:t>
      При необходимости после завершения исследования исследователь должен сообщить об этом медицинской организации; исследователь (медицинская организация) должен представить ЭСО (НЭК) краткий отчет об итогах исследования, а уполномоченным органам – все требуемые отчеты (в том числе в виде сообщения).</w:t>
      </w:r>
    </w:p>
    <w:bookmarkEnd w:id="264"/>
    <w:bookmarkStart w:name="z1800" w:id="265"/>
    <w:p>
      <w:pPr>
        <w:spacing w:after="0"/>
        <w:ind w:left="0"/>
        <w:jc w:val="left"/>
      </w:pPr>
      <w:r>
        <w:rPr>
          <w:rFonts w:ascii="Times New Roman"/>
          <w:b/>
          <w:i w:val="false"/>
          <w:color w:val="000000"/>
        </w:rPr>
        <w:t xml:space="preserve"> 5. Спонсор</w:t>
      </w:r>
    </w:p>
    <w:bookmarkEnd w:id="265"/>
    <w:bookmarkStart w:name="z1801" w:id="266"/>
    <w:p>
      <w:pPr>
        <w:spacing w:after="0"/>
        <w:ind w:left="0"/>
        <w:jc w:val="both"/>
      </w:pPr>
      <w:r>
        <w:rPr>
          <w:rFonts w:ascii="Times New Roman"/>
          <w:b w:val="false"/>
          <w:i w:val="false"/>
          <w:color w:val="000000"/>
          <w:sz w:val="28"/>
        </w:rPr>
        <w:t>
      5.0. Управление качеством</w:t>
      </w:r>
    </w:p>
    <w:bookmarkEnd w:id="266"/>
    <w:bookmarkStart w:name="z1802" w:id="267"/>
    <w:p>
      <w:pPr>
        <w:spacing w:after="0"/>
        <w:ind w:left="0"/>
        <w:jc w:val="both"/>
      </w:pPr>
      <w:r>
        <w:rPr>
          <w:rFonts w:ascii="Times New Roman"/>
          <w:b w:val="false"/>
          <w:i w:val="false"/>
          <w:color w:val="000000"/>
          <w:sz w:val="28"/>
        </w:rPr>
        <w:t xml:space="preserve">
      Спонсор должен обеспечить функционирование системы управления качеством на всех этапах клинического исследования. </w:t>
      </w:r>
    </w:p>
    <w:bookmarkEnd w:id="267"/>
    <w:bookmarkStart w:name="z1803" w:id="268"/>
    <w:p>
      <w:pPr>
        <w:spacing w:after="0"/>
        <w:ind w:left="0"/>
        <w:jc w:val="both"/>
      </w:pPr>
      <w:r>
        <w:rPr>
          <w:rFonts w:ascii="Times New Roman"/>
          <w:b w:val="false"/>
          <w:i w:val="false"/>
          <w:color w:val="000000"/>
          <w:sz w:val="28"/>
        </w:rPr>
        <w:t xml:space="preserve">
      В рамках исследования спонсор должен сделать приоритетными виды деятельности, обеспечивающие безопасность субъектов исследования и достоверность его результатов. Управление качеством включает в себя разработку рациональных протоколов, а также инструментов и процедур по сбору и обработке данных и информации, являющейся ключевой для принятия решений. </w:t>
      </w:r>
    </w:p>
    <w:bookmarkEnd w:id="268"/>
    <w:bookmarkStart w:name="z1804" w:id="269"/>
    <w:p>
      <w:pPr>
        <w:spacing w:after="0"/>
        <w:ind w:left="0"/>
        <w:jc w:val="both"/>
      </w:pPr>
      <w:r>
        <w:rPr>
          <w:rFonts w:ascii="Times New Roman"/>
          <w:b w:val="false"/>
          <w:i w:val="false"/>
          <w:color w:val="000000"/>
          <w:sz w:val="28"/>
        </w:rPr>
        <w:t>
      Методы, применяемые для обеспечения и контроля качества, должны быть соразмерны связанному с исследованием риску и важности собираемой информации. Спонсор должен обеспечить практическую выполнимость исследования и должен избегать чрезмерного усложнения процессов, излишних процедур и сбора избыточных данных. Протокол, индивидуальные регистрационные карты и другие документы должны быть ясными, лаконичными и внутренне непротиворечивыми.</w:t>
      </w:r>
    </w:p>
    <w:bookmarkEnd w:id="269"/>
    <w:bookmarkStart w:name="z1805" w:id="270"/>
    <w:p>
      <w:pPr>
        <w:spacing w:after="0"/>
        <w:ind w:left="0"/>
        <w:jc w:val="both"/>
      </w:pPr>
      <w:r>
        <w:rPr>
          <w:rFonts w:ascii="Times New Roman"/>
          <w:b w:val="false"/>
          <w:i w:val="false"/>
          <w:color w:val="000000"/>
          <w:sz w:val="28"/>
        </w:rPr>
        <w:t>
      Система управления качеством должна быть основана на риск-ориентированном подходе, в соответствии с пунктами 5.0.1 – 5.0.7 настоящих Правил.</w:t>
      </w:r>
    </w:p>
    <w:bookmarkEnd w:id="270"/>
    <w:bookmarkStart w:name="z1806" w:id="271"/>
    <w:p>
      <w:pPr>
        <w:spacing w:after="0"/>
        <w:ind w:left="0"/>
        <w:jc w:val="both"/>
      </w:pPr>
      <w:r>
        <w:rPr>
          <w:rFonts w:ascii="Times New Roman"/>
          <w:b w:val="false"/>
          <w:i w:val="false"/>
          <w:color w:val="000000"/>
          <w:sz w:val="28"/>
        </w:rPr>
        <w:t>
      5.0.1. Выявление критичных процессов и данных.</w:t>
      </w:r>
    </w:p>
    <w:bookmarkEnd w:id="271"/>
    <w:bookmarkStart w:name="z1807" w:id="272"/>
    <w:p>
      <w:pPr>
        <w:spacing w:after="0"/>
        <w:ind w:left="0"/>
        <w:jc w:val="both"/>
      </w:pPr>
      <w:r>
        <w:rPr>
          <w:rFonts w:ascii="Times New Roman"/>
          <w:b w:val="false"/>
          <w:i w:val="false"/>
          <w:color w:val="000000"/>
          <w:sz w:val="28"/>
        </w:rPr>
        <w:t>
      Во время разработки протокола спонсор должен выявить процессы и данные, являющиеся критичными с точки зрения защиты субъектов исследования и достоверности получаемых результатов.</w:t>
      </w:r>
    </w:p>
    <w:bookmarkEnd w:id="272"/>
    <w:bookmarkStart w:name="z1808" w:id="273"/>
    <w:p>
      <w:pPr>
        <w:spacing w:after="0"/>
        <w:ind w:left="0"/>
        <w:jc w:val="both"/>
      </w:pPr>
      <w:r>
        <w:rPr>
          <w:rFonts w:ascii="Times New Roman"/>
          <w:b w:val="false"/>
          <w:i w:val="false"/>
          <w:color w:val="000000"/>
          <w:sz w:val="28"/>
        </w:rPr>
        <w:t>
      5.0.2. Выявление рисков.</w:t>
      </w:r>
    </w:p>
    <w:bookmarkEnd w:id="273"/>
    <w:bookmarkStart w:name="z1809" w:id="274"/>
    <w:p>
      <w:pPr>
        <w:spacing w:after="0"/>
        <w:ind w:left="0"/>
        <w:jc w:val="both"/>
      </w:pPr>
      <w:r>
        <w:rPr>
          <w:rFonts w:ascii="Times New Roman"/>
          <w:b w:val="false"/>
          <w:i w:val="false"/>
          <w:color w:val="000000"/>
          <w:sz w:val="28"/>
        </w:rPr>
        <w:t>
      Спонсор должен выявить риски для критичных процессов и данных исследования. Риски следует рассматривать как на системном уровне (например, стандартные операционные процедуры, компьютеризованные системы, персонал), так и на уровне конкретного клинического исследования (например, дизайн исследования, сбор данных, процесс получения информированного согласия).</w:t>
      </w:r>
    </w:p>
    <w:bookmarkEnd w:id="274"/>
    <w:bookmarkStart w:name="z1810" w:id="275"/>
    <w:p>
      <w:pPr>
        <w:spacing w:after="0"/>
        <w:ind w:left="0"/>
        <w:jc w:val="both"/>
      </w:pPr>
      <w:r>
        <w:rPr>
          <w:rFonts w:ascii="Times New Roman"/>
          <w:b w:val="false"/>
          <w:i w:val="false"/>
          <w:color w:val="000000"/>
          <w:sz w:val="28"/>
        </w:rPr>
        <w:t>
      5.0.3. Оценка рисков.</w:t>
      </w:r>
    </w:p>
    <w:bookmarkEnd w:id="275"/>
    <w:bookmarkStart w:name="z1811" w:id="276"/>
    <w:p>
      <w:pPr>
        <w:spacing w:after="0"/>
        <w:ind w:left="0"/>
        <w:jc w:val="both"/>
      </w:pPr>
      <w:r>
        <w:rPr>
          <w:rFonts w:ascii="Times New Roman"/>
          <w:b w:val="false"/>
          <w:i w:val="false"/>
          <w:color w:val="000000"/>
          <w:sz w:val="28"/>
        </w:rPr>
        <w:t xml:space="preserve">
      Спонсор должен оценить выявленные риски, сопоставив их с существующими инструментами контроля рисков, принимая во внимание: </w:t>
      </w:r>
    </w:p>
    <w:bookmarkEnd w:id="276"/>
    <w:bookmarkStart w:name="z1812" w:id="277"/>
    <w:p>
      <w:pPr>
        <w:spacing w:after="0"/>
        <w:ind w:left="0"/>
        <w:jc w:val="both"/>
      </w:pPr>
      <w:r>
        <w:rPr>
          <w:rFonts w:ascii="Times New Roman"/>
          <w:b w:val="false"/>
          <w:i w:val="false"/>
          <w:color w:val="000000"/>
          <w:sz w:val="28"/>
        </w:rPr>
        <w:t xml:space="preserve">
      a) вероятность возникновения ошибки; </w:t>
      </w:r>
    </w:p>
    <w:bookmarkEnd w:id="277"/>
    <w:bookmarkStart w:name="z1813" w:id="278"/>
    <w:p>
      <w:pPr>
        <w:spacing w:after="0"/>
        <w:ind w:left="0"/>
        <w:jc w:val="both"/>
      </w:pPr>
      <w:r>
        <w:rPr>
          <w:rFonts w:ascii="Times New Roman"/>
          <w:b w:val="false"/>
          <w:i w:val="false"/>
          <w:color w:val="000000"/>
          <w:sz w:val="28"/>
        </w:rPr>
        <w:t xml:space="preserve">
      б) в какой мере такие ошибки могут быть выявлены; </w:t>
      </w:r>
    </w:p>
    <w:bookmarkEnd w:id="278"/>
    <w:bookmarkStart w:name="z1814" w:id="279"/>
    <w:p>
      <w:pPr>
        <w:spacing w:after="0"/>
        <w:ind w:left="0"/>
        <w:jc w:val="both"/>
      </w:pPr>
      <w:r>
        <w:rPr>
          <w:rFonts w:ascii="Times New Roman"/>
          <w:b w:val="false"/>
          <w:i w:val="false"/>
          <w:color w:val="000000"/>
          <w:sz w:val="28"/>
        </w:rPr>
        <w:t>
      в) влияние таких ошибок на защиту субъектов исследования и достоверность его результатов.</w:t>
      </w:r>
    </w:p>
    <w:bookmarkEnd w:id="279"/>
    <w:bookmarkStart w:name="z1815" w:id="280"/>
    <w:p>
      <w:pPr>
        <w:spacing w:after="0"/>
        <w:ind w:left="0"/>
        <w:jc w:val="both"/>
      </w:pPr>
      <w:r>
        <w:rPr>
          <w:rFonts w:ascii="Times New Roman"/>
          <w:b w:val="false"/>
          <w:i w:val="false"/>
          <w:color w:val="000000"/>
          <w:sz w:val="28"/>
        </w:rPr>
        <w:t>
      5.0.4. Контроль рисков.</w:t>
      </w:r>
    </w:p>
    <w:bookmarkEnd w:id="280"/>
    <w:bookmarkStart w:name="z1816" w:id="281"/>
    <w:p>
      <w:pPr>
        <w:spacing w:after="0"/>
        <w:ind w:left="0"/>
        <w:jc w:val="both"/>
      </w:pPr>
      <w:r>
        <w:rPr>
          <w:rFonts w:ascii="Times New Roman"/>
          <w:b w:val="false"/>
          <w:i w:val="false"/>
          <w:color w:val="000000"/>
          <w:sz w:val="28"/>
        </w:rPr>
        <w:t xml:space="preserve">
      Спонсор должен решить, какие риски следует минимизировать и (или) какие риски можно считать допустимыми. Меры, применяемые для минимизации рисков до приемлемого уровня, должны быть пропорциональны значимости риска. Меры по минимизации рисков могут быть включены в протокол при планировании исследования и его проведении, в планы мониторинга, соглашения между сторонами, определяющие распределение обязанностей, системные механизмы, обеспечивающие соблюдение стандартных операционных процедур, а также в тренинг по процедурам и процессам. </w:t>
      </w:r>
    </w:p>
    <w:bookmarkEnd w:id="281"/>
    <w:bookmarkStart w:name="z1817" w:id="282"/>
    <w:p>
      <w:pPr>
        <w:spacing w:after="0"/>
        <w:ind w:left="0"/>
        <w:jc w:val="both"/>
      </w:pPr>
      <w:r>
        <w:rPr>
          <w:rFonts w:ascii="Times New Roman"/>
          <w:b w:val="false"/>
          <w:i w:val="false"/>
          <w:color w:val="000000"/>
          <w:sz w:val="28"/>
        </w:rPr>
        <w:t>
      Для выявления системных проблем, которые могут повлиять на безопасность субъектов исследования и достоверность его результатов, следует заранее определить пределы допусков по качеству параметров исследования, принимая во внимание медицинские и статистические характеристики переменных, а также статистические аспекты исследования. Выявление отклонений от пределов допусков по качеству параметров исследования должно повлечь за собой оценку необходимости принятия соответствующих мер.</w:t>
      </w:r>
    </w:p>
    <w:bookmarkEnd w:id="282"/>
    <w:bookmarkStart w:name="z1818" w:id="283"/>
    <w:p>
      <w:pPr>
        <w:spacing w:after="0"/>
        <w:ind w:left="0"/>
        <w:jc w:val="both"/>
      </w:pPr>
      <w:r>
        <w:rPr>
          <w:rFonts w:ascii="Times New Roman"/>
          <w:b w:val="false"/>
          <w:i w:val="false"/>
          <w:color w:val="000000"/>
          <w:sz w:val="28"/>
        </w:rPr>
        <w:t>
      5.0.5. Сообщение о рисках.</w:t>
      </w:r>
    </w:p>
    <w:bookmarkEnd w:id="283"/>
    <w:bookmarkStart w:name="z1819" w:id="284"/>
    <w:p>
      <w:pPr>
        <w:spacing w:after="0"/>
        <w:ind w:left="0"/>
        <w:jc w:val="both"/>
      </w:pPr>
      <w:r>
        <w:rPr>
          <w:rFonts w:ascii="Times New Roman"/>
          <w:b w:val="false"/>
          <w:i w:val="false"/>
          <w:color w:val="000000"/>
          <w:sz w:val="28"/>
        </w:rPr>
        <w:t xml:space="preserve">
      Спонсор должен документировать меры по управлению качеством. Спонсор должен доводить меры по управлению качеством до сведения тех, кто вовлечен в соответствующие процессы или затронут ими, чтобы облегчить проведение оценки рисков и ее непрерывное совершенствование в ходе проведения клинического исследования. </w:t>
      </w:r>
    </w:p>
    <w:bookmarkEnd w:id="284"/>
    <w:bookmarkStart w:name="z1820" w:id="285"/>
    <w:p>
      <w:pPr>
        <w:spacing w:after="0"/>
        <w:ind w:left="0"/>
        <w:jc w:val="both"/>
      </w:pPr>
      <w:r>
        <w:rPr>
          <w:rFonts w:ascii="Times New Roman"/>
          <w:b w:val="false"/>
          <w:i w:val="false"/>
          <w:color w:val="000000"/>
          <w:sz w:val="28"/>
        </w:rPr>
        <w:t xml:space="preserve">
      5.0.6. Оценка рисков. </w:t>
      </w:r>
    </w:p>
    <w:bookmarkEnd w:id="285"/>
    <w:bookmarkStart w:name="z1821" w:id="286"/>
    <w:p>
      <w:pPr>
        <w:spacing w:after="0"/>
        <w:ind w:left="0"/>
        <w:jc w:val="both"/>
      </w:pPr>
      <w:r>
        <w:rPr>
          <w:rFonts w:ascii="Times New Roman"/>
          <w:b w:val="false"/>
          <w:i w:val="false"/>
          <w:color w:val="000000"/>
          <w:sz w:val="28"/>
        </w:rPr>
        <w:t>
      Спонсор, используя накопленные знания и опыт, должен периодически оценивать меры по контролю рисков, чтобы убедиться в том, что меры по управлению качеством сохраняют свою эффективность и актуальность.</w:t>
      </w:r>
    </w:p>
    <w:bookmarkEnd w:id="286"/>
    <w:bookmarkStart w:name="z1822" w:id="287"/>
    <w:p>
      <w:pPr>
        <w:spacing w:after="0"/>
        <w:ind w:left="0"/>
        <w:jc w:val="both"/>
      </w:pPr>
      <w:r>
        <w:rPr>
          <w:rFonts w:ascii="Times New Roman"/>
          <w:b w:val="false"/>
          <w:i w:val="false"/>
          <w:color w:val="000000"/>
          <w:sz w:val="28"/>
        </w:rPr>
        <w:t>
      5.0.7. Сообщение о рисках.</w:t>
      </w:r>
    </w:p>
    <w:bookmarkEnd w:id="287"/>
    <w:bookmarkStart w:name="z1823" w:id="288"/>
    <w:p>
      <w:pPr>
        <w:spacing w:after="0"/>
        <w:ind w:left="0"/>
        <w:jc w:val="both"/>
      </w:pPr>
      <w:r>
        <w:rPr>
          <w:rFonts w:ascii="Times New Roman"/>
          <w:b w:val="false"/>
          <w:i w:val="false"/>
          <w:color w:val="000000"/>
          <w:sz w:val="28"/>
        </w:rPr>
        <w:t>
      В отчете о клиническом исследовании спонсор должен описать применяемый подход к управлению качеством и обобщить важные отклонения от заранее определенных предельных допусков по качеству параметров клинического исследования, а также принятые меры, направленные на их устранение (в соответствии с пунктом 9.6 приложения № 1 к настоящим Правилам).</w:t>
      </w:r>
    </w:p>
    <w:bookmarkEnd w:id="288"/>
    <w:bookmarkStart w:name="z1824" w:id="289"/>
    <w:p>
      <w:pPr>
        <w:spacing w:after="0"/>
        <w:ind w:left="0"/>
        <w:jc w:val="both"/>
      </w:pPr>
      <w:r>
        <w:rPr>
          <w:rFonts w:ascii="Times New Roman"/>
          <w:b w:val="false"/>
          <w:i w:val="false"/>
          <w:color w:val="000000"/>
          <w:sz w:val="28"/>
        </w:rPr>
        <w:t>
      5.1. Обеспечение качества и контроль качества.</w:t>
      </w:r>
    </w:p>
    <w:bookmarkEnd w:id="289"/>
    <w:bookmarkStart w:name="z1825" w:id="290"/>
    <w:p>
      <w:pPr>
        <w:spacing w:after="0"/>
        <w:ind w:left="0"/>
        <w:jc w:val="both"/>
      </w:pPr>
      <w:r>
        <w:rPr>
          <w:rFonts w:ascii="Times New Roman"/>
          <w:b w:val="false"/>
          <w:i w:val="false"/>
          <w:color w:val="000000"/>
          <w:sz w:val="28"/>
        </w:rPr>
        <w:t>
      5.1.1. Спонсор отвечает за внедрение и поддержание систем обеспечения и контроля качества со стандартными операционными процедурами, которые имеют своей целью обеспечить проведение исследования, сбор, регистрацию и представление данных в соответствии с протоколом, настоящими Правилами и применимыми требованиями.</w:t>
      </w:r>
    </w:p>
    <w:bookmarkEnd w:id="290"/>
    <w:bookmarkStart w:name="z1826" w:id="291"/>
    <w:p>
      <w:pPr>
        <w:spacing w:after="0"/>
        <w:ind w:left="0"/>
        <w:jc w:val="both"/>
      </w:pPr>
      <w:r>
        <w:rPr>
          <w:rFonts w:ascii="Times New Roman"/>
          <w:b w:val="false"/>
          <w:i w:val="false"/>
          <w:color w:val="000000"/>
          <w:sz w:val="28"/>
        </w:rPr>
        <w:t>
      5.1.2. Спонсор отвечает за обеспечение согласия всех вовлеченных сторон на представление прямого доступа (в соответствии с пунктом 1.51 настоящих Правил) во все участвующие в исследовании центры, ко всем первичным данным (документам) и отчетам в целях их мониторинга и аудита спонсором, а также в целях инспекции уполномоченными органами государств-членов и третьих стран.</w:t>
      </w:r>
    </w:p>
    <w:bookmarkEnd w:id="291"/>
    <w:bookmarkStart w:name="z1827" w:id="292"/>
    <w:p>
      <w:pPr>
        <w:spacing w:after="0"/>
        <w:ind w:left="0"/>
        <w:jc w:val="both"/>
      </w:pPr>
      <w:r>
        <w:rPr>
          <w:rFonts w:ascii="Times New Roman"/>
          <w:b w:val="false"/>
          <w:i w:val="false"/>
          <w:color w:val="000000"/>
          <w:sz w:val="28"/>
        </w:rPr>
        <w:t>
      5.1.3. Контроль качества следует осуществлять на всех этапах работы с данными чтобы обеспечить их достоверность и правильность обработки.</w:t>
      </w:r>
    </w:p>
    <w:bookmarkEnd w:id="292"/>
    <w:bookmarkStart w:name="z1828" w:id="293"/>
    <w:p>
      <w:pPr>
        <w:spacing w:after="0"/>
        <w:ind w:left="0"/>
        <w:jc w:val="both"/>
      </w:pPr>
      <w:r>
        <w:rPr>
          <w:rFonts w:ascii="Times New Roman"/>
          <w:b w:val="false"/>
          <w:i w:val="false"/>
          <w:color w:val="000000"/>
          <w:sz w:val="28"/>
        </w:rPr>
        <w:t>
      5.1.4. Договоры между спонсором и исследователем (медицинской организацией) или любой другой участвующей в исследовании стороной должны быть составлены в письменной форме как часть протокола или в качестве самостоятельных документов.</w:t>
      </w:r>
    </w:p>
    <w:bookmarkEnd w:id="293"/>
    <w:bookmarkStart w:name="z1829" w:id="294"/>
    <w:p>
      <w:pPr>
        <w:spacing w:after="0"/>
        <w:ind w:left="0"/>
        <w:jc w:val="both"/>
      </w:pPr>
      <w:r>
        <w:rPr>
          <w:rFonts w:ascii="Times New Roman"/>
          <w:b w:val="false"/>
          <w:i w:val="false"/>
          <w:color w:val="000000"/>
          <w:sz w:val="28"/>
        </w:rPr>
        <w:t>
      5.2. Контрактная исследовательская организация.</w:t>
      </w:r>
    </w:p>
    <w:bookmarkEnd w:id="294"/>
    <w:bookmarkStart w:name="z1830" w:id="295"/>
    <w:p>
      <w:pPr>
        <w:spacing w:after="0"/>
        <w:ind w:left="0"/>
        <w:jc w:val="both"/>
      </w:pPr>
      <w:r>
        <w:rPr>
          <w:rFonts w:ascii="Times New Roman"/>
          <w:b w:val="false"/>
          <w:i w:val="false"/>
          <w:color w:val="000000"/>
          <w:sz w:val="28"/>
        </w:rPr>
        <w:t>
      5.2.1. Спонсор может полностью или частично передать обязанности и функции, связанные с проведением исследования, контрактной исследовательской организации, однако ответственность за качество и полноту полученных в ходе исследования данных при этом несет спонсор. Контрактная исследовательская организация должна осуществлять меры по обеспечению и контролю качества.</w:t>
      </w:r>
    </w:p>
    <w:bookmarkEnd w:id="295"/>
    <w:bookmarkStart w:name="z1831" w:id="296"/>
    <w:p>
      <w:pPr>
        <w:spacing w:after="0"/>
        <w:ind w:left="0"/>
        <w:jc w:val="both"/>
      </w:pPr>
      <w:r>
        <w:rPr>
          <w:rFonts w:ascii="Times New Roman"/>
          <w:b w:val="false"/>
          <w:i w:val="false"/>
          <w:color w:val="000000"/>
          <w:sz w:val="28"/>
        </w:rPr>
        <w:t>
      5.2.2. Передача контрактной исследовательской организации любых связанных с проведением исследования обязанностей и функций должна быть документально оформлена.</w:t>
      </w:r>
    </w:p>
    <w:bookmarkEnd w:id="296"/>
    <w:bookmarkStart w:name="z1832" w:id="297"/>
    <w:p>
      <w:pPr>
        <w:spacing w:after="0"/>
        <w:ind w:left="0"/>
        <w:jc w:val="both"/>
      </w:pPr>
      <w:r>
        <w:rPr>
          <w:rFonts w:ascii="Times New Roman"/>
          <w:b w:val="false"/>
          <w:i w:val="false"/>
          <w:color w:val="000000"/>
          <w:sz w:val="28"/>
        </w:rPr>
        <w:t>
      Спонсор должен контролировать все выполняемые от его имени обязанности и функции, связанные с проведением исследования, в том числе обязанности и функции, которые были переданы привлеченной спонсором контрактной исследовательской организацией третьим сторонам в порядке субподряда.</w:t>
      </w:r>
    </w:p>
    <w:bookmarkEnd w:id="297"/>
    <w:bookmarkStart w:name="z1833" w:id="298"/>
    <w:p>
      <w:pPr>
        <w:spacing w:after="0"/>
        <w:ind w:left="0"/>
        <w:jc w:val="both"/>
      </w:pPr>
      <w:r>
        <w:rPr>
          <w:rFonts w:ascii="Times New Roman"/>
          <w:b w:val="false"/>
          <w:i w:val="false"/>
          <w:color w:val="000000"/>
          <w:sz w:val="28"/>
        </w:rPr>
        <w:t>
      5.2.3. Все связанные с исследованием обязанности и функции, не переданные контрактной исследовательской организации, остаются за спонсором.</w:t>
      </w:r>
    </w:p>
    <w:bookmarkEnd w:id="298"/>
    <w:bookmarkStart w:name="z1834" w:id="299"/>
    <w:p>
      <w:pPr>
        <w:spacing w:after="0"/>
        <w:ind w:left="0"/>
        <w:jc w:val="both"/>
      </w:pPr>
      <w:r>
        <w:rPr>
          <w:rFonts w:ascii="Times New Roman"/>
          <w:b w:val="false"/>
          <w:i w:val="false"/>
          <w:color w:val="000000"/>
          <w:sz w:val="28"/>
        </w:rPr>
        <w:t>
      5.2.4. Все, что в настоящих Правилах касается спонсора, также применимо к контрактной исследовательской организации в той мере, в которой контрактная исследовательская организация принимает на себя обязанности и функции спонсора в части проведения исследования.</w:t>
      </w:r>
    </w:p>
    <w:bookmarkEnd w:id="299"/>
    <w:bookmarkStart w:name="z1835" w:id="300"/>
    <w:p>
      <w:pPr>
        <w:spacing w:after="0"/>
        <w:ind w:left="0"/>
        <w:jc w:val="both"/>
      </w:pPr>
      <w:r>
        <w:rPr>
          <w:rFonts w:ascii="Times New Roman"/>
          <w:b w:val="false"/>
          <w:i w:val="false"/>
          <w:color w:val="000000"/>
          <w:sz w:val="28"/>
        </w:rPr>
        <w:t>
      5.3. Медицинская экспертиза.</w:t>
      </w:r>
    </w:p>
    <w:bookmarkEnd w:id="300"/>
    <w:bookmarkStart w:name="z1836" w:id="301"/>
    <w:p>
      <w:pPr>
        <w:spacing w:after="0"/>
        <w:ind w:left="0"/>
        <w:jc w:val="both"/>
      </w:pPr>
      <w:r>
        <w:rPr>
          <w:rFonts w:ascii="Times New Roman"/>
          <w:b w:val="false"/>
          <w:i w:val="false"/>
          <w:color w:val="000000"/>
          <w:sz w:val="28"/>
        </w:rPr>
        <w:t>
      Спонсор должен назначить обладающий соответствующей медицинской квалификацией персонал, который должен быть всегда доступен для решения связанных с исследованием вопросов медицинского характера. При необходимости могут привлекаться внешние консультанты.</w:t>
      </w:r>
    </w:p>
    <w:bookmarkEnd w:id="301"/>
    <w:bookmarkStart w:name="z1837" w:id="302"/>
    <w:p>
      <w:pPr>
        <w:spacing w:after="0"/>
        <w:ind w:left="0"/>
        <w:jc w:val="both"/>
      </w:pPr>
      <w:r>
        <w:rPr>
          <w:rFonts w:ascii="Times New Roman"/>
          <w:b w:val="false"/>
          <w:i w:val="false"/>
          <w:color w:val="000000"/>
          <w:sz w:val="28"/>
        </w:rPr>
        <w:t>
      5.4. Дизайн исследования.</w:t>
      </w:r>
    </w:p>
    <w:bookmarkEnd w:id="302"/>
    <w:bookmarkStart w:name="z1838" w:id="303"/>
    <w:p>
      <w:pPr>
        <w:spacing w:after="0"/>
        <w:ind w:left="0"/>
        <w:jc w:val="both"/>
      </w:pPr>
      <w:r>
        <w:rPr>
          <w:rFonts w:ascii="Times New Roman"/>
          <w:b w:val="false"/>
          <w:i w:val="false"/>
          <w:color w:val="000000"/>
          <w:sz w:val="28"/>
        </w:rPr>
        <w:t>
      5.4.1. Спонсор должен привлекать квалифицированных лиц (например, биостатистиков, клинических фармакологов, врачей) на всех этапах исследования – от разработки протокола, индивидуальной регистрационной карты и плана статистического анализа до подготовки промежуточного и финального отчетов.</w:t>
      </w:r>
    </w:p>
    <w:bookmarkEnd w:id="303"/>
    <w:bookmarkStart w:name="z1839" w:id="304"/>
    <w:p>
      <w:pPr>
        <w:spacing w:after="0"/>
        <w:ind w:left="0"/>
        <w:jc w:val="both"/>
      </w:pPr>
      <w:r>
        <w:rPr>
          <w:rFonts w:ascii="Times New Roman"/>
          <w:b w:val="false"/>
          <w:i w:val="false"/>
          <w:color w:val="000000"/>
          <w:sz w:val="28"/>
        </w:rPr>
        <w:t>
      5.4.2. Спонсор должен соблюдать требования подраздела 6 настоящего раздела и приложения № 11 к настоящим Правилам.</w:t>
      </w:r>
    </w:p>
    <w:bookmarkEnd w:id="304"/>
    <w:bookmarkStart w:name="z1840" w:id="305"/>
    <w:p>
      <w:pPr>
        <w:spacing w:after="0"/>
        <w:ind w:left="0"/>
        <w:jc w:val="both"/>
      </w:pPr>
      <w:r>
        <w:rPr>
          <w:rFonts w:ascii="Times New Roman"/>
          <w:b w:val="false"/>
          <w:i w:val="false"/>
          <w:color w:val="000000"/>
          <w:sz w:val="28"/>
        </w:rPr>
        <w:t>
      5.5. Менеджмент исследования, работа с данными и ведение документации.</w:t>
      </w:r>
    </w:p>
    <w:bookmarkEnd w:id="305"/>
    <w:bookmarkStart w:name="z1841" w:id="306"/>
    <w:p>
      <w:pPr>
        <w:spacing w:after="0"/>
        <w:ind w:left="0"/>
        <w:jc w:val="both"/>
      </w:pPr>
      <w:r>
        <w:rPr>
          <w:rFonts w:ascii="Times New Roman"/>
          <w:b w:val="false"/>
          <w:i w:val="false"/>
          <w:color w:val="000000"/>
          <w:sz w:val="28"/>
        </w:rPr>
        <w:t>
      5.5.1. Спонсор обязан привлекать обладающих соответствующей квалификацией лиц для общего руководства исследованием, работы с данными, верификации данных, проведения статистического анализа и подготовки отчетов об исследовании.</w:t>
      </w:r>
    </w:p>
    <w:bookmarkEnd w:id="306"/>
    <w:bookmarkStart w:name="z1842" w:id="307"/>
    <w:p>
      <w:pPr>
        <w:spacing w:after="0"/>
        <w:ind w:left="0"/>
        <w:jc w:val="both"/>
      </w:pPr>
      <w:r>
        <w:rPr>
          <w:rFonts w:ascii="Times New Roman"/>
          <w:b w:val="false"/>
          <w:i w:val="false"/>
          <w:color w:val="000000"/>
          <w:sz w:val="28"/>
        </w:rPr>
        <w:t>
      5.5.2. Спонсор может принять решение об образовании независимого комитета по мониторингу данных для рассмотрения хода клинического исследования, включая рассмотрение данных по безопасности и об основных параметрах эффективности, а также для выработки рекомендаций спонсору о целесообразности продолжения, прекращения исследования или внесения в него изменений. НКМД должен иметь письменные операционные процедуры и вести записи всех своих заседаний.</w:t>
      </w:r>
    </w:p>
    <w:bookmarkEnd w:id="307"/>
    <w:bookmarkStart w:name="z1843" w:id="308"/>
    <w:p>
      <w:pPr>
        <w:spacing w:after="0"/>
        <w:ind w:left="0"/>
        <w:jc w:val="both"/>
      </w:pPr>
      <w:r>
        <w:rPr>
          <w:rFonts w:ascii="Times New Roman"/>
          <w:b w:val="false"/>
          <w:i w:val="false"/>
          <w:color w:val="000000"/>
          <w:sz w:val="28"/>
        </w:rPr>
        <w:t>
      5.5.3. При использовании электронных систем для работы с данными исследования и (или) электронных систем удаленного доступа к данным спонсор должен:</w:t>
      </w:r>
    </w:p>
    <w:bookmarkEnd w:id="308"/>
    <w:bookmarkStart w:name="z1844" w:id="309"/>
    <w:p>
      <w:pPr>
        <w:spacing w:after="0"/>
        <w:ind w:left="0"/>
        <w:jc w:val="both"/>
      </w:pPr>
      <w:r>
        <w:rPr>
          <w:rFonts w:ascii="Times New Roman"/>
          <w:b w:val="false"/>
          <w:i w:val="false"/>
          <w:color w:val="000000"/>
          <w:sz w:val="28"/>
        </w:rPr>
        <w:t>
      а) обеспечить и документально оформить соответствие систем электронной обработки данных установленным спонсором требованиям к полноте, точности и надежности данных, а также к стабильности достижения требуемого результата (валидацию);</w:t>
      </w:r>
    </w:p>
    <w:bookmarkEnd w:id="309"/>
    <w:bookmarkStart w:name="z1845" w:id="310"/>
    <w:p>
      <w:pPr>
        <w:spacing w:after="0"/>
        <w:ind w:left="0"/>
        <w:jc w:val="both"/>
      </w:pPr>
      <w:r>
        <w:rPr>
          <w:rFonts w:ascii="Times New Roman"/>
          <w:b w:val="false"/>
          <w:i w:val="false"/>
          <w:color w:val="000000"/>
          <w:sz w:val="28"/>
        </w:rPr>
        <w:t xml:space="preserve">
      Подход к валидации таких систем должен быть основан на оценке рисков с учетом целевого назначения системы и ее потенциального влияния на защиту субъектов исследования и достоверность результатов клинического исследования; </w:t>
      </w:r>
    </w:p>
    <w:bookmarkEnd w:id="310"/>
    <w:bookmarkStart w:name="z1846" w:id="311"/>
    <w:p>
      <w:pPr>
        <w:spacing w:after="0"/>
        <w:ind w:left="0"/>
        <w:jc w:val="both"/>
      </w:pPr>
      <w:r>
        <w:rPr>
          <w:rFonts w:ascii="Times New Roman"/>
          <w:b w:val="false"/>
          <w:i w:val="false"/>
          <w:color w:val="000000"/>
          <w:sz w:val="28"/>
        </w:rPr>
        <w:t xml:space="preserve">
      б) иметь стандартные операционные процедуры использования этих систем. </w:t>
      </w:r>
    </w:p>
    <w:bookmarkEnd w:id="311"/>
    <w:bookmarkStart w:name="z1847" w:id="312"/>
    <w:p>
      <w:pPr>
        <w:spacing w:after="0"/>
        <w:ind w:left="0"/>
        <w:jc w:val="both"/>
      </w:pPr>
      <w:r>
        <w:rPr>
          <w:rFonts w:ascii="Times New Roman"/>
          <w:b w:val="false"/>
          <w:i w:val="false"/>
          <w:color w:val="000000"/>
          <w:sz w:val="28"/>
        </w:rPr>
        <w:t>
      Стандартные операционные процедуры должны включать в себя описание установки, настройки и использования систем. Стандартные операционные процедуры должны описывать валидацию и тестирование функционирования систем, сбор данных и обращение с ними, поддержание работы систем, меры по обеспечению безопасности систем, управление изменениями, резервное копирование и восстановление данных, планирование действий в случае чрезвычайных ситуаций, а также вывод систем из эксплуатации. Обязанности спонсора, исследователя и других сторон в отношении использования компьютеризированных систем должны быть понятными для них, пользователям необходимо провести обучение по использованию этих систем;</w:t>
      </w:r>
    </w:p>
    <w:bookmarkEnd w:id="312"/>
    <w:bookmarkStart w:name="z1848" w:id="313"/>
    <w:p>
      <w:pPr>
        <w:spacing w:after="0"/>
        <w:ind w:left="0"/>
        <w:jc w:val="both"/>
      </w:pPr>
      <w:r>
        <w:rPr>
          <w:rFonts w:ascii="Times New Roman"/>
          <w:b w:val="false"/>
          <w:i w:val="false"/>
          <w:color w:val="000000"/>
          <w:sz w:val="28"/>
        </w:rPr>
        <w:t>
      в) обеспечить работу систем таким образом, чтобы можно было изменять данные и при этом внесенные изменения были бы задокументированы, а ранее введенные данные не были бы удалены (остался "документальный след");</w:t>
      </w:r>
    </w:p>
    <w:bookmarkEnd w:id="313"/>
    <w:bookmarkStart w:name="z1849" w:id="314"/>
    <w:p>
      <w:pPr>
        <w:spacing w:after="0"/>
        <w:ind w:left="0"/>
        <w:jc w:val="both"/>
      </w:pPr>
      <w:r>
        <w:rPr>
          <w:rFonts w:ascii="Times New Roman"/>
          <w:b w:val="false"/>
          <w:i w:val="false"/>
          <w:color w:val="000000"/>
          <w:sz w:val="28"/>
        </w:rPr>
        <w:t>
      г) иметь систему защиты, предотвращающую несанкционированный доступ к данным;</w:t>
      </w:r>
    </w:p>
    <w:bookmarkEnd w:id="314"/>
    <w:bookmarkStart w:name="z1850" w:id="315"/>
    <w:p>
      <w:pPr>
        <w:spacing w:after="0"/>
        <w:ind w:left="0"/>
        <w:jc w:val="both"/>
      </w:pPr>
      <w:r>
        <w:rPr>
          <w:rFonts w:ascii="Times New Roman"/>
          <w:b w:val="false"/>
          <w:i w:val="false"/>
          <w:color w:val="000000"/>
          <w:sz w:val="28"/>
        </w:rPr>
        <w:t>
      д) определить перечень лиц, наделенных правом вносить изменения в данные (в соответствии с пунктами 4.1.5 и 4.9.3 настоящих Правил);</w:t>
      </w:r>
    </w:p>
    <w:bookmarkEnd w:id="315"/>
    <w:bookmarkStart w:name="z1851" w:id="316"/>
    <w:p>
      <w:pPr>
        <w:spacing w:after="0"/>
        <w:ind w:left="0"/>
        <w:jc w:val="both"/>
      </w:pPr>
      <w:r>
        <w:rPr>
          <w:rFonts w:ascii="Times New Roman"/>
          <w:b w:val="false"/>
          <w:i w:val="false"/>
          <w:color w:val="000000"/>
          <w:sz w:val="28"/>
        </w:rPr>
        <w:t>
      е) обеспечивать адекватное резервное копирование данных;</w:t>
      </w:r>
    </w:p>
    <w:bookmarkEnd w:id="316"/>
    <w:bookmarkStart w:name="z1852" w:id="317"/>
    <w:p>
      <w:pPr>
        <w:spacing w:after="0"/>
        <w:ind w:left="0"/>
        <w:jc w:val="both"/>
      </w:pPr>
      <w:r>
        <w:rPr>
          <w:rFonts w:ascii="Times New Roman"/>
          <w:b w:val="false"/>
          <w:i w:val="false"/>
          <w:color w:val="000000"/>
          <w:sz w:val="28"/>
        </w:rPr>
        <w:t>
      ж) сохранять маскировку в исследованиях, проводимых слепым методом (сохранять маскировку при вводе и обработке данных),</w:t>
      </w:r>
    </w:p>
    <w:bookmarkEnd w:id="317"/>
    <w:bookmarkStart w:name="z1853" w:id="318"/>
    <w:p>
      <w:pPr>
        <w:spacing w:after="0"/>
        <w:ind w:left="0"/>
        <w:jc w:val="both"/>
      </w:pPr>
      <w:r>
        <w:rPr>
          <w:rFonts w:ascii="Times New Roman"/>
          <w:b w:val="false"/>
          <w:i w:val="false"/>
          <w:color w:val="000000"/>
          <w:sz w:val="28"/>
        </w:rPr>
        <w:t>
      з) обеспечивать целостность данных, включая данные, описывающие контекст, содержание и структуру информации. Это особенно важно при внесении таких изменений в компьютеризированные системы, как обновление программного обеспечения или перенос данных.</w:t>
      </w:r>
    </w:p>
    <w:bookmarkEnd w:id="318"/>
    <w:bookmarkStart w:name="z1854" w:id="319"/>
    <w:p>
      <w:pPr>
        <w:spacing w:after="0"/>
        <w:ind w:left="0"/>
        <w:jc w:val="both"/>
      </w:pPr>
      <w:r>
        <w:rPr>
          <w:rFonts w:ascii="Times New Roman"/>
          <w:b w:val="false"/>
          <w:i w:val="false"/>
          <w:color w:val="000000"/>
          <w:sz w:val="28"/>
        </w:rPr>
        <w:t>
      5.5.4. Если в процессе обработки данные трансформируются, всегда должна существовать возможность сравнения исходных данных с обработанными.</w:t>
      </w:r>
    </w:p>
    <w:bookmarkEnd w:id="319"/>
    <w:bookmarkStart w:name="z1855" w:id="320"/>
    <w:p>
      <w:pPr>
        <w:spacing w:after="0"/>
        <w:ind w:left="0"/>
        <w:jc w:val="both"/>
      </w:pPr>
      <w:r>
        <w:rPr>
          <w:rFonts w:ascii="Times New Roman"/>
          <w:b w:val="false"/>
          <w:i w:val="false"/>
          <w:color w:val="000000"/>
          <w:sz w:val="28"/>
        </w:rPr>
        <w:t>
      5.5.5. Спонсор должен использовать уникальный идентификационный код субъекта (в соответствии с пунктом 1.11 настоящих Правил), позволяющий идентифицировать все данные по каждому субъекту.</w:t>
      </w:r>
    </w:p>
    <w:bookmarkEnd w:id="320"/>
    <w:bookmarkStart w:name="z1856" w:id="321"/>
    <w:p>
      <w:pPr>
        <w:spacing w:after="0"/>
        <w:ind w:left="0"/>
        <w:jc w:val="both"/>
      </w:pPr>
      <w:r>
        <w:rPr>
          <w:rFonts w:ascii="Times New Roman"/>
          <w:b w:val="false"/>
          <w:i w:val="false"/>
          <w:color w:val="000000"/>
          <w:sz w:val="28"/>
        </w:rPr>
        <w:t>
      5.5.6. Спонсор или другие владельцы данных должны хранить все относящиеся к спонсору основные документы исследования (в соответствии с подразделом 8 настоящего раздела).</w:t>
      </w:r>
    </w:p>
    <w:bookmarkEnd w:id="321"/>
    <w:bookmarkStart w:name="z1857" w:id="322"/>
    <w:p>
      <w:pPr>
        <w:spacing w:after="0"/>
        <w:ind w:left="0"/>
        <w:jc w:val="both"/>
      </w:pPr>
      <w:r>
        <w:rPr>
          <w:rFonts w:ascii="Times New Roman"/>
          <w:b w:val="false"/>
          <w:i w:val="false"/>
          <w:color w:val="000000"/>
          <w:sz w:val="28"/>
        </w:rPr>
        <w:t>
      5.5.7. Спонсор должен хранить все относящиеся к нему основные документы исследования в соответствии с применимыми требованиями законодательства государств-членов, в которых препарат одобрен и (или) в которые спонсор собирается обратиться за одобрением.</w:t>
      </w:r>
    </w:p>
    <w:bookmarkEnd w:id="322"/>
    <w:bookmarkStart w:name="z1858" w:id="323"/>
    <w:p>
      <w:pPr>
        <w:spacing w:after="0"/>
        <w:ind w:left="0"/>
        <w:jc w:val="both"/>
      </w:pPr>
      <w:r>
        <w:rPr>
          <w:rFonts w:ascii="Times New Roman"/>
          <w:b w:val="false"/>
          <w:i w:val="false"/>
          <w:color w:val="000000"/>
          <w:sz w:val="28"/>
        </w:rPr>
        <w:t>
      5.5.8. Если спонсор прекращает клиническую разработку исследуемого препарата (по одному или всем показаниям, путям введения, лекарственным формам), он должен хранить все относящиеся к спонсору основные документы исследования в течение по крайней мере 2 лет с момента официального прекращения разработки или в соответствии с применимыми требованиями.</w:t>
      </w:r>
    </w:p>
    <w:bookmarkEnd w:id="323"/>
    <w:bookmarkStart w:name="z1859" w:id="324"/>
    <w:p>
      <w:pPr>
        <w:spacing w:after="0"/>
        <w:ind w:left="0"/>
        <w:jc w:val="both"/>
      </w:pPr>
      <w:r>
        <w:rPr>
          <w:rFonts w:ascii="Times New Roman"/>
          <w:b w:val="false"/>
          <w:i w:val="false"/>
          <w:color w:val="000000"/>
          <w:sz w:val="28"/>
        </w:rPr>
        <w:t>
      5.5.9. Если спонсор прекращает клиническую разработку исследуемого препарата, он должен сообщить об этом всем участвующим в исследовании исследователям (медицинским организациям) и уполномоченным органам.</w:t>
      </w:r>
    </w:p>
    <w:bookmarkEnd w:id="324"/>
    <w:bookmarkStart w:name="z1860" w:id="325"/>
    <w:p>
      <w:pPr>
        <w:spacing w:after="0"/>
        <w:ind w:left="0"/>
        <w:jc w:val="both"/>
      </w:pPr>
      <w:r>
        <w:rPr>
          <w:rFonts w:ascii="Times New Roman"/>
          <w:b w:val="false"/>
          <w:i w:val="false"/>
          <w:color w:val="000000"/>
          <w:sz w:val="28"/>
        </w:rPr>
        <w:t>
      5.5.10. Передача прав собственности на данные должна быть доведена до сведения соответствующих уполномоченных органов государств-членов и уполномоченных органов третьих стран в соответствии с применимыми требованиями.</w:t>
      </w:r>
    </w:p>
    <w:bookmarkEnd w:id="325"/>
    <w:bookmarkStart w:name="z1861" w:id="326"/>
    <w:p>
      <w:pPr>
        <w:spacing w:after="0"/>
        <w:ind w:left="0"/>
        <w:jc w:val="both"/>
      </w:pPr>
      <w:r>
        <w:rPr>
          <w:rFonts w:ascii="Times New Roman"/>
          <w:b w:val="false"/>
          <w:i w:val="false"/>
          <w:color w:val="000000"/>
          <w:sz w:val="28"/>
        </w:rPr>
        <w:t>
      5.5.11. Относящиеся к спонсору основные документы должны храниться не менее 2 лет с даты утверждения последней заявки на регистрацию препарата в государстве-члене и до тех пор, пока ни одна из заявок не будет находиться на рассмотрении и новые заявки не будут планироваться, или не менее 2 лет с момента официального прекращения клинической фазы разработки исследуемого препарата. Эти документы должны храниться более длительный срок в случае, если это предусмотрено применимыми требованиями или необходимо спонсору.</w:t>
      </w:r>
    </w:p>
    <w:bookmarkEnd w:id="326"/>
    <w:bookmarkStart w:name="z1862" w:id="327"/>
    <w:p>
      <w:pPr>
        <w:spacing w:after="0"/>
        <w:ind w:left="0"/>
        <w:jc w:val="both"/>
      </w:pPr>
      <w:r>
        <w:rPr>
          <w:rFonts w:ascii="Times New Roman"/>
          <w:b w:val="false"/>
          <w:i w:val="false"/>
          <w:color w:val="000000"/>
          <w:sz w:val="28"/>
        </w:rPr>
        <w:t>
      5.5.12. Спонсор должен в письменной форме проинформировать исследователей (медицинские организации) о необходимости хранения связанных с исследованием записей, а также письменно известить их, как только необходимости в дальнейшем хранении не будет.</w:t>
      </w:r>
    </w:p>
    <w:bookmarkEnd w:id="327"/>
    <w:bookmarkStart w:name="z1863" w:id="328"/>
    <w:p>
      <w:pPr>
        <w:spacing w:after="0"/>
        <w:ind w:left="0"/>
        <w:jc w:val="both"/>
      </w:pPr>
      <w:r>
        <w:rPr>
          <w:rFonts w:ascii="Times New Roman"/>
          <w:b w:val="false"/>
          <w:i w:val="false"/>
          <w:color w:val="000000"/>
          <w:sz w:val="28"/>
        </w:rPr>
        <w:t>
      5.6. Выбор исследователя.</w:t>
      </w:r>
    </w:p>
    <w:bookmarkEnd w:id="328"/>
    <w:bookmarkStart w:name="z1864" w:id="329"/>
    <w:p>
      <w:pPr>
        <w:spacing w:after="0"/>
        <w:ind w:left="0"/>
        <w:jc w:val="both"/>
      </w:pPr>
      <w:r>
        <w:rPr>
          <w:rFonts w:ascii="Times New Roman"/>
          <w:b w:val="false"/>
          <w:i w:val="false"/>
          <w:color w:val="000000"/>
          <w:sz w:val="28"/>
        </w:rPr>
        <w:t>
      5.6.1. Спонсор несет ответственность за выбор исследователей (медицинских организаций). Каждый исследователь должен иметь квалификацию, опыт и ресурсы (в соответствии с пунктами 4.1 и 4.2 настоящих Правил), достаточные для проведения исследования, для которого он выбран. Если в многоцентровых исследованиях необходимо организовать координационный комитет и (или) выбрать координаторов из числа исследователей, то это является обязанностью спонсора.</w:t>
      </w:r>
    </w:p>
    <w:bookmarkEnd w:id="329"/>
    <w:bookmarkStart w:name="z1865" w:id="330"/>
    <w:p>
      <w:pPr>
        <w:spacing w:after="0"/>
        <w:ind w:left="0"/>
        <w:jc w:val="both"/>
      </w:pPr>
      <w:r>
        <w:rPr>
          <w:rFonts w:ascii="Times New Roman"/>
          <w:b w:val="false"/>
          <w:i w:val="false"/>
          <w:color w:val="000000"/>
          <w:sz w:val="28"/>
        </w:rPr>
        <w:t>
      5.6.2. До подписания договора с исследователем (медицинской организацией) на проведение исследования спонсор должен представить исследователю (медицинской организации) протокол и брошюру исследователя в текущей редакции и дать исследователю (медицинской организации) достаточное время для ознакомления с протоколом и предоставленной информацией.</w:t>
      </w:r>
    </w:p>
    <w:bookmarkEnd w:id="330"/>
    <w:bookmarkStart w:name="z1866" w:id="331"/>
    <w:p>
      <w:pPr>
        <w:spacing w:after="0"/>
        <w:ind w:left="0"/>
        <w:jc w:val="both"/>
      </w:pPr>
      <w:r>
        <w:rPr>
          <w:rFonts w:ascii="Times New Roman"/>
          <w:b w:val="false"/>
          <w:i w:val="false"/>
          <w:color w:val="000000"/>
          <w:sz w:val="28"/>
        </w:rPr>
        <w:t>
      5.6.3. Спонсор должен получить согласие исследователя (медицинской организации) на:</w:t>
      </w:r>
    </w:p>
    <w:bookmarkEnd w:id="331"/>
    <w:bookmarkStart w:name="z1867" w:id="332"/>
    <w:p>
      <w:pPr>
        <w:spacing w:after="0"/>
        <w:ind w:left="0"/>
        <w:jc w:val="both"/>
      </w:pPr>
      <w:r>
        <w:rPr>
          <w:rFonts w:ascii="Times New Roman"/>
          <w:b w:val="false"/>
          <w:i w:val="false"/>
          <w:color w:val="000000"/>
          <w:sz w:val="28"/>
        </w:rPr>
        <w:t>
      а) проведение исследований в соответствии с настоящими Правилами и применимыми требованиями (в соответствии с пунктом 4.1.3 настоящих Правил), а также с протоколом, согласованным со спонсором и разрешенным (одобренным) ЭСО (НЭК) (в соответствии с пунктом 4.5.1 настоящих Правил);</w:t>
      </w:r>
    </w:p>
    <w:bookmarkEnd w:id="332"/>
    <w:bookmarkStart w:name="z1868" w:id="333"/>
    <w:p>
      <w:pPr>
        <w:spacing w:after="0"/>
        <w:ind w:left="0"/>
        <w:jc w:val="both"/>
      </w:pPr>
      <w:r>
        <w:rPr>
          <w:rFonts w:ascii="Times New Roman"/>
          <w:b w:val="false"/>
          <w:i w:val="false"/>
          <w:color w:val="000000"/>
          <w:sz w:val="28"/>
        </w:rPr>
        <w:t>
      б) соблюдение процедуры регистрации (представления) данных;</w:t>
      </w:r>
    </w:p>
    <w:bookmarkEnd w:id="333"/>
    <w:bookmarkStart w:name="z1869" w:id="334"/>
    <w:p>
      <w:pPr>
        <w:spacing w:after="0"/>
        <w:ind w:left="0"/>
        <w:jc w:val="both"/>
      </w:pPr>
      <w:r>
        <w:rPr>
          <w:rFonts w:ascii="Times New Roman"/>
          <w:b w:val="false"/>
          <w:i w:val="false"/>
          <w:color w:val="000000"/>
          <w:sz w:val="28"/>
        </w:rPr>
        <w:t>
      в) проведение мониторинга, аудита и инспекций (в соответствии с пунктом 4.1.4 настоящих Правил);</w:t>
      </w:r>
    </w:p>
    <w:bookmarkEnd w:id="334"/>
    <w:bookmarkStart w:name="z1870" w:id="335"/>
    <w:p>
      <w:pPr>
        <w:spacing w:after="0"/>
        <w:ind w:left="0"/>
        <w:jc w:val="both"/>
      </w:pPr>
      <w:r>
        <w:rPr>
          <w:rFonts w:ascii="Times New Roman"/>
          <w:b w:val="false"/>
          <w:i w:val="false"/>
          <w:color w:val="000000"/>
          <w:sz w:val="28"/>
        </w:rPr>
        <w:t xml:space="preserve">
      г) хранение основных документов, связанных с исследованием, до тех пор, пока спонсор не сообщит исследователю (медицинской организации), что эти документы больше не требуются (в соответствии с пунктами 4.9.4 и 5.5.12 настоящих Правил). </w:t>
      </w:r>
    </w:p>
    <w:bookmarkEnd w:id="335"/>
    <w:bookmarkStart w:name="z1871" w:id="336"/>
    <w:p>
      <w:pPr>
        <w:spacing w:after="0"/>
        <w:ind w:left="0"/>
        <w:jc w:val="both"/>
      </w:pPr>
      <w:r>
        <w:rPr>
          <w:rFonts w:ascii="Times New Roman"/>
          <w:b w:val="false"/>
          <w:i w:val="false"/>
          <w:color w:val="000000"/>
          <w:sz w:val="28"/>
        </w:rPr>
        <w:t>
      Спонсор и исследователь (медицинская организация) должны подписать документ, подтверждающий это согласие.</w:t>
      </w:r>
    </w:p>
    <w:bookmarkEnd w:id="336"/>
    <w:bookmarkStart w:name="z1872" w:id="337"/>
    <w:p>
      <w:pPr>
        <w:spacing w:after="0"/>
        <w:ind w:left="0"/>
        <w:jc w:val="both"/>
      </w:pPr>
      <w:r>
        <w:rPr>
          <w:rFonts w:ascii="Times New Roman"/>
          <w:b w:val="false"/>
          <w:i w:val="false"/>
          <w:color w:val="000000"/>
          <w:sz w:val="28"/>
        </w:rPr>
        <w:t>
      5.7. Распределение обязанностей.</w:t>
      </w:r>
    </w:p>
    <w:bookmarkEnd w:id="337"/>
    <w:bookmarkStart w:name="z1873" w:id="338"/>
    <w:p>
      <w:pPr>
        <w:spacing w:after="0"/>
        <w:ind w:left="0"/>
        <w:jc w:val="both"/>
      </w:pPr>
      <w:r>
        <w:rPr>
          <w:rFonts w:ascii="Times New Roman"/>
          <w:b w:val="false"/>
          <w:i w:val="false"/>
          <w:color w:val="000000"/>
          <w:sz w:val="28"/>
        </w:rPr>
        <w:t>
      До начала исследования спонсор должен установить и распределить все связанные с исследованием обязанности и функции.</w:t>
      </w:r>
    </w:p>
    <w:bookmarkEnd w:id="338"/>
    <w:bookmarkStart w:name="z1874" w:id="339"/>
    <w:p>
      <w:pPr>
        <w:spacing w:after="0"/>
        <w:ind w:left="0"/>
        <w:jc w:val="both"/>
      </w:pPr>
      <w:r>
        <w:rPr>
          <w:rFonts w:ascii="Times New Roman"/>
          <w:b w:val="false"/>
          <w:i w:val="false"/>
          <w:color w:val="000000"/>
          <w:sz w:val="28"/>
        </w:rPr>
        <w:t>
      5.8. Компенсации субъектам исследования и исследователям.</w:t>
      </w:r>
    </w:p>
    <w:bookmarkEnd w:id="339"/>
    <w:bookmarkStart w:name="z1875" w:id="340"/>
    <w:p>
      <w:pPr>
        <w:spacing w:after="0"/>
        <w:ind w:left="0"/>
        <w:jc w:val="both"/>
      </w:pPr>
      <w:r>
        <w:rPr>
          <w:rFonts w:ascii="Times New Roman"/>
          <w:b w:val="false"/>
          <w:i w:val="false"/>
          <w:color w:val="000000"/>
          <w:sz w:val="28"/>
        </w:rPr>
        <w:t>
      5.8.1. Если это предусмотрено применимыми требованиями, спонсор должен обеспечить страхование или гарантировать юридическую и финансовую поддержку исследователя (медицинской организации) в случае предъявления им претензий, связанных с исследованием, за исключением тех претензий, которые возникли в результате умысла или неосторожности со стороны исследователя или членов исследовательского коллектива.</w:t>
      </w:r>
    </w:p>
    <w:bookmarkEnd w:id="340"/>
    <w:bookmarkStart w:name="z1876" w:id="341"/>
    <w:p>
      <w:pPr>
        <w:spacing w:after="0"/>
        <w:ind w:left="0"/>
        <w:jc w:val="both"/>
      </w:pPr>
      <w:r>
        <w:rPr>
          <w:rFonts w:ascii="Times New Roman"/>
          <w:b w:val="false"/>
          <w:i w:val="false"/>
          <w:color w:val="000000"/>
          <w:sz w:val="28"/>
        </w:rPr>
        <w:t>
      5.8.2. Правила и процедуры спонсора должны предусматривать возмещение расходов на лечение субъектов в случае причинения вреда их здоровью в результате их участия в исследовании в соответствии с применимыми требованиями.</w:t>
      </w:r>
    </w:p>
    <w:bookmarkEnd w:id="341"/>
    <w:bookmarkStart w:name="z1877" w:id="342"/>
    <w:p>
      <w:pPr>
        <w:spacing w:after="0"/>
        <w:ind w:left="0"/>
        <w:jc w:val="both"/>
      </w:pPr>
      <w:r>
        <w:rPr>
          <w:rFonts w:ascii="Times New Roman"/>
          <w:b w:val="false"/>
          <w:i w:val="false"/>
          <w:color w:val="000000"/>
          <w:sz w:val="28"/>
        </w:rPr>
        <w:t>
      5.8.3. Если субъекты исследования получают компенсацию, порядок и способ компенсации должны соответствовать применимым требованиям.</w:t>
      </w:r>
    </w:p>
    <w:bookmarkEnd w:id="342"/>
    <w:bookmarkStart w:name="z1878" w:id="343"/>
    <w:p>
      <w:pPr>
        <w:spacing w:after="0"/>
        <w:ind w:left="0"/>
        <w:jc w:val="both"/>
      </w:pPr>
      <w:r>
        <w:rPr>
          <w:rFonts w:ascii="Times New Roman"/>
          <w:b w:val="false"/>
          <w:i w:val="false"/>
          <w:color w:val="000000"/>
          <w:sz w:val="28"/>
        </w:rPr>
        <w:t>
      5.9. Финансирование.</w:t>
      </w:r>
    </w:p>
    <w:bookmarkEnd w:id="343"/>
    <w:bookmarkStart w:name="z1879" w:id="344"/>
    <w:p>
      <w:pPr>
        <w:spacing w:after="0"/>
        <w:ind w:left="0"/>
        <w:jc w:val="both"/>
      </w:pPr>
      <w:r>
        <w:rPr>
          <w:rFonts w:ascii="Times New Roman"/>
          <w:b w:val="false"/>
          <w:i w:val="false"/>
          <w:color w:val="000000"/>
          <w:sz w:val="28"/>
        </w:rPr>
        <w:t>
      Финансовые аспекты исследования должны быть документально оформлены в виде договора между спонсором и исследователем (медицинской организацией).</w:t>
      </w:r>
    </w:p>
    <w:bookmarkEnd w:id="344"/>
    <w:bookmarkStart w:name="z1880" w:id="345"/>
    <w:p>
      <w:pPr>
        <w:spacing w:after="0"/>
        <w:ind w:left="0"/>
        <w:jc w:val="both"/>
      </w:pPr>
      <w:r>
        <w:rPr>
          <w:rFonts w:ascii="Times New Roman"/>
          <w:b w:val="false"/>
          <w:i w:val="false"/>
          <w:color w:val="000000"/>
          <w:sz w:val="28"/>
        </w:rPr>
        <w:t>
      5.10. Уведомление уполномоченных органов (подача заявки в уполномоченные органы).</w:t>
      </w:r>
    </w:p>
    <w:bookmarkEnd w:id="345"/>
    <w:bookmarkStart w:name="z1881" w:id="346"/>
    <w:p>
      <w:pPr>
        <w:spacing w:after="0"/>
        <w:ind w:left="0"/>
        <w:jc w:val="both"/>
      </w:pPr>
      <w:r>
        <w:rPr>
          <w:rFonts w:ascii="Times New Roman"/>
          <w:b w:val="false"/>
          <w:i w:val="false"/>
          <w:color w:val="000000"/>
          <w:sz w:val="28"/>
        </w:rPr>
        <w:t>
      До начала клинического исследования спонсор (или спонсор совместно с исследователем, если это предусмотрено применимыми требованиями) должен подать в соответствующие органы все требуемые заявки для их рассмотрения, принятия и (или) получения разрешения на проведение исследования (в зависимости от применимых требований). Все уведомления (заявки) должны содержать дату и всю необходимую информацию для идентификации протокола.</w:t>
      </w:r>
    </w:p>
    <w:bookmarkEnd w:id="346"/>
    <w:bookmarkStart w:name="z1882" w:id="347"/>
    <w:p>
      <w:pPr>
        <w:spacing w:after="0"/>
        <w:ind w:left="0"/>
        <w:jc w:val="both"/>
      </w:pPr>
      <w:r>
        <w:rPr>
          <w:rFonts w:ascii="Times New Roman"/>
          <w:b w:val="false"/>
          <w:i w:val="false"/>
          <w:color w:val="000000"/>
          <w:sz w:val="28"/>
        </w:rPr>
        <w:t>
      5.11. Подтверждение рассмотрения ЭСО (НЭК).</w:t>
      </w:r>
    </w:p>
    <w:bookmarkEnd w:id="347"/>
    <w:bookmarkStart w:name="z1883" w:id="348"/>
    <w:p>
      <w:pPr>
        <w:spacing w:after="0"/>
        <w:ind w:left="0"/>
        <w:jc w:val="both"/>
      </w:pPr>
      <w:r>
        <w:rPr>
          <w:rFonts w:ascii="Times New Roman"/>
          <w:b w:val="false"/>
          <w:i w:val="false"/>
          <w:color w:val="000000"/>
          <w:sz w:val="28"/>
        </w:rPr>
        <w:t>
      5.11.1. Спонсор должен получить от исследователя (медицинской организации):</w:t>
      </w:r>
    </w:p>
    <w:bookmarkEnd w:id="348"/>
    <w:bookmarkStart w:name="z1884" w:id="349"/>
    <w:p>
      <w:pPr>
        <w:spacing w:after="0"/>
        <w:ind w:left="0"/>
        <w:jc w:val="both"/>
      </w:pPr>
      <w:r>
        <w:rPr>
          <w:rFonts w:ascii="Times New Roman"/>
          <w:b w:val="false"/>
          <w:i w:val="false"/>
          <w:color w:val="000000"/>
          <w:sz w:val="28"/>
        </w:rPr>
        <w:t>
      а) сведения о наименовании и адресе ЭСО (НЭК) исследователя (медицинской организации);</w:t>
      </w:r>
    </w:p>
    <w:bookmarkEnd w:id="349"/>
    <w:bookmarkStart w:name="z1885" w:id="350"/>
    <w:p>
      <w:pPr>
        <w:spacing w:after="0"/>
        <w:ind w:left="0"/>
        <w:jc w:val="both"/>
      </w:pPr>
      <w:r>
        <w:rPr>
          <w:rFonts w:ascii="Times New Roman"/>
          <w:b w:val="false"/>
          <w:i w:val="false"/>
          <w:color w:val="000000"/>
          <w:sz w:val="28"/>
        </w:rPr>
        <w:t>
      б) подтверждение от ЭСО (НЭК) того, что он организован и действует в соответствии с настоящими Правилами и законодательством соответствующего государства-члена;</w:t>
      </w:r>
    </w:p>
    <w:bookmarkEnd w:id="350"/>
    <w:bookmarkStart w:name="z1886" w:id="351"/>
    <w:p>
      <w:pPr>
        <w:spacing w:after="0"/>
        <w:ind w:left="0"/>
        <w:jc w:val="both"/>
      </w:pPr>
      <w:r>
        <w:rPr>
          <w:rFonts w:ascii="Times New Roman"/>
          <w:b w:val="false"/>
          <w:i w:val="false"/>
          <w:color w:val="000000"/>
          <w:sz w:val="28"/>
        </w:rPr>
        <w:t>
      в) документально оформленное одобрение (заключение) ЭСО (НЭК) и по требованию спонсора копию текущей версии протокола, письменной формы информированного согласия и любых других представляемых субъектам письменных материалов, а также описание действий по привлечению субъектов к участию в исследовании, документов, относящихся к предусмотренным для субъектов выплатам и компенсациям, и любых иных документов, которые могли быть затребованы ЭСО (НЭК).</w:t>
      </w:r>
    </w:p>
    <w:bookmarkEnd w:id="351"/>
    <w:bookmarkStart w:name="z1887" w:id="352"/>
    <w:p>
      <w:pPr>
        <w:spacing w:after="0"/>
        <w:ind w:left="0"/>
        <w:jc w:val="both"/>
      </w:pPr>
      <w:r>
        <w:rPr>
          <w:rFonts w:ascii="Times New Roman"/>
          <w:b w:val="false"/>
          <w:i w:val="false"/>
          <w:color w:val="000000"/>
          <w:sz w:val="28"/>
        </w:rPr>
        <w:t>
      5.11.2. Если ЭСО (НЭК) обусловливает выдачу своего одобрения (заключения) внесением изменений в какие-либо документы исследования, например, в протокол, письменную форму информированного согласия или иные представляемые субъектам письменные материалы и (или) другие процедуры, спонсор должен получить от исследователя (медицинской организации) копии измененных документов с указанием даты полученного одобрения (заключения) ЭСО (НЭК).5.11.3. Спонсор должен получить от исследователя (медицинской организации) документацию с указанием даты повторных разрешений (одобрений) ЭСО (НЭК), а также решений об отзыве или приостановке ранее выданного одобрения (заключения).</w:t>
      </w:r>
    </w:p>
    <w:bookmarkEnd w:id="352"/>
    <w:bookmarkStart w:name="z1888" w:id="353"/>
    <w:p>
      <w:pPr>
        <w:spacing w:after="0"/>
        <w:ind w:left="0"/>
        <w:jc w:val="both"/>
      </w:pPr>
      <w:r>
        <w:rPr>
          <w:rFonts w:ascii="Times New Roman"/>
          <w:b w:val="false"/>
          <w:i w:val="false"/>
          <w:color w:val="000000"/>
          <w:sz w:val="28"/>
        </w:rPr>
        <w:t>
      5.12. Информация об исследуемых препаратах.</w:t>
      </w:r>
    </w:p>
    <w:bookmarkEnd w:id="353"/>
    <w:bookmarkStart w:name="z1889" w:id="354"/>
    <w:p>
      <w:pPr>
        <w:spacing w:after="0"/>
        <w:ind w:left="0"/>
        <w:jc w:val="both"/>
      </w:pPr>
      <w:r>
        <w:rPr>
          <w:rFonts w:ascii="Times New Roman"/>
          <w:b w:val="false"/>
          <w:i w:val="false"/>
          <w:color w:val="000000"/>
          <w:sz w:val="28"/>
        </w:rPr>
        <w:t>
      5.12.1. При планировании исследований спонсор должен располагать достаточным объемом полученных в доклинических и (или) клинических исследованиях данных по безопасности и эффективности, оправдывающих применение исследуемого препарата с использованием соответствующих путей введения и доз при соответствующей длительности и в соответствующей популяции субъектов исследования.</w:t>
      </w:r>
    </w:p>
    <w:bookmarkEnd w:id="354"/>
    <w:bookmarkStart w:name="z1890" w:id="355"/>
    <w:p>
      <w:pPr>
        <w:spacing w:after="0"/>
        <w:ind w:left="0"/>
        <w:jc w:val="both"/>
      </w:pPr>
      <w:r>
        <w:rPr>
          <w:rFonts w:ascii="Times New Roman"/>
          <w:b w:val="false"/>
          <w:i w:val="false"/>
          <w:color w:val="000000"/>
          <w:sz w:val="28"/>
        </w:rPr>
        <w:t>
      5.12.2. Спонсор должен обновлять брошюру исследователя по мере получения новой существенной информации (в соответствии с подразделом 7 настоящего раздела).</w:t>
      </w:r>
    </w:p>
    <w:bookmarkEnd w:id="355"/>
    <w:bookmarkStart w:name="z1891" w:id="356"/>
    <w:p>
      <w:pPr>
        <w:spacing w:after="0"/>
        <w:ind w:left="0"/>
        <w:jc w:val="both"/>
      </w:pPr>
      <w:r>
        <w:rPr>
          <w:rFonts w:ascii="Times New Roman"/>
          <w:b w:val="false"/>
          <w:i w:val="false"/>
          <w:color w:val="000000"/>
          <w:sz w:val="28"/>
        </w:rPr>
        <w:t>
      5.13. Производство, упаковка, маркировка и кодирование исследуемых препаратов.</w:t>
      </w:r>
    </w:p>
    <w:bookmarkEnd w:id="356"/>
    <w:bookmarkStart w:name="z1892" w:id="357"/>
    <w:p>
      <w:pPr>
        <w:spacing w:after="0"/>
        <w:ind w:left="0"/>
        <w:jc w:val="both"/>
      </w:pPr>
      <w:r>
        <w:rPr>
          <w:rFonts w:ascii="Times New Roman"/>
          <w:b w:val="false"/>
          <w:i w:val="false"/>
          <w:color w:val="000000"/>
          <w:sz w:val="28"/>
        </w:rPr>
        <w:t>
      5.13.1. Спонсор должен обеспечить, чтобы исследуемые препараты (включая в соответствующих случаях активные препараты сравнения и плацебо) имели характеристики, соответствующие стадии разработки данных препаратов, были произведены согласно применимым требованиям надлежащей производственной практики и в соответствующих случаях были закодированы и маркированы таким образом, чтобы обеспечить защиту маскировки. Кроме того, маркировка должна соответствовать применимым требованиям.</w:t>
      </w:r>
    </w:p>
    <w:bookmarkEnd w:id="357"/>
    <w:bookmarkStart w:name="z1893" w:id="358"/>
    <w:p>
      <w:pPr>
        <w:spacing w:after="0"/>
        <w:ind w:left="0"/>
        <w:jc w:val="both"/>
      </w:pPr>
      <w:r>
        <w:rPr>
          <w:rFonts w:ascii="Times New Roman"/>
          <w:b w:val="false"/>
          <w:i w:val="false"/>
          <w:color w:val="000000"/>
          <w:sz w:val="28"/>
        </w:rPr>
        <w:t>
      5.13.2. Спонсор должен определить для исследуемых препаратов температуру хранения, условия хранения (например, в защищенном от света месте), срок хранения, растворители и процедуры для разведения и восстановления, а также, если таковые предусмотрены, устройства для введения препарата. Спонсор должен информировать об этих требованиях все вовлеченные стороны (например, мониторов, исследователей, провизоров, лиц, ответственных за хранение).</w:t>
      </w:r>
    </w:p>
    <w:bookmarkEnd w:id="358"/>
    <w:bookmarkStart w:name="z1894" w:id="359"/>
    <w:p>
      <w:pPr>
        <w:spacing w:after="0"/>
        <w:ind w:left="0"/>
        <w:jc w:val="both"/>
      </w:pPr>
      <w:r>
        <w:rPr>
          <w:rFonts w:ascii="Times New Roman"/>
          <w:b w:val="false"/>
          <w:i w:val="false"/>
          <w:color w:val="000000"/>
          <w:sz w:val="28"/>
        </w:rPr>
        <w:t>
      5.13.3. Исследуемые препараты должны быть упакованы так, чтобы предотвратить их загрязнение и обеспечить их сохранность (пригодность) при транспортировке и хранении.</w:t>
      </w:r>
    </w:p>
    <w:bookmarkEnd w:id="359"/>
    <w:bookmarkStart w:name="z1895" w:id="360"/>
    <w:p>
      <w:pPr>
        <w:spacing w:after="0"/>
        <w:ind w:left="0"/>
        <w:jc w:val="both"/>
      </w:pPr>
      <w:r>
        <w:rPr>
          <w:rFonts w:ascii="Times New Roman"/>
          <w:b w:val="false"/>
          <w:i w:val="false"/>
          <w:color w:val="000000"/>
          <w:sz w:val="28"/>
        </w:rPr>
        <w:t>
      5.13.4. Для исследований, в которых используется слепой метод, система кодирования исследуемого препарата должна включать в себя механизм, позволяющий в экстренных случаях быстро идентифицировать препарат, но в то же время не допускающий возможности незаметно раскрыть код.</w:t>
      </w:r>
    </w:p>
    <w:bookmarkEnd w:id="360"/>
    <w:bookmarkStart w:name="z1896" w:id="361"/>
    <w:p>
      <w:pPr>
        <w:spacing w:after="0"/>
        <w:ind w:left="0"/>
        <w:jc w:val="both"/>
      </w:pPr>
      <w:r>
        <w:rPr>
          <w:rFonts w:ascii="Times New Roman"/>
          <w:b w:val="false"/>
          <w:i w:val="false"/>
          <w:color w:val="000000"/>
          <w:sz w:val="28"/>
        </w:rPr>
        <w:t>
      5.13.5. Если лекарственная форма исследуемого препарата или препарата сравнения на клиническом этапе изучения была существенно изменена, то до использования новой лекарственной формы в клинических исследованиях должны быть получены результаты дополнительных исследований данной лекарственной формы препарата (например, данные о стабильности, растворимости, биодоступности), необходимые для оценки того, способны ли данные изменения существенно повлиять на фармакокинетический профиль препарата.</w:t>
      </w:r>
    </w:p>
    <w:bookmarkEnd w:id="361"/>
    <w:bookmarkStart w:name="z1897" w:id="362"/>
    <w:p>
      <w:pPr>
        <w:spacing w:after="0"/>
        <w:ind w:left="0"/>
        <w:jc w:val="both"/>
      </w:pPr>
      <w:r>
        <w:rPr>
          <w:rFonts w:ascii="Times New Roman"/>
          <w:b w:val="false"/>
          <w:i w:val="false"/>
          <w:color w:val="000000"/>
          <w:sz w:val="28"/>
        </w:rPr>
        <w:t>
      5.14. Поставка исследуемых препаратов и правила обращения с ними.</w:t>
      </w:r>
    </w:p>
    <w:bookmarkEnd w:id="362"/>
    <w:bookmarkStart w:name="z1898" w:id="363"/>
    <w:p>
      <w:pPr>
        <w:spacing w:after="0"/>
        <w:ind w:left="0"/>
        <w:jc w:val="both"/>
      </w:pPr>
      <w:r>
        <w:rPr>
          <w:rFonts w:ascii="Times New Roman"/>
          <w:b w:val="false"/>
          <w:i w:val="false"/>
          <w:color w:val="000000"/>
          <w:sz w:val="28"/>
        </w:rPr>
        <w:t>
      5.14.1. Спонсор отвечает за поставку исследователю (медицинской организации) исследуемого препарата.</w:t>
      </w:r>
    </w:p>
    <w:bookmarkEnd w:id="363"/>
    <w:bookmarkStart w:name="z1899" w:id="364"/>
    <w:p>
      <w:pPr>
        <w:spacing w:after="0"/>
        <w:ind w:left="0"/>
        <w:jc w:val="both"/>
      </w:pPr>
      <w:r>
        <w:rPr>
          <w:rFonts w:ascii="Times New Roman"/>
          <w:b w:val="false"/>
          <w:i w:val="false"/>
          <w:color w:val="000000"/>
          <w:sz w:val="28"/>
        </w:rPr>
        <w:t>
      5.14.2. Спонсор не должен поставлять исследуемый препарат исследователю (медицинской организации) до тех пор, пока не получит всю требуемую документацию (например, одобрение (заключение) ЭСО (НЭК) и уполномоченных органов).</w:t>
      </w:r>
    </w:p>
    <w:bookmarkEnd w:id="364"/>
    <w:bookmarkStart w:name="z1900" w:id="365"/>
    <w:p>
      <w:pPr>
        <w:spacing w:after="0"/>
        <w:ind w:left="0"/>
        <w:jc w:val="both"/>
      </w:pPr>
      <w:r>
        <w:rPr>
          <w:rFonts w:ascii="Times New Roman"/>
          <w:b w:val="false"/>
          <w:i w:val="false"/>
          <w:color w:val="000000"/>
          <w:sz w:val="28"/>
        </w:rPr>
        <w:t>
      5.14.3. Спонсор должен убедиться и (или) обеспечить, что письменные процедуры включают в себя инструкции для исследователя (медицинской организации) по правилам хранения исследуемого препарата и обращения с ним, а также по ведению соответствующей документации. Процедуры должны описывать безопасное получение исследуемого препарата, обращение с ним, его хранение и выдачу, изъятие неиспользованного исследуемого препарата у субъектов и возврат его спонсору (либо иное распоряжение неиспользованным препаратом, если это санкционировано спонсором и соответствует применимым требованиям).</w:t>
      </w:r>
    </w:p>
    <w:bookmarkEnd w:id="365"/>
    <w:bookmarkStart w:name="z1901" w:id="366"/>
    <w:p>
      <w:pPr>
        <w:spacing w:after="0"/>
        <w:ind w:left="0"/>
        <w:jc w:val="both"/>
      </w:pPr>
      <w:r>
        <w:rPr>
          <w:rFonts w:ascii="Times New Roman"/>
          <w:b w:val="false"/>
          <w:i w:val="false"/>
          <w:color w:val="000000"/>
          <w:sz w:val="28"/>
        </w:rPr>
        <w:t>
      5.14.4. Спонсор должен:</w:t>
      </w:r>
    </w:p>
    <w:bookmarkEnd w:id="366"/>
    <w:bookmarkStart w:name="z1902" w:id="367"/>
    <w:p>
      <w:pPr>
        <w:spacing w:after="0"/>
        <w:ind w:left="0"/>
        <w:jc w:val="both"/>
      </w:pPr>
      <w:r>
        <w:rPr>
          <w:rFonts w:ascii="Times New Roman"/>
          <w:b w:val="false"/>
          <w:i w:val="false"/>
          <w:color w:val="000000"/>
          <w:sz w:val="28"/>
        </w:rPr>
        <w:t>
      а) обеспечить своевременную поставку исследуемых препаратов исследователям;</w:t>
      </w:r>
    </w:p>
    <w:bookmarkEnd w:id="367"/>
    <w:bookmarkStart w:name="z1903" w:id="368"/>
    <w:p>
      <w:pPr>
        <w:spacing w:after="0"/>
        <w:ind w:left="0"/>
        <w:jc w:val="both"/>
      </w:pPr>
      <w:r>
        <w:rPr>
          <w:rFonts w:ascii="Times New Roman"/>
          <w:b w:val="false"/>
          <w:i w:val="false"/>
          <w:color w:val="000000"/>
          <w:sz w:val="28"/>
        </w:rPr>
        <w:t>
      б) документировать поставки, получение, выдачу, возврат и уничтожение исследуемых препаратов (либо иное распоряжение) (в соответствии с подразделом 8 настоящего раздела);</w:t>
      </w:r>
    </w:p>
    <w:bookmarkEnd w:id="368"/>
    <w:bookmarkStart w:name="z1904" w:id="369"/>
    <w:p>
      <w:pPr>
        <w:spacing w:after="0"/>
        <w:ind w:left="0"/>
        <w:jc w:val="both"/>
      </w:pPr>
      <w:r>
        <w:rPr>
          <w:rFonts w:ascii="Times New Roman"/>
          <w:b w:val="false"/>
          <w:i w:val="false"/>
          <w:color w:val="000000"/>
          <w:sz w:val="28"/>
        </w:rPr>
        <w:t>
      в) иметь систему возврата исследуемого препарата и документирования подобного изъятия (например, отзыва бракованного препарата, возврата препарата после окончания исследования или по истечении срока годности);</w:t>
      </w:r>
    </w:p>
    <w:bookmarkEnd w:id="369"/>
    <w:bookmarkStart w:name="z1905" w:id="370"/>
    <w:p>
      <w:pPr>
        <w:spacing w:after="0"/>
        <w:ind w:left="0"/>
        <w:jc w:val="both"/>
      </w:pPr>
      <w:r>
        <w:rPr>
          <w:rFonts w:ascii="Times New Roman"/>
          <w:b w:val="false"/>
          <w:i w:val="false"/>
          <w:color w:val="000000"/>
          <w:sz w:val="28"/>
        </w:rPr>
        <w:t>
      г) иметь систему уничтожения (либо иного распоряжения) неиспользованных исследуемых препаратов и документирования подобного уничтожения (либо иного распоряжения).</w:t>
      </w:r>
    </w:p>
    <w:bookmarkEnd w:id="370"/>
    <w:bookmarkStart w:name="z1906" w:id="371"/>
    <w:p>
      <w:pPr>
        <w:spacing w:after="0"/>
        <w:ind w:left="0"/>
        <w:jc w:val="both"/>
      </w:pPr>
      <w:r>
        <w:rPr>
          <w:rFonts w:ascii="Times New Roman"/>
          <w:b w:val="false"/>
          <w:i w:val="false"/>
          <w:color w:val="000000"/>
          <w:sz w:val="28"/>
        </w:rPr>
        <w:t>
      5.14.5. Спонсор должен:</w:t>
      </w:r>
    </w:p>
    <w:bookmarkEnd w:id="371"/>
    <w:bookmarkStart w:name="z1907" w:id="372"/>
    <w:p>
      <w:pPr>
        <w:spacing w:after="0"/>
        <w:ind w:left="0"/>
        <w:jc w:val="both"/>
      </w:pPr>
      <w:r>
        <w:rPr>
          <w:rFonts w:ascii="Times New Roman"/>
          <w:b w:val="false"/>
          <w:i w:val="false"/>
          <w:color w:val="000000"/>
          <w:sz w:val="28"/>
        </w:rPr>
        <w:t>
      а) принять меры по обеспечению стабильности исследуемых препаратов на протяжении всего периода их использования;</w:t>
      </w:r>
    </w:p>
    <w:bookmarkEnd w:id="372"/>
    <w:bookmarkStart w:name="z1908" w:id="373"/>
    <w:p>
      <w:pPr>
        <w:spacing w:after="0"/>
        <w:ind w:left="0"/>
        <w:jc w:val="both"/>
      </w:pPr>
      <w:r>
        <w:rPr>
          <w:rFonts w:ascii="Times New Roman"/>
          <w:b w:val="false"/>
          <w:i w:val="false"/>
          <w:color w:val="000000"/>
          <w:sz w:val="28"/>
        </w:rPr>
        <w:t>
      б) иметь достаточное количество используемого в исследованиях исследуемого препарата, чтобы подтвердить при необходимости его соответствие спецификациям, а также вести учет анализов и характеристик образцов препарата из партии. В зависимости от стабильности образцы должны быть сохранены либо до окончания анализа данных по исследованию, либо в течение срока, определенного применимыми требованиями, исходя из того, какой период является более длительным.</w:t>
      </w:r>
    </w:p>
    <w:bookmarkEnd w:id="373"/>
    <w:bookmarkStart w:name="z1909" w:id="374"/>
    <w:p>
      <w:pPr>
        <w:spacing w:after="0"/>
        <w:ind w:left="0"/>
        <w:jc w:val="both"/>
      </w:pPr>
      <w:r>
        <w:rPr>
          <w:rFonts w:ascii="Times New Roman"/>
          <w:b w:val="false"/>
          <w:i w:val="false"/>
          <w:color w:val="000000"/>
          <w:sz w:val="28"/>
        </w:rPr>
        <w:t>
      5.15. Доступ к документации исследования.</w:t>
      </w:r>
    </w:p>
    <w:bookmarkEnd w:id="374"/>
    <w:bookmarkStart w:name="z1910" w:id="375"/>
    <w:p>
      <w:pPr>
        <w:spacing w:after="0"/>
        <w:ind w:left="0"/>
        <w:jc w:val="both"/>
      </w:pPr>
      <w:r>
        <w:rPr>
          <w:rFonts w:ascii="Times New Roman"/>
          <w:b w:val="false"/>
          <w:i w:val="false"/>
          <w:color w:val="000000"/>
          <w:sz w:val="28"/>
        </w:rPr>
        <w:t>
      5.15.1. Спонсор должен предусмотреть в протоколе или ином соглашении обязанность исследователя (медицинской организации) обеспечить прямой доступ к первичным данным (документации) для проведения мониторинга, аудита и экспертизы ЭСО (НЭК), а также инспекции уполномоченными органами.</w:t>
      </w:r>
    </w:p>
    <w:bookmarkEnd w:id="375"/>
    <w:bookmarkStart w:name="z1911" w:id="376"/>
    <w:p>
      <w:pPr>
        <w:spacing w:after="0"/>
        <w:ind w:left="0"/>
        <w:jc w:val="both"/>
      </w:pPr>
      <w:r>
        <w:rPr>
          <w:rFonts w:ascii="Times New Roman"/>
          <w:b w:val="false"/>
          <w:i w:val="false"/>
          <w:color w:val="000000"/>
          <w:sz w:val="28"/>
        </w:rPr>
        <w:t>
      5.15.2. Спонсор должен убедиться в том, что каждый субъект дал письменное согласие на прямой доступ к его оригинальным медицинским записям для проведения мониторинга, аудита и экспертизы ЭСО (НЭК), а также инспекций уполномоченными органами.</w:t>
      </w:r>
    </w:p>
    <w:bookmarkEnd w:id="376"/>
    <w:bookmarkStart w:name="z1912" w:id="377"/>
    <w:p>
      <w:pPr>
        <w:spacing w:after="0"/>
        <w:ind w:left="0"/>
        <w:jc w:val="both"/>
      </w:pPr>
      <w:r>
        <w:rPr>
          <w:rFonts w:ascii="Times New Roman"/>
          <w:b w:val="false"/>
          <w:i w:val="false"/>
          <w:color w:val="000000"/>
          <w:sz w:val="28"/>
        </w:rPr>
        <w:t>
      5.16. Информация по безопасности.</w:t>
      </w:r>
    </w:p>
    <w:bookmarkEnd w:id="377"/>
    <w:bookmarkStart w:name="z1913" w:id="378"/>
    <w:p>
      <w:pPr>
        <w:spacing w:after="0"/>
        <w:ind w:left="0"/>
        <w:jc w:val="both"/>
      </w:pPr>
      <w:r>
        <w:rPr>
          <w:rFonts w:ascii="Times New Roman"/>
          <w:b w:val="false"/>
          <w:i w:val="false"/>
          <w:color w:val="000000"/>
          <w:sz w:val="28"/>
        </w:rPr>
        <w:t>
      5.16.1. Спонсор отвечает за постоянную оценку безопасности исследуемых препаратов.</w:t>
      </w:r>
    </w:p>
    <w:bookmarkEnd w:id="378"/>
    <w:bookmarkStart w:name="z1914" w:id="379"/>
    <w:p>
      <w:pPr>
        <w:spacing w:after="0"/>
        <w:ind w:left="0"/>
        <w:jc w:val="both"/>
      </w:pPr>
      <w:r>
        <w:rPr>
          <w:rFonts w:ascii="Times New Roman"/>
          <w:b w:val="false"/>
          <w:i w:val="false"/>
          <w:color w:val="000000"/>
          <w:sz w:val="28"/>
        </w:rPr>
        <w:t>
      5.16.2. Спонсор должен незамедлительно уведомить всех участвующих в исследовании исследователей (медицинские организации), а также уполномоченные органы о полученных данных, которые могут неблагоприятно отразиться на безопасности субъектов, повлиять на проведение исследования либо изменить одобрение (заключение) ЭСО (НЭК) на продолжение исследования.</w:t>
      </w:r>
    </w:p>
    <w:bookmarkEnd w:id="379"/>
    <w:bookmarkStart w:name="z1915" w:id="380"/>
    <w:p>
      <w:pPr>
        <w:spacing w:after="0"/>
        <w:ind w:left="0"/>
        <w:jc w:val="both"/>
      </w:pPr>
      <w:r>
        <w:rPr>
          <w:rFonts w:ascii="Times New Roman"/>
          <w:b w:val="false"/>
          <w:i w:val="false"/>
          <w:color w:val="000000"/>
          <w:sz w:val="28"/>
        </w:rPr>
        <w:t>
      5.17. Сообщения о нежелательных реакциях.</w:t>
      </w:r>
    </w:p>
    <w:bookmarkEnd w:id="380"/>
    <w:bookmarkStart w:name="z1916" w:id="381"/>
    <w:p>
      <w:pPr>
        <w:spacing w:after="0"/>
        <w:ind w:left="0"/>
        <w:jc w:val="both"/>
      </w:pPr>
      <w:r>
        <w:rPr>
          <w:rFonts w:ascii="Times New Roman"/>
          <w:b w:val="false"/>
          <w:i w:val="false"/>
          <w:color w:val="000000"/>
          <w:sz w:val="28"/>
        </w:rPr>
        <w:t>
      5.17.1. Спонсор должен в возможно короткий срок сообщать всем участвующим в исследовании исследователям (медицинским организациям), ЭСО (НЭК) (при необходимости), а также уполномоченным органам обо всех нежелательных реакциях, которые одновременно являются серьезными и непредвиденными.</w:t>
      </w:r>
    </w:p>
    <w:bookmarkEnd w:id="381"/>
    <w:bookmarkStart w:name="z1917" w:id="382"/>
    <w:p>
      <w:pPr>
        <w:spacing w:after="0"/>
        <w:ind w:left="0"/>
        <w:jc w:val="both"/>
      </w:pPr>
      <w:r>
        <w:rPr>
          <w:rFonts w:ascii="Times New Roman"/>
          <w:b w:val="false"/>
          <w:i w:val="false"/>
          <w:color w:val="000000"/>
          <w:sz w:val="28"/>
        </w:rPr>
        <w:t>
      5.17.2. Такие срочные сообщения должны соответствовать применимым требованиям и положения приложения № 11 к настоящим Правилам.</w:t>
      </w:r>
    </w:p>
    <w:bookmarkEnd w:id="382"/>
    <w:bookmarkStart w:name="z1918" w:id="383"/>
    <w:p>
      <w:pPr>
        <w:spacing w:after="0"/>
        <w:ind w:left="0"/>
        <w:jc w:val="both"/>
      </w:pPr>
      <w:r>
        <w:rPr>
          <w:rFonts w:ascii="Times New Roman"/>
          <w:b w:val="false"/>
          <w:i w:val="false"/>
          <w:color w:val="000000"/>
          <w:sz w:val="28"/>
        </w:rPr>
        <w:t>
      5.17.3. Спонсор должен представлять на рассмотрение уполномоченным органам все обновления информации по безопасности, и периодические отчеты по безопасности исследуемого препарата в соответствии с применимыми требованиями и приложением № 11 к настоящим Правилам.</w:t>
      </w:r>
    </w:p>
    <w:bookmarkEnd w:id="383"/>
    <w:bookmarkStart w:name="z1919" w:id="384"/>
    <w:p>
      <w:pPr>
        <w:spacing w:after="0"/>
        <w:ind w:left="0"/>
        <w:jc w:val="both"/>
      </w:pPr>
      <w:r>
        <w:rPr>
          <w:rFonts w:ascii="Times New Roman"/>
          <w:b w:val="false"/>
          <w:i w:val="false"/>
          <w:color w:val="000000"/>
          <w:sz w:val="28"/>
        </w:rPr>
        <w:t>
      5.18. Мониторинг.</w:t>
      </w:r>
    </w:p>
    <w:bookmarkEnd w:id="384"/>
    <w:bookmarkStart w:name="z1920" w:id="385"/>
    <w:p>
      <w:pPr>
        <w:spacing w:after="0"/>
        <w:ind w:left="0"/>
        <w:jc w:val="both"/>
      </w:pPr>
      <w:r>
        <w:rPr>
          <w:rFonts w:ascii="Times New Roman"/>
          <w:b w:val="false"/>
          <w:i w:val="false"/>
          <w:color w:val="000000"/>
          <w:sz w:val="28"/>
        </w:rPr>
        <w:t>
      5.18.1. Цель.</w:t>
      </w:r>
    </w:p>
    <w:bookmarkEnd w:id="385"/>
    <w:bookmarkStart w:name="z1921" w:id="386"/>
    <w:p>
      <w:pPr>
        <w:spacing w:after="0"/>
        <w:ind w:left="0"/>
        <w:jc w:val="both"/>
      </w:pPr>
      <w:r>
        <w:rPr>
          <w:rFonts w:ascii="Times New Roman"/>
          <w:b w:val="false"/>
          <w:i w:val="false"/>
          <w:color w:val="000000"/>
          <w:sz w:val="28"/>
        </w:rPr>
        <w:t>
      Целью мониторинга исследования является проверка того, что:</w:t>
      </w:r>
    </w:p>
    <w:bookmarkEnd w:id="386"/>
    <w:bookmarkStart w:name="z1922" w:id="387"/>
    <w:p>
      <w:pPr>
        <w:spacing w:after="0"/>
        <w:ind w:left="0"/>
        <w:jc w:val="both"/>
      </w:pPr>
      <w:r>
        <w:rPr>
          <w:rFonts w:ascii="Times New Roman"/>
          <w:b w:val="false"/>
          <w:i w:val="false"/>
          <w:color w:val="000000"/>
          <w:sz w:val="28"/>
        </w:rPr>
        <w:t>
      а) права и благополучие субъектов защищены;</w:t>
      </w:r>
    </w:p>
    <w:bookmarkEnd w:id="387"/>
    <w:bookmarkStart w:name="z1923" w:id="388"/>
    <w:p>
      <w:pPr>
        <w:spacing w:after="0"/>
        <w:ind w:left="0"/>
        <w:jc w:val="both"/>
      </w:pPr>
      <w:r>
        <w:rPr>
          <w:rFonts w:ascii="Times New Roman"/>
          <w:b w:val="false"/>
          <w:i w:val="false"/>
          <w:color w:val="000000"/>
          <w:sz w:val="28"/>
        </w:rPr>
        <w:t>
      б) представленные данные являются точными, полными и подтверждаются первичной документацией;</w:t>
      </w:r>
    </w:p>
    <w:bookmarkEnd w:id="388"/>
    <w:bookmarkStart w:name="z1924" w:id="389"/>
    <w:p>
      <w:pPr>
        <w:spacing w:after="0"/>
        <w:ind w:left="0"/>
        <w:jc w:val="both"/>
      </w:pPr>
      <w:r>
        <w:rPr>
          <w:rFonts w:ascii="Times New Roman"/>
          <w:b w:val="false"/>
          <w:i w:val="false"/>
          <w:color w:val="000000"/>
          <w:sz w:val="28"/>
        </w:rPr>
        <w:t>
      в) исследование проводится в соответствии с утвержденной текущей версией протокола (поправок к нему), настоящими Правилами и применимыми требованиями.</w:t>
      </w:r>
    </w:p>
    <w:bookmarkEnd w:id="389"/>
    <w:bookmarkStart w:name="z1925" w:id="390"/>
    <w:p>
      <w:pPr>
        <w:spacing w:after="0"/>
        <w:ind w:left="0"/>
        <w:jc w:val="both"/>
      </w:pPr>
      <w:r>
        <w:rPr>
          <w:rFonts w:ascii="Times New Roman"/>
          <w:b w:val="false"/>
          <w:i w:val="false"/>
          <w:color w:val="000000"/>
          <w:sz w:val="28"/>
        </w:rPr>
        <w:t>
      5.18.2. Выбор мониторов и их квалификация:</w:t>
      </w:r>
    </w:p>
    <w:bookmarkEnd w:id="390"/>
    <w:bookmarkStart w:name="z1926" w:id="391"/>
    <w:p>
      <w:pPr>
        <w:spacing w:after="0"/>
        <w:ind w:left="0"/>
        <w:jc w:val="both"/>
      </w:pPr>
      <w:r>
        <w:rPr>
          <w:rFonts w:ascii="Times New Roman"/>
          <w:b w:val="false"/>
          <w:i w:val="false"/>
          <w:color w:val="000000"/>
          <w:sz w:val="28"/>
        </w:rPr>
        <w:t>
      а) мониторы должны назначаться спонсором;</w:t>
      </w:r>
    </w:p>
    <w:bookmarkEnd w:id="391"/>
    <w:bookmarkStart w:name="z1927" w:id="392"/>
    <w:p>
      <w:pPr>
        <w:spacing w:after="0"/>
        <w:ind w:left="0"/>
        <w:jc w:val="both"/>
      </w:pPr>
      <w:r>
        <w:rPr>
          <w:rFonts w:ascii="Times New Roman"/>
          <w:b w:val="false"/>
          <w:i w:val="false"/>
          <w:color w:val="000000"/>
          <w:sz w:val="28"/>
        </w:rPr>
        <w:t>
      б) мониторы должны иметь соответствующую подготовку, а также обладать научными и (или) клиническими знаниями, необходимыми для проведения надлежащего мониторинга исследования. Квалификация мониторов должна быть подтверждена документально;</w:t>
      </w:r>
    </w:p>
    <w:bookmarkEnd w:id="392"/>
    <w:bookmarkStart w:name="z1928" w:id="393"/>
    <w:p>
      <w:pPr>
        <w:spacing w:after="0"/>
        <w:ind w:left="0"/>
        <w:jc w:val="both"/>
      </w:pPr>
      <w:r>
        <w:rPr>
          <w:rFonts w:ascii="Times New Roman"/>
          <w:b w:val="false"/>
          <w:i w:val="false"/>
          <w:color w:val="000000"/>
          <w:sz w:val="28"/>
        </w:rPr>
        <w:t>
      в) мониторы должны детально знать свойства исследуемых препаратов, протокол, письменную форму информированного согласия и все другие представляемые субъектам исследования письменные материалы, стандартные операционные процедуры спонсора, настоящие Правила и применимые требования.</w:t>
      </w:r>
    </w:p>
    <w:bookmarkEnd w:id="393"/>
    <w:bookmarkStart w:name="z1929" w:id="394"/>
    <w:p>
      <w:pPr>
        <w:spacing w:after="0"/>
        <w:ind w:left="0"/>
        <w:jc w:val="both"/>
      </w:pPr>
      <w:r>
        <w:rPr>
          <w:rFonts w:ascii="Times New Roman"/>
          <w:b w:val="false"/>
          <w:i w:val="false"/>
          <w:color w:val="000000"/>
          <w:sz w:val="28"/>
        </w:rPr>
        <w:t>
      5.18.3. Объем и содержание мониторинга.</w:t>
      </w:r>
    </w:p>
    <w:bookmarkEnd w:id="394"/>
    <w:bookmarkStart w:name="z1930" w:id="395"/>
    <w:p>
      <w:pPr>
        <w:spacing w:after="0"/>
        <w:ind w:left="0"/>
        <w:jc w:val="both"/>
      </w:pPr>
      <w:r>
        <w:rPr>
          <w:rFonts w:ascii="Times New Roman"/>
          <w:b w:val="false"/>
          <w:i w:val="false"/>
          <w:color w:val="000000"/>
          <w:sz w:val="28"/>
        </w:rPr>
        <w:t>
      Спонсор должен обеспечить надлежащий мониторинг исследований. Спонсор должен определить необходимые объем и содержание мониторинга исходя из целей, задач, методологии, сложности, маскировки, объема и оцениваемых параметров исследования. По общему правилу, с целью мониторинга требуется посещать исследовательские центры до проведения исследования, во время его проведения и после его окончания. Однако в исключительных случаях спонсор может решить, что мониторинг без посещения исследовательских центров в сочетании с такими процедурами, как тренинг и проведение совещаний исследователей, предоставление им подробного письменного руководства, может гарантированно обеспечить надлежащее проведение исследования в соответствии с настоящими Правилами. Статистически определяемые контрольные выборки могут служить приемлемым методом для отбора проверяемых данных.</w:t>
      </w:r>
    </w:p>
    <w:bookmarkEnd w:id="395"/>
    <w:bookmarkStart w:name="z1931" w:id="396"/>
    <w:p>
      <w:pPr>
        <w:spacing w:after="0"/>
        <w:ind w:left="0"/>
        <w:jc w:val="both"/>
      </w:pPr>
      <w:r>
        <w:rPr>
          <w:rFonts w:ascii="Times New Roman"/>
          <w:b w:val="false"/>
          <w:i w:val="false"/>
          <w:color w:val="000000"/>
          <w:sz w:val="28"/>
        </w:rPr>
        <w:t>
      Спонсор должен разработать систематизированный подход к мониторингу клинических исследований на основе оценки приоритетов и рисков. Гибкость в отношении объема и характера мониторинга, описанная в настоящем разделе, позволяет использовать различные подходы к совершенствованию эффективности и результативности мониторинга. Спонсор может выбрать мониторинг с посещением исследовательских центров (далее – выездной мониторинг), комбинацию выездного мониторинга и централизованного мониторинга или, если это обосновано, только централизованный мониторинг. Спонсор должен задокументировать обоснование выбранной стратегии мониторинга (например, в плане мониторинга).</w:t>
      </w:r>
    </w:p>
    <w:bookmarkEnd w:id="396"/>
    <w:bookmarkStart w:name="z1932" w:id="397"/>
    <w:p>
      <w:pPr>
        <w:spacing w:after="0"/>
        <w:ind w:left="0"/>
        <w:jc w:val="both"/>
      </w:pPr>
      <w:r>
        <w:rPr>
          <w:rFonts w:ascii="Times New Roman"/>
          <w:b w:val="false"/>
          <w:i w:val="false"/>
          <w:color w:val="000000"/>
          <w:sz w:val="28"/>
        </w:rPr>
        <w:t>
      Выездной мониторинг осуществляется в исследовательских центрах, в которых проводится исследование. Централизованный мониторинг представляет собой удаленную оценку собираемых данных, своевременно выполняемую квалифицированными и должным образом обученными лицами (например, специалистами по управлению данными, биостатистиками).</w:t>
      </w:r>
    </w:p>
    <w:bookmarkEnd w:id="397"/>
    <w:bookmarkStart w:name="z1933" w:id="398"/>
    <w:p>
      <w:pPr>
        <w:spacing w:after="0"/>
        <w:ind w:left="0"/>
        <w:jc w:val="both"/>
      </w:pPr>
      <w:r>
        <w:rPr>
          <w:rFonts w:ascii="Times New Roman"/>
          <w:b w:val="false"/>
          <w:i w:val="false"/>
          <w:color w:val="000000"/>
          <w:sz w:val="28"/>
        </w:rPr>
        <w:t>
      Централизованный мониторинг обеспечивает дополнительные мониторинговые возможности, которые способны дополнить мониторинг с посещением исследовательских центров и сократить его объем и (или) частоту его проведения, а также помогает найти различие между надежными и потенциально ненадежными данными.</w:t>
      </w:r>
    </w:p>
    <w:bookmarkEnd w:id="398"/>
    <w:bookmarkStart w:name="z1934" w:id="399"/>
    <w:p>
      <w:pPr>
        <w:spacing w:after="0"/>
        <w:ind w:left="0"/>
        <w:jc w:val="both"/>
      </w:pPr>
      <w:r>
        <w:rPr>
          <w:rFonts w:ascii="Times New Roman"/>
          <w:b w:val="false"/>
          <w:i w:val="false"/>
          <w:color w:val="000000"/>
          <w:sz w:val="28"/>
        </w:rPr>
        <w:t xml:space="preserve">
      Оценка собираемых в ходе централизованного мониторинга данных, которая может включать в себя статистический анализ, может использоваться для: </w:t>
      </w:r>
    </w:p>
    <w:bookmarkEnd w:id="399"/>
    <w:bookmarkStart w:name="z1935" w:id="400"/>
    <w:p>
      <w:pPr>
        <w:spacing w:after="0"/>
        <w:ind w:left="0"/>
        <w:jc w:val="both"/>
      </w:pPr>
      <w:r>
        <w:rPr>
          <w:rFonts w:ascii="Times New Roman"/>
          <w:b w:val="false"/>
          <w:i w:val="false"/>
          <w:color w:val="000000"/>
          <w:sz w:val="28"/>
        </w:rPr>
        <w:t>
      а) выявления отсутствующих и несогласующихся данных, выбросов данных, непредвиденного отсутствия вариабельности и отклонений от протокола;</w:t>
      </w:r>
    </w:p>
    <w:bookmarkEnd w:id="400"/>
    <w:bookmarkStart w:name="z1936" w:id="401"/>
    <w:p>
      <w:pPr>
        <w:spacing w:after="0"/>
        <w:ind w:left="0"/>
        <w:jc w:val="both"/>
      </w:pPr>
      <w:r>
        <w:rPr>
          <w:rFonts w:ascii="Times New Roman"/>
          <w:b w:val="false"/>
          <w:i w:val="false"/>
          <w:color w:val="000000"/>
          <w:sz w:val="28"/>
        </w:rPr>
        <w:t>
      б) проверки таких тенденций изменения данных, как диапазоны, согласованность и вариабельность данных в центрах и между ними;</w:t>
      </w:r>
    </w:p>
    <w:bookmarkEnd w:id="401"/>
    <w:bookmarkStart w:name="z1937" w:id="402"/>
    <w:p>
      <w:pPr>
        <w:spacing w:after="0"/>
        <w:ind w:left="0"/>
        <w:jc w:val="both"/>
      </w:pPr>
      <w:r>
        <w:rPr>
          <w:rFonts w:ascii="Times New Roman"/>
          <w:b w:val="false"/>
          <w:i w:val="false"/>
          <w:color w:val="000000"/>
          <w:sz w:val="28"/>
        </w:rPr>
        <w:t>
      в) обнаружения систематических и значимых ошибок при сборе и представлении данных в центре и между центрами, а также потенциального манипулирования данными и проблем с целостностью данных;</w:t>
      </w:r>
    </w:p>
    <w:bookmarkEnd w:id="402"/>
    <w:bookmarkStart w:name="z1938" w:id="403"/>
    <w:p>
      <w:pPr>
        <w:spacing w:after="0"/>
        <w:ind w:left="0"/>
        <w:jc w:val="both"/>
      </w:pPr>
      <w:r>
        <w:rPr>
          <w:rFonts w:ascii="Times New Roman"/>
          <w:b w:val="false"/>
          <w:i w:val="false"/>
          <w:color w:val="000000"/>
          <w:sz w:val="28"/>
        </w:rPr>
        <w:t>
      г) анализа характеристик и индикаторов работы центра;</w:t>
      </w:r>
    </w:p>
    <w:bookmarkEnd w:id="403"/>
    <w:bookmarkStart w:name="z1939" w:id="404"/>
    <w:p>
      <w:pPr>
        <w:spacing w:after="0"/>
        <w:ind w:left="0"/>
        <w:jc w:val="both"/>
      </w:pPr>
      <w:r>
        <w:rPr>
          <w:rFonts w:ascii="Times New Roman"/>
          <w:b w:val="false"/>
          <w:i w:val="false"/>
          <w:color w:val="000000"/>
          <w:sz w:val="28"/>
        </w:rPr>
        <w:t>
      д) отбора центров и (или) процессов для прицельного мониторинга с посещением исследовательских центров.</w:t>
      </w:r>
    </w:p>
    <w:bookmarkEnd w:id="404"/>
    <w:bookmarkStart w:name="z1940" w:id="405"/>
    <w:p>
      <w:pPr>
        <w:spacing w:after="0"/>
        <w:ind w:left="0"/>
        <w:jc w:val="both"/>
      </w:pPr>
      <w:r>
        <w:rPr>
          <w:rFonts w:ascii="Times New Roman"/>
          <w:b w:val="false"/>
          <w:i w:val="false"/>
          <w:color w:val="000000"/>
          <w:sz w:val="28"/>
        </w:rPr>
        <w:t>
      5.18.4. Обязанности монитора.</w:t>
      </w:r>
    </w:p>
    <w:bookmarkEnd w:id="405"/>
    <w:bookmarkStart w:name="z1941" w:id="406"/>
    <w:p>
      <w:pPr>
        <w:spacing w:after="0"/>
        <w:ind w:left="0"/>
        <w:jc w:val="both"/>
      </w:pPr>
      <w:r>
        <w:rPr>
          <w:rFonts w:ascii="Times New Roman"/>
          <w:b w:val="false"/>
          <w:i w:val="false"/>
          <w:color w:val="000000"/>
          <w:sz w:val="28"/>
        </w:rPr>
        <w:t>
      Монитор в соответствии с требованиями спонсора должен обеспечить надлежащее проведение и документальное оформление исследования. С этой целью монитор с учетом конкретного исследования и исследовательского центра при необходимости:</w:t>
      </w:r>
    </w:p>
    <w:bookmarkEnd w:id="406"/>
    <w:bookmarkStart w:name="z1942" w:id="407"/>
    <w:p>
      <w:pPr>
        <w:spacing w:after="0"/>
        <w:ind w:left="0"/>
        <w:jc w:val="both"/>
      </w:pPr>
      <w:r>
        <w:rPr>
          <w:rFonts w:ascii="Times New Roman"/>
          <w:b w:val="false"/>
          <w:i w:val="false"/>
          <w:color w:val="000000"/>
          <w:sz w:val="28"/>
        </w:rPr>
        <w:t>
      а) выступает в качестве основного связующего звена между спонсором и исследователем;</w:t>
      </w:r>
    </w:p>
    <w:bookmarkEnd w:id="407"/>
    <w:bookmarkStart w:name="z1943" w:id="408"/>
    <w:p>
      <w:pPr>
        <w:spacing w:after="0"/>
        <w:ind w:left="0"/>
        <w:jc w:val="both"/>
      </w:pPr>
      <w:r>
        <w:rPr>
          <w:rFonts w:ascii="Times New Roman"/>
          <w:b w:val="false"/>
          <w:i w:val="false"/>
          <w:color w:val="000000"/>
          <w:sz w:val="28"/>
        </w:rPr>
        <w:t>
      б) убеждается в том, что исследователь обладает необходимой квалификацией и возможностями для проведения исследования и остается таковым на протяжении всего периода исследования (в соответствии с пунктами 4.1, 4.2 и 5.6 настоящих Правил), что помещения, отведенные для проведения исследования (включая лаборатории и оборудование) и персонал соответствуют требованиям к проведению работ безопасно и должным образом на протяжении всего исследования;</w:t>
      </w:r>
    </w:p>
    <w:bookmarkEnd w:id="408"/>
    <w:bookmarkStart w:name="z1944" w:id="409"/>
    <w:p>
      <w:pPr>
        <w:spacing w:after="0"/>
        <w:ind w:left="0"/>
        <w:jc w:val="both"/>
      </w:pPr>
      <w:r>
        <w:rPr>
          <w:rFonts w:ascii="Times New Roman"/>
          <w:b w:val="false"/>
          <w:i w:val="false"/>
          <w:color w:val="000000"/>
          <w:sz w:val="28"/>
        </w:rPr>
        <w:t>
      в) в отношении исследуемых препаратов монитор проверяет следующее:</w:t>
      </w:r>
    </w:p>
    <w:bookmarkEnd w:id="409"/>
    <w:bookmarkStart w:name="z1945" w:id="410"/>
    <w:p>
      <w:pPr>
        <w:spacing w:after="0"/>
        <w:ind w:left="0"/>
        <w:jc w:val="both"/>
      </w:pPr>
      <w:r>
        <w:rPr>
          <w:rFonts w:ascii="Times New Roman"/>
          <w:b w:val="false"/>
          <w:i w:val="false"/>
          <w:color w:val="000000"/>
          <w:sz w:val="28"/>
        </w:rPr>
        <w:t>
      сроки и условия хранения исследуемых препаратов приемлемы и их количество является достаточным до конца исследования;</w:t>
      </w:r>
    </w:p>
    <w:bookmarkEnd w:id="410"/>
    <w:bookmarkStart w:name="z1946" w:id="411"/>
    <w:p>
      <w:pPr>
        <w:spacing w:after="0"/>
        <w:ind w:left="0"/>
        <w:jc w:val="both"/>
      </w:pPr>
      <w:r>
        <w:rPr>
          <w:rFonts w:ascii="Times New Roman"/>
          <w:b w:val="false"/>
          <w:i w:val="false"/>
          <w:color w:val="000000"/>
          <w:sz w:val="28"/>
        </w:rPr>
        <w:t>
      исследуемые препараты получают только те субъекты, которым он назначен, в дозах, установленных протоколом;</w:t>
      </w:r>
    </w:p>
    <w:bookmarkEnd w:id="411"/>
    <w:bookmarkStart w:name="z1947" w:id="412"/>
    <w:p>
      <w:pPr>
        <w:spacing w:after="0"/>
        <w:ind w:left="0"/>
        <w:jc w:val="both"/>
      </w:pPr>
      <w:r>
        <w:rPr>
          <w:rFonts w:ascii="Times New Roman"/>
          <w:b w:val="false"/>
          <w:i w:val="false"/>
          <w:color w:val="000000"/>
          <w:sz w:val="28"/>
        </w:rPr>
        <w:t>
      субъектам представляются необходимые инструкции по правильному применению исследуемых препаратов, обращению с ними, их хранению и возврату;</w:t>
      </w:r>
    </w:p>
    <w:bookmarkEnd w:id="412"/>
    <w:bookmarkStart w:name="z1948" w:id="413"/>
    <w:p>
      <w:pPr>
        <w:spacing w:after="0"/>
        <w:ind w:left="0"/>
        <w:jc w:val="both"/>
      </w:pPr>
      <w:r>
        <w:rPr>
          <w:rFonts w:ascii="Times New Roman"/>
          <w:b w:val="false"/>
          <w:i w:val="false"/>
          <w:color w:val="000000"/>
          <w:sz w:val="28"/>
        </w:rPr>
        <w:t>
      получение, применение и возврат исследуемых препаратов в исследовательском центре должным образом контролируется и оформляется документально;</w:t>
      </w:r>
    </w:p>
    <w:bookmarkEnd w:id="413"/>
    <w:bookmarkStart w:name="z1949" w:id="414"/>
    <w:p>
      <w:pPr>
        <w:spacing w:after="0"/>
        <w:ind w:left="0"/>
        <w:jc w:val="both"/>
      </w:pPr>
      <w:r>
        <w:rPr>
          <w:rFonts w:ascii="Times New Roman"/>
          <w:b w:val="false"/>
          <w:i w:val="false"/>
          <w:color w:val="000000"/>
          <w:sz w:val="28"/>
        </w:rPr>
        <w:t>
      уничтожение неиспользованных исследуемых препаратов либо иное распоряжение ими в исследовательском центре осуществляется в соответствии с применимыми требованиями и по согласованию со спонсором;</w:t>
      </w:r>
    </w:p>
    <w:bookmarkEnd w:id="414"/>
    <w:bookmarkStart w:name="z1950" w:id="415"/>
    <w:p>
      <w:pPr>
        <w:spacing w:after="0"/>
        <w:ind w:left="0"/>
        <w:jc w:val="both"/>
      </w:pPr>
      <w:r>
        <w:rPr>
          <w:rFonts w:ascii="Times New Roman"/>
          <w:b w:val="false"/>
          <w:i w:val="false"/>
          <w:color w:val="000000"/>
          <w:sz w:val="28"/>
        </w:rPr>
        <w:t>
      г) проверяет соблюдение исследователем утвержденного протокола и всех утвержденных поправок к нему, если таковые имеются;</w:t>
      </w:r>
    </w:p>
    <w:bookmarkEnd w:id="415"/>
    <w:bookmarkStart w:name="z1951" w:id="416"/>
    <w:p>
      <w:pPr>
        <w:spacing w:after="0"/>
        <w:ind w:left="0"/>
        <w:jc w:val="both"/>
      </w:pPr>
      <w:r>
        <w:rPr>
          <w:rFonts w:ascii="Times New Roman"/>
          <w:b w:val="false"/>
          <w:i w:val="false"/>
          <w:color w:val="000000"/>
          <w:sz w:val="28"/>
        </w:rPr>
        <w:t>
      д) проверяет, чтобы письменное информированное согласие каждого субъекта было получено до начала его участия в исследовании;</w:t>
      </w:r>
    </w:p>
    <w:bookmarkEnd w:id="416"/>
    <w:bookmarkStart w:name="z1952" w:id="417"/>
    <w:p>
      <w:pPr>
        <w:spacing w:after="0"/>
        <w:ind w:left="0"/>
        <w:jc w:val="both"/>
      </w:pPr>
      <w:r>
        <w:rPr>
          <w:rFonts w:ascii="Times New Roman"/>
          <w:b w:val="false"/>
          <w:i w:val="false"/>
          <w:color w:val="000000"/>
          <w:sz w:val="28"/>
        </w:rPr>
        <w:t>
      е) обеспечивает наличие у исследователя текущей редакции брошюры исследователя, других документов и материалов, необходимых для проведения исследования надлежащим образом и в соответствии с применимыми требованиями;</w:t>
      </w:r>
    </w:p>
    <w:bookmarkEnd w:id="417"/>
    <w:bookmarkStart w:name="z1953" w:id="418"/>
    <w:p>
      <w:pPr>
        <w:spacing w:after="0"/>
        <w:ind w:left="0"/>
        <w:jc w:val="both"/>
      </w:pPr>
      <w:r>
        <w:rPr>
          <w:rFonts w:ascii="Times New Roman"/>
          <w:b w:val="false"/>
          <w:i w:val="false"/>
          <w:color w:val="000000"/>
          <w:sz w:val="28"/>
        </w:rPr>
        <w:t>
      ж) обеспечивает, чтобы исследователь и его сотрудники, занятые в исследовании, были достаточно информированы об исследовании;</w:t>
      </w:r>
    </w:p>
    <w:bookmarkEnd w:id="418"/>
    <w:bookmarkStart w:name="z1954" w:id="419"/>
    <w:p>
      <w:pPr>
        <w:spacing w:after="0"/>
        <w:ind w:left="0"/>
        <w:jc w:val="both"/>
      </w:pPr>
      <w:r>
        <w:rPr>
          <w:rFonts w:ascii="Times New Roman"/>
          <w:b w:val="false"/>
          <w:i w:val="false"/>
          <w:color w:val="000000"/>
          <w:sz w:val="28"/>
        </w:rPr>
        <w:t>
      з) проверяет, чтобы исследователь и его сотрудники, занятые в исследовании, выполняли связанные с исследованием обязанности в соответствии с протоколом и всеми другими письменными соглашениями между спонсором и исследователем (медицинской организацией) и не передавали свои функции неуполномоченным лицам;</w:t>
      </w:r>
    </w:p>
    <w:bookmarkEnd w:id="419"/>
    <w:bookmarkStart w:name="z1955" w:id="420"/>
    <w:p>
      <w:pPr>
        <w:spacing w:after="0"/>
        <w:ind w:left="0"/>
        <w:jc w:val="both"/>
      </w:pPr>
      <w:r>
        <w:rPr>
          <w:rFonts w:ascii="Times New Roman"/>
          <w:b w:val="false"/>
          <w:i w:val="false"/>
          <w:color w:val="000000"/>
          <w:sz w:val="28"/>
        </w:rPr>
        <w:t>
      и) проверяет соблюдение исследователем критериев отбора для включения субъектов в исследование;</w:t>
      </w:r>
    </w:p>
    <w:bookmarkEnd w:id="420"/>
    <w:bookmarkStart w:name="z1956" w:id="421"/>
    <w:p>
      <w:pPr>
        <w:spacing w:after="0"/>
        <w:ind w:left="0"/>
        <w:jc w:val="both"/>
      </w:pPr>
      <w:r>
        <w:rPr>
          <w:rFonts w:ascii="Times New Roman"/>
          <w:b w:val="false"/>
          <w:i w:val="false"/>
          <w:color w:val="000000"/>
          <w:sz w:val="28"/>
        </w:rPr>
        <w:t>
      к) сообщает о скорости набора субъектов в исследование;</w:t>
      </w:r>
    </w:p>
    <w:bookmarkEnd w:id="421"/>
    <w:bookmarkStart w:name="z1957" w:id="422"/>
    <w:p>
      <w:pPr>
        <w:spacing w:after="0"/>
        <w:ind w:left="0"/>
        <w:jc w:val="both"/>
      </w:pPr>
      <w:r>
        <w:rPr>
          <w:rFonts w:ascii="Times New Roman"/>
          <w:b w:val="false"/>
          <w:i w:val="false"/>
          <w:color w:val="000000"/>
          <w:sz w:val="28"/>
        </w:rPr>
        <w:t>
      л) проверяет правильность, полноту и своевременность регистрации данных в первичных и других относящихся к исследованию документах, а также порядок ведения таких документов;</w:t>
      </w:r>
    </w:p>
    <w:bookmarkEnd w:id="422"/>
    <w:bookmarkStart w:name="z1958" w:id="423"/>
    <w:p>
      <w:pPr>
        <w:spacing w:after="0"/>
        <w:ind w:left="0"/>
        <w:jc w:val="both"/>
      </w:pPr>
      <w:r>
        <w:rPr>
          <w:rFonts w:ascii="Times New Roman"/>
          <w:b w:val="false"/>
          <w:i w:val="false"/>
          <w:color w:val="000000"/>
          <w:sz w:val="28"/>
        </w:rPr>
        <w:t>
      м) проверяет, чтобы исследователь представлял все требуемые отчеты, уведомления, запросы и подобные документы, и чтобы такие документы были правильными, полными, своевременными, разборчивыми, с указанием дат и идентифицировали исследование;</w:t>
      </w:r>
    </w:p>
    <w:bookmarkEnd w:id="423"/>
    <w:bookmarkStart w:name="z1959" w:id="424"/>
    <w:p>
      <w:pPr>
        <w:spacing w:after="0"/>
        <w:ind w:left="0"/>
        <w:jc w:val="both"/>
      </w:pPr>
      <w:r>
        <w:rPr>
          <w:rFonts w:ascii="Times New Roman"/>
          <w:b w:val="false"/>
          <w:i w:val="false"/>
          <w:color w:val="000000"/>
          <w:sz w:val="28"/>
        </w:rPr>
        <w:t>
      н) проверяет правильность и полноту данных в индивидуальных регистрационных картах, первичных документах и других относящихся к исследованию записях путем сопоставления их между собой. В особенности монитор должен проверять следующее:</w:t>
      </w:r>
    </w:p>
    <w:bookmarkEnd w:id="424"/>
    <w:bookmarkStart w:name="z1960" w:id="425"/>
    <w:p>
      <w:pPr>
        <w:spacing w:after="0"/>
        <w:ind w:left="0"/>
        <w:jc w:val="both"/>
      </w:pPr>
      <w:r>
        <w:rPr>
          <w:rFonts w:ascii="Times New Roman"/>
          <w:b w:val="false"/>
          <w:i w:val="false"/>
          <w:color w:val="000000"/>
          <w:sz w:val="28"/>
        </w:rPr>
        <w:t>
      правильность внесения требуемых протоколом данных в индивидуальную регистрационную карту и их соответствие данным первичной документации;</w:t>
      </w:r>
    </w:p>
    <w:bookmarkEnd w:id="425"/>
    <w:bookmarkStart w:name="z1961" w:id="426"/>
    <w:p>
      <w:pPr>
        <w:spacing w:after="0"/>
        <w:ind w:left="0"/>
        <w:jc w:val="both"/>
      </w:pPr>
      <w:r>
        <w:rPr>
          <w:rFonts w:ascii="Times New Roman"/>
          <w:b w:val="false"/>
          <w:i w:val="false"/>
          <w:color w:val="000000"/>
          <w:sz w:val="28"/>
        </w:rPr>
        <w:t>
      любые изменения дозы и (или) терапии четко документально оформляются для каждого субъекта исследования;</w:t>
      </w:r>
    </w:p>
    <w:bookmarkEnd w:id="426"/>
    <w:bookmarkStart w:name="z1962" w:id="427"/>
    <w:p>
      <w:pPr>
        <w:spacing w:after="0"/>
        <w:ind w:left="0"/>
        <w:jc w:val="both"/>
      </w:pPr>
      <w:r>
        <w:rPr>
          <w:rFonts w:ascii="Times New Roman"/>
          <w:b w:val="false"/>
          <w:i w:val="false"/>
          <w:color w:val="000000"/>
          <w:sz w:val="28"/>
        </w:rPr>
        <w:t>
      нежелательные явления, сопутствующее лечение и интеркуррентные заболевания регистрируются в индивидуальной регистрационной карте в соответствии с протоколом;</w:t>
      </w:r>
    </w:p>
    <w:bookmarkEnd w:id="427"/>
    <w:bookmarkStart w:name="z1963" w:id="428"/>
    <w:p>
      <w:pPr>
        <w:spacing w:after="0"/>
        <w:ind w:left="0"/>
        <w:jc w:val="both"/>
      </w:pPr>
      <w:r>
        <w:rPr>
          <w:rFonts w:ascii="Times New Roman"/>
          <w:b w:val="false"/>
          <w:i w:val="false"/>
          <w:color w:val="000000"/>
          <w:sz w:val="28"/>
        </w:rPr>
        <w:t>
      пропущенные субъектом визиты, непроведенные анализы и невыполненные обследования ясно указаны в индивидуальной регистрационной карте как пропущенные, непроведенные и невыполненные соответственно;</w:t>
      </w:r>
    </w:p>
    <w:bookmarkEnd w:id="428"/>
    <w:bookmarkStart w:name="z1964" w:id="429"/>
    <w:p>
      <w:pPr>
        <w:spacing w:after="0"/>
        <w:ind w:left="0"/>
        <w:jc w:val="both"/>
      </w:pPr>
      <w:r>
        <w:rPr>
          <w:rFonts w:ascii="Times New Roman"/>
          <w:b w:val="false"/>
          <w:i w:val="false"/>
          <w:color w:val="000000"/>
          <w:sz w:val="28"/>
        </w:rPr>
        <w:t>
      все случаи исключения и выбывания субъектов из исследования были зарегистрированы и объяснены в индивидуальной регистрационной карте;</w:t>
      </w:r>
    </w:p>
    <w:bookmarkEnd w:id="429"/>
    <w:bookmarkStart w:name="z1965" w:id="430"/>
    <w:p>
      <w:pPr>
        <w:spacing w:after="0"/>
        <w:ind w:left="0"/>
        <w:jc w:val="both"/>
      </w:pPr>
      <w:r>
        <w:rPr>
          <w:rFonts w:ascii="Times New Roman"/>
          <w:b w:val="false"/>
          <w:i w:val="false"/>
          <w:color w:val="000000"/>
          <w:sz w:val="28"/>
        </w:rPr>
        <w:t>
      о) сообщает исследователю о любых допущенных в индивидуальной регистрационной карте ошибках, пропусках и неразборчивых записях. Монитор должен проследить за тем, чтобы соответствующие исправления, добавления или исключения были сделаны с указанием даты, объяснены (при необходимости) и подписаны самим исследователем либо уполномоченным на подписание за него изменений в индивидуальной регистрационной карте членом исследовательского коллектива. Данные полномочия должны быть даны в письменной форме;</w:t>
      </w:r>
    </w:p>
    <w:bookmarkEnd w:id="430"/>
    <w:bookmarkStart w:name="z1966" w:id="431"/>
    <w:p>
      <w:pPr>
        <w:spacing w:after="0"/>
        <w:ind w:left="0"/>
        <w:jc w:val="both"/>
      </w:pPr>
      <w:r>
        <w:rPr>
          <w:rFonts w:ascii="Times New Roman"/>
          <w:b w:val="false"/>
          <w:i w:val="false"/>
          <w:color w:val="000000"/>
          <w:sz w:val="28"/>
        </w:rPr>
        <w:t>
      п) проверяет соблюдение срока направления сообщения о нежелательных явлениях, определенного настоящими Правилами, протоколом, ЭСО (НЭК), спонсором и применимыми требованиями;</w:t>
      </w:r>
    </w:p>
    <w:bookmarkEnd w:id="431"/>
    <w:bookmarkStart w:name="z1967" w:id="432"/>
    <w:p>
      <w:pPr>
        <w:spacing w:after="0"/>
        <w:ind w:left="0"/>
        <w:jc w:val="both"/>
      </w:pPr>
      <w:r>
        <w:rPr>
          <w:rFonts w:ascii="Times New Roman"/>
          <w:b w:val="false"/>
          <w:i w:val="false"/>
          <w:color w:val="000000"/>
          <w:sz w:val="28"/>
        </w:rPr>
        <w:t>
      р) проверяет ведение исследователем основных документов (в соответствии с подразделом 8 настоящего раздела);</w:t>
      </w:r>
    </w:p>
    <w:bookmarkEnd w:id="432"/>
    <w:bookmarkStart w:name="z1968" w:id="433"/>
    <w:p>
      <w:pPr>
        <w:spacing w:after="0"/>
        <w:ind w:left="0"/>
        <w:jc w:val="both"/>
      </w:pPr>
      <w:r>
        <w:rPr>
          <w:rFonts w:ascii="Times New Roman"/>
          <w:b w:val="false"/>
          <w:i w:val="false"/>
          <w:color w:val="000000"/>
          <w:sz w:val="28"/>
        </w:rPr>
        <w:t>
      с) сообщает исследователю об отклонениях от протокола, стандартных операционных процедур, положений настоящих Правил и применимых требований, а также предпринимает необходимые действия для предотвращения повторения подобных отклонений.</w:t>
      </w:r>
    </w:p>
    <w:bookmarkEnd w:id="433"/>
    <w:bookmarkStart w:name="z1969" w:id="434"/>
    <w:p>
      <w:pPr>
        <w:spacing w:after="0"/>
        <w:ind w:left="0"/>
        <w:jc w:val="both"/>
      </w:pPr>
      <w:r>
        <w:rPr>
          <w:rFonts w:ascii="Times New Roman"/>
          <w:b w:val="false"/>
          <w:i w:val="false"/>
          <w:color w:val="000000"/>
          <w:sz w:val="28"/>
        </w:rPr>
        <w:t>
      5.18.5. Процедуры мониторинга.</w:t>
      </w:r>
    </w:p>
    <w:bookmarkEnd w:id="434"/>
    <w:bookmarkStart w:name="z1970" w:id="435"/>
    <w:p>
      <w:pPr>
        <w:spacing w:after="0"/>
        <w:ind w:left="0"/>
        <w:jc w:val="both"/>
      </w:pPr>
      <w:r>
        <w:rPr>
          <w:rFonts w:ascii="Times New Roman"/>
          <w:b w:val="false"/>
          <w:i w:val="false"/>
          <w:color w:val="000000"/>
          <w:sz w:val="28"/>
        </w:rPr>
        <w:t>
      Монитор должен соблюдать письменные стандартные операционные процедуры спонсора, а также процедуры, специально определенные спонсором для мониторинга конкретного исследования.</w:t>
      </w:r>
    </w:p>
    <w:bookmarkEnd w:id="435"/>
    <w:bookmarkStart w:name="z1971" w:id="436"/>
    <w:p>
      <w:pPr>
        <w:spacing w:after="0"/>
        <w:ind w:left="0"/>
        <w:jc w:val="both"/>
      </w:pPr>
      <w:r>
        <w:rPr>
          <w:rFonts w:ascii="Times New Roman"/>
          <w:b w:val="false"/>
          <w:i w:val="false"/>
          <w:color w:val="000000"/>
          <w:sz w:val="28"/>
        </w:rPr>
        <w:t>
      5.18.6. Отчет монитора:</w:t>
      </w:r>
    </w:p>
    <w:bookmarkEnd w:id="436"/>
    <w:bookmarkStart w:name="z1972" w:id="437"/>
    <w:p>
      <w:pPr>
        <w:spacing w:after="0"/>
        <w:ind w:left="0"/>
        <w:jc w:val="both"/>
      </w:pPr>
      <w:r>
        <w:rPr>
          <w:rFonts w:ascii="Times New Roman"/>
          <w:b w:val="false"/>
          <w:i w:val="false"/>
          <w:color w:val="000000"/>
          <w:sz w:val="28"/>
        </w:rPr>
        <w:t>
      а) после каждого визита в исследовательский центр или связанного с исследованием контакта монитор должен представить спонсору письменный отчет;</w:t>
      </w:r>
    </w:p>
    <w:bookmarkEnd w:id="437"/>
    <w:bookmarkStart w:name="z1973" w:id="438"/>
    <w:p>
      <w:pPr>
        <w:spacing w:after="0"/>
        <w:ind w:left="0"/>
        <w:jc w:val="both"/>
      </w:pPr>
      <w:r>
        <w:rPr>
          <w:rFonts w:ascii="Times New Roman"/>
          <w:b w:val="false"/>
          <w:i w:val="false"/>
          <w:color w:val="000000"/>
          <w:sz w:val="28"/>
        </w:rPr>
        <w:t>
      б) отчеты должны включать в себя дату, наименование центра, имя монитора, имя исследователя или иного лица, с которым состоялся контакт;</w:t>
      </w:r>
    </w:p>
    <w:bookmarkEnd w:id="438"/>
    <w:bookmarkStart w:name="z1974" w:id="439"/>
    <w:p>
      <w:pPr>
        <w:spacing w:after="0"/>
        <w:ind w:left="0"/>
        <w:jc w:val="both"/>
      </w:pPr>
      <w:r>
        <w:rPr>
          <w:rFonts w:ascii="Times New Roman"/>
          <w:b w:val="false"/>
          <w:i w:val="false"/>
          <w:color w:val="000000"/>
          <w:sz w:val="28"/>
        </w:rPr>
        <w:t>
      в) отчеты должны содержать краткое описание объектов проверки, сообщение монитора о существенных данных (фактах), отклонениях и недостатках, выводы, описание действий, предпринятых, планируемых и (или) рекомендуемых для обеспечения соблюдения требований протокола, настоящих Правил и уполномоченных органов;</w:t>
      </w:r>
    </w:p>
    <w:bookmarkEnd w:id="439"/>
    <w:bookmarkStart w:name="z1975" w:id="440"/>
    <w:p>
      <w:pPr>
        <w:spacing w:after="0"/>
        <w:ind w:left="0"/>
        <w:jc w:val="both"/>
      </w:pPr>
      <w:r>
        <w:rPr>
          <w:rFonts w:ascii="Times New Roman"/>
          <w:b w:val="false"/>
          <w:i w:val="false"/>
          <w:color w:val="000000"/>
          <w:sz w:val="28"/>
        </w:rPr>
        <w:t>
      г) проверка спонсором отчета и последующие действия по нему должны быть документально оформлены уполномоченным представителем спонсора;</w:t>
      </w:r>
    </w:p>
    <w:bookmarkEnd w:id="440"/>
    <w:bookmarkStart w:name="z1976" w:id="441"/>
    <w:p>
      <w:pPr>
        <w:spacing w:after="0"/>
        <w:ind w:left="0"/>
        <w:jc w:val="both"/>
      </w:pPr>
      <w:r>
        <w:rPr>
          <w:rFonts w:ascii="Times New Roman"/>
          <w:b w:val="false"/>
          <w:i w:val="false"/>
          <w:color w:val="000000"/>
          <w:sz w:val="28"/>
        </w:rPr>
        <w:t xml:space="preserve">
      д) отчеты о выездном мониторинге и (или) централизованном мониторинге необходимо своевременно представлять спонсору (включая соответствующий менеджмент и персонал, ответственный за исследование и контроль за центром) для проверки и последующего контроля. Результаты мониторинговой деятельности необходимо подробно документировать для обеспечения возможности проверки соблюдения плана мониторинга. Отчетность о централизованном мониторинге должна быть регулярной и может быть независима от мониторинговых визитов в центры. </w:t>
      </w:r>
    </w:p>
    <w:bookmarkEnd w:id="441"/>
    <w:bookmarkStart w:name="z1977" w:id="442"/>
    <w:p>
      <w:pPr>
        <w:spacing w:after="0"/>
        <w:ind w:left="0"/>
        <w:jc w:val="both"/>
      </w:pPr>
      <w:r>
        <w:rPr>
          <w:rFonts w:ascii="Times New Roman"/>
          <w:b w:val="false"/>
          <w:i w:val="false"/>
          <w:color w:val="000000"/>
          <w:sz w:val="28"/>
        </w:rPr>
        <w:t>
      5.18.7. План мониторинга.</w:t>
      </w:r>
    </w:p>
    <w:bookmarkEnd w:id="442"/>
    <w:bookmarkStart w:name="z1978" w:id="443"/>
    <w:p>
      <w:pPr>
        <w:spacing w:after="0"/>
        <w:ind w:left="0"/>
        <w:jc w:val="both"/>
      </w:pPr>
      <w:r>
        <w:rPr>
          <w:rFonts w:ascii="Times New Roman"/>
          <w:b w:val="false"/>
          <w:i w:val="false"/>
          <w:color w:val="000000"/>
          <w:sz w:val="28"/>
        </w:rPr>
        <w:t>
      Спонсор должен разработать план мониторинга с учетом рисков, специфичных для защиты субъектов и целостности данных в клиническом исследовании. План должен описывать стратегию мониторинга, распределение между всеми сторонами обязанностей по мониторингу, применяемые методы мониторинга и обоснование их использования. План также должен подробно описывать мониторинг критических данных и процессов, а также четко выделять аспекты, не являющиеся рутинной клинической практикой и требующие дополнительного обучения персонала. В плане мониторинга должны содержаться ссылки на применимые правила и процедуры спонсора.</w:t>
      </w:r>
    </w:p>
    <w:bookmarkEnd w:id="443"/>
    <w:bookmarkStart w:name="z1979" w:id="444"/>
    <w:p>
      <w:pPr>
        <w:spacing w:after="0"/>
        <w:ind w:left="0"/>
        <w:jc w:val="both"/>
      </w:pPr>
      <w:r>
        <w:rPr>
          <w:rFonts w:ascii="Times New Roman"/>
          <w:b w:val="false"/>
          <w:i w:val="false"/>
          <w:color w:val="000000"/>
          <w:sz w:val="28"/>
        </w:rPr>
        <w:t>
      5.19. Аудит.</w:t>
      </w:r>
    </w:p>
    <w:bookmarkEnd w:id="444"/>
    <w:bookmarkStart w:name="z1980" w:id="445"/>
    <w:p>
      <w:pPr>
        <w:spacing w:after="0"/>
        <w:ind w:left="0"/>
        <w:jc w:val="both"/>
      </w:pPr>
      <w:r>
        <w:rPr>
          <w:rFonts w:ascii="Times New Roman"/>
          <w:b w:val="false"/>
          <w:i w:val="false"/>
          <w:color w:val="000000"/>
          <w:sz w:val="28"/>
        </w:rPr>
        <w:t>
      При проведении аудита в рамках мер, направленных на обеспечение качества, спонсоры должны учитывать следующее.</w:t>
      </w:r>
    </w:p>
    <w:bookmarkEnd w:id="445"/>
    <w:bookmarkStart w:name="z1981" w:id="446"/>
    <w:p>
      <w:pPr>
        <w:spacing w:after="0"/>
        <w:ind w:left="0"/>
        <w:jc w:val="both"/>
      </w:pPr>
      <w:r>
        <w:rPr>
          <w:rFonts w:ascii="Times New Roman"/>
          <w:b w:val="false"/>
          <w:i w:val="false"/>
          <w:color w:val="000000"/>
          <w:sz w:val="28"/>
        </w:rPr>
        <w:t>
      5.19.1. Цель.</w:t>
      </w:r>
    </w:p>
    <w:bookmarkEnd w:id="446"/>
    <w:bookmarkStart w:name="z1982" w:id="447"/>
    <w:p>
      <w:pPr>
        <w:spacing w:after="0"/>
        <w:ind w:left="0"/>
        <w:jc w:val="both"/>
      </w:pPr>
      <w:r>
        <w:rPr>
          <w:rFonts w:ascii="Times New Roman"/>
          <w:b w:val="false"/>
          <w:i w:val="false"/>
          <w:color w:val="000000"/>
          <w:sz w:val="28"/>
        </w:rPr>
        <w:t>
      Целью спонсорского аудита, проводимого отдельно и независимо от рутинных функций мониторинга и контроля качества, является оценка соответствия проводимого исследования протоколу, стандартным операционным процедурам, настоящим Правилам и применимым требованиям.</w:t>
      </w:r>
    </w:p>
    <w:bookmarkEnd w:id="447"/>
    <w:bookmarkStart w:name="z1983" w:id="448"/>
    <w:p>
      <w:pPr>
        <w:spacing w:after="0"/>
        <w:ind w:left="0"/>
        <w:jc w:val="both"/>
      </w:pPr>
      <w:r>
        <w:rPr>
          <w:rFonts w:ascii="Times New Roman"/>
          <w:b w:val="false"/>
          <w:i w:val="false"/>
          <w:color w:val="000000"/>
          <w:sz w:val="28"/>
        </w:rPr>
        <w:t>
      5.19.2. Выбор и квалификация аудиторов:</w:t>
      </w:r>
    </w:p>
    <w:bookmarkEnd w:id="448"/>
    <w:bookmarkStart w:name="z1984" w:id="449"/>
    <w:p>
      <w:pPr>
        <w:spacing w:after="0"/>
        <w:ind w:left="0"/>
        <w:jc w:val="both"/>
      </w:pPr>
      <w:r>
        <w:rPr>
          <w:rFonts w:ascii="Times New Roman"/>
          <w:b w:val="false"/>
          <w:i w:val="false"/>
          <w:color w:val="000000"/>
          <w:sz w:val="28"/>
        </w:rPr>
        <w:t>
      а) для проведения аудита спонсор должен назначить лиц, независимых от клинических исследований;</w:t>
      </w:r>
    </w:p>
    <w:bookmarkEnd w:id="449"/>
    <w:bookmarkStart w:name="z1985" w:id="450"/>
    <w:p>
      <w:pPr>
        <w:spacing w:after="0"/>
        <w:ind w:left="0"/>
        <w:jc w:val="both"/>
      </w:pPr>
      <w:r>
        <w:rPr>
          <w:rFonts w:ascii="Times New Roman"/>
          <w:b w:val="false"/>
          <w:i w:val="false"/>
          <w:color w:val="000000"/>
          <w:sz w:val="28"/>
        </w:rPr>
        <w:t>
      б) спонсор обязан удостовериться в том, что аудиторы обладают достаточной квалификацией, т. е. подготовкой и опытом, необходимыми для проведения аудита надлежащим образом. Квалификация аудитора должна быть подтверждена документально.</w:t>
      </w:r>
    </w:p>
    <w:bookmarkEnd w:id="450"/>
    <w:bookmarkStart w:name="z1986" w:id="451"/>
    <w:p>
      <w:pPr>
        <w:spacing w:after="0"/>
        <w:ind w:left="0"/>
        <w:jc w:val="both"/>
      </w:pPr>
      <w:r>
        <w:rPr>
          <w:rFonts w:ascii="Times New Roman"/>
          <w:b w:val="false"/>
          <w:i w:val="false"/>
          <w:color w:val="000000"/>
          <w:sz w:val="28"/>
        </w:rPr>
        <w:t>
      5.19.3. Процедуры аудита:</w:t>
      </w:r>
    </w:p>
    <w:bookmarkEnd w:id="451"/>
    <w:bookmarkStart w:name="z1987" w:id="452"/>
    <w:p>
      <w:pPr>
        <w:spacing w:after="0"/>
        <w:ind w:left="0"/>
        <w:jc w:val="both"/>
      </w:pPr>
      <w:r>
        <w:rPr>
          <w:rFonts w:ascii="Times New Roman"/>
          <w:b w:val="false"/>
          <w:i w:val="false"/>
          <w:color w:val="000000"/>
          <w:sz w:val="28"/>
        </w:rPr>
        <w:t>
      а) спонсор должен убедиться в том, что аудит клинических исследований (программ) проводится в соответствии с письменными процедурами спонсора, определяющими объект аудита, методы проведения аудита, частоту проведения аудита, а также форму и содержание отчетов об аудите;</w:t>
      </w:r>
    </w:p>
    <w:bookmarkEnd w:id="452"/>
    <w:bookmarkStart w:name="z1988" w:id="453"/>
    <w:p>
      <w:pPr>
        <w:spacing w:after="0"/>
        <w:ind w:left="0"/>
        <w:jc w:val="both"/>
      </w:pPr>
      <w:r>
        <w:rPr>
          <w:rFonts w:ascii="Times New Roman"/>
          <w:b w:val="false"/>
          <w:i w:val="false"/>
          <w:color w:val="000000"/>
          <w:sz w:val="28"/>
        </w:rPr>
        <w:t>
      б) при разработке спонсором плана аудита и процедуры аудита исследования должны учитываться значимость данного исследования для подачи заявок в уполномоченные органы, количество субъектов, участвующих в исследовании, тип и сложность исследования, степень риска для субъектов исследования, а также должны быть приняты во внимание любые выявленные проблемы;</w:t>
      </w:r>
    </w:p>
    <w:bookmarkEnd w:id="453"/>
    <w:bookmarkStart w:name="z1989" w:id="454"/>
    <w:p>
      <w:pPr>
        <w:spacing w:after="0"/>
        <w:ind w:left="0"/>
        <w:jc w:val="both"/>
      </w:pPr>
      <w:r>
        <w:rPr>
          <w:rFonts w:ascii="Times New Roman"/>
          <w:b w:val="false"/>
          <w:i w:val="false"/>
          <w:color w:val="000000"/>
          <w:sz w:val="28"/>
        </w:rPr>
        <w:t>
      в) замечания и выводы аудита должны быть оформлены документально;</w:t>
      </w:r>
    </w:p>
    <w:bookmarkEnd w:id="454"/>
    <w:bookmarkStart w:name="z1990" w:id="455"/>
    <w:p>
      <w:pPr>
        <w:spacing w:after="0"/>
        <w:ind w:left="0"/>
        <w:jc w:val="both"/>
      </w:pPr>
      <w:r>
        <w:rPr>
          <w:rFonts w:ascii="Times New Roman"/>
          <w:b w:val="false"/>
          <w:i w:val="false"/>
          <w:color w:val="000000"/>
          <w:sz w:val="28"/>
        </w:rPr>
        <w:t>
      г) для сохранения независимости и ценности функции аудита уполномоченные органы не должны в рутинном порядке запрашивать отчеты об аудите. Уполномоченные органы могут запрашивать отчеты об аудите, если имеются свидетельства серьезного несоответствия настоящим Правилам или в случае судебных разбирательств;</w:t>
      </w:r>
    </w:p>
    <w:bookmarkEnd w:id="455"/>
    <w:bookmarkStart w:name="z1991" w:id="456"/>
    <w:p>
      <w:pPr>
        <w:spacing w:after="0"/>
        <w:ind w:left="0"/>
        <w:jc w:val="both"/>
      </w:pPr>
      <w:r>
        <w:rPr>
          <w:rFonts w:ascii="Times New Roman"/>
          <w:b w:val="false"/>
          <w:i w:val="false"/>
          <w:color w:val="000000"/>
          <w:sz w:val="28"/>
        </w:rPr>
        <w:t>
      д) если это требуется соответствующим законодательством государства-члена, спонсор должен представить свидетельство о проведенном аудите.</w:t>
      </w:r>
    </w:p>
    <w:bookmarkEnd w:id="456"/>
    <w:bookmarkStart w:name="z1992" w:id="457"/>
    <w:p>
      <w:pPr>
        <w:spacing w:after="0"/>
        <w:ind w:left="0"/>
        <w:jc w:val="both"/>
      </w:pPr>
      <w:r>
        <w:rPr>
          <w:rFonts w:ascii="Times New Roman"/>
          <w:b w:val="false"/>
          <w:i w:val="false"/>
          <w:color w:val="000000"/>
          <w:sz w:val="28"/>
        </w:rPr>
        <w:t>
      5.20. Несоблюдение применимых требований.</w:t>
      </w:r>
    </w:p>
    <w:bookmarkEnd w:id="457"/>
    <w:bookmarkStart w:name="z1993" w:id="458"/>
    <w:p>
      <w:pPr>
        <w:spacing w:after="0"/>
        <w:ind w:left="0"/>
        <w:jc w:val="both"/>
      </w:pPr>
      <w:r>
        <w:rPr>
          <w:rFonts w:ascii="Times New Roman"/>
          <w:b w:val="false"/>
          <w:i w:val="false"/>
          <w:color w:val="000000"/>
          <w:sz w:val="28"/>
        </w:rPr>
        <w:t>
      5.20.1. Несоблюдение протокола, стандартных операционных процедур, настоящих Правил и (или) соответствующих применимых требований исследователем (медицинской организацией) или сотрудником спонсора должно вести к безотлагательным действиям спонсора, направленным на обеспечение соблюдения данных требований;</w:t>
      </w:r>
    </w:p>
    <w:bookmarkEnd w:id="458"/>
    <w:bookmarkStart w:name="z1994" w:id="459"/>
    <w:p>
      <w:pPr>
        <w:spacing w:after="0"/>
        <w:ind w:left="0"/>
        <w:jc w:val="both"/>
      </w:pPr>
      <w:r>
        <w:rPr>
          <w:rFonts w:ascii="Times New Roman"/>
          <w:b w:val="false"/>
          <w:i w:val="false"/>
          <w:color w:val="000000"/>
          <w:sz w:val="28"/>
        </w:rPr>
        <w:t>
      Если выявлено несоблюдение требований, указанных в абзаце первом настоящего пункта, существенно влияющее или способное существенно повлиять на защиту субъектов или достоверность результатов исследования, спонсор обязан провести анализ причин для установления первопричины и предпринять соответствующие корректирующие и предупреждающие действия.</w:t>
      </w:r>
    </w:p>
    <w:bookmarkEnd w:id="459"/>
    <w:bookmarkStart w:name="z1995" w:id="460"/>
    <w:p>
      <w:pPr>
        <w:spacing w:after="0"/>
        <w:ind w:left="0"/>
        <w:jc w:val="both"/>
      </w:pPr>
      <w:r>
        <w:rPr>
          <w:rFonts w:ascii="Times New Roman"/>
          <w:b w:val="false"/>
          <w:i w:val="false"/>
          <w:color w:val="000000"/>
          <w:sz w:val="28"/>
        </w:rPr>
        <w:t>
      5.20.2. При выявлении в ходе мониторинга или аудита серьезных и (или) повторяющихся случаев несоблюдения применимых требований со стороны исследователя (медицинского организации) спонсор должен прекратить участие исследователя (медицинской организации) в исследовании. Если участие исследователя (медицинской организации) прекращено в результате серьезных и (или) повторяющихся случаев несоблюдения применимых требований, спонсор должен безотлагательно уведомить об этом уполномоченные органы.</w:t>
      </w:r>
    </w:p>
    <w:bookmarkEnd w:id="460"/>
    <w:bookmarkStart w:name="z1996" w:id="461"/>
    <w:p>
      <w:pPr>
        <w:spacing w:after="0"/>
        <w:ind w:left="0"/>
        <w:jc w:val="both"/>
      </w:pPr>
      <w:r>
        <w:rPr>
          <w:rFonts w:ascii="Times New Roman"/>
          <w:b w:val="false"/>
          <w:i w:val="false"/>
          <w:color w:val="000000"/>
          <w:sz w:val="28"/>
        </w:rPr>
        <w:t>
      5.21. Досрочное прекращение или приостановка исследования.</w:t>
      </w:r>
    </w:p>
    <w:bookmarkEnd w:id="461"/>
    <w:bookmarkStart w:name="z1997" w:id="462"/>
    <w:p>
      <w:pPr>
        <w:spacing w:after="0"/>
        <w:ind w:left="0"/>
        <w:jc w:val="both"/>
      </w:pPr>
      <w:r>
        <w:rPr>
          <w:rFonts w:ascii="Times New Roman"/>
          <w:b w:val="false"/>
          <w:i w:val="false"/>
          <w:color w:val="000000"/>
          <w:sz w:val="28"/>
        </w:rPr>
        <w:t>
      Если исследование досрочно прекращено или приостановлено, спонсор должен незамедлительно сообщить исследователям (медицинским организациям) и уполномоченным органам о прекращении или приостановке исследования, а также указать причину. ЭСО (НЭК) также должен быть немедленно информирован спонсором или исследователем (медицинской организацией) (в соответствии с применимыми требованиями), в том числе о причинах прекращения или приостановки исследования.</w:t>
      </w:r>
    </w:p>
    <w:bookmarkEnd w:id="462"/>
    <w:bookmarkStart w:name="z1998" w:id="463"/>
    <w:p>
      <w:pPr>
        <w:spacing w:after="0"/>
        <w:ind w:left="0"/>
        <w:jc w:val="both"/>
      </w:pPr>
      <w:r>
        <w:rPr>
          <w:rFonts w:ascii="Times New Roman"/>
          <w:b w:val="false"/>
          <w:i w:val="false"/>
          <w:color w:val="000000"/>
          <w:sz w:val="28"/>
        </w:rPr>
        <w:t>
      5.22. Отчет о клиническом исследовании.</w:t>
      </w:r>
    </w:p>
    <w:bookmarkEnd w:id="463"/>
    <w:bookmarkStart w:name="z1999" w:id="464"/>
    <w:p>
      <w:pPr>
        <w:spacing w:after="0"/>
        <w:ind w:left="0"/>
        <w:jc w:val="both"/>
      </w:pPr>
      <w:r>
        <w:rPr>
          <w:rFonts w:ascii="Times New Roman"/>
          <w:b w:val="false"/>
          <w:i w:val="false"/>
          <w:color w:val="000000"/>
          <w:sz w:val="28"/>
        </w:rPr>
        <w:t>
      Независимо от того, было ли исследование завершено по протоколу или прекращено досрочно, спонсор должен обеспечить составление (в соответствии с приложением № 1 к настоящим Правилам) и представление в уполномоченные органы отчетов о клиническом исследовании. Спонсор также должен обеспечить соответствие отчетов о клиническом исследовании, входящих в состав регистрационного досье требованиям, предусмотренным приложением № 1 к Правилам регистрации и экспертизы лекарственных средств для медицинского применения.</w:t>
      </w:r>
    </w:p>
    <w:bookmarkEnd w:id="464"/>
    <w:bookmarkStart w:name="z2000" w:id="465"/>
    <w:p>
      <w:pPr>
        <w:spacing w:after="0"/>
        <w:ind w:left="0"/>
        <w:jc w:val="both"/>
      </w:pPr>
      <w:r>
        <w:rPr>
          <w:rFonts w:ascii="Times New Roman"/>
          <w:b w:val="false"/>
          <w:i w:val="false"/>
          <w:color w:val="000000"/>
          <w:sz w:val="28"/>
        </w:rPr>
        <w:t>
      5.23. Многоцентровые исследования.</w:t>
      </w:r>
    </w:p>
    <w:bookmarkEnd w:id="465"/>
    <w:bookmarkStart w:name="z2001" w:id="466"/>
    <w:p>
      <w:pPr>
        <w:spacing w:after="0"/>
        <w:ind w:left="0"/>
        <w:jc w:val="both"/>
      </w:pPr>
      <w:r>
        <w:rPr>
          <w:rFonts w:ascii="Times New Roman"/>
          <w:b w:val="false"/>
          <w:i w:val="false"/>
          <w:color w:val="000000"/>
          <w:sz w:val="28"/>
        </w:rPr>
        <w:t>
      При многоцентровых исследованиях спонсор должен обеспечить следующее:</w:t>
      </w:r>
    </w:p>
    <w:bookmarkEnd w:id="466"/>
    <w:bookmarkStart w:name="z2002" w:id="467"/>
    <w:p>
      <w:pPr>
        <w:spacing w:after="0"/>
        <w:ind w:left="0"/>
        <w:jc w:val="both"/>
      </w:pPr>
      <w:r>
        <w:rPr>
          <w:rFonts w:ascii="Times New Roman"/>
          <w:b w:val="false"/>
          <w:i w:val="false"/>
          <w:color w:val="000000"/>
          <w:sz w:val="28"/>
        </w:rPr>
        <w:t>
      5.23.1. Все исследователи проводят исследование в строгом соответствии с протоколом, согласованным со спонсором и при необходимости с уполномоченными органами и разрешенным (одобренным) ЭСО (НЭК).</w:t>
      </w:r>
    </w:p>
    <w:bookmarkEnd w:id="467"/>
    <w:bookmarkStart w:name="z2003" w:id="468"/>
    <w:p>
      <w:pPr>
        <w:spacing w:after="0"/>
        <w:ind w:left="0"/>
        <w:jc w:val="both"/>
      </w:pPr>
      <w:r>
        <w:rPr>
          <w:rFonts w:ascii="Times New Roman"/>
          <w:b w:val="false"/>
          <w:i w:val="false"/>
          <w:color w:val="000000"/>
          <w:sz w:val="28"/>
        </w:rPr>
        <w:t>
      5.23.2. Индивидуальная регистрационная карта разработана таким образом, чтобы собрать все требуемые данные из всех центров, участвующих в многоцентровом исследовании. Тем исследователям, которые собирают дополнительные данные, должны быть также предоставлены дополнительные индивидуальные регистрационные карты, разработанные для сбора дополнительных данных.</w:t>
      </w:r>
    </w:p>
    <w:bookmarkEnd w:id="468"/>
    <w:bookmarkStart w:name="z2004" w:id="469"/>
    <w:p>
      <w:pPr>
        <w:spacing w:after="0"/>
        <w:ind w:left="0"/>
        <w:jc w:val="both"/>
      </w:pPr>
      <w:r>
        <w:rPr>
          <w:rFonts w:ascii="Times New Roman"/>
          <w:b w:val="false"/>
          <w:i w:val="false"/>
          <w:color w:val="000000"/>
          <w:sz w:val="28"/>
        </w:rPr>
        <w:t>
      5.23.3. Обязанности исследователей-координаторов и других исследователей документально закреплены до начала исследования.</w:t>
      </w:r>
    </w:p>
    <w:bookmarkEnd w:id="469"/>
    <w:bookmarkStart w:name="z2005" w:id="470"/>
    <w:p>
      <w:pPr>
        <w:spacing w:after="0"/>
        <w:ind w:left="0"/>
        <w:jc w:val="both"/>
      </w:pPr>
      <w:r>
        <w:rPr>
          <w:rFonts w:ascii="Times New Roman"/>
          <w:b w:val="false"/>
          <w:i w:val="false"/>
          <w:color w:val="000000"/>
          <w:sz w:val="28"/>
        </w:rPr>
        <w:t>
      5.23.4. Всем исследователям предоставлены инструкции по соблюдению протокола, единых стандартов оценки клинических и лабораторных данных, а также по заполнению индивидуальной регистрационной карты.</w:t>
      </w:r>
    </w:p>
    <w:bookmarkEnd w:id="470"/>
    <w:bookmarkStart w:name="z2006" w:id="471"/>
    <w:p>
      <w:pPr>
        <w:spacing w:after="0"/>
        <w:ind w:left="0"/>
        <w:jc w:val="both"/>
      </w:pPr>
      <w:r>
        <w:rPr>
          <w:rFonts w:ascii="Times New Roman"/>
          <w:b w:val="false"/>
          <w:i w:val="false"/>
          <w:color w:val="000000"/>
          <w:sz w:val="28"/>
        </w:rPr>
        <w:t>
      5.23.5. Связь между исследователями не затруднена.</w:t>
      </w:r>
    </w:p>
    <w:bookmarkEnd w:id="471"/>
    <w:bookmarkStart w:name="z2007" w:id="472"/>
    <w:p>
      <w:pPr>
        <w:spacing w:after="0"/>
        <w:ind w:left="0"/>
        <w:jc w:val="left"/>
      </w:pPr>
      <w:r>
        <w:rPr>
          <w:rFonts w:ascii="Times New Roman"/>
          <w:b/>
          <w:i w:val="false"/>
          <w:color w:val="000000"/>
        </w:rPr>
        <w:t xml:space="preserve"> 6. Протокол клинического исследования и поправки к протоколу</w:t>
      </w:r>
    </w:p>
    <w:bookmarkEnd w:id="472"/>
    <w:bookmarkStart w:name="z2008" w:id="473"/>
    <w:p>
      <w:pPr>
        <w:spacing w:after="0"/>
        <w:ind w:left="0"/>
        <w:jc w:val="both"/>
      </w:pPr>
      <w:r>
        <w:rPr>
          <w:rFonts w:ascii="Times New Roman"/>
          <w:b w:val="false"/>
          <w:i w:val="false"/>
          <w:color w:val="000000"/>
          <w:sz w:val="28"/>
        </w:rPr>
        <w:t>
      По общему правилу, содержание протокола должно иметь указанную ниже структуру. Однако информация, имеющая отношение только к одному исследовательскому центру, может быть представлена на отдельных страницах протокола или содержаться в отдельном соглашении, а часть приведенной ниже информации может также содержаться в других документах, ссылки на которые указаны в протоколе (например, в брошюре исследователя).</w:t>
      </w:r>
    </w:p>
    <w:bookmarkEnd w:id="473"/>
    <w:bookmarkStart w:name="z2009" w:id="474"/>
    <w:p>
      <w:pPr>
        <w:spacing w:after="0"/>
        <w:ind w:left="0"/>
        <w:jc w:val="both"/>
      </w:pPr>
      <w:r>
        <w:rPr>
          <w:rFonts w:ascii="Times New Roman"/>
          <w:b w:val="false"/>
          <w:i w:val="false"/>
          <w:color w:val="000000"/>
          <w:sz w:val="28"/>
        </w:rPr>
        <w:t>
      6.1. Общая информация.</w:t>
      </w:r>
    </w:p>
    <w:bookmarkEnd w:id="474"/>
    <w:bookmarkStart w:name="z2010" w:id="475"/>
    <w:p>
      <w:pPr>
        <w:spacing w:after="0"/>
        <w:ind w:left="0"/>
        <w:jc w:val="both"/>
      </w:pPr>
      <w:r>
        <w:rPr>
          <w:rFonts w:ascii="Times New Roman"/>
          <w:b w:val="false"/>
          <w:i w:val="false"/>
          <w:color w:val="000000"/>
          <w:sz w:val="28"/>
        </w:rPr>
        <w:t>
      6.1.1. Название протокола, идентификационный номер протокола и дата издания. Любая поправка также должна иметь номер и дату.</w:t>
      </w:r>
    </w:p>
    <w:bookmarkEnd w:id="475"/>
    <w:bookmarkStart w:name="z2011" w:id="476"/>
    <w:p>
      <w:pPr>
        <w:spacing w:after="0"/>
        <w:ind w:left="0"/>
        <w:jc w:val="both"/>
      </w:pPr>
      <w:r>
        <w:rPr>
          <w:rFonts w:ascii="Times New Roman"/>
          <w:b w:val="false"/>
          <w:i w:val="false"/>
          <w:color w:val="000000"/>
          <w:sz w:val="28"/>
        </w:rPr>
        <w:t>
      6.1.2. Наименование (фамилия) и адрес спонсора и монитора (если они различаются).</w:t>
      </w:r>
    </w:p>
    <w:bookmarkEnd w:id="476"/>
    <w:bookmarkStart w:name="z2012" w:id="477"/>
    <w:p>
      <w:pPr>
        <w:spacing w:after="0"/>
        <w:ind w:left="0"/>
        <w:jc w:val="both"/>
      </w:pPr>
      <w:r>
        <w:rPr>
          <w:rFonts w:ascii="Times New Roman"/>
          <w:b w:val="false"/>
          <w:i w:val="false"/>
          <w:color w:val="000000"/>
          <w:sz w:val="28"/>
        </w:rPr>
        <w:t>
      6.1.3. Фамилии, имена, отчества (при наличии) и должности лиц, уполномоченных от имени спонсора подписывать протокол и поправки к протоколу.</w:t>
      </w:r>
    </w:p>
    <w:bookmarkEnd w:id="477"/>
    <w:bookmarkStart w:name="z2013" w:id="478"/>
    <w:p>
      <w:pPr>
        <w:spacing w:after="0"/>
        <w:ind w:left="0"/>
        <w:jc w:val="both"/>
      </w:pPr>
      <w:r>
        <w:rPr>
          <w:rFonts w:ascii="Times New Roman"/>
          <w:b w:val="false"/>
          <w:i w:val="false"/>
          <w:color w:val="000000"/>
          <w:sz w:val="28"/>
        </w:rPr>
        <w:t>
      6.1.4. Фамилия, имя, отчество (при наличии), должность, адрес и номер телефона назначенного спонсором медицинского эксперта по данному исследованию.</w:t>
      </w:r>
    </w:p>
    <w:bookmarkEnd w:id="478"/>
    <w:bookmarkStart w:name="z2014" w:id="479"/>
    <w:p>
      <w:pPr>
        <w:spacing w:after="0"/>
        <w:ind w:left="0"/>
        <w:jc w:val="both"/>
      </w:pPr>
      <w:r>
        <w:rPr>
          <w:rFonts w:ascii="Times New Roman"/>
          <w:b w:val="false"/>
          <w:i w:val="false"/>
          <w:color w:val="000000"/>
          <w:sz w:val="28"/>
        </w:rPr>
        <w:t>
      6.1.5. Фамилии, имена, отчества (при наличии) и должности исследователей, отвечающих за проведение исследования, а также адреса и номера телефонов клинических центров.</w:t>
      </w:r>
    </w:p>
    <w:bookmarkEnd w:id="479"/>
    <w:bookmarkStart w:name="z2015" w:id="480"/>
    <w:p>
      <w:pPr>
        <w:spacing w:after="0"/>
        <w:ind w:left="0"/>
        <w:jc w:val="both"/>
      </w:pPr>
      <w:r>
        <w:rPr>
          <w:rFonts w:ascii="Times New Roman"/>
          <w:b w:val="false"/>
          <w:i w:val="false"/>
          <w:color w:val="000000"/>
          <w:sz w:val="28"/>
        </w:rPr>
        <w:t>
      6.1.6. Фамилия, имя, отчество (при наличии), должность, адрес и номер телефона квалифицированного врача (в том числе стоматолога), отвечающего за принятие всех решений медицинского (стоматологического) характера в конкретном исследовательском центре (если данное лицо не является исследователем).</w:t>
      </w:r>
    </w:p>
    <w:bookmarkEnd w:id="480"/>
    <w:bookmarkStart w:name="z2016" w:id="481"/>
    <w:p>
      <w:pPr>
        <w:spacing w:after="0"/>
        <w:ind w:left="0"/>
        <w:jc w:val="both"/>
      </w:pPr>
      <w:r>
        <w:rPr>
          <w:rFonts w:ascii="Times New Roman"/>
          <w:b w:val="false"/>
          <w:i w:val="false"/>
          <w:color w:val="000000"/>
          <w:sz w:val="28"/>
        </w:rPr>
        <w:t>
      6.1.7. Наименования и адреса клинических лабораторий и других медицинских, а также технических служб и (или) организаций, вовлеченных в исследование.</w:t>
      </w:r>
    </w:p>
    <w:bookmarkEnd w:id="481"/>
    <w:bookmarkStart w:name="z2017" w:id="482"/>
    <w:p>
      <w:pPr>
        <w:spacing w:after="0"/>
        <w:ind w:left="0"/>
        <w:jc w:val="both"/>
      </w:pPr>
      <w:r>
        <w:rPr>
          <w:rFonts w:ascii="Times New Roman"/>
          <w:b w:val="false"/>
          <w:i w:val="false"/>
          <w:color w:val="000000"/>
          <w:sz w:val="28"/>
        </w:rPr>
        <w:t>
      6.2. Обоснование исследования.</w:t>
      </w:r>
    </w:p>
    <w:bookmarkEnd w:id="482"/>
    <w:bookmarkStart w:name="z2018" w:id="483"/>
    <w:p>
      <w:pPr>
        <w:spacing w:after="0"/>
        <w:ind w:left="0"/>
        <w:jc w:val="both"/>
      </w:pPr>
      <w:r>
        <w:rPr>
          <w:rFonts w:ascii="Times New Roman"/>
          <w:b w:val="false"/>
          <w:i w:val="false"/>
          <w:color w:val="000000"/>
          <w:sz w:val="28"/>
        </w:rPr>
        <w:t>
      6.2.1. Наименование и описание исследуемых препаратов.</w:t>
      </w:r>
    </w:p>
    <w:bookmarkEnd w:id="483"/>
    <w:bookmarkStart w:name="z2019" w:id="484"/>
    <w:p>
      <w:pPr>
        <w:spacing w:after="0"/>
        <w:ind w:left="0"/>
        <w:jc w:val="both"/>
      </w:pPr>
      <w:r>
        <w:rPr>
          <w:rFonts w:ascii="Times New Roman"/>
          <w:b w:val="false"/>
          <w:i w:val="false"/>
          <w:color w:val="000000"/>
          <w:sz w:val="28"/>
        </w:rPr>
        <w:t>
      6.2.2. Сводное изложение потенциально имеющих клиническую значимость результатов доклинических исследований, а также результатов клинических исследований, значимых для данного исследования.</w:t>
      </w:r>
    </w:p>
    <w:bookmarkEnd w:id="484"/>
    <w:bookmarkStart w:name="z2020" w:id="485"/>
    <w:p>
      <w:pPr>
        <w:spacing w:after="0"/>
        <w:ind w:left="0"/>
        <w:jc w:val="both"/>
      </w:pPr>
      <w:r>
        <w:rPr>
          <w:rFonts w:ascii="Times New Roman"/>
          <w:b w:val="false"/>
          <w:i w:val="false"/>
          <w:color w:val="000000"/>
          <w:sz w:val="28"/>
        </w:rPr>
        <w:t>
      6.2.3. Краткое описание известных и потенциальных рисков и пользы для субъектов исследования (при наличии).</w:t>
      </w:r>
    </w:p>
    <w:bookmarkEnd w:id="485"/>
    <w:bookmarkStart w:name="z2021" w:id="486"/>
    <w:p>
      <w:pPr>
        <w:spacing w:after="0"/>
        <w:ind w:left="0"/>
        <w:jc w:val="both"/>
      </w:pPr>
      <w:r>
        <w:rPr>
          <w:rFonts w:ascii="Times New Roman"/>
          <w:b w:val="false"/>
          <w:i w:val="false"/>
          <w:color w:val="000000"/>
          <w:sz w:val="28"/>
        </w:rPr>
        <w:t>
      6.2.4. Описание и обоснование способа введения, дозировки, режима дозирования и курса лечения.</w:t>
      </w:r>
    </w:p>
    <w:bookmarkEnd w:id="486"/>
    <w:bookmarkStart w:name="z2022" w:id="487"/>
    <w:p>
      <w:pPr>
        <w:spacing w:after="0"/>
        <w:ind w:left="0"/>
        <w:jc w:val="both"/>
      </w:pPr>
      <w:r>
        <w:rPr>
          <w:rFonts w:ascii="Times New Roman"/>
          <w:b w:val="false"/>
          <w:i w:val="false"/>
          <w:color w:val="000000"/>
          <w:sz w:val="28"/>
        </w:rPr>
        <w:t>
      6.2.5. Указание на то, что данное клиническое исследование будет проводиться в соответствии с протоколом, настоящими Правилами и применимыми требованиями.</w:t>
      </w:r>
    </w:p>
    <w:bookmarkEnd w:id="487"/>
    <w:bookmarkStart w:name="z2023" w:id="488"/>
    <w:p>
      <w:pPr>
        <w:spacing w:after="0"/>
        <w:ind w:left="0"/>
        <w:jc w:val="both"/>
      </w:pPr>
      <w:r>
        <w:rPr>
          <w:rFonts w:ascii="Times New Roman"/>
          <w:b w:val="false"/>
          <w:i w:val="false"/>
          <w:color w:val="000000"/>
          <w:sz w:val="28"/>
        </w:rPr>
        <w:t>
      6.2.6. Описание исследуемой популяции субъектов исследования.</w:t>
      </w:r>
    </w:p>
    <w:bookmarkEnd w:id="488"/>
    <w:bookmarkStart w:name="z2024" w:id="489"/>
    <w:p>
      <w:pPr>
        <w:spacing w:after="0"/>
        <w:ind w:left="0"/>
        <w:jc w:val="both"/>
      </w:pPr>
      <w:r>
        <w:rPr>
          <w:rFonts w:ascii="Times New Roman"/>
          <w:b w:val="false"/>
          <w:i w:val="false"/>
          <w:color w:val="000000"/>
          <w:sz w:val="28"/>
        </w:rPr>
        <w:t>
      6.2.7. Ссылки на литературные источники и данные, существенные для исследования и представляющие собой обоснование данного исследования.</w:t>
      </w:r>
    </w:p>
    <w:bookmarkEnd w:id="489"/>
    <w:bookmarkStart w:name="z2025" w:id="490"/>
    <w:p>
      <w:pPr>
        <w:spacing w:after="0"/>
        <w:ind w:left="0"/>
        <w:jc w:val="both"/>
      </w:pPr>
      <w:r>
        <w:rPr>
          <w:rFonts w:ascii="Times New Roman"/>
          <w:b w:val="false"/>
          <w:i w:val="false"/>
          <w:color w:val="000000"/>
          <w:sz w:val="28"/>
        </w:rPr>
        <w:t>
      6.3. Цели и задачи исследования.</w:t>
      </w:r>
    </w:p>
    <w:bookmarkEnd w:id="490"/>
    <w:bookmarkStart w:name="z2026" w:id="491"/>
    <w:p>
      <w:pPr>
        <w:spacing w:after="0"/>
        <w:ind w:left="0"/>
        <w:jc w:val="both"/>
      </w:pPr>
      <w:r>
        <w:rPr>
          <w:rFonts w:ascii="Times New Roman"/>
          <w:b w:val="false"/>
          <w:i w:val="false"/>
          <w:color w:val="000000"/>
          <w:sz w:val="28"/>
        </w:rPr>
        <w:t>
      Детальное описание целей и задач исследования.</w:t>
      </w:r>
    </w:p>
    <w:bookmarkEnd w:id="491"/>
    <w:bookmarkStart w:name="z2027" w:id="492"/>
    <w:p>
      <w:pPr>
        <w:spacing w:after="0"/>
        <w:ind w:left="0"/>
        <w:jc w:val="both"/>
      </w:pPr>
      <w:r>
        <w:rPr>
          <w:rFonts w:ascii="Times New Roman"/>
          <w:b w:val="false"/>
          <w:i w:val="false"/>
          <w:color w:val="000000"/>
          <w:sz w:val="28"/>
        </w:rPr>
        <w:t>
      6.4. Дизайн исследования.</w:t>
      </w:r>
    </w:p>
    <w:bookmarkEnd w:id="492"/>
    <w:bookmarkStart w:name="z2028" w:id="493"/>
    <w:p>
      <w:pPr>
        <w:spacing w:after="0"/>
        <w:ind w:left="0"/>
        <w:jc w:val="both"/>
      </w:pPr>
      <w:r>
        <w:rPr>
          <w:rFonts w:ascii="Times New Roman"/>
          <w:b w:val="false"/>
          <w:i w:val="false"/>
          <w:color w:val="000000"/>
          <w:sz w:val="28"/>
        </w:rPr>
        <w:t>
      Научная обоснованность исследования и достоверность полученных в ходе исследования данных существенно зависят от дизайна исследования. Описание дизайна исследования должно включать в себя следующее.</w:t>
      </w:r>
    </w:p>
    <w:bookmarkEnd w:id="493"/>
    <w:bookmarkStart w:name="z2029" w:id="494"/>
    <w:p>
      <w:pPr>
        <w:spacing w:after="0"/>
        <w:ind w:left="0"/>
        <w:jc w:val="both"/>
      </w:pPr>
      <w:r>
        <w:rPr>
          <w:rFonts w:ascii="Times New Roman"/>
          <w:b w:val="false"/>
          <w:i w:val="false"/>
          <w:color w:val="000000"/>
          <w:sz w:val="28"/>
        </w:rPr>
        <w:t>
      6.4.1. Указание основных и дополнительных (при наличии) исследуемых параметров, которые будут оцениваться в ходе исследования.</w:t>
      </w:r>
    </w:p>
    <w:bookmarkEnd w:id="494"/>
    <w:bookmarkStart w:name="z2030" w:id="495"/>
    <w:p>
      <w:pPr>
        <w:spacing w:after="0"/>
        <w:ind w:left="0"/>
        <w:jc w:val="both"/>
      </w:pPr>
      <w:r>
        <w:rPr>
          <w:rFonts w:ascii="Times New Roman"/>
          <w:b w:val="false"/>
          <w:i w:val="false"/>
          <w:color w:val="000000"/>
          <w:sz w:val="28"/>
        </w:rPr>
        <w:t>
      6.4.2. Описание типа (дизайна) проводимого исследования (например, двойное слепое, плацебо-контролируемое, параллельное) и схематическое изображение дизайна исследования, процедур и этапов исследования.</w:t>
      </w:r>
    </w:p>
    <w:bookmarkEnd w:id="495"/>
    <w:bookmarkStart w:name="z2031" w:id="496"/>
    <w:p>
      <w:pPr>
        <w:spacing w:after="0"/>
        <w:ind w:left="0"/>
        <w:jc w:val="both"/>
      </w:pPr>
      <w:r>
        <w:rPr>
          <w:rFonts w:ascii="Times New Roman"/>
          <w:b w:val="false"/>
          <w:i w:val="false"/>
          <w:color w:val="000000"/>
          <w:sz w:val="28"/>
        </w:rPr>
        <w:t>
      6.4.3. Описание мер, направленных на минимизацию (исключение) субъективности, в том числе:</w:t>
      </w:r>
    </w:p>
    <w:bookmarkEnd w:id="496"/>
    <w:bookmarkStart w:name="z2032" w:id="497"/>
    <w:p>
      <w:pPr>
        <w:spacing w:after="0"/>
        <w:ind w:left="0"/>
        <w:jc w:val="both"/>
      </w:pPr>
      <w:r>
        <w:rPr>
          <w:rFonts w:ascii="Times New Roman"/>
          <w:b w:val="false"/>
          <w:i w:val="false"/>
          <w:color w:val="000000"/>
          <w:sz w:val="28"/>
        </w:rPr>
        <w:t>
      а) рандомизации;</w:t>
      </w:r>
    </w:p>
    <w:bookmarkEnd w:id="497"/>
    <w:bookmarkStart w:name="z2033" w:id="498"/>
    <w:p>
      <w:pPr>
        <w:spacing w:after="0"/>
        <w:ind w:left="0"/>
        <w:jc w:val="both"/>
      </w:pPr>
      <w:r>
        <w:rPr>
          <w:rFonts w:ascii="Times New Roman"/>
          <w:b w:val="false"/>
          <w:i w:val="false"/>
          <w:color w:val="000000"/>
          <w:sz w:val="28"/>
        </w:rPr>
        <w:t>
      б) слепого метода (маскировки).</w:t>
      </w:r>
    </w:p>
    <w:bookmarkEnd w:id="498"/>
    <w:bookmarkStart w:name="z2034" w:id="499"/>
    <w:p>
      <w:pPr>
        <w:spacing w:after="0"/>
        <w:ind w:left="0"/>
        <w:jc w:val="both"/>
      </w:pPr>
      <w:r>
        <w:rPr>
          <w:rFonts w:ascii="Times New Roman"/>
          <w:b w:val="false"/>
          <w:i w:val="false"/>
          <w:color w:val="000000"/>
          <w:sz w:val="28"/>
        </w:rPr>
        <w:t>
      6.4.4. Описание используемого в исследовании лечения, дозировки и схемы применения исследуемых препаратов (включает в себя описание лекарственной формы, упаковки и маркировки исследуемых препаратов).</w:t>
      </w:r>
    </w:p>
    <w:bookmarkEnd w:id="499"/>
    <w:bookmarkStart w:name="z2035" w:id="500"/>
    <w:p>
      <w:pPr>
        <w:spacing w:after="0"/>
        <w:ind w:left="0"/>
        <w:jc w:val="both"/>
      </w:pPr>
      <w:r>
        <w:rPr>
          <w:rFonts w:ascii="Times New Roman"/>
          <w:b w:val="false"/>
          <w:i w:val="false"/>
          <w:color w:val="000000"/>
          <w:sz w:val="28"/>
        </w:rPr>
        <w:t>
      6.4.5. Ожидаемая продолжительность участия субъектов в исследовании, описание последовательности и продолжительности всех периодов исследования, включая период последующего наблюдения, если таковой предусмотрен.</w:t>
      </w:r>
    </w:p>
    <w:bookmarkEnd w:id="500"/>
    <w:bookmarkStart w:name="z2036" w:id="501"/>
    <w:p>
      <w:pPr>
        <w:spacing w:after="0"/>
        <w:ind w:left="0"/>
        <w:jc w:val="both"/>
      </w:pPr>
      <w:r>
        <w:rPr>
          <w:rFonts w:ascii="Times New Roman"/>
          <w:b w:val="false"/>
          <w:i w:val="false"/>
          <w:color w:val="000000"/>
          <w:sz w:val="28"/>
        </w:rPr>
        <w:t>
      6.4.6. Описание правил остановки или критериев исключения для отдельных субъектов, частей исследования или исследования в целом.</w:t>
      </w:r>
    </w:p>
    <w:bookmarkEnd w:id="501"/>
    <w:bookmarkStart w:name="z2037" w:id="502"/>
    <w:p>
      <w:pPr>
        <w:spacing w:after="0"/>
        <w:ind w:left="0"/>
        <w:jc w:val="both"/>
      </w:pPr>
      <w:r>
        <w:rPr>
          <w:rFonts w:ascii="Times New Roman"/>
          <w:b w:val="false"/>
          <w:i w:val="false"/>
          <w:color w:val="000000"/>
          <w:sz w:val="28"/>
        </w:rPr>
        <w:t>
      6.4.7. Процедуры учета исследуемых препаратов, включая плацебо и препараты сравнения (при наличии).</w:t>
      </w:r>
    </w:p>
    <w:bookmarkEnd w:id="502"/>
    <w:bookmarkStart w:name="z2038" w:id="503"/>
    <w:p>
      <w:pPr>
        <w:spacing w:after="0"/>
        <w:ind w:left="0"/>
        <w:jc w:val="both"/>
      </w:pPr>
      <w:r>
        <w:rPr>
          <w:rFonts w:ascii="Times New Roman"/>
          <w:b w:val="false"/>
          <w:i w:val="false"/>
          <w:color w:val="000000"/>
          <w:sz w:val="28"/>
        </w:rPr>
        <w:t>
      6.4.8. Хранение рандомизационных кодов лечения и процедуры их раскрытия.</w:t>
      </w:r>
    </w:p>
    <w:bookmarkEnd w:id="503"/>
    <w:bookmarkStart w:name="z2039" w:id="504"/>
    <w:p>
      <w:pPr>
        <w:spacing w:after="0"/>
        <w:ind w:left="0"/>
        <w:jc w:val="both"/>
      </w:pPr>
      <w:r>
        <w:rPr>
          <w:rFonts w:ascii="Times New Roman"/>
          <w:b w:val="false"/>
          <w:i w:val="false"/>
          <w:color w:val="000000"/>
          <w:sz w:val="28"/>
        </w:rPr>
        <w:t>
      6.4.9. Перечень всех данных, регистрируемых непосредственно в индивидуальной регистрационной карте (без предварительной записи в письменном или электронном виде) и рассматриваемых в качестве первичных данных.</w:t>
      </w:r>
    </w:p>
    <w:bookmarkEnd w:id="504"/>
    <w:bookmarkStart w:name="z2040" w:id="505"/>
    <w:p>
      <w:pPr>
        <w:spacing w:after="0"/>
        <w:ind w:left="0"/>
        <w:jc w:val="both"/>
      </w:pPr>
      <w:r>
        <w:rPr>
          <w:rFonts w:ascii="Times New Roman"/>
          <w:b w:val="false"/>
          <w:i w:val="false"/>
          <w:color w:val="000000"/>
          <w:sz w:val="28"/>
        </w:rPr>
        <w:t>
      6.5. Отбор и исключение субъектов из исследования.</w:t>
      </w:r>
    </w:p>
    <w:bookmarkEnd w:id="505"/>
    <w:bookmarkStart w:name="z2041" w:id="506"/>
    <w:p>
      <w:pPr>
        <w:spacing w:after="0"/>
        <w:ind w:left="0"/>
        <w:jc w:val="both"/>
      </w:pPr>
      <w:r>
        <w:rPr>
          <w:rFonts w:ascii="Times New Roman"/>
          <w:b w:val="false"/>
          <w:i w:val="false"/>
          <w:color w:val="000000"/>
          <w:sz w:val="28"/>
        </w:rPr>
        <w:t>
      6.5.1. Критерии включения субъектов в исследование.</w:t>
      </w:r>
    </w:p>
    <w:bookmarkEnd w:id="506"/>
    <w:bookmarkStart w:name="z2042" w:id="507"/>
    <w:p>
      <w:pPr>
        <w:spacing w:after="0"/>
        <w:ind w:left="0"/>
        <w:jc w:val="both"/>
      </w:pPr>
      <w:r>
        <w:rPr>
          <w:rFonts w:ascii="Times New Roman"/>
          <w:b w:val="false"/>
          <w:i w:val="false"/>
          <w:color w:val="000000"/>
          <w:sz w:val="28"/>
        </w:rPr>
        <w:t>
      6.5.2. Критерии невключения субъектов в исследование.</w:t>
      </w:r>
    </w:p>
    <w:bookmarkEnd w:id="507"/>
    <w:bookmarkStart w:name="z2043" w:id="508"/>
    <w:p>
      <w:pPr>
        <w:spacing w:after="0"/>
        <w:ind w:left="0"/>
        <w:jc w:val="both"/>
      </w:pPr>
      <w:r>
        <w:rPr>
          <w:rFonts w:ascii="Times New Roman"/>
          <w:b w:val="false"/>
          <w:i w:val="false"/>
          <w:color w:val="000000"/>
          <w:sz w:val="28"/>
        </w:rPr>
        <w:t>
      6.5.3. Критерии исключения субъектов из исследования (основания прекращения применения исследуемого препарата (исследуемого лечения)), а также процедуры, определяющие:</w:t>
      </w:r>
    </w:p>
    <w:bookmarkEnd w:id="508"/>
    <w:bookmarkStart w:name="z2044" w:id="509"/>
    <w:p>
      <w:pPr>
        <w:spacing w:after="0"/>
        <w:ind w:left="0"/>
        <w:jc w:val="both"/>
      </w:pPr>
      <w:r>
        <w:rPr>
          <w:rFonts w:ascii="Times New Roman"/>
          <w:b w:val="false"/>
          <w:i w:val="false"/>
          <w:color w:val="000000"/>
          <w:sz w:val="28"/>
        </w:rPr>
        <w:t>
      а) когда и как субъектов исключать из исследования (лечения исследуемым препаратом);</w:t>
      </w:r>
    </w:p>
    <w:bookmarkEnd w:id="509"/>
    <w:bookmarkStart w:name="z2045" w:id="510"/>
    <w:p>
      <w:pPr>
        <w:spacing w:after="0"/>
        <w:ind w:left="0"/>
        <w:jc w:val="both"/>
      </w:pPr>
      <w:r>
        <w:rPr>
          <w:rFonts w:ascii="Times New Roman"/>
          <w:b w:val="false"/>
          <w:i w:val="false"/>
          <w:color w:val="000000"/>
          <w:sz w:val="28"/>
        </w:rPr>
        <w:t>
      б) какие данные и в какие сроки должны быть собраны по исключенным пациентам;</w:t>
      </w:r>
    </w:p>
    <w:bookmarkEnd w:id="510"/>
    <w:bookmarkStart w:name="z2046" w:id="511"/>
    <w:p>
      <w:pPr>
        <w:spacing w:after="0"/>
        <w:ind w:left="0"/>
        <w:jc w:val="both"/>
      </w:pPr>
      <w:r>
        <w:rPr>
          <w:rFonts w:ascii="Times New Roman"/>
          <w:b w:val="false"/>
          <w:i w:val="false"/>
          <w:color w:val="000000"/>
          <w:sz w:val="28"/>
        </w:rPr>
        <w:t>
      в) процедура замены субъектов, если это предусмотрено;</w:t>
      </w:r>
    </w:p>
    <w:bookmarkEnd w:id="511"/>
    <w:bookmarkStart w:name="z2047" w:id="512"/>
    <w:p>
      <w:pPr>
        <w:spacing w:after="0"/>
        <w:ind w:left="0"/>
        <w:jc w:val="both"/>
      </w:pPr>
      <w:r>
        <w:rPr>
          <w:rFonts w:ascii="Times New Roman"/>
          <w:b w:val="false"/>
          <w:i w:val="false"/>
          <w:color w:val="000000"/>
          <w:sz w:val="28"/>
        </w:rPr>
        <w:t>
      г) последующее наблюдение за субъектами исследования, исключенными из лечения исследуемым препаратом (исследуемым лечением).</w:t>
      </w:r>
    </w:p>
    <w:bookmarkEnd w:id="512"/>
    <w:bookmarkStart w:name="z2048" w:id="513"/>
    <w:p>
      <w:pPr>
        <w:spacing w:after="0"/>
        <w:ind w:left="0"/>
        <w:jc w:val="both"/>
      </w:pPr>
      <w:r>
        <w:rPr>
          <w:rFonts w:ascii="Times New Roman"/>
          <w:b w:val="false"/>
          <w:i w:val="false"/>
          <w:color w:val="000000"/>
          <w:sz w:val="28"/>
        </w:rPr>
        <w:t>
      6.6. Лечение субъектов исследования.</w:t>
      </w:r>
    </w:p>
    <w:bookmarkEnd w:id="513"/>
    <w:bookmarkStart w:name="z2049" w:id="514"/>
    <w:p>
      <w:pPr>
        <w:spacing w:after="0"/>
        <w:ind w:left="0"/>
        <w:jc w:val="both"/>
      </w:pPr>
      <w:r>
        <w:rPr>
          <w:rFonts w:ascii="Times New Roman"/>
          <w:b w:val="false"/>
          <w:i w:val="false"/>
          <w:color w:val="000000"/>
          <w:sz w:val="28"/>
        </w:rPr>
        <w:t>
      6.6.1. Осуществляемое лечение, включая наименования всех препаратов, их дозировки, частоту приема, пути (способы введения), а также продолжительность лечения, в том числе периоды последующего наблюдения для каждой группы субъектов (по группам лечения исследуемым препаратом, группам исследуемого лечения, группам исследования).</w:t>
      </w:r>
    </w:p>
    <w:bookmarkEnd w:id="514"/>
    <w:bookmarkStart w:name="z2050" w:id="515"/>
    <w:p>
      <w:pPr>
        <w:spacing w:after="0"/>
        <w:ind w:left="0"/>
        <w:jc w:val="both"/>
      </w:pPr>
      <w:r>
        <w:rPr>
          <w:rFonts w:ascii="Times New Roman"/>
          <w:b w:val="false"/>
          <w:i w:val="false"/>
          <w:color w:val="000000"/>
          <w:sz w:val="28"/>
        </w:rPr>
        <w:t>
      6.6.2. Лекарственные препараты (виды терапии), применение которых разрешено (включая неотложную терапию) или не разрешено до и (или) во время проведения исследования.</w:t>
      </w:r>
    </w:p>
    <w:bookmarkEnd w:id="515"/>
    <w:bookmarkStart w:name="z2051" w:id="516"/>
    <w:p>
      <w:pPr>
        <w:spacing w:after="0"/>
        <w:ind w:left="0"/>
        <w:jc w:val="both"/>
      </w:pPr>
      <w:r>
        <w:rPr>
          <w:rFonts w:ascii="Times New Roman"/>
          <w:b w:val="false"/>
          <w:i w:val="false"/>
          <w:color w:val="000000"/>
          <w:sz w:val="28"/>
        </w:rPr>
        <w:t>
      6.6.3. Методы контроля за соблюдением процедур субъектами исследования.</w:t>
      </w:r>
    </w:p>
    <w:bookmarkEnd w:id="516"/>
    <w:bookmarkStart w:name="z2052" w:id="517"/>
    <w:p>
      <w:pPr>
        <w:spacing w:after="0"/>
        <w:ind w:left="0"/>
        <w:jc w:val="both"/>
      </w:pPr>
      <w:r>
        <w:rPr>
          <w:rFonts w:ascii="Times New Roman"/>
          <w:b w:val="false"/>
          <w:i w:val="false"/>
          <w:color w:val="000000"/>
          <w:sz w:val="28"/>
        </w:rPr>
        <w:t>
      6.7. Оценка эффективности.</w:t>
      </w:r>
    </w:p>
    <w:bookmarkEnd w:id="517"/>
    <w:bookmarkStart w:name="z2053" w:id="518"/>
    <w:p>
      <w:pPr>
        <w:spacing w:after="0"/>
        <w:ind w:left="0"/>
        <w:jc w:val="both"/>
      </w:pPr>
      <w:r>
        <w:rPr>
          <w:rFonts w:ascii="Times New Roman"/>
          <w:b w:val="false"/>
          <w:i w:val="false"/>
          <w:color w:val="000000"/>
          <w:sz w:val="28"/>
        </w:rPr>
        <w:t>
      6.7.1. Перечень параметров эффективности.</w:t>
      </w:r>
    </w:p>
    <w:bookmarkEnd w:id="518"/>
    <w:bookmarkStart w:name="z2054" w:id="519"/>
    <w:p>
      <w:pPr>
        <w:spacing w:after="0"/>
        <w:ind w:left="0"/>
        <w:jc w:val="both"/>
      </w:pPr>
      <w:r>
        <w:rPr>
          <w:rFonts w:ascii="Times New Roman"/>
          <w:b w:val="false"/>
          <w:i w:val="false"/>
          <w:color w:val="000000"/>
          <w:sz w:val="28"/>
        </w:rPr>
        <w:t>
      6.7.2. Методы и сроки проведения оценки, регистрации и анализа параметров эффективности.</w:t>
      </w:r>
    </w:p>
    <w:bookmarkEnd w:id="519"/>
    <w:bookmarkStart w:name="z2055" w:id="520"/>
    <w:p>
      <w:pPr>
        <w:spacing w:after="0"/>
        <w:ind w:left="0"/>
        <w:jc w:val="both"/>
      </w:pPr>
      <w:r>
        <w:rPr>
          <w:rFonts w:ascii="Times New Roman"/>
          <w:b w:val="false"/>
          <w:i w:val="false"/>
          <w:color w:val="000000"/>
          <w:sz w:val="28"/>
        </w:rPr>
        <w:t>
      6.8. Оценка безопасности.</w:t>
      </w:r>
    </w:p>
    <w:bookmarkEnd w:id="520"/>
    <w:bookmarkStart w:name="z2056" w:id="521"/>
    <w:p>
      <w:pPr>
        <w:spacing w:after="0"/>
        <w:ind w:left="0"/>
        <w:jc w:val="both"/>
      </w:pPr>
      <w:r>
        <w:rPr>
          <w:rFonts w:ascii="Times New Roman"/>
          <w:b w:val="false"/>
          <w:i w:val="false"/>
          <w:color w:val="000000"/>
          <w:sz w:val="28"/>
        </w:rPr>
        <w:t>
      6.8.1. Перечень параметров безопасности.</w:t>
      </w:r>
    </w:p>
    <w:bookmarkEnd w:id="521"/>
    <w:bookmarkStart w:name="z2057" w:id="522"/>
    <w:p>
      <w:pPr>
        <w:spacing w:after="0"/>
        <w:ind w:left="0"/>
        <w:jc w:val="both"/>
      </w:pPr>
      <w:r>
        <w:rPr>
          <w:rFonts w:ascii="Times New Roman"/>
          <w:b w:val="false"/>
          <w:i w:val="false"/>
          <w:color w:val="000000"/>
          <w:sz w:val="28"/>
        </w:rPr>
        <w:t>
      6.8.2. Методы и сроки проведения оценки, регистрации и анализа параметров безопасности.</w:t>
      </w:r>
    </w:p>
    <w:bookmarkEnd w:id="522"/>
    <w:bookmarkStart w:name="z2058" w:id="523"/>
    <w:p>
      <w:pPr>
        <w:spacing w:after="0"/>
        <w:ind w:left="0"/>
        <w:jc w:val="both"/>
      </w:pPr>
      <w:r>
        <w:rPr>
          <w:rFonts w:ascii="Times New Roman"/>
          <w:b w:val="false"/>
          <w:i w:val="false"/>
          <w:color w:val="000000"/>
          <w:sz w:val="28"/>
        </w:rPr>
        <w:t>
      6.8.3. Требования к отчетам, процедуры по регистрации и сообщениям о нежелательных явлениях и интеркуррентных заболеваниях.</w:t>
      </w:r>
    </w:p>
    <w:bookmarkEnd w:id="523"/>
    <w:bookmarkStart w:name="z2059" w:id="524"/>
    <w:p>
      <w:pPr>
        <w:spacing w:after="0"/>
        <w:ind w:left="0"/>
        <w:jc w:val="both"/>
      </w:pPr>
      <w:r>
        <w:rPr>
          <w:rFonts w:ascii="Times New Roman"/>
          <w:b w:val="false"/>
          <w:i w:val="false"/>
          <w:color w:val="000000"/>
          <w:sz w:val="28"/>
        </w:rPr>
        <w:t>
      6.8.4. Метод и продолжительность наблюдения за субъектами исследования после возникновения нежелательных явлений.</w:t>
      </w:r>
    </w:p>
    <w:bookmarkEnd w:id="524"/>
    <w:bookmarkStart w:name="z2060" w:id="525"/>
    <w:p>
      <w:pPr>
        <w:spacing w:after="0"/>
        <w:ind w:left="0"/>
        <w:jc w:val="both"/>
      </w:pPr>
      <w:r>
        <w:rPr>
          <w:rFonts w:ascii="Times New Roman"/>
          <w:b w:val="false"/>
          <w:i w:val="false"/>
          <w:color w:val="000000"/>
          <w:sz w:val="28"/>
        </w:rPr>
        <w:t>
      6.9. Статистические аспекты клинического исследования.</w:t>
      </w:r>
    </w:p>
    <w:bookmarkEnd w:id="525"/>
    <w:bookmarkStart w:name="z2061" w:id="526"/>
    <w:p>
      <w:pPr>
        <w:spacing w:after="0"/>
        <w:ind w:left="0"/>
        <w:jc w:val="both"/>
      </w:pPr>
      <w:r>
        <w:rPr>
          <w:rFonts w:ascii="Times New Roman"/>
          <w:b w:val="false"/>
          <w:i w:val="false"/>
          <w:color w:val="000000"/>
          <w:sz w:val="28"/>
        </w:rPr>
        <w:t>
      6.9.1. Описание статистических методов, которые предполагается использовать, включая сроки проведения каждого планируемого промежуточного анализа.</w:t>
      </w:r>
    </w:p>
    <w:bookmarkEnd w:id="526"/>
    <w:bookmarkStart w:name="z2062" w:id="527"/>
    <w:p>
      <w:pPr>
        <w:spacing w:after="0"/>
        <w:ind w:left="0"/>
        <w:jc w:val="both"/>
      </w:pPr>
      <w:r>
        <w:rPr>
          <w:rFonts w:ascii="Times New Roman"/>
          <w:b w:val="false"/>
          <w:i w:val="false"/>
          <w:color w:val="000000"/>
          <w:sz w:val="28"/>
        </w:rPr>
        <w:t>
      6.9.2. Планируемое количество субъектов. В случае проведения многоцентровых исследований должно быть определено планируемое количество субъектов в каждом центре. Обоснование размера выборки, включая пояснения или вычисления для обоснования статистической мощности исследования и клинической обоснованности исследования.</w:t>
      </w:r>
    </w:p>
    <w:bookmarkEnd w:id="527"/>
    <w:bookmarkStart w:name="z2063" w:id="528"/>
    <w:p>
      <w:pPr>
        <w:spacing w:after="0"/>
        <w:ind w:left="0"/>
        <w:jc w:val="both"/>
      </w:pPr>
      <w:r>
        <w:rPr>
          <w:rFonts w:ascii="Times New Roman"/>
          <w:b w:val="false"/>
          <w:i w:val="false"/>
          <w:color w:val="000000"/>
          <w:sz w:val="28"/>
        </w:rPr>
        <w:t>
      6.9.3. Применяемый уровень значимости.</w:t>
      </w:r>
    </w:p>
    <w:bookmarkEnd w:id="528"/>
    <w:bookmarkStart w:name="z2064" w:id="529"/>
    <w:p>
      <w:pPr>
        <w:spacing w:after="0"/>
        <w:ind w:left="0"/>
        <w:jc w:val="both"/>
      </w:pPr>
      <w:r>
        <w:rPr>
          <w:rFonts w:ascii="Times New Roman"/>
          <w:b w:val="false"/>
          <w:i w:val="false"/>
          <w:color w:val="000000"/>
          <w:sz w:val="28"/>
        </w:rPr>
        <w:t>
      6.9.4. Критерии прекращения исследования.</w:t>
      </w:r>
    </w:p>
    <w:bookmarkEnd w:id="529"/>
    <w:bookmarkStart w:name="z2065" w:id="530"/>
    <w:p>
      <w:pPr>
        <w:spacing w:after="0"/>
        <w:ind w:left="0"/>
        <w:jc w:val="both"/>
      </w:pPr>
      <w:r>
        <w:rPr>
          <w:rFonts w:ascii="Times New Roman"/>
          <w:b w:val="false"/>
          <w:i w:val="false"/>
          <w:color w:val="000000"/>
          <w:sz w:val="28"/>
        </w:rPr>
        <w:t>
      6.9.5. Процедуры учета отсутствующих, не подлежащих анализу и фальсифицированных данных.</w:t>
      </w:r>
    </w:p>
    <w:bookmarkEnd w:id="530"/>
    <w:bookmarkStart w:name="z2066" w:id="531"/>
    <w:p>
      <w:pPr>
        <w:spacing w:after="0"/>
        <w:ind w:left="0"/>
        <w:jc w:val="both"/>
      </w:pPr>
      <w:r>
        <w:rPr>
          <w:rFonts w:ascii="Times New Roman"/>
          <w:b w:val="false"/>
          <w:i w:val="false"/>
          <w:color w:val="000000"/>
          <w:sz w:val="28"/>
        </w:rPr>
        <w:t>
      6.9.6. Процедуры сообщения о любых отклонениях от первоначального статистического плана (все отклонения от первоначального статистического плана должны быть описаны и обоснованы в протоколе и (или) заключительном отчете об исследовании).</w:t>
      </w:r>
    </w:p>
    <w:bookmarkEnd w:id="531"/>
    <w:bookmarkStart w:name="z2067" w:id="532"/>
    <w:p>
      <w:pPr>
        <w:spacing w:after="0"/>
        <w:ind w:left="0"/>
        <w:jc w:val="both"/>
      </w:pPr>
      <w:r>
        <w:rPr>
          <w:rFonts w:ascii="Times New Roman"/>
          <w:b w:val="false"/>
          <w:i w:val="false"/>
          <w:color w:val="000000"/>
          <w:sz w:val="28"/>
        </w:rPr>
        <w:t>
      6.9.7. Отбор субъектов для анализа (например, все рандомизированные субъекты, все субъекты, получившие хотя бы одну дозу исследуемого препарата, все субъекты, соответствующие критериям отбора, субъекты, данные которых пригодны для оценки).</w:t>
      </w:r>
    </w:p>
    <w:bookmarkEnd w:id="532"/>
    <w:bookmarkStart w:name="z2068" w:id="533"/>
    <w:p>
      <w:pPr>
        <w:spacing w:after="0"/>
        <w:ind w:left="0"/>
        <w:jc w:val="both"/>
      </w:pPr>
      <w:r>
        <w:rPr>
          <w:rFonts w:ascii="Times New Roman"/>
          <w:b w:val="false"/>
          <w:i w:val="false"/>
          <w:color w:val="000000"/>
          <w:sz w:val="28"/>
        </w:rPr>
        <w:t>
      6.10. Прямой доступ к первичным данным (документации).</w:t>
      </w:r>
    </w:p>
    <w:bookmarkEnd w:id="533"/>
    <w:bookmarkStart w:name="z2069" w:id="534"/>
    <w:p>
      <w:pPr>
        <w:spacing w:after="0"/>
        <w:ind w:left="0"/>
        <w:jc w:val="both"/>
      </w:pPr>
      <w:r>
        <w:rPr>
          <w:rFonts w:ascii="Times New Roman"/>
          <w:b w:val="false"/>
          <w:i w:val="false"/>
          <w:color w:val="000000"/>
          <w:sz w:val="28"/>
        </w:rPr>
        <w:t>
      Спонсор должен предусмотреть в протоколе или ином письменном соглашении обязанность исследователей (организаций) не препятствовать прямому доступу к первичным данным (документации) для проведения связанных с исследованием мониторинга, аудита, этической экспертизы, а также инспекции со стороны уполномоченных органов.</w:t>
      </w:r>
    </w:p>
    <w:bookmarkEnd w:id="534"/>
    <w:bookmarkStart w:name="z2070" w:id="535"/>
    <w:p>
      <w:pPr>
        <w:spacing w:after="0"/>
        <w:ind w:left="0"/>
        <w:jc w:val="both"/>
      </w:pPr>
      <w:r>
        <w:rPr>
          <w:rFonts w:ascii="Times New Roman"/>
          <w:b w:val="false"/>
          <w:i w:val="false"/>
          <w:color w:val="000000"/>
          <w:sz w:val="28"/>
        </w:rPr>
        <w:t>
      6.11. Контроль качества и обеспечение качества.</w:t>
      </w:r>
    </w:p>
    <w:bookmarkEnd w:id="535"/>
    <w:bookmarkStart w:name="z2071" w:id="536"/>
    <w:p>
      <w:pPr>
        <w:spacing w:after="0"/>
        <w:ind w:left="0"/>
        <w:jc w:val="both"/>
      </w:pPr>
      <w:r>
        <w:rPr>
          <w:rFonts w:ascii="Times New Roman"/>
          <w:b w:val="false"/>
          <w:i w:val="false"/>
          <w:color w:val="000000"/>
          <w:sz w:val="28"/>
        </w:rPr>
        <w:t>
      6.12. Этические аспекты.</w:t>
      </w:r>
    </w:p>
    <w:bookmarkEnd w:id="536"/>
    <w:bookmarkStart w:name="z2072" w:id="537"/>
    <w:p>
      <w:pPr>
        <w:spacing w:after="0"/>
        <w:ind w:left="0"/>
        <w:jc w:val="both"/>
      </w:pPr>
      <w:r>
        <w:rPr>
          <w:rFonts w:ascii="Times New Roman"/>
          <w:b w:val="false"/>
          <w:i w:val="false"/>
          <w:color w:val="000000"/>
          <w:sz w:val="28"/>
        </w:rPr>
        <w:t>
      Описание этических аспектов исследования.</w:t>
      </w:r>
    </w:p>
    <w:bookmarkEnd w:id="537"/>
    <w:bookmarkStart w:name="z2073" w:id="538"/>
    <w:p>
      <w:pPr>
        <w:spacing w:after="0"/>
        <w:ind w:left="0"/>
        <w:jc w:val="both"/>
      </w:pPr>
      <w:r>
        <w:rPr>
          <w:rFonts w:ascii="Times New Roman"/>
          <w:b w:val="false"/>
          <w:i w:val="false"/>
          <w:color w:val="000000"/>
          <w:sz w:val="28"/>
        </w:rPr>
        <w:t>
      6.13. Работа с данными и ведение записей.</w:t>
      </w:r>
    </w:p>
    <w:bookmarkEnd w:id="538"/>
    <w:bookmarkStart w:name="z2074" w:id="539"/>
    <w:p>
      <w:pPr>
        <w:spacing w:after="0"/>
        <w:ind w:left="0"/>
        <w:jc w:val="both"/>
      </w:pPr>
      <w:r>
        <w:rPr>
          <w:rFonts w:ascii="Times New Roman"/>
          <w:b w:val="false"/>
          <w:i w:val="false"/>
          <w:color w:val="000000"/>
          <w:sz w:val="28"/>
        </w:rPr>
        <w:t>
      6.14. Финансирование и страхование.</w:t>
      </w:r>
    </w:p>
    <w:bookmarkEnd w:id="539"/>
    <w:bookmarkStart w:name="z2075" w:id="540"/>
    <w:p>
      <w:pPr>
        <w:spacing w:after="0"/>
        <w:ind w:left="0"/>
        <w:jc w:val="both"/>
      </w:pPr>
      <w:r>
        <w:rPr>
          <w:rFonts w:ascii="Times New Roman"/>
          <w:b w:val="false"/>
          <w:i w:val="false"/>
          <w:color w:val="000000"/>
          <w:sz w:val="28"/>
        </w:rPr>
        <w:t>
      Финансирование и страхование, если они не описаны в отдельном договоре.</w:t>
      </w:r>
    </w:p>
    <w:bookmarkEnd w:id="540"/>
    <w:bookmarkStart w:name="z2076" w:id="541"/>
    <w:p>
      <w:pPr>
        <w:spacing w:after="0"/>
        <w:ind w:left="0"/>
        <w:jc w:val="both"/>
      </w:pPr>
      <w:r>
        <w:rPr>
          <w:rFonts w:ascii="Times New Roman"/>
          <w:b w:val="false"/>
          <w:i w:val="false"/>
          <w:color w:val="000000"/>
          <w:sz w:val="28"/>
        </w:rPr>
        <w:t xml:space="preserve">
      6.15. Политика в отношении публикаций. </w:t>
      </w:r>
    </w:p>
    <w:bookmarkEnd w:id="541"/>
    <w:bookmarkStart w:name="z2077" w:id="542"/>
    <w:p>
      <w:pPr>
        <w:spacing w:after="0"/>
        <w:ind w:left="0"/>
        <w:jc w:val="both"/>
      </w:pPr>
      <w:r>
        <w:rPr>
          <w:rFonts w:ascii="Times New Roman"/>
          <w:b w:val="false"/>
          <w:i w:val="false"/>
          <w:color w:val="000000"/>
          <w:sz w:val="28"/>
        </w:rPr>
        <w:t>
      Политика в отношении публикаций, если она не описана в отдельном договоре.</w:t>
      </w:r>
    </w:p>
    <w:bookmarkEnd w:id="542"/>
    <w:bookmarkStart w:name="z2078" w:id="543"/>
    <w:p>
      <w:pPr>
        <w:spacing w:after="0"/>
        <w:ind w:left="0"/>
        <w:jc w:val="both"/>
      </w:pPr>
      <w:r>
        <w:rPr>
          <w:rFonts w:ascii="Times New Roman"/>
          <w:b w:val="false"/>
          <w:i w:val="false"/>
          <w:color w:val="000000"/>
          <w:sz w:val="28"/>
        </w:rPr>
        <w:t>
      6.16. Приложения к протоколу.</w:t>
      </w:r>
    </w:p>
    <w:bookmarkEnd w:id="543"/>
    <w:bookmarkStart w:name="z2079" w:id="544"/>
    <w:p>
      <w:pPr>
        <w:spacing w:after="0"/>
        <w:ind w:left="0"/>
        <w:jc w:val="left"/>
      </w:pPr>
      <w:r>
        <w:rPr>
          <w:rFonts w:ascii="Times New Roman"/>
          <w:b/>
          <w:i w:val="false"/>
          <w:color w:val="000000"/>
        </w:rPr>
        <w:t xml:space="preserve"> 7. Брошюра исследователя</w:t>
      </w:r>
    </w:p>
    <w:bookmarkEnd w:id="544"/>
    <w:bookmarkStart w:name="z2080" w:id="545"/>
    <w:p>
      <w:pPr>
        <w:spacing w:after="0"/>
        <w:ind w:left="0"/>
        <w:jc w:val="both"/>
      </w:pPr>
      <w:r>
        <w:rPr>
          <w:rFonts w:ascii="Times New Roman"/>
          <w:b w:val="false"/>
          <w:i w:val="false"/>
          <w:color w:val="000000"/>
          <w:sz w:val="28"/>
        </w:rPr>
        <w:t>
      7.1. Введение.</w:t>
      </w:r>
    </w:p>
    <w:bookmarkEnd w:id="545"/>
    <w:bookmarkStart w:name="z2081" w:id="546"/>
    <w:p>
      <w:pPr>
        <w:spacing w:after="0"/>
        <w:ind w:left="0"/>
        <w:jc w:val="both"/>
      </w:pPr>
      <w:r>
        <w:rPr>
          <w:rFonts w:ascii="Times New Roman"/>
          <w:b w:val="false"/>
          <w:i w:val="false"/>
          <w:color w:val="000000"/>
          <w:sz w:val="28"/>
        </w:rPr>
        <w:t>
      Брошюра исследователя представляет собой сводное изложение клинических и доклинических данных по исследуемому препарату, которые имеют значение для его изучения с участием человека в качестве субъекта исследования. Назначением брошюры исследователя является предоставление исследователям и другим лицам, вовлеченным в проведение исследования, информации, помогающей пониманию и соблюдению многих существенных положений протокола, в том числе о дозе, частоте (периодичности) доз, способах введения, а также процедуре мониторинга безопасности. Брошюра исследователя также обеспечивает понимание, способствующее клиническому ведению субъектов исследования в течение курса клинического исследования. Информация должна быть представлена в краткой, простой, объективной и лишенной рекламного оттенка форме, позволяющей клиницисту или потенциальному исследователю понять ее и сформировать свою собственную объективную оценку целесообразности предлагаемого исследования исходя из соотношения польза-риск. По этой причине в составлении брошюры исследователя обычно должен принимать участие медицинский эксперт, но содержание брошюры исследователя должно быть одобрено специалистами тех областей, где были получены описываемые данные.</w:t>
      </w:r>
    </w:p>
    <w:bookmarkEnd w:id="546"/>
    <w:bookmarkStart w:name="z2082" w:id="547"/>
    <w:p>
      <w:pPr>
        <w:spacing w:after="0"/>
        <w:ind w:left="0"/>
        <w:jc w:val="both"/>
      </w:pPr>
      <w:r>
        <w:rPr>
          <w:rFonts w:ascii="Times New Roman"/>
          <w:b w:val="false"/>
          <w:i w:val="false"/>
          <w:color w:val="000000"/>
          <w:sz w:val="28"/>
        </w:rPr>
        <w:t>
      Настоящие Правила определяют минимальный объем информации, которая должна быть включена в брошюру исследователя, и дают рекомендации по структуре изложения данной информации. Предполагается, что характер и объем доступной информации будут изменяться в зависимости от стадии разработки исследуемого препарата. Если исследуемый препарат находится на рынке и большинству практикующих врачей хорошо известны его фармакологические свойства, брошюра исследователя может быть менее подробной. С разрешения уполномоченных органов вместо брошюры исследователя могут быть использованы материалы, содержащие основную информацию о препарате, листок-вкладыш или информация на этикетке при условии, что альтернативный вариант содержит актуальную, всестороннюю и подробную информацию обо всех характеристиках исследуемого препарата, которые могут быть важны для исследователя. Если находящийся в свободной продаже лекарственный препарат исследуется на предмет нового применения (по новому показанию), брошюра исследователя должна быть составлена с учетом нового применения. Брошюру исследователя следует пересматривать не реже 1 раза в год и при необходимости исправлять и дополнять в соответствии со стандартными процедурами спонсора. Брошюра исследователя может пересматриваться чаще в зависимости от стадии разработки препарата и по мере поступления новой значимой информации. Однако в соответствии с принципами надлежащей клинической практики новая информация может быть настолько важна, что ее необходимо сообщить исследователям и при необходимости ЭСО (НЭК) и (или) уполномоченным органам до ее включения в новую редакцию брошюры исследователя.</w:t>
      </w:r>
    </w:p>
    <w:bookmarkEnd w:id="547"/>
    <w:bookmarkStart w:name="z2083" w:id="548"/>
    <w:p>
      <w:pPr>
        <w:spacing w:after="0"/>
        <w:ind w:left="0"/>
        <w:jc w:val="both"/>
      </w:pPr>
      <w:r>
        <w:rPr>
          <w:rFonts w:ascii="Times New Roman"/>
          <w:b w:val="false"/>
          <w:i w:val="false"/>
          <w:color w:val="000000"/>
          <w:sz w:val="28"/>
        </w:rPr>
        <w:t>
      Как правило, спонсор отвечает за предоставление исследователям актуальной редакции брошюры исследователя, а исследователи отвечают за предоставление актуальной редакции брошюры исследователя соответствующему ЭСО (НЭК).</w:t>
      </w:r>
    </w:p>
    <w:bookmarkEnd w:id="548"/>
    <w:bookmarkStart w:name="z2084" w:id="549"/>
    <w:p>
      <w:pPr>
        <w:spacing w:after="0"/>
        <w:ind w:left="0"/>
        <w:jc w:val="both"/>
      </w:pPr>
      <w:r>
        <w:rPr>
          <w:rFonts w:ascii="Times New Roman"/>
          <w:b w:val="false"/>
          <w:i w:val="false"/>
          <w:color w:val="000000"/>
          <w:sz w:val="28"/>
        </w:rPr>
        <w:t>
      Если спонсором исследования является исследователь, он должен рассматривать возможность получения брошюры от изготовителя препарата. Если исследуемый препарат предоставляется самим спонсором-исследователем, он должен довести необходимую информацию до сведения занятого в исследовании персонала. В тех случаях, когда составление брошюры исследователя стандартного формата нецелесообразно, в качестве альтернативы спонсор-исследователь должен включить в протокол раздел, включающий подробно изложенные данные, содержащие минимальный объем текущей информации, предусматриваемый настоящими Правилами.</w:t>
      </w:r>
    </w:p>
    <w:bookmarkEnd w:id="549"/>
    <w:bookmarkStart w:name="z2085" w:id="550"/>
    <w:p>
      <w:pPr>
        <w:spacing w:after="0"/>
        <w:ind w:left="0"/>
        <w:jc w:val="both"/>
      </w:pPr>
      <w:r>
        <w:rPr>
          <w:rFonts w:ascii="Times New Roman"/>
          <w:b w:val="false"/>
          <w:i w:val="false"/>
          <w:color w:val="000000"/>
          <w:sz w:val="28"/>
        </w:rPr>
        <w:t>
      7.2. Общие положения.</w:t>
      </w:r>
    </w:p>
    <w:bookmarkEnd w:id="550"/>
    <w:bookmarkStart w:name="z2086" w:id="551"/>
    <w:p>
      <w:pPr>
        <w:spacing w:after="0"/>
        <w:ind w:left="0"/>
        <w:jc w:val="both"/>
      </w:pPr>
      <w:r>
        <w:rPr>
          <w:rFonts w:ascii="Times New Roman"/>
          <w:b w:val="false"/>
          <w:i w:val="false"/>
          <w:color w:val="000000"/>
          <w:sz w:val="28"/>
        </w:rPr>
        <w:t>
      Брошюра исследователя должна включать в себя:</w:t>
      </w:r>
    </w:p>
    <w:bookmarkEnd w:id="551"/>
    <w:bookmarkStart w:name="z2087" w:id="552"/>
    <w:p>
      <w:pPr>
        <w:spacing w:after="0"/>
        <w:ind w:left="0"/>
        <w:jc w:val="both"/>
      </w:pPr>
      <w:r>
        <w:rPr>
          <w:rFonts w:ascii="Times New Roman"/>
          <w:b w:val="false"/>
          <w:i w:val="false"/>
          <w:color w:val="000000"/>
          <w:sz w:val="28"/>
        </w:rPr>
        <w:t>
      7.2.1. Титульный лист.</w:t>
      </w:r>
    </w:p>
    <w:bookmarkEnd w:id="552"/>
    <w:bookmarkStart w:name="z2088" w:id="553"/>
    <w:p>
      <w:pPr>
        <w:spacing w:after="0"/>
        <w:ind w:left="0"/>
        <w:jc w:val="both"/>
      </w:pPr>
      <w:r>
        <w:rPr>
          <w:rFonts w:ascii="Times New Roman"/>
          <w:b w:val="false"/>
          <w:i w:val="false"/>
          <w:color w:val="000000"/>
          <w:sz w:val="28"/>
        </w:rPr>
        <w:t>
      Должны быть указаны наименование спонсора, идентификаторы каждого исследуемого препарата (номер исследования, химическое или утвержденное непатентованное название, и торговое наименование, если это не противоречит действующему законодательству, а также желанию спонсора) и дата редакции брошюры исследователя. Указывается номер версии брошюры исследователя, номер и дата предыдущей редакции брошюры исследователя.</w:t>
      </w:r>
    </w:p>
    <w:bookmarkEnd w:id="553"/>
    <w:bookmarkStart w:name="z2089" w:id="554"/>
    <w:p>
      <w:pPr>
        <w:spacing w:after="0"/>
        <w:ind w:left="0"/>
        <w:jc w:val="both"/>
      </w:pPr>
      <w:r>
        <w:rPr>
          <w:rFonts w:ascii="Times New Roman"/>
          <w:b w:val="false"/>
          <w:i w:val="false"/>
          <w:color w:val="000000"/>
          <w:sz w:val="28"/>
        </w:rPr>
        <w:t>
      7.2.2. Указание на конфиденциальность.</w:t>
      </w:r>
    </w:p>
    <w:bookmarkEnd w:id="554"/>
    <w:bookmarkStart w:name="z2090" w:id="555"/>
    <w:p>
      <w:pPr>
        <w:spacing w:after="0"/>
        <w:ind w:left="0"/>
        <w:jc w:val="both"/>
      </w:pPr>
      <w:r>
        <w:rPr>
          <w:rFonts w:ascii="Times New Roman"/>
          <w:b w:val="false"/>
          <w:i w:val="false"/>
          <w:color w:val="000000"/>
          <w:sz w:val="28"/>
        </w:rPr>
        <w:t>
      По желанию спонсор может включить в брошюру исследователя уведомление исследователей (получателей) о том, что они должны рассматривать брошюру исследователя как конфиденциальный документ, предназначенный исключительно для ознакомления и использования исследовательским коллективом и ЭСО (НЭК).</w:t>
      </w:r>
    </w:p>
    <w:bookmarkEnd w:id="555"/>
    <w:bookmarkStart w:name="z2091" w:id="556"/>
    <w:p>
      <w:pPr>
        <w:spacing w:after="0"/>
        <w:ind w:left="0"/>
        <w:jc w:val="both"/>
      </w:pPr>
      <w:r>
        <w:rPr>
          <w:rFonts w:ascii="Times New Roman"/>
          <w:b w:val="false"/>
          <w:i w:val="false"/>
          <w:color w:val="000000"/>
          <w:sz w:val="28"/>
        </w:rPr>
        <w:t>
      7.3. Содержание брошюры исследователя.</w:t>
      </w:r>
    </w:p>
    <w:bookmarkEnd w:id="556"/>
    <w:bookmarkStart w:name="z2092" w:id="557"/>
    <w:p>
      <w:pPr>
        <w:spacing w:after="0"/>
        <w:ind w:left="0"/>
        <w:jc w:val="both"/>
      </w:pPr>
      <w:r>
        <w:rPr>
          <w:rFonts w:ascii="Times New Roman"/>
          <w:b w:val="false"/>
          <w:i w:val="false"/>
          <w:color w:val="000000"/>
          <w:sz w:val="28"/>
        </w:rPr>
        <w:t>
      Брошюра исследователя должна иметь следующие разделы, каждый из которых (где применимо) следует сопровождать перечнем ссылок на литературные источники.</w:t>
      </w:r>
    </w:p>
    <w:bookmarkEnd w:id="557"/>
    <w:bookmarkStart w:name="z2093" w:id="558"/>
    <w:p>
      <w:pPr>
        <w:spacing w:after="0"/>
        <w:ind w:left="0"/>
        <w:jc w:val="both"/>
      </w:pPr>
      <w:r>
        <w:rPr>
          <w:rFonts w:ascii="Times New Roman"/>
          <w:b w:val="false"/>
          <w:i w:val="false"/>
          <w:color w:val="000000"/>
          <w:sz w:val="28"/>
        </w:rPr>
        <w:t>
      7.3.1. Оглавление.</w:t>
      </w:r>
    </w:p>
    <w:bookmarkEnd w:id="558"/>
    <w:bookmarkStart w:name="z2094" w:id="559"/>
    <w:p>
      <w:pPr>
        <w:spacing w:after="0"/>
        <w:ind w:left="0"/>
        <w:jc w:val="both"/>
      </w:pPr>
      <w:r>
        <w:rPr>
          <w:rFonts w:ascii="Times New Roman"/>
          <w:b w:val="false"/>
          <w:i w:val="false"/>
          <w:color w:val="000000"/>
          <w:sz w:val="28"/>
        </w:rPr>
        <w:t>
      7.3.2. Краткий обзор.</w:t>
      </w:r>
    </w:p>
    <w:bookmarkEnd w:id="559"/>
    <w:bookmarkStart w:name="z2095" w:id="560"/>
    <w:p>
      <w:pPr>
        <w:spacing w:after="0"/>
        <w:ind w:left="0"/>
        <w:jc w:val="both"/>
      </w:pPr>
      <w:r>
        <w:rPr>
          <w:rFonts w:ascii="Times New Roman"/>
          <w:b w:val="false"/>
          <w:i w:val="false"/>
          <w:color w:val="000000"/>
          <w:sz w:val="28"/>
        </w:rPr>
        <w:t>
      Должно быть представлено краткое резюме (желательно не превышающее 2 страниц) доступной информации о физических, химических, фармацевтических, фармакологических, токсикологических, фармакокинетических, метаболических свойствах, информации о клиническом применении, соответствующей текущей стадии клинической разработки исследуемого препарата.</w:t>
      </w:r>
    </w:p>
    <w:bookmarkEnd w:id="560"/>
    <w:bookmarkStart w:name="z2096" w:id="561"/>
    <w:p>
      <w:pPr>
        <w:spacing w:after="0"/>
        <w:ind w:left="0"/>
        <w:jc w:val="both"/>
      </w:pPr>
      <w:r>
        <w:rPr>
          <w:rFonts w:ascii="Times New Roman"/>
          <w:b w:val="false"/>
          <w:i w:val="false"/>
          <w:color w:val="000000"/>
          <w:sz w:val="28"/>
        </w:rPr>
        <w:t>
      7.3.3. Введение.</w:t>
      </w:r>
    </w:p>
    <w:bookmarkEnd w:id="561"/>
    <w:bookmarkStart w:name="z2097" w:id="562"/>
    <w:p>
      <w:pPr>
        <w:spacing w:after="0"/>
        <w:ind w:left="0"/>
        <w:jc w:val="both"/>
      </w:pPr>
      <w:r>
        <w:rPr>
          <w:rFonts w:ascii="Times New Roman"/>
          <w:b w:val="false"/>
          <w:i w:val="false"/>
          <w:color w:val="000000"/>
          <w:sz w:val="28"/>
        </w:rPr>
        <w:t>
      В кратком вводном разделе должны быть указаны химическое название (а также непатентованное и торговое наименования, если препарат зарегистрирован) исследуемого препарата, все активные ингредиенты, фармакологическая группа, к которой относится исследуемый препарат, и место, на которое он в ней претендует (например, преимущества), обоснование для изучения исследуемого препарата, а также его ожидаемые профилактические, терапевтические или диагностические показания. Кроме того, в вводном разделе должен быть сформулирован общий подход к оценке исследуемого препарата.</w:t>
      </w:r>
    </w:p>
    <w:bookmarkEnd w:id="562"/>
    <w:bookmarkStart w:name="z2098" w:id="563"/>
    <w:p>
      <w:pPr>
        <w:spacing w:after="0"/>
        <w:ind w:left="0"/>
        <w:jc w:val="both"/>
      </w:pPr>
      <w:r>
        <w:rPr>
          <w:rFonts w:ascii="Times New Roman"/>
          <w:b w:val="false"/>
          <w:i w:val="false"/>
          <w:color w:val="000000"/>
          <w:sz w:val="28"/>
        </w:rPr>
        <w:t>
      7.3.4. Физические, химические и фармацевтические свойства и лекарственная форма.</w:t>
      </w:r>
    </w:p>
    <w:bookmarkEnd w:id="563"/>
    <w:bookmarkStart w:name="z2099" w:id="564"/>
    <w:p>
      <w:pPr>
        <w:spacing w:after="0"/>
        <w:ind w:left="0"/>
        <w:jc w:val="both"/>
      </w:pPr>
      <w:r>
        <w:rPr>
          <w:rFonts w:ascii="Times New Roman"/>
          <w:b w:val="false"/>
          <w:i w:val="false"/>
          <w:color w:val="000000"/>
          <w:sz w:val="28"/>
        </w:rPr>
        <w:t>
      Должны быть представлены описание компонентов исследуемого препарата (включая химические и (или) структурные формулы), а также краткая справка о его основных физических, химических и фармацевтических свойствах.</w:t>
      </w:r>
    </w:p>
    <w:bookmarkEnd w:id="564"/>
    <w:bookmarkStart w:name="z2100" w:id="565"/>
    <w:p>
      <w:pPr>
        <w:spacing w:after="0"/>
        <w:ind w:left="0"/>
        <w:jc w:val="both"/>
      </w:pPr>
      <w:r>
        <w:rPr>
          <w:rFonts w:ascii="Times New Roman"/>
          <w:b w:val="false"/>
          <w:i w:val="false"/>
          <w:color w:val="000000"/>
          <w:sz w:val="28"/>
        </w:rPr>
        <w:t>
      Для обеспечения адекватных мер безопасности в ходе исследования должен быть указан и при необходимости обоснован состав лекарственной формы, включая дополнительные вещества. Также должны быть предоставлены инструкции по хранению и использованию лекарственных форм.</w:t>
      </w:r>
    </w:p>
    <w:bookmarkEnd w:id="565"/>
    <w:bookmarkStart w:name="z2101" w:id="566"/>
    <w:p>
      <w:pPr>
        <w:spacing w:after="0"/>
        <w:ind w:left="0"/>
        <w:jc w:val="both"/>
      </w:pPr>
      <w:r>
        <w:rPr>
          <w:rFonts w:ascii="Times New Roman"/>
          <w:b w:val="false"/>
          <w:i w:val="false"/>
          <w:color w:val="000000"/>
          <w:sz w:val="28"/>
        </w:rPr>
        <w:t>
      Следует упомянуть любое структурное сходство с другими известными соединениями.</w:t>
      </w:r>
    </w:p>
    <w:bookmarkEnd w:id="566"/>
    <w:bookmarkStart w:name="z2102" w:id="567"/>
    <w:p>
      <w:pPr>
        <w:spacing w:after="0"/>
        <w:ind w:left="0"/>
        <w:jc w:val="both"/>
      </w:pPr>
      <w:r>
        <w:rPr>
          <w:rFonts w:ascii="Times New Roman"/>
          <w:b w:val="false"/>
          <w:i w:val="false"/>
          <w:color w:val="000000"/>
          <w:sz w:val="28"/>
        </w:rPr>
        <w:t>
      7.3.5. Доклинические исследования.</w:t>
      </w:r>
    </w:p>
    <w:bookmarkEnd w:id="567"/>
    <w:bookmarkStart w:name="z2103" w:id="568"/>
    <w:p>
      <w:pPr>
        <w:spacing w:after="0"/>
        <w:ind w:left="0"/>
        <w:jc w:val="both"/>
      </w:pPr>
      <w:r>
        <w:rPr>
          <w:rFonts w:ascii="Times New Roman"/>
          <w:b w:val="false"/>
          <w:i w:val="false"/>
          <w:color w:val="000000"/>
          <w:sz w:val="28"/>
        </w:rPr>
        <w:t>
      Введение.</w:t>
      </w:r>
    </w:p>
    <w:bookmarkEnd w:id="568"/>
    <w:bookmarkStart w:name="z2104" w:id="569"/>
    <w:p>
      <w:pPr>
        <w:spacing w:after="0"/>
        <w:ind w:left="0"/>
        <w:jc w:val="both"/>
      </w:pPr>
      <w:r>
        <w:rPr>
          <w:rFonts w:ascii="Times New Roman"/>
          <w:b w:val="false"/>
          <w:i w:val="false"/>
          <w:color w:val="000000"/>
          <w:sz w:val="28"/>
        </w:rPr>
        <w:t>
      Должны быть представлены в краткой форме результаты всех существенных доклинических исследований фармакологических свойств, токсичности, фармакокинетики и метаболизма исследуемого препарата. Должны быть описаны использованные методы, представлены полученные результаты, а также их обсуждение в связи с исследуемыми терапевтическими и возможными неблагоприятными или непредвиденными эффектами у человека. В зависимости от наличия (доступности) информации указывается следующее:</w:t>
      </w:r>
    </w:p>
    <w:bookmarkEnd w:id="569"/>
    <w:bookmarkStart w:name="z2105" w:id="570"/>
    <w:p>
      <w:pPr>
        <w:spacing w:after="0"/>
        <w:ind w:left="0"/>
        <w:jc w:val="both"/>
      </w:pPr>
      <w:r>
        <w:rPr>
          <w:rFonts w:ascii="Times New Roman"/>
          <w:b w:val="false"/>
          <w:i w:val="false"/>
          <w:color w:val="000000"/>
          <w:sz w:val="28"/>
        </w:rPr>
        <w:t>
      использованные в исследованиях виды животных;</w:t>
      </w:r>
    </w:p>
    <w:bookmarkEnd w:id="570"/>
    <w:bookmarkStart w:name="z2106" w:id="571"/>
    <w:p>
      <w:pPr>
        <w:spacing w:after="0"/>
        <w:ind w:left="0"/>
        <w:jc w:val="both"/>
      </w:pPr>
      <w:r>
        <w:rPr>
          <w:rFonts w:ascii="Times New Roman"/>
          <w:b w:val="false"/>
          <w:i w:val="false"/>
          <w:color w:val="000000"/>
          <w:sz w:val="28"/>
        </w:rPr>
        <w:t>
      количество и пол животных в каждой группе;</w:t>
      </w:r>
    </w:p>
    <w:bookmarkEnd w:id="571"/>
    <w:bookmarkStart w:name="z2107" w:id="572"/>
    <w:p>
      <w:pPr>
        <w:spacing w:after="0"/>
        <w:ind w:left="0"/>
        <w:jc w:val="both"/>
      </w:pPr>
      <w:r>
        <w:rPr>
          <w:rFonts w:ascii="Times New Roman"/>
          <w:b w:val="false"/>
          <w:i w:val="false"/>
          <w:color w:val="000000"/>
          <w:sz w:val="28"/>
        </w:rPr>
        <w:t>
      единицы измерения дозы (например, миллиграмм/килограмм (мг/кг));</w:t>
      </w:r>
    </w:p>
    <w:bookmarkEnd w:id="572"/>
    <w:bookmarkStart w:name="z2108" w:id="573"/>
    <w:p>
      <w:pPr>
        <w:spacing w:after="0"/>
        <w:ind w:left="0"/>
        <w:jc w:val="both"/>
      </w:pPr>
      <w:r>
        <w:rPr>
          <w:rFonts w:ascii="Times New Roman"/>
          <w:b w:val="false"/>
          <w:i w:val="false"/>
          <w:color w:val="000000"/>
          <w:sz w:val="28"/>
        </w:rPr>
        <w:t>
      кратность введения;</w:t>
      </w:r>
    </w:p>
    <w:bookmarkEnd w:id="573"/>
    <w:bookmarkStart w:name="z2109" w:id="574"/>
    <w:p>
      <w:pPr>
        <w:spacing w:after="0"/>
        <w:ind w:left="0"/>
        <w:jc w:val="both"/>
      </w:pPr>
      <w:r>
        <w:rPr>
          <w:rFonts w:ascii="Times New Roman"/>
          <w:b w:val="false"/>
          <w:i w:val="false"/>
          <w:color w:val="000000"/>
          <w:sz w:val="28"/>
        </w:rPr>
        <w:t>
      путь введения;</w:t>
      </w:r>
    </w:p>
    <w:bookmarkEnd w:id="574"/>
    <w:bookmarkStart w:name="z2110" w:id="575"/>
    <w:p>
      <w:pPr>
        <w:spacing w:after="0"/>
        <w:ind w:left="0"/>
        <w:jc w:val="both"/>
      </w:pPr>
      <w:r>
        <w:rPr>
          <w:rFonts w:ascii="Times New Roman"/>
          <w:b w:val="false"/>
          <w:i w:val="false"/>
          <w:color w:val="000000"/>
          <w:sz w:val="28"/>
        </w:rPr>
        <w:t>
      длительность курса введения;</w:t>
      </w:r>
    </w:p>
    <w:bookmarkEnd w:id="575"/>
    <w:bookmarkStart w:name="z2111" w:id="576"/>
    <w:p>
      <w:pPr>
        <w:spacing w:after="0"/>
        <w:ind w:left="0"/>
        <w:jc w:val="both"/>
      </w:pPr>
      <w:r>
        <w:rPr>
          <w:rFonts w:ascii="Times New Roman"/>
          <w:b w:val="false"/>
          <w:i w:val="false"/>
          <w:color w:val="000000"/>
          <w:sz w:val="28"/>
        </w:rPr>
        <w:t>
      информация, относящаяся к системному распределению;</w:t>
      </w:r>
    </w:p>
    <w:bookmarkEnd w:id="576"/>
    <w:bookmarkStart w:name="z2112" w:id="577"/>
    <w:p>
      <w:pPr>
        <w:spacing w:after="0"/>
        <w:ind w:left="0"/>
        <w:jc w:val="both"/>
      </w:pPr>
      <w:r>
        <w:rPr>
          <w:rFonts w:ascii="Times New Roman"/>
          <w:b w:val="false"/>
          <w:i w:val="false"/>
          <w:color w:val="000000"/>
          <w:sz w:val="28"/>
        </w:rPr>
        <w:t>
      продолжительность последующего наблюдения после окончания введения препарата;</w:t>
      </w:r>
    </w:p>
    <w:bookmarkEnd w:id="577"/>
    <w:bookmarkStart w:name="z2113" w:id="578"/>
    <w:p>
      <w:pPr>
        <w:spacing w:after="0"/>
        <w:ind w:left="0"/>
        <w:jc w:val="both"/>
      </w:pPr>
      <w:r>
        <w:rPr>
          <w:rFonts w:ascii="Times New Roman"/>
          <w:b w:val="false"/>
          <w:i w:val="false"/>
          <w:color w:val="000000"/>
          <w:sz w:val="28"/>
        </w:rPr>
        <w:t>
      результаты, включая раскрытие следующих аспектов:</w:t>
      </w:r>
    </w:p>
    <w:bookmarkEnd w:id="578"/>
    <w:bookmarkStart w:name="z2114" w:id="579"/>
    <w:p>
      <w:pPr>
        <w:spacing w:after="0"/>
        <w:ind w:left="0"/>
        <w:jc w:val="both"/>
      </w:pPr>
      <w:r>
        <w:rPr>
          <w:rFonts w:ascii="Times New Roman"/>
          <w:b w:val="false"/>
          <w:i w:val="false"/>
          <w:color w:val="000000"/>
          <w:sz w:val="28"/>
        </w:rPr>
        <w:t>
      характера и частоты фармакологических или токсических эффектов;</w:t>
      </w:r>
    </w:p>
    <w:bookmarkEnd w:id="579"/>
    <w:bookmarkStart w:name="z2115" w:id="580"/>
    <w:p>
      <w:pPr>
        <w:spacing w:after="0"/>
        <w:ind w:left="0"/>
        <w:jc w:val="both"/>
      </w:pPr>
      <w:r>
        <w:rPr>
          <w:rFonts w:ascii="Times New Roman"/>
          <w:b w:val="false"/>
          <w:i w:val="false"/>
          <w:color w:val="000000"/>
          <w:sz w:val="28"/>
        </w:rPr>
        <w:t>
      выраженности или степени тяжести фармакологических или токсических эффектов;</w:t>
      </w:r>
    </w:p>
    <w:bookmarkEnd w:id="580"/>
    <w:bookmarkStart w:name="z2116" w:id="581"/>
    <w:p>
      <w:pPr>
        <w:spacing w:after="0"/>
        <w:ind w:left="0"/>
        <w:jc w:val="both"/>
      </w:pPr>
      <w:r>
        <w:rPr>
          <w:rFonts w:ascii="Times New Roman"/>
          <w:b w:val="false"/>
          <w:i w:val="false"/>
          <w:color w:val="000000"/>
          <w:sz w:val="28"/>
        </w:rPr>
        <w:t>
      дозозависимости эффектов;</w:t>
      </w:r>
    </w:p>
    <w:bookmarkEnd w:id="581"/>
    <w:bookmarkStart w:name="z2117" w:id="582"/>
    <w:p>
      <w:pPr>
        <w:spacing w:after="0"/>
        <w:ind w:left="0"/>
        <w:jc w:val="both"/>
      </w:pPr>
      <w:r>
        <w:rPr>
          <w:rFonts w:ascii="Times New Roman"/>
          <w:b w:val="false"/>
          <w:i w:val="false"/>
          <w:color w:val="000000"/>
          <w:sz w:val="28"/>
        </w:rPr>
        <w:t>
      времени до наступления эффектов;</w:t>
      </w:r>
    </w:p>
    <w:bookmarkEnd w:id="582"/>
    <w:bookmarkStart w:name="z2118" w:id="583"/>
    <w:p>
      <w:pPr>
        <w:spacing w:after="0"/>
        <w:ind w:left="0"/>
        <w:jc w:val="both"/>
      </w:pPr>
      <w:r>
        <w:rPr>
          <w:rFonts w:ascii="Times New Roman"/>
          <w:b w:val="false"/>
          <w:i w:val="false"/>
          <w:color w:val="000000"/>
          <w:sz w:val="28"/>
        </w:rPr>
        <w:t>
      обратимости эффектов;</w:t>
      </w:r>
    </w:p>
    <w:bookmarkEnd w:id="583"/>
    <w:bookmarkStart w:name="z2119" w:id="584"/>
    <w:p>
      <w:pPr>
        <w:spacing w:after="0"/>
        <w:ind w:left="0"/>
        <w:jc w:val="both"/>
      </w:pPr>
      <w:r>
        <w:rPr>
          <w:rFonts w:ascii="Times New Roman"/>
          <w:b w:val="false"/>
          <w:i w:val="false"/>
          <w:color w:val="000000"/>
          <w:sz w:val="28"/>
        </w:rPr>
        <w:t>
      продолжительности эффектов.</w:t>
      </w:r>
    </w:p>
    <w:bookmarkEnd w:id="584"/>
    <w:bookmarkStart w:name="z2120" w:id="585"/>
    <w:p>
      <w:pPr>
        <w:spacing w:after="0"/>
        <w:ind w:left="0"/>
        <w:jc w:val="both"/>
      </w:pPr>
      <w:r>
        <w:rPr>
          <w:rFonts w:ascii="Times New Roman"/>
          <w:b w:val="false"/>
          <w:i w:val="false"/>
          <w:color w:val="000000"/>
          <w:sz w:val="28"/>
        </w:rPr>
        <w:t>
      Для большей наглядности данные следует по возможности представлять в виде таблиц (перечней). Последующие разделы должны содержать обсуждение наиболее важных результатов исследований, включая дозозависимость наблюдаемых эффектов, их экстраполяцию на человека, а также любые иные аспекты, требующие исследования у человека. При необходимости должно быть проведено сравнение результатов исследования эффективных и нетоксических доз препарата на животных одного и того же вида (необходимо определить терапевтический индекс). Следует указать, как эти данные соотносятся с дозировками, предлагаемыми для применения у человека. Во всех случаях по возможности при проведении сравнений рекомендуется указывать концентрации препарата в крови (ткани), а не дозировки, выраженные в мг/кг.</w:t>
      </w:r>
    </w:p>
    <w:bookmarkEnd w:id="585"/>
    <w:bookmarkStart w:name="z2121" w:id="586"/>
    <w:p>
      <w:pPr>
        <w:spacing w:after="0"/>
        <w:ind w:left="0"/>
        <w:jc w:val="both"/>
      </w:pPr>
      <w:r>
        <w:rPr>
          <w:rFonts w:ascii="Times New Roman"/>
          <w:b w:val="false"/>
          <w:i w:val="false"/>
          <w:color w:val="000000"/>
          <w:sz w:val="28"/>
        </w:rPr>
        <w:t>
      а) Доклиническая фармакология.</w:t>
      </w:r>
    </w:p>
    <w:bookmarkEnd w:id="586"/>
    <w:bookmarkStart w:name="z2122" w:id="587"/>
    <w:p>
      <w:pPr>
        <w:spacing w:after="0"/>
        <w:ind w:left="0"/>
        <w:jc w:val="both"/>
      </w:pPr>
      <w:r>
        <w:rPr>
          <w:rFonts w:ascii="Times New Roman"/>
          <w:b w:val="false"/>
          <w:i w:val="false"/>
          <w:color w:val="000000"/>
          <w:sz w:val="28"/>
        </w:rPr>
        <w:t>
      Данный раздел должен включать в себя краткое описание фармакологических свойств исследуемого препарата и по возможности его основных метаболитов по результатам исследований на животных. Краткое описание должно включать в себя исследования по оценке возможной терапевтической активности (например, эффективность при экспериментальной патологии, лиганд-рецепторное взаимодействие и специфичность действия), а также исследования по оценке безопасности (например, специальные исследования для изучения иных фармакологических эффектов, не имеющих терапевтической направленности).</w:t>
      </w:r>
    </w:p>
    <w:bookmarkEnd w:id="587"/>
    <w:bookmarkStart w:name="z2123" w:id="588"/>
    <w:p>
      <w:pPr>
        <w:spacing w:after="0"/>
        <w:ind w:left="0"/>
        <w:jc w:val="both"/>
      </w:pPr>
      <w:r>
        <w:rPr>
          <w:rFonts w:ascii="Times New Roman"/>
          <w:b w:val="false"/>
          <w:i w:val="false"/>
          <w:color w:val="000000"/>
          <w:sz w:val="28"/>
        </w:rPr>
        <w:t>
      б) Фармакокинетика и метаболизм препарата у животных.</w:t>
      </w:r>
    </w:p>
    <w:bookmarkEnd w:id="588"/>
    <w:bookmarkStart w:name="z2124" w:id="589"/>
    <w:p>
      <w:pPr>
        <w:spacing w:after="0"/>
        <w:ind w:left="0"/>
        <w:jc w:val="both"/>
      </w:pPr>
      <w:r>
        <w:rPr>
          <w:rFonts w:ascii="Times New Roman"/>
          <w:b w:val="false"/>
          <w:i w:val="false"/>
          <w:color w:val="000000"/>
          <w:sz w:val="28"/>
        </w:rPr>
        <w:t>
      Данный раздел должен включать в себя краткое описание фармакокинетики, метаболизма и распределения исследуемого препарата в тканях животных всех видов, на которых проводились исследования. Должны быть освещены всасывание, местная и системная биодоступность исследуемого препарата и его метаболитов, а также их связь с данными фармакологических и токсикологических исследований на животных.</w:t>
      </w:r>
    </w:p>
    <w:bookmarkEnd w:id="589"/>
    <w:bookmarkStart w:name="z2125" w:id="590"/>
    <w:p>
      <w:pPr>
        <w:spacing w:after="0"/>
        <w:ind w:left="0"/>
        <w:jc w:val="both"/>
      </w:pPr>
      <w:r>
        <w:rPr>
          <w:rFonts w:ascii="Times New Roman"/>
          <w:b w:val="false"/>
          <w:i w:val="false"/>
          <w:color w:val="000000"/>
          <w:sz w:val="28"/>
        </w:rPr>
        <w:t>
      в) Токсикология.</w:t>
      </w:r>
    </w:p>
    <w:bookmarkEnd w:id="590"/>
    <w:bookmarkStart w:name="z2126" w:id="591"/>
    <w:p>
      <w:pPr>
        <w:spacing w:after="0"/>
        <w:ind w:left="0"/>
        <w:jc w:val="both"/>
      </w:pPr>
      <w:r>
        <w:rPr>
          <w:rFonts w:ascii="Times New Roman"/>
          <w:b w:val="false"/>
          <w:i w:val="false"/>
          <w:color w:val="000000"/>
          <w:sz w:val="28"/>
        </w:rPr>
        <w:t>
      Данный раздел должен включать в себя краткое описание токсических эффектов исследуемого препарата, выявленных в исследованиях на животных разных видов. Следует по возможности придерживаться нижеприведенной структуры оглавления данного раздела:</w:t>
      </w:r>
    </w:p>
    <w:bookmarkEnd w:id="591"/>
    <w:bookmarkStart w:name="z2127" w:id="592"/>
    <w:p>
      <w:pPr>
        <w:spacing w:after="0"/>
        <w:ind w:left="0"/>
        <w:jc w:val="both"/>
      </w:pPr>
      <w:r>
        <w:rPr>
          <w:rFonts w:ascii="Times New Roman"/>
          <w:b w:val="false"/>
          <w:i w:val="false"/>
          <w:color w:val="000000"/>
          <w:sz w:val="28"/>
        </w:rPr>
        <w:t>
      токсичность при однократном введении;</w:t>
      </w:r>
    </w:p>
    <w:bookmarkEnd w:id="592"/>
    <w:bookmarkStart w:name="z2128" w:id="593"/>
    <w:p>
      <w:pPr>
        <w:spacing w:after="0"/>
        <w:ind w:left="0"/>
        <w:jc w:val="both"/>
      </w:pPr>
      <w:r>
        <w:rPr>
          <w:rFonts w:ascii="Times New Roman"/>
          <w:b w:val="false"/>
          <w:i w:val="false"/>
          <w:color w:val="000000"/>
          <w:sz w:val="28"/>
        </w:rPr>
        <w:t>
      токсичность при многократном введении;</w:t>
      </w:r>
    </w:p>
    <w:bookmarkEnd w:id="593"/>
    <w:bookmarkStart w:name="z2129" w:id="594"/>
    <w:p>
      <w:pPr>
        <w:spacing w:after="0"/>
        <w:ind w:left="0"/>
        <w:jc w:val="both"/>
      </w:pPr>
      <w:r>
        <w:rPr>
          <w:rFonts w:ascii="Times New Roman"/>
          <w:b w:val="false"/>
          <w:i w:val="false"/>
          <w:color w:val="000000"/>
          <w:sz w:val="28"/>
        </w:rPr>
        <w:t>
      канцерогенность;</w:t>
      </w:r>
    </w:p>
    <w:bookmarkEnd w:id="594"/>
    <w:bookmarkStart w:name="z2130" w:id="595"/>
    <w:p>
      <w:pPr>
        <w:spacing w:after="0"/>
        <w:ind w:left="0"/>
        <w:jc w:val="both"/>
      </w:pPr>
      <w:r>
        <w:rPr>
          <w:rFonts w:ascii="Times New Roman"/>
          <w:b w:val="false"/>
          <w:i w:val="false"/>
          <w:color w:val="000000"/>
          <w:sz w:val="28"/>
        </w:rPr>
        <w:t>
      специальные исследования (например, местно-раздражающее действие, исследование сенсибилизирующего действия);</w:t>
      </w:r>
    </w:p>
    <w:bookmarkEnd w:id="595"/>
    <w:bookmarkStart w:name="z2131" w:id="596"/>
    <w:p>
      <w:pPr>
        <w:spacing w:after="0"/>
        <w:ind w:left="0"/>
        <w:jc w:val="both"/>
      </w:pPr>
      <w:r>
        <w:rPr>
          <w:rFonts w:ascii="Times New Roman"/>
          <w:b w:val="false"/>
          <w:i w:val="false"/>
          <w:color w:val="000000"/>
          <w:sz w:val="28"/>
        </w:rPr>
        <w:t>
      репродуктивная токсичность;</w:t>
      </w:r>
    </w:p>
    <w:bookmarkEnd w:id="596"/>
    <w:bookmarkStart w:name="z2132" w:id="597"/>
    <w:p>
      <w:pPr>
        <w:spacing w:after="0"/>
        <w:ind w:left="0"/>
        <w:jc w:val="both"/>
      </w:pPr>
      <w:r>
        <w:rPr>
          <w:rFonts w:ascii="Times New Roman"/>
          <w:b w:val="false"/>
          <w:i w:val="false"/>
          <w:color w:val="000000"/>
          <w:sz w:val="28"/>
        </w:rPr>
        <w:t>
      генотоксичность (мутагенность).</w:t>
      </w:r>
    </w:p>
    <w:bookmarkEnd w:id="597"/>
    <w:bookmarkStart w:name="z2133" w:id="598"/>
    <w:p>
      <w:pPr>
        <w:spacing w:after="0"/>
        <w:ind w:left="0"/>
        <w:jc w:val="both"/>
      </w:pPr>
      <w:r>
        <w:rPr>
          <w:rFonts w:ascii="Times New Roman"/>
          <w:b w:val="false"/>
          <w:i w:val="false"/>
          <w:color w:val="000000"/>
          <w:sz w:val="28"/>
        </w:rPr>
        <w:t>
      7.3.6. Опыт применения у человека.</w:t>
      </w:r>
    </w:p>
    <w:bookmarkEnd w:id="598"/>
    <w:bookmarkStart w:name="z2134" w:id="599"/>
    <w:p>
      <w:pPr>
        <w:spacing w:after="0"/>
        <w:ind w:left="0"/>
        <w:jc w:val="both"/>
      </w:pPr>
      <w:r>
        <w:rPr>
          <w:rFonts w:ascii="Times New Roman"/>
          <w:b w:val="false"/>
          <w:i w:val="false"/>
          <w:color w:val="000000"/>
          <w:sz w:val="28"/>
        </w:rPr>
        <w:t>
      Введение.</w:t>
      </w:r>
    </w:p>
    <w:bookmarkEnd w:id="599"/>
    <w:bookmarkStart w:name="z2135" w:id="600"/>
    <w:p>
      <w:pPr>
        <w:spacing w:after="0"/>
        <w:ind w:left="0"/>
        <w:jc w:val="both"/>
      </w:pPr>
      <w:r>
        <w:rPr>
          <w:rFonts w:ascii="Times New Roman"/>
          <w:b w:val="false"/>
          <w:i w:val="false"/>
          <w:color w:val="000000"/>
          <w:sz w:val="28"/>
        </w:rPr>
        <w:t>
      В этом разделе подробно обсуждаются известные эффекты исследуемого препарата у человека, включая информацию, относящуюся к фармакокинетике, метаболизму, фармакодинамике, дозозависимости эффектов, безопасности, эффективности, а также другим видам фармакологической активности. По возможности должно быть дано краткое описание каждого завершенного клинического исследования. Также должна быть представлена информация о результатах любого применения исследуемого препарата вне рамок клинических исследований (например, сведения, полученные во время пострегистрационного применения препарата).</w:t>
      </w:r>
    </w:p>
    <w:bookmarkEnd w:id="600"/>
    <w:bookmarkStart w:name="z2136" w:id="601"/>
    <w:p>
      <w:pPr>
        <w:spacing w:after="0"/>
        <w:ind w:left="0"/>
        <w:jc w:val="both"/>
      </w:pPr>
      <w:r>
        <w:rPr>
          <w:rFonts w:ascii="Times New Roman"/>
          <w:b w:val="false"/>
          <w:i w:val="false"/>
          <w:color w:val="000000"/>
          <w:sz w:val="28"/>
        </w:rPr>
        <w:t>
      а) Фармакокинетика и метаболизм у человека.</w:t>
      </w:r>
    </w:p>
    <w:bookmarkEnd w:id="601"/>
    <w:bookmarkStart w:name="z2137" w:id="602"/>
    <w:p>
      <w:pPr>
        <w:spacing w:after="0"/>
        <w:ind w:left="0"/>
        <w:jc w:val="both"/>
      </w:pPr>
      <w:r>
        <w:rPr>
          <w:rFonts w:ascii="Times New Roman"/>
          <w:b w:val="false"/>
          <w:i w:val="false"/>
          <w:color w:val="000000"/>
          <w:sz w:val="28"/>
        </w:rPr>
        <w:t>
      Данный раздел должен содержать краткую информацию, относящуюся к фармакокинетике исследуемого препарата, и включать в себя следующие данные при наличии:</w:t>
      </w:r>
    </w:p>
    <w:bookmarkEnd w:id="602"/>
    <w:bookmarkStart w:name="z2138" w:id="603"/>
    <w:p>
      <w:pPr>
        <w:spacing w:after="0"/>
        <w:ind w:left="0"/>
        <w:jc w:val="both"/>
      </w:pPr>
      <w:r>
        <w:rPr>
          <w:rFonts w:ascii="Times New Roman"/>
          <w:b w:val="false"/>
          <w:i w:val="false"/>
          <w:color w:val="000000"/>
          <w:sz w:val="28"/>
        </w:rPr>
        <w:t>
      фармакокинетика (в том числе метаболизм, всасывание, связывание с белками плазмы, распределение и выведение);</w:t>
      </w:r>
    </w:p>
    <w:bookmarkEnd w:id="603"/>
    <w:bookmarkStart w:name="z2139" w:id="604"/>
    <w:p>
      <w:pPr>
        <w:spacing w:after="0"/>
        <w:ind w:left="0"/>
        <w:jc w:val="both"/>
      </w:pPr>
      <w:r>
        <w:rPr>
          <w:rFonts w:ascii="Times New Roman"/>
          <w:b w:val="false"/>
          <w:i w:val="false"/>
          <w:color w:val="000000"/>
          <w:sz w:val="28"/>
        </w:rPr>
        <w:t>
      биодоступность исследуемого препарата (абсолютную по возможности и (или) относительную) с использованием определенной лекарственной формы в качестве сравнения;</w:t>
      </w:r>
    </w:p>
    <w:bookmarkEnd w:id="604"/>
    <w:bookmarkStart w:name="z2140" w:id="605"/>
    <w:p>
      <w:pPr>
        <w:spacing w:after="0"/>
        <w:ind w:left="0"/>
        <w:jc w:val="both"/>
      </w:pPr>
      <w:r>
        <w:rPr>
          <w:rFonts w:ascii="Times New Roman"/>
          <w:b w:val="false"/>
          <w:i w:val="false"/>
          <w:color w:val="000000"/>
          <w:sz w:val="28"/>
        </w:rPr>
        <w:t>
      субпопуляции населения (например, различия по полу, возрасту или нарушениям функций органов);</w:t>
      </w:r>
    </w:p>
    <w:bookmarkEnd w:id="605"/>
    <w:bookmarkStart w:name="z2141" w:id="606"/>
    <w:p>
      <w:pPr>
        <w:spacing w:after="0"/>
        <w:ind w:left="0"/>
        <w:jc w:val="both"/>
      </w:pPr>
      <w:r>
        <w:rPr>
          <w:rFonts w:ascii="Times New Roman"/>
          <w:b w:val="false"/>
          <w:i w:val="false"/>
          <w:color w:val="000000"/>
          <w:sz w:val="28"/>
        </w:rPr>
        <w:t>
      взаимодействие (например, лекарственные взаимодействия и влияние приема пищи);</w:t>
      </w:r>
    </w:p>
    <w:bookmarkEnd w:id="606"/>
    <w:bookmarkStart w:name="z2142" w:id="607"/>
    <w:p>
      <w:pPr>
        <w:spacing w:after="0"/>
        <w:ind w:left="0"/>
        <w:jc w:val="both"/>
      </w:pPr>
      <w:r>
        <w:rPr>
          <w:rFonts w:ascii="Times New Roman"/>
          <w:b w:val="false"/>
          <w:i w:val="false"/>
          <w:color w:val="000000"/>
          <w:sz w:val="28"/>
        </w:rPr>
        <w:t>
      другие данные по фармакокинетике (например, результаты проведенных в рамках клинических исследований фармакокинетических исследований на различных группах).</w:t>
      </w:r>
    </w:p>
    <w:bookmarkEnd w:id="607"/>
    <w:bookmarkStart w:name="z2143" w:id="608"/>
    <w:p>
      <w:pPr>
        <w:spacing w:after="0"/>
        <w:ind w:left="0"/>
        <w:jc w:val="both"/>
      </w:pPr>
      <w:r>
        <w:rPr>
          <w:rFonts w:ascii="Times New Roman"/>
          <w:b w:val="false"/>
          <w:i w:val="false"/>
          <w:color w:val="000000"/>
          <w:sz w:val="28"/>
        </w:rPr>
        <w:t>
      б) Безопасность и эффективность.</w:t>
      </w:r>
    </w:p>
    <w:bookmarkEnd w:id="608"/>
    <w:bookmarkStart w:name="z2144" w:id="609"/>
    <w:p>
      <w:pPr>
        <w:spacing w:after="0"/>
        <w:ind w:left="0"/>
        <w:jc w:val="both"/>
      </w:pPr>
      <w:r>
        <w:rPr>
          <w:rFonts w:ascii="Times New Roman"/>
          <w:b w:val="false"/>
          <w:i w:val="false"/>
          <w:color w:val="000000"/>
          <w:sz w:val="28"/>
        </w:rPr>
        <w:t>
      Кратко должна быть представлена информация, относящаяся к безопасности, фармакодинамике, эффективности и дозозависимости эффектов исследуемого препарата (и его метаболитов, если имеются данные) и полученная в ходе проведенных клинических исследований (с участием здоровых добровольцев и (или) пациентов). Должна быть представлена интерпретация информации. В случае если часть клинических исследований уже завершена, для более ясного восприятия данных рекомендуется представить по законченным исследованиям сводные отчеты по эффективности и безопасности исследуемого препарата по отдельным показаниям у различных популяций. Также следует использовать сводные таблицы, содержащие информацию о нежелательных реакциях по всем клиническим исследованиям (включая исследования для любых изучавшихся показаний). Должны быть освещены значимые различия в характере (частоте) нежелательных реакций как для различных показаний, так и для различных популяций.</w:t>
      </w:r>
    </w:p>
    <w:bookmarkEnd w:id="609"/>
    <w:bookmarkStart w:name="z2145" w:id="610"/>
    <w:p>
      <w:pPr>
        <w:spacing w:after="0"/>
        <w:ind w:left="0"/>
        <w:jc w:val="both"/>
      </w:pPr>
      <w:r>
        <w:rPr>
          <w:rFonts w:ascii="Times New Roman"/>
          <w:b w:val="false"/>
          <w:i w:val="false"/>
          <w:color w:val="000000"/>
          <w:sz w:val="28"/>
        </w:rPr>
        <w:t>
      В брошюре исследователя должны быть описаны возможные риски и нежелательные реакции, которые можно ожидать на основании накопленного опыта применения как исследуемого препарата, так и сходных с ним препаратов. Также должны быть описаны меры предосторожности или специальные методы наблюдения, которые необходимо применять при использовании препарата в исследовательских целях.</w:t>
      </w:r>
    </w:p>
    <w:bookmarkEnd w:id="610"/>
    <w:bookmarkStart w:name="z2146" w:id="611"/>
    <w:p>
      <w:pPr>
        <w:spacing w:after="0"/>
        <w:ind w:left="0"/>
        <w:jc w:val="both"/>
      </w:pPr>
      <w:r>
        <w:rPr>
          <w:rFonts w:ascii="Times New Roman"/>
          <w:b w:val="false"/>
          <w:i w:val="false"/>
          <w:color w:val="000000"/>
          <w:sz w:val="28"/>
        </w:rPr>
        <w:t>
      в) Пострегистрационный опыт применения.</w:t>
      </w:r>
    </w:p>
    <w:bookmarkEnd w:id="611"/>
    <w:bookmarkStart w:name="z2147" w:id="612"/>
    <w:p>
      <w:pPr>
        <w:spacing w:after="0"/>
        <w:ind w:left="0"/>
        <w:jc w:val="both"/>
      </w:pPr>
      <w:r>
        <w:rPr>
          <w:rFonts w:ascii="Times New Roman"/>
          <w:b w:val="false"/>
          <w:i w:val="false"/>
          <w:color w:val="000000"/>
          <w:sz w:val="28"/>
        </w:rPr>
        <w:t>
      В брошюре исследователя должны быть указаны страны, в которых исследуемый препарат уже имеется в продаже или был зарегистрирован. Любая значимая информация, полученная в ходе пострегистрационного применения препарата, должна быть представлена в обобщенном виде (например, лекарственные формы, дозировки, пути введения и нежелательные реакции). Кроме того, в брошюре исследователя должны быть указаны страны, в которых заявителю было отказано в одобрении (регистрации) препарата для коммерческого применения или разрешение на продажу (регистрационное удостоверение) было аннулировано.</w:t>
      </w:r>
    </w:p>
    <w:bookmarkEnd w:id="612"/>
    <w:bookmarkStart w:name="z2148" w:id="613"/>
    <w:p>
      <w:pPr>
        <w:spacing w:after="0"/>
        <w:ind w:left="0"/>
        <w:jc w:val="both"/>
      </w:pPr>
      <w:r>
        <w:rPr>
          <w:rFonts w:ascii="Times New Roman"/>
          <w:b w:val="false"/>
          <w:i w:val="false"/>
          <w:color w:val="000000"/>
          <w:sz w:val="28"/>
        </w:rPr>
        <w:t>
      7.3.7. Обсуждение данных и инструкции для исследователя.</w:t>
      </w:r>
    </w:p>
    <w:bookmarkEnd w:id="613"/>
    <w:bookmarkStart w:name="z2149" w:id="614"/>
    <w:p>
      <w:pPr>
        <w:spacing w:after="0"/>
        <w:ind w:left="0"/>
        <w:jc w:val="both"/>
      </w:pPr>
      <w:r>
        <w:rPr>
          <w:rFonts w:ascii="Times New Roman"/>
          <w:b w:val="false"/>
          <w:i w:val="false"/>
          <w:color w:val="000000"/>
          <w:sz w:val="28"/>
        </w:rPr>
        <w:t>
      В этом разделе должно быть представлено обсуждение доклинических и клинических данных и обобщена информация, полученная из разных источников в отношении различных свойств исследуемого препарата. Таким образом, исследователю предоставляются наиболее информативная интерпретация имеющихся данных, а также выводы о значимости этой информации для последующих клинических исследований.</w:t>
      </w:r>
    </w:p>
    <w:bookmarkEnd w:id="614"/>
    <w:bookmarkStart w:name="z2150" w:id="615"/>
    <w:p>
      <w:pPr>
        <w:spacing w:after="0"/>
        <w:ind w:left="0"/>
        <w:jc w:val="both"/>
      </w:pPr>
      <w:r>
        <w:rPr>
          <w:rFonts w:ascii="Times New Roman"/>
          <w:b w:val="false"/>
          <w:i w:val="false"/>
          <w:color w:val="000000"/>
          <w:sz w:val="28"/>
        </w:rPr>
        <w:t>
      Должны быть кратко описаны опубликованные работы по сходным препаратам, если такие препараты имеются. Это позволит исследователю быть готовым к нежелательным реакциям или другим проблемам, которые могут возникнуть в ходе клинических исследований.</w:t>
      </w:r>
    </w:p>
    <w:bookmarkEnd w:id="615"/>
    <w:bookmarkStart w:name="z2151" w:id="616"/>
    <w:p>
      <w:pPr>
        <w:spacing w:after="0"/>
        <w:ind w:left="0"/>
        <w:jc w:val="both"/>
      </w:pPr>
      <w:r>
        <w:rPr>
          <w:rFonts w:ascii="Times New Roman"/>
          <w:b w:val="false"/>
          <w:i w:val="false"/>
          <w:color w:val="000000"/>
          <w:sz w:val="28"/>
        </w:rPr>
        <w:t>
      Основная цель данного раздела заключается в том, чтобы помочь исследователю получить четкое представление о возможных рисках и нежелательных реакциях, а также о специальных тестах, методах наблюдения и мерах предосторожности, которые могут понадобиться в ходе клинического исследования. Это представление должно быть основано на доступной информации о физических, химических, фармацевтических, фармакологических, токсикологических и клинических свойствах исследуемого препарата. Клиническому исследователю также должны быть предоставлены инструкции по диагностике и лечению возможных передозировок и нежелательных реакций, которые основаны на предыдущем клиническом опыте и фармакологических свойствах исследуемого препарата.</w:t>
      </w:r>
    </w:p>
    <w:bookmarkEnd w:id="616"/>
    <w:bookmarkStart w:name="z2152" w:id="617"/>
    <w:p>
      <w:pPr>
        <w:spacing w:after="0"/>
        <w:ind w:left="0"/>
        <w:jc w:val="left"/>
      </w:pPr>
      <w:r>
        <w:rPr>
          <w:rFonts w:ascii="Times New Roman"/>
          <w:b/>
          <w:i w:val="false"/>
          <w:color w:val="000000"/>
        </w:rPr>
        <w:t xml:space="preserve"> 8. Перечень основных документов клинического исследования</w:t>
      </w:r>
    </w:p>
    <w:bookmarkEnd w:id="617"/>
    <w:bookmarkStart w:name="z2153" w:id="618"/>
    <w:p>
      <w:pPr>
        <w:spacing w:after="0"/>
        <w:ind w:left="0"/>
        <w:jc w:val="both"/>
      </w:pPr>
      <w:r>
        <w:rPr>
          <w:rFonts w:ascii="Times New Roman"/>
          <w:b w:val="false"/>
          <w:i w:val="false"/>
          <w:color w:val="000000"/>
          <w:sz w:val="28"/>
        </w:rPr>
        <w:t>
      8.1. Введение.</w:t>
      </w:r>
    </w:p>
    <w:bookmarkEnd w:id="618"/>
    <w:bookmarkStart w:name="z2154" w:id="619"/>
    <w:p>
      <w:pPr>
        <w:spacing w:after="0"/>
        <w:ind w:left="0"/>
        <w:jc w:val="both"/>
      </w:pPr>
      <w:r>
        <w:rPr>
          <w:rFonts w:ascii="Times New Roman"/>
          <w:b w:val="false"/>
          <w:i w:val="false"/>
          <w:color w:val="000000"/>
          <w:sz w:val="28"/>
        </w:rPr>
        <w:t>
      Основными документами клинического исследования являются документы, которые позволяют (по отдельности или в совокупности) оценить проведение исследования и качество полученных данных. Эти документы служат доказательством соблюдения исследователем, спонсором и монитором принципов надлежащей клинической практики и применимых требований.</w:t>
      </w:r>
    </w:p>
    <w:bookmarkEnd w:id="619"/>
    <w:bookmarkStart w:name="z2155" w:id="620"/>
    <w:p>
      <w:pPr>
        <w:spacing w:after="0"/>
        <w:ind w:left="0"/>
        <w:jc w:val="both"/>
      </w:pPr>
      <w:r>
        <w:rPr>
          <w:rFonts w:ascii="Times New Roman"/>
          <w:b w:val="false"/>
          <w:i w:val="false"/>
          <w:color w:val="000000"/>
          <w:sz w:val="28"/>
        </w:rPr>
        <w:t>
      Основные документы используются также в иных целях. Своевременное помещение основных документов в файлы исследователя (медицинской организации) и спонсора может способствовать успешному выполнению в рамках клинического исследования своих функций исследователем, спонсором и монитором. Кроме того, эти документы обычно являются объектом независимого аудита со стороны спонсора и инспекции со стороны уполномоченных органов в связи с тем, что они являются частью процесса подтверждения законности проведения исследования и достоверности собранных данных.</w:t>
      </w:r>
    </w:p>
    <w:bookmarkEnd w:id="620"/>
    <w:bookmarkStart w:name="z2156" w:id="621"/>
    <w:p>
      <w:pPr>
        <w:spacing w:after="0"/>
        <w:ind w:left="0"/>
        <w:jc w:val="both"/>
      </w:pPr>
      <w:r>
        <w:rPr>
          <w:rFonts w:ascii="Times New Roman"/>
          <w:b w:val="false"/>
          <w:i w:val="false"/>
          <w:color w:val="000000"/>
          <w:sz w:val="28"/>
        </w:rPr>
        <w:t>
      Ниже приведен минимальный перечень основных документов. Документы сгруппированы в 3 раздела в зависимости от стадии клинического исследования, во время которой они обычно создаются:</w:t>
      </w:r>
    </w:p>
    <w:bookmarkEnd w:id="621"/>
    <w:bookmarkStart w:name="z2157" w:id="622"/>
    <w:p>
      <w:pPr>
        <w:spacing w:after="0"/>
        <w:ind w:left="0"/>
        <w:jc w:val="both"/>
      </w:pPr>
      <w:r>
        <w:rPr>
          <w:rFonts w:ascii="Times New Roman"/>
          <w:b w:val="false"/>
          <w:i w:val="false"/>
          <w:color w:val="000000"/>
          <w:sz w:val="28"/>
        </w:rPr>
        <w:t>
      1) перед началом клинической фазы исследования (в соответствии с пунктом 8.2 настоящих Правил);</w:t>
      </w:r>
    </w:p>
    <w:bookmarkEnd w:id="622"/>
    <w:bookmarkStart w:name="z2158" w:id="623"/>
    <w:p>
      <w:pPr>
        <w:spacing w:after="0"/>
        <w:ind w:left="0"/>
        <w:jc w:val="both"/>
      </w:pPr>
      <w:r>
        <w:rPr>
          <w:rFonts w:ascii="Times New Roman"/>
          <w:b w:val="false"/>
          <w:i w:val="false"/>
          <w:color w:val="000000"/>
          <w:sz w:val="28"/>
        </w:rPr>
        <w:t>
      2) во время клинической фазы исследования (в соответствии с пунктом 8.3 настоящих Правил);</w:t>
      </w:r>
    </w:p>
    <w:bookmarkEnd w:id="623"/>
    <w:bookmarkStart w:name="z2159" w:id="624"/>
    <w:p>
      <w:pPr>
        <w:spacing w:after="0"/>
        <w:ind w:left="0"/>
        <w:jc w:val="both"/>
      </w:pPr>
      <w:r>
        <w:rPr>
          <w:rFonts w:ascii="Times New Roman"/>
          <w:b w:val="false"/>
          <w:i w:val="false"/>
          <w:color w:val="000000"/>
          <w:sz w:val="28"/>
        </w:rPr>
        <w:t>
      3) после завершения или преждевременного прекращения исследования (в соответствии с пунктом 8.4 настоящих Правил).</w:t>
      </w:r>
    </w:p>
    <w:bookmarkEnd w:id="624"/>
    <w:bookmarkStart w:name="z2160" w:id="625"/>
    <w:p>
      <w:pPr>
        <w:spacing w:after="0"/>
        <w:ind w:left="0"/>
        <w:jc w:val="both"/>
      </w:pPr>
      <w:r>
        <w:rPr>
          <w:rFonts w:ascii="Times New Roman"/>
          <w:b w:val="false"/>
          <w:i w:val="false"/>
          <w:color w:val="000000"/>
          <w:sz w:val="28"/>
        </w:rPr>
        <w:t>
      В указанных ниже подпунктах подраздела 8 настоящего раздела указаны цели каждого документа и место их хранения (в файлах исследователя (медицинской организации) и (или) спонсора). Допускается объединение некоторых документов при условии, что отдельные элементы легко идентифицируются.</w:t>
      </w:r>
    </w:p>
    <w:bookmarkEnd w:id="625"/>
    <w:bookmarkStart w:name="z2161" w:id="626"/>
    <w:p>
      <w:pPr>
        <w:spacing w:after="0"/>
        <w:ind w:left="0"/>
        <w:jc w:val="both"/>
      </w:pPr>
      <w:r>
        <w:rPr>
          <w:rFonts w:ascii="Times New Roman"/>
          <w:b w:val="false"/>
          <w:i w:val="false"/>
          <w:color w:val="000000"/>
          <w:sz w:val="28"/>
        </w:rPr>
        <w:t>
      Файлы исследования должны быть созданы в начале исследования как в месте нахождения исследователя (медицинской организации), так и в офисе спонсора. Исследование можно считать официально завершенным только после того, как монитор проверит файлы исследователя (медицинской организации) и спонсора и подтвердит наличие всех необходимых документов в соответствующих файлах.</w:t>
      </w:r>
    </w:p>
    <w:bookmarkEnd w:id="626"/>
    <w:bookmarkStart w:name="z2162" w:id="627"/>
    <w:p>
      <w:pPr>
        <w:spacing w:after="0"/>
        <w:ind w:left="0"/>
        <w:jc w:val="both"/>
      </w:pPr>
      <w:r>
        <w:rPr>
          <w:rFonts w:ascii="Times New Roman"/>
          <w:b w:val="false"/>
          <w:i w:val="false"/>
          <w:color w:val="000000"/>
          <w:sz w:val="28"/>
        </w:rPr>
        <w:t>
      Перечисленные в настоящих Правилах документы как по отдельности, так и в совокупности могут быть подвергнуты аудиту спонсора и инспекции (проверке) уполномоченными органами и должны быть предъявлены при проведении аудита или инспекции.</w:t>
      </w:r>
    </w:p>
    <w:bookmarkEnd w:id="627"/>
    <w:bookmarkStart w:name="z2163" w:id="628"/>
    <w:p>
      <w:pPr>
        <w:spacing w:after="0"/>
        <w:ind w:left="0"/>
        <w:jc w:val="both"/>
      </w:pPr>
      <w:r>
        <w:rPr>
          <w:rFonts w:ascii="Times New Roman"/>
          <w:b w:val="false"/>
          <w:i w:val="false"/>
          <w:color w:val="000000"/>
          <w:sz w:val="28"/>
        </w:rPr>
        <w:t>
      Спонсор и исследователь (медицинская организация) обязаны вести документацию о местоположении (месте хранения) имеющихся у них основных документов клинического исследования, включая первичную документацию. Система хранения, используемая во время исследования и для целей архивации (независимо от типа используемого носителя), должна обеспечивать возможность идентификации, прослеживаемость истории версий, поиск и извлечение документов.</w:t>
      </w:r>
    </w:p>
    <w:bookmarkEnd w:id="628"/>
    <w:bookmarkStart w:name="z2164" w:id="629"/>
    <w:p>
      <w:pPr>
        <w:spacing w:after="0"/>
        <w:ind w:left="0"/>
        <w:jc w:val="both"/>
      </w:pPr>
      <w:r>
        <w:rPr>
          <w:rFonts w:ascii="Times New Roman"/>
          <w:b w:val="false"/>
          <w:i w:val="false"/>
          <w:color w:val="000000"/>
          <w:sz w:val="28"/>
        </w:rPr>
        <w:t>
      Состав основных документов исследования надлежит дополнять либо допускается сокращать (если это обосновано до начала исследования), основываясь на важности и значимости конкретных документов для исследования.</w:t>
      </w:r>
    </w:p>
    <w:bookmarkEnd w:id="629"/>
    <w:bookmarkStart w:name="z2165" w:id="630"/>
    <w:p>
      <w:pPr>
        <w:spacing w:after="0"/>
        <w:ind w:left="0"/>
        <w:jc w:val="both"/>
      </w:pPr>
      <w:r>
        <w:rPr>
          <w:rFonts w:ascii="Times New Roman"/>
          <w:b w:val="false"/>
          <w:i w:val="false"/>
          <w:color w:val="000000"/>
          <w:sz w:val="28"/>
        </w:rPr>
        <w:t>
      Спонсор обязан убедиться в том, что исследователь контролирует данные индивидуальной регистрационной карты, переданные спонсору, и располагает постоянным доступом к ним. Спонсор не вправе устанавливать исключительный контроль над этими данными.</w:t>
      </w:r>
    </w:p>
    <w:bookmarkEnd w:id="630"/>
    <w:bookmarkStart w:name="z2166" w:id="631"/>
    <w:p>
      <w:pPr>
        <w:spacing w:after="0"/>
        <w:ind w:left="0"/>
        <w:jc w:val="both"/>
      </w:pPr>
      <w:r>
        <w:rPr>
          <w:rFonts w:ascii="Times New Roman"/>
          <w:b w:val="false"/>
          <w:i w:val="false"/>
          <w:color w:val="000000"/>
          <w:sz w:val="28"/>
        </w:rPr>
        <w:t>
      Если вместо оригиналов документов используются их копии (например, первичных документов, индивидуальной регистрационной карты), они должны соответствовать требованиям, предъявляемым к заверенным копиям.</w:t>
      </w:r>
    </w:p>
    <w:bookmarkEnd w:id="631"/>
    <w:bookmarkStart w:name="z2167" w:id="632"/>
    <w:p>
      <w:pPr>
        <w:spacing w:after="0"/>
        <w:ind w:left="0"/>
        <w:jc w:val="both"/>
      </w:pPr>
      <w:r>
        <w:rPr>
          <w:rFonts w:ascii="Times New Roman"/>
          <w:b w:val="false"/>
          <w:i w:val="false"/>
          <w:color w:val="000000"/>
          <w:sz w:val="28"/>
        </w:rPr>
        <w:t>
      Исследователь (медицинская организация) обязан осуществлять контроль за всеми основными документами и записями, созданными им до, во время и после исследования.</w:t>
      </w:r>
    </w:p>
    <w:bookmarkEnd w:id="632"/>
    <w:bookmarkStart w:name="z2168" w:id="633"/>
    <w:p>
      <w:pPr>
        <w:spacing w:after="0"/>
        <w:ind w:left="0"/>
        <w:jc w:val="left"/>
      </w:pPr>
      <w:r>
        <w:rPr>
          <w:rFonts w:ascii="Times New Roman"/>
          <w:b/>
          <w:i w:val="false"/>
          <w:color w:val="000000"/>
        </w:rPr>
        <w:t xml:space="preserve"> 8.2. Перед началом клинической фазы исследования</w:t>
      </w:r>
    </w:p>
    <w:bookmarkEnd w:id="633"/>
    <w:bookmarkStart w:name="z2169" w:id="634"/>
    <w:p>
      <w:pPr>
        <w:spacing w:after="0"/>
        <w:ind w:left="0"/>
        <w:jc w:val="both"/>
      </w:pPr>
      <w:r>
        <w:rPr>
          <w:rFonts w:ascii="Times New Roman"/>
          <w:b w:val="false"/>
          <w:i w:val="false"/>
          <w:color w:val="000000"/>
          <w:sz w:val="28"/>
        </w:rPr>
        <w:t>
      На стадии планирования исследования до его формального начала должны быть созданы и помещены в файл следующие документы:</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63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документа</w:t>
            </w:r>
          </w:p>
          <w:bookmarkEnd w:id="635"/>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Находится в файлах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исследователя (медицинской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636"/>
          <w:p>
            <w:pPr>
              <w:spacing w:after="20"/>
              <w:ind w:left="20"/>
              <w:jc w:val="both"/>
            </w:pPr>
            <w:r>
              <w:rPr>
                <w:rFonts w:ascii="Times New Roman"/>
                <w:b w:val="false"/>
                <w:i w:val="false"/>
                <w:color w:val="000000"/>
                <w:sz w:val="20"/>
              </w:rPr>
              <w:t>
</w:t>
            </w:r>
            <w:r>
              <w:rPr>
                <w:rFonts w:ascii="Times New Roman"/>
                <w:b w:val="false"/>
                <w:i w:val="false"/>
                <w:color w:val="000000"/>
                <w:sz w:val="20"/>
              </w:rPr>
              <w:t>8.2.1. Брошюра исследователя</w:t>
            </w:r>
          </w:p>
          <w:bookmarkEnd w:id="6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факт передачи исследователю необходимой и актуальной научной информации об исследуемом препарате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637"/>
          <w:p>
            <w:pPr>
              <w:spacing w:after="20"/>
              <w:ind w:left="20"/>
              <w:jc w:val="both"/>
            </w:pPr>
            <w:r>
              <w:rPr>
                <w:rFonts w:ascii="Times New Roman"/>
                <w:b w:val="false"/>
                <w:i w:val="false"/>
                <w:color w:val="000000"/>
                <w:sz w:val="20"/>
              </w:rPr>
              <w:t>
X</w:t>
            </w:r>
          </w:p>
          <w:bookmarkEnd w:id="63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638"/>
          <w:p>
            <w:pPr>
              <w:spacing w:after="20"/>
              <w:ind w:left="20"/>
              <w:jc w:val="both"/>
            </w:pPr>
            <w:r>
              <w:rPr>
                <w:rFonts w:ascii="Times New Roman"/>
                <w:b w:val="false"/>
                <w:i w:val="false"/>
                <w:color w:val="000000"/>
                <w:sz w:val="20"/>
              </w:rPr>
              <w:t>
</w:t>
            </w:r>
            <w:r>
              <w:rPr>
                <w:rFonts w:ascii="Times New Roman"/>
                <w:b w:val="false"/>
                <w:i w:val="false"/>
                <w:color w:val="000000"/>
                <w:sz w:val="20"/>
              </w:rPr>
              <w:t>8.2.2. Документы планирования клинического исследования: подписанный протокол, подписанные поправки к нему (при наличии), образец индивидуальной регистрационной карты</w:t>
            </w:r>
          </w:p>
          <w:bookmarkEnd w:id="6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факт утверждения спонсором и исследователем протокола (поправок) и индивидуальной регистрационной карты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639"/>
          <w:p>
            <w:pPr>
              <w:spacing w:after="20"/>
              <w:ind w:left="20"/>
              <w:jc w:val="both"/>
            </w:pPr>
            <w:r>
              <w:rPr>
                <w:rFonts w:ascii="Times New Roman"/>
                <w:b w:val="false"/>
                <w:i w:val="false"/>
                <w:color w:val="000000"/>
                <w:sz w:val="20"/>
              </w:rPr>
              <w:t>
</w:t>
            </w:r>
            <w:r>
              <w:rPr>
                <w:rFonts w:ascii="Times New Roman"/>
                <w:b w:val="false"/>
                <w:i w:val="false"/>
                <w:color w:val="000000"/>
                <w:sz w:val="20"/>
              </w:rPr>
              <w:t>8.2.3. Информация, предоставляемая субъекту исследования:</w:t>
            </w:r>
          </w:p>
          <w:bookmarkEnd w:id="639"/>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оформить факт получения информированного согласия, документально подтвердить, что субъектам исследования будет предоставлена соответствующая (с точки зрения содержания и доступности для понимания) письменная информация, которая поможет им с учетом полной информированности дать согласие. Документально подтвердить, что меры по привлечению субъектов адекватны и отсутствует элемент принуждения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640"/>
          <w:p>
            <w:pPr>
              <w:spacing w:after="20"/>
              <w:ind w:left="20"/>
              <w:jc w:val="both"/>
            </w:pPr>
            <w:r>
              <w:rPr>
                <w:rFonts w:ascii="Times New Roman"/>
                <w:b w:val="false"/>
                <w:i w:val="false"/>
                <w:color w:val="000000"/>
                <w:sz w:val="20"/>
              </w:rPr>
              <w:t>
</w:t>
            </w:r>
            <w:r>
              <w:rPr>
                <w:rFonts w:ascii="Times New Roman"/>
                <w:b w:val="false"/>
                <w:i w:val="false"/>
                <w:color w:val="000000"/>
                <w:sz w:val="20"/>
              </w:rPr>
              <w:t>- форма информированного согласия (включая все необходимые разъяснительные материалы);</w:t>
            </w:r>
          </w:p>
          <w:bookmarkEnd w:id="640"/>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641"/>
          <w:p>
            <w:pPr>
              <w:spacing w:after="20"/>
              <w:ind w:left="20"/>
              <w:jc w:val="both"/>
            </w:pPr>
            <w:r>
              <w:rPr>
                <w:rFonts w:ascii="Times New Roman"/>
                <w:b w:val="false"/>
                <w:i w:val="false"/>
                <w:color w:val="000000"/>
                <w:sz w:val="20"/>
              </w:rPr>
              <w:t>
</w:t>
            </w:r>
            <w:r>
              <w:rPr>
                <w:rFonts w:ascii="Times New Roman"/>
                <w:b w:val="false"/>
                <w:i w:val="false"/>
                <w:color w:val="000000"/>
                <w:sz w:val="20"/>
              </w:rPr>
              <w:t>- любая другая письменная информация;</w:t>
            </w:r>
          </w:p>
          <w:bookmarkEnd w:id="641"/>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6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рекламные объявления для привлечения субъектов в исследование </w:t>
            </w:r>
          </w:p>
          <w:bookmarkEnd w:id="642"/>
          <w:p>
            <w:pPr>
              <w:spacing w:after="20"/>
              <w:ind w:left="20"/>
              <w:jc w:val="both"/>
            </w:pPr>
            <w:r>
              <w:rPr>
                <w:rFonts w:ascii="Times New Roman"/>
                <w:b w:val="false"/>
                <w:i w:val="false"/>
                <w:color w:val="000000"/>
                <w:sz w:val="20"/>
              </w:rPr>
              <w:t>(если используются)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643"/>
          <w:p>
            <w:pPr>
              <w:spacing w:after="20"/>
              <w:ind w:left="20"/>
              <w:jc w:val="both"/>
            </w:pPr>
            <w:r>
              <w:rPr>
                <w:rFonts w:ascii="Times New Roman"/>
                <w:b w:val="false"/>
                <w:i w:val="false"/>
                <w:color w:val="000000"/>
                <w:sz w:val="20"/>
              </w:rPr>
              <w:t>
</w:t>
            </w:r>
            <w:r>
              <w:rPr>
                <w:rFonts w:ascii="Times New Roman"/>
                <w:b w:val="false"/>
                <w:i w:val="false"/>
                <w:color w:val="000000"/>
                <w:sz w:val="20"/>
              </w:rPr>
              <w:t>8.2.4. Финансовые аспекты исследования</w:t>
            </w:r>
          </w:p>
          <w:bookmarkEnd w:id="6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финансовое соглашение по исследованию между спонсором и исследователем (медицинской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644"/>
          <w:p>
            <w:pPr>
              <w:spacing w:after="20"/>
              <w:ind w:left="20"/>
              <w:jc w:val="both"/>
            </w:pPr>
            <w:r>
              <w:rPr>
                <w:rFonts w:ascii="Times New Roman"/>
                <w:b w:val="false"/>
                <w:i w:val="false"/>
                <w:color w:val="000000"/>
                <w:sz w:val="20"/>
              </w:rPr>
              <w:t>
</w:t>
            </w:r>
            <w:r>
              <w:rPr>
                <w:rFonts w:ascii="Times New Roman"/>
                <w:b w:val="false"/>
                <w:i w:val="false"/>
                <w:color w:val="000000"/>
                <w:sz w:val="20"/>
              </w:rPr>
              <w:t>8.2.5. Страховое обязательство (если требуется)</w:t>
            </w:r>
          </w:p>
          <w:bookmarkEnd w:id="6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подтвердить, что в случае причинения ущерба, связанного с исследованием, субъектам исследования будет доступна компенсация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645"/>
          <w:p>
            <w:pPr>
              <w:spacing w:after="20"/>
              <w:ind w:left="20"/>
              <w:jc w:val="both"/>
            </w:pPr>
            <w:r>
              <w:rPr>
                <w:rFonts w:ascii="Times New Roman"/>
                <w:b w:val="false"/>
                <w:i w:val="false"/>
                <w:color w:val="000000"/>
                <w:sz w:val="20"/>
              </w:rPr>
              <w:t>
</w:t>
            </w:r>
            <w:r>
              <w:rPr>
                <w:rFonts w:ascii="Times New Roman"/>
                <w:b w:val="false"/>
                <w:i w:val="false"/>
                <w:color w:val="000000"/>
                <w:sz w:val="20"/>
              </w:rPr>
              <w:t>8.2.6. Подписанный договор вовлеченных сторон, например:</w:t>
            </w:r>
          </w:p>
          <w:bookmarkEnd w:id="645"/>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права, обязанности и отношения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6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между исследователем (медицинской организацией) </w:t>
            </w:r>
          </w:p>
          <w:bookmarkEnd w:id="646"/>
          <w:p>
            <w:pPr>
              <w:spacing w:after="20"/>
              <w:ind w:left="20"/>
              <w:jc w:val="both"/>
            </w:pPr>
            <w:r>
              <w:rPr>
                <w:rFonts w:ascii="Times New Roman"/>
                <w:b w:val="false"/>
                <w:i w:val="false"/>
                <w:color w:val="000000"/>
                <w:sz w:val="20"/>
              </w:rPr>
              <w:t>и спонсором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6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между исследователем (медицинской организацией) </w:t>
            </w:r>
          </w:p>
          <w:bookmarkEnd w:id="647"/>
          <w:p>
            <w:pPr>
              <w:spacing w:after="20"/>
              <w:ind w:left="20"/>
              <w:jc w:val="both"/>
            </w:pPr>
            <w:r>
              <w:rPr>
                <w:rFonts w:ascii="Times New Roman"/>
                <w:b w:val="false"/>
                <w:i w:val="false"/>
                <w:color w:val="000000"/>
                <w:sz w:val="20"/>
              </w:rPr>
              <w:t>и контрактной исследовательской организацией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648"/>
          <w:p>
            <w:pPr>
              <w:spacing w:after="20"/>
              <w:ind w:left="20"/>
              <w:jc w:val="both"/>
            </w:pPr>
            <w:r>
              <w:rPr>
                <w:rFonts w:ascii="Times New Roman"/>
                <w:b w:val="false"/>
                <w:i w:val="false"/>
                <w:color w:val="000000"/>
                <w:sz w:val="20"/>
              </w:rPr>
              <w:t>
X</w:t>
            </w:r>
          </w:p>
          <w:bookmarkEnd w:id="648"/>
          <w:p>
            <w:pPr>
              <w:spacing w:after="20"/>
              <w:ind w:left="20"/>
              <w:jc w:val="both"/>
            </w:pPr>
            <w:r>
              <w:rPr>
                <w:rFonts w:ascii="Times New Roman"/>
                <w:b w:val="false"/>
                <w:i w:val="false"/>
                <w:color w:val="000000"/>
                <w:sz w:val="20"/>
              </w:rPr>
              <w:t>
(если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6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между спонсором </w:t>
            </w:r>
          </w:p>
          <w:bookmarkEnd w:id="649"/>
          <w:p>
            <w:pPr>
              <w:spacing w:after="20"/>
              <w:ind w:left="20"/>
              <w:jc w:val="both"/>
            </w:pPr>
            <w:r>
              <w:rPr>
                <w:rFonts w:ascii="Times New Roman"/>
                <w:b w:val="false"/>
                <w:i w:val="false"/>
                <w:color w:val="000000"/>
                <w:sz w:val="20"/>
              </w:rPr>
              <w:t>и контрактной исследовательской организацией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6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между исследователем (медицинской организацией) </w:t>
            </w:r>
          </w:p>
          <w:bookmarkEnd w:id="650"/>
          <w:p>
            <w:pPr>
              <w:spacing w:after="20"/>
              <w:ind w:left="20"/>
              <w:jc w:val="both"/>
            </w:pPr>
            <w:r>
              <w:rPr>
                <w:rFonts w:ascii="Times New Roman"/>
                <w:b w:val="false"/>
                <w:i w:val="false"/>
                <w:color w:val="000000"/>
                <w:sz w:val="20"/>
              </w:rPr>
              <w:t xml:space="preserve">
и уполномоченными органами </w:t>
            </w:r>
          </w:p>
          <w:p>
            <w:pPr>
              <w:spacing w:after="20"/>
              <w:ind w:left="20"/>
              <w:jc w:val="both"/>
            </w:pPr>
            <w:r>
              <w:rPr>
                <w:rFonts w:ascii="Times New Roman"/>
                <w:b w:val="false"/>
                <w:i w:val="false"/>
                <w:color w:val="000000"/>
                <w:sz w:val="20"/>
              </w:rPr>
              <w:t>(если требуется)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651"/>
          <w:p>
            <w:pPr>
              <w:spacing w:after="20"/>
              <w:ind w:left="20"/>
              <w:jc w:val="both"/>
            </w:pPr>
            <w:r>
              <w:rPr>
                <w:rFonts w:ascii="Times New Roman"/>
                <w:b w:val="false"/>
                <w:i w:val="false"/>
                <w:color w:val="000000"/>
                <w:sz w:val="20"/>
              </w:rPr>
              <w:t>
</w:t>
            </w:r>
            <w:r>
              <w:rPr>
                <w:rFonts w:ascii="Times New Roman"/>
                <w:b w:val="false"/>
                <w:i w:val="false"/>
                <w:color w:val="000000"/>
                <w:sz w:val="20"/>
              </w:rPr>
              <w:t>8.2.7. Датированное и документально оформленное одобрение (заключение) ЭСО (НЭК), Комиссией по вопросам этики (КВЭ) следующих документов:</w:t>
            </w:r>
          </w:p>
          <w:bookmarkEnd w:id="651"/>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подтвердить, что данное исследование было рассмотрено и разрешено (одобрено) ЭСО (НЭК). Указывается номер версии и дата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652"/>
          <w:p>
            <w:pPr>
              <w:spacing w:after="20"/>
              <w:ind w:left="20"/>
              <w:jc w:val="both"/>
            </w:pPr>
            <w:r>
              <w:rPr>
                <w:rFonts w:ascii="Times New Roman"/>
                <w:b w:val="false"/>
                <w:i w:val="false"/>
                <w:color w:val="000000"/>
                <w:sz w:val="20"/>
              </w:rPr>
              <w:t>
</w:t>
            </w:r>
            <w:r>
              <w:rPr>
                <w:rFonts w:ascii="Times New Roman"/>
                <w:b w:val="false"/>
                <w:i w:val="false"/>
                <w:color w:val="000000"/>
                <w:sz w:val="20"/>
              </w:rPr>
              <w:t>- протокола и любых поправок к нему;</w:t>
            </w:r>
          </w:p>
          <w:bookmarkEnd w:id="652"/>
          <w:p>
            <w:pPr>
              <w:spacing w:after="20"/>
              <w:ind w:left="20"/>
              <w:jc w:val="both"/>
            </w:pPr>
            <w:r>
              <w:rPr>
                <w:rFonts w:ascii="Times New Roman"/>
                <w:b w:val="false"/>
                <w:i w:val="false"/>
                <w:color w:val="000000"/>
                <w:sz w:val="20"/>
              </w:rPr>
              <w:t xml:space="preserve">
- индивидуальной регистрационной карты </w:t>
            </w:r>
          </w:p>
          <w:p>
            <w:pPr>
              <w:spacing w:after="20"/>
              <w:ind w:left="20"/>
              <w:jc w:val="both"/>
            </w:pPr>
            <w:r>
              <w:rPr>
                <w:rFonts w:ascii="Times New Roman"/>
                <w:b w:val="false"/>
                <w:i w:val="false"/>
                <w:color w:val="000000"/>
                <w:sz w:val="20"/>
              </w:rPr>
              <w:t>(если требуется);</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653"/>
          <w:p>
            <w:pPr>
              <w:spacing w:after="20"/>
              <w:ind w:left="20"/>
              <w:jc w:val="both"/>
            </w:pPr>
            <w:r>
              <w:rPr>
                <w:rFonts w:ascii="Times New Roman"/>
                <w:b w:val="false"/>
                <w:i w:val="false"/>
                <w:color w:val="000000"/>
                <w:sz w:val="20"/>
              </w:rPr>
              <w:t>
</w:t>
            </w:r>
            <w:r>
              <w:rPr>
                <w:rFonts w:ascii="Times New Roman"/>
                <w:b w:val="false"/>
                <w:i w:val="false"/>
                <w:color w:val="000000"/>
                <w:sz w:val="20"/>
              </w:rPr>
              <w:t>- формы информированного согласия;</w:t>
            </w:r>
          </w:p>
          <w:bookmarkEnd w:id="65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654"/>
          <w:p>
            <w:pPr>
              <w:spacing w:after="20"/>
              <w:ind w:left="20"/>
              <w:jc w:val="both"/>
            </w:pPr>
            <w:r>
              <w:rPr>
                <w:rFonts w:ascii="Times New Roman"/>
                <w:b w:val="false"/>
                <w:i w:val="false"/>
                <w:color w:val="000000"/>
                <w:sz w:val="20"/>
              </w:rPr>
              <w:t>
</w:t>
            </w:r>
            <w:r>
              <w:rPr>
                <w:rFonts w:ascii="Times New Roman"/>
                <w:b w:val="false"/>
                <w:i w:val="false"/>
                <w:color w:val="000000"/>
                <w:sz w:val="20"/>
              </w:rPr>
              <w:t>- любой другой письменной информации, представляемой субъектам исследования;</w:t>
            </w:r>
          </w:p>
          <w:bookmarkEnd w:id="65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6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рекламных объявлений для привлечения субъектов </w:t>
            </w:r>
          </w:p>
          <w:bookmarkEnd w:id="655"/>
          <w:p>
            <w:pPr>
              <w:spacing w:after="20"/>
              <w:ind w:left="20"/>
              <w:jc w:val="both"/>
            </w:pPr>
            <w:r>
              <w:rPr>
                <w:rFonts w:ascii="Times New Roman"/>
                <w:b w:val="false"/>
                <w:i w:val="false"/>
                <w:color w:val="000000"/>
                <w:sz w:val="20"/>
              </w:rPr>
              <w:t>в исследование</w:t>
            </w:r>
          </w:p>
          <w:p>
            <w:pPr>
              <w:spacing w:after="20"/>
              <w:ind w:left="20"/>
              <w:jc w:val="both"/>
            </w:pPr>
            <w:r>
              <w:rPr>
                <w:rFonts w:ascii="Times New Roman"/>
                <w:b w:val="false"/>
                <w:i w:val="false"/>
                <w:color w:val="000000"/>
                <w:sz w:val="20"/>
              </w:rPr>
              <w:t>(если используются);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656"/>
          <w:p>
            <w:pPr>
              <w:spacing w:after="20"/>
              <w:ind w:left="20"/>
              <w:jc w:val="both"/>
            </w:pPr>
            <w:r>
              <w:rPr>
                <w:rFonts w:ascii="Times New Roman"/>
                <w:b w:val="false"/>
                <w:i w:val="false"/>
                <w:color w:val="000000"/>
                <w:sz w:val="20"/>
              </w:rPr>
              <w:t>
</w:t>
            </w:r>
            <w:r>
              <w:rPr>
                <w:rFonts w:ascii="Times New Roman"/>
                <w:b w:val="false"/>
                <w:i w:val="false"/>
                <w:color w:val="000000"/>
                <w:sz w:val="20"/>
              </w:rPr>
              <w:t>- информации о компенсации субъектам исследования</w:t>
            </w:r>
          </w:p>
          <w:bookmarkEnd w:id="656"/>
          <w:p>
            <w:pPr>
              <w:spacing w:after="20"/>
              <w:ind w:left="20"/>
              <w:jc w:val="both"/>
            </w:pPr>
            <w:r>
              <w:rPr>
                <w:rFonts w:ascii="Times New Roman"/>
                <w:b w:val="false"/>
                <w:i w:val="false"/>
                <w:color w:val="000000"/>
                <w:sz w:val="20"/>
              </w:rPr>
              <w:t>(при наличии);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657"/>
          <w:p>
            <w:pPr>
              <w:spacing w:after="20"/>
              <w:ind w:left="20"/>
              <w:jc w:val="both"/>
            </w:pPr>
            <w:r>
              <w:rPr>
                <w:rFonts w:ascii="Times New Roman"/>
                <w:b w:val="false"/>
                <w:i w:val="false"/>
                <w:color w:val="000000"/>
                <w:sz w:val="20"/>
              </w:rPr>
              <w:t>
</w:t>
            </w:r>
            <w:r>
              <w:rPr>
                <w:rFonts w:ascii="Times New Roman"/>
                <w:b w:val="false"/>
                <w:i w:val="false"/>
                <w:color w:val="000000"/>
                <w:sz w:val="20"/>
              </w:rPr>
              <w:t>- любых иных разрешенных (одобренных) документов</w:t>
            </w:r>
          </w:p>
          <w:bookmarkEnd w:id="65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658"/>
          <w:p>
            <w:pPr>
              <w:spacing w:after="20"/>
              <w:ind w:left="20"/>
              <w:jc w:val="both"/>
            </w:pPr>
            <w:r>
              <w:rPr>
                <w:rFonts w:ascii="Times New Roman"/>
                <w:b w:val="false"/>
                <w:i w:val="false"/>
                <w:color w:val="000000"/>
                <w:sz w:val="20"/>
              </w:rPr>
              <w:t>
</w:t>
            </w:r>
            <w:r>
              <w:rPr>
                <w:rFonts w:ascii="Times New Roman"/>
                <w:b w:val="false"/>
                <w:i w:val="false"/>
                <w:color w:val="000000"/>
                <w:sz w:val="20"/>
              </w:rPr>
              <w:t>8.2.8. Состав ЭСО (НЭК), Совета по этике, КВЭ</w:t>
            </w:r>
          </w:p>
          <w:bookmarkEnd w:id="6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соответствие состава ЭСО (НЭК) требованиям настоящих Правил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659"/>
          <w:p>
            <w:pPr>
              <w:spacing w:after="20"/>
              <w:ind w:left="20"/>
              <w:jc w:val="both"/>
            </w:pPr>
            <w:r>
              <w:rPr>
                <w:rFonts w:ascii="Times New Roman"/>
                <w:b w:val="false"/>
                <w:i w:val="false"/>
                <w:color w:val="000000"/>
                <w:sz w:val="20"/>
              </w:rPr>
              <w:t>
X</w:t>
            </w:r>
          </w:p>
          <w:bookmarkEnd w:id="659"/>
          <w:p>
            <w:pPr>
              <w:spacing w:after="20"/>
              <w:ind w:left="20"/>
              <w:jc w:val="both"/>
            </w:pPr>
            <w:r>
              <w:rPr>
                <w:rFonts w:ascii="Times New Roman"/>
                <w:b w:val="false"/>
                <w:i w:val="false"/>
                <w:color w:val="000000"/>
                <w:sz w:val="20"/>
              </w:rPr>
              <w:t>
(если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660"/>
          <w:p>
            <w:pPr>
              <w:spacing w:after="20"/>
              <w:ind w:left="20"/>
              <w:jc w:val="both"/>
            </w:pPr>
            <w:r>
              <w:rPr>
                <w:rFonts w:ascii="Times New Roman"/>
                <w:b w:val="false"/>
                <w:i w:val="false"/>
                <w:color w:val="000000"/>
                <w:sz w:val="20"/>
              </w:rPr>
              <w:t>
</w:t>
            </w:r>
            <w:r>
              <w:rPr>
                <w:rFonts w:ascii="Times New Roman"/>
                <w:b w:val="false"/>
                <w:i w:val="false"/>
                <w:color w:val="000000"/>
                <w:sz w:val="20"/>
              </w:rPr>
              <w:t>8.2.9. Разрешение (одобрение протокола, уведомление о протоколе) от уполномоченных органов (если требуется)</w:t>
            </w:r>
          </w:p>
          <w:bookmarkEnd w:id="6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подтвердить, </w:t>
            </w:r>
          </w:p>
          <w:p>
            <w:pPr>
              <w:spacing w:after="20"/>
              <w:ind w:left="20"/>
              <w:jc w:val="both"/>
            </w:pPr>
            <w:r>
              <w:rPr>
                <w:rFonts w:ascii="Times New Roman"/>
                <w:b w:val="false"/>
                <w:i w:val="false"/>
                <w:color w:val="000000"/>
                <w:sz w:val="20"/>
              </w:rPr>
              <w:t>что при наличии соответствующих применимых требований разрешение (одобрение, уведомление) уполномоченных органов получено до начала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661"/>
          <w:p>
            <w:pPr>
              <w:spacing w:after="20"/>
              <w:ind w:left="20"/>
              <w:jc w:val="both"/>
            </w:pPr>
            <w:r>
              <w:rPr>
                <w:rFonts w:ascii="Times New Roman"/>
                <w:b w:val="false"/>
                <w:i w:val="false"/>
                <w:color w:val="000000"/>
                <w:sz w:val="20"/>
              </w:rPr>
              <w:t>
X</w:t>
            </w:r>
          </w:p>
          <w:bookmarkEnd w:id="661"/>
          <w:p>
            <w:pPr>
              <w:spacing w:after="20"/>
              <w:ind w:left="20"/>
              <w:jc w:val="both"/>
            </w:pPr>
            <w:r>
              <w:rPr>
                <w:rFonts w:ascii="Times New Roman"/>
                <w:b w:val="false"/>
                <w:i w:val="false"/>
                <w:color w:val="000000"/>
                <w:sz w:val="20"/>
              </w:rPr>
              <w:t>
(если требуется)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662"/>
          <w:p>
            <w:pPr>
              <w:spacing w:after="20"/>
              <w:ind w:left="20"/>
              <w:jc w:val="both"/>
            </w:pPr>
            <w:r>
              <w:rPr>
                <w:rFonts w:ascii="Times New Roman"/>
                <w:b w:val="false"/>
                <w:i w:val="false"/>
                <w:color w:val="000000"/>
                <w:sz w:val="20"/>
              </w:rPr>
              <w:t>
X</w:t>
            </w:r>
          </w:p>
          <w:bookmarkEnd w:id="662"/>
          <w:p>
            <w:pPr>
              <w:spacing w:after="20"/>
              <w:ind w:left="20"/>
              <w:jc w:val="both"/>
            </w:pPr>
            <w:r>
              <w:rPr>
                <w:rFonts w:ascii="Times New Roman"/>
                <w:b w:val="false"/>
                <w:i w:val="false"/>
                <w:color w:val="000000"/>
                <w:sz w:val="20"/>
              </w:rPr>
              <w:t>
(если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6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8.2.10. Текущая редакция резюме исследования (curriculum vitae) </w:t>
            </w:r>
          </w:p>
          <w:bookmarkEnd w:id="663"/>
          <w:p>
            <w:pPr>
              <w:spacing w:after="20"/>
              <w:ind w:left="20"/>
              <w:jc w:val="both"/>
            </w:pPr>
            <w:r>
              <w:rPr>
                <w:rFonts w:ascii="Times New Roman"/>
                <w:b w:val="false"/>
                <w:i w:val="false"/>
                <w:color w:val="000000"/>
                <w:sz w:val="20"/>
              </w:rPr>
              <w:t>и другие документы, подтверждающие квалификацию исследователей и соисследователей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подтвердить квалификацию и пригодность для проведения исследования и (или) осуществления медицинского наблюдения за субъектами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664"/>
          <w:p>
            <w:pPr>
              <w:spacing w:after="20"/>
              <w:ind w:left="20"/>
              <w:jc w:val="both"/>
            </w:pPr>
            <w:r>
              <w:rPr>
                <w:rFonts w:ascii="Times New Roman"/>
                <w:b w:val="false"/>
                <w:i w:val="false"/>
                <w:color w:val="000000"/>
                <w:sz w:val="20"/>
              </w:rPr>
              <w:t>
</w:t>
            </w:r>
            <w:r>
              <w:rPr>
                <w:rFonts w:ascii="Times New Roman"/>
                <w:b w:val="false"/>
                <w:i w:val="false"/>
                <w:color w:val="000000"/>
                <w:sz w:val="20"/>
              </w:rPr>
              <w:t>8.2.11. Нормальный диапазон значений для предусмотренных протоколом медицинских (лабораторных, технических) процедур и (или) тестов</w:t>
            </w:r>
          </w:p>
          <w:bookmarkEnd w:id="6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нормальный диапазон значений для лабораторных тестов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665"/>
          <w:p>
            <w:pPr>
              <w:spacing w:after="20"/>
              <w:ind w:left="20"/>
              <w:jc w:val="both"/>
            </w:pPr>
            <w:r>
              <w:rPr>
                <w:rFonts w:ascii="Times New Roman"/>
                <w:b w:val="false"/>
                <w:i w:val="false"/>
                <w:color w:val="000000"/>
                <w:sz w:val="20"/>
              </w:rPr>
              <w:t>
</w:t>
            </w:r>
            <w:r>
              <w:rPr>
                <w:rFonts w:ascii="Times New Roman"/>
                <w:b w:val="false"/>
                <w:i w:val="false"/>
                <w:color w:val="000000"/>
                <w:sz w:val="20"/>
              </w:rPr>
              <w:t>8.2.12. Медицинские, (лабораторные, технические) процедуры и (или) тесты, – сертификация, аккредитация, внутренний и (или) внешний контроль качества или другие методы подтверждения (если требуется)</w:t>
            </w:r>
          </w:p>
          <w:bookmarkEnd w:id="6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подтвердить пригодность оборудования для проведения требуемых тестов и обеспечения надежности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666"/>
          <w:p>
            <w:pPr>
              <w:spacing w:after="20"/>
              <w:ind w:left="20"/>
              <w:jc w:val="both"/>
            </w:pPr>
            <w:r>
              <w:rPr>
                <w:rFonts w:ascii="Times New Roman"/>
                <w:b w:val="false"/>
                <w:i w:val="false"/>
                <w:color w:val="000000"/>
                <w:sz w:val="20"/>
              </w:rPr>
              <w:t>
X</w:t>
            </w:r>
          </w:p>
          <w:bookmarkEnd w:id="666"/>
          <w:p>
            <w:pPr>
              <w:spacing w:after="20"/>
              <w:ind w:left="20"/>
              <w:jc w:val="both"/>
            </w:pPr>
            <w:r>
              <w:rPr>
                <w:rFonts w:ascii="Times New Roman"/>
                <w:b w:val="false"/>
                <w:i w:val="false"/>
                <w:color w:val="000000"/>
                <w:sz w:val="20"/>
              </w:rPr>
              <w:t>
(если требуется)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667"/>
          <w:p>
            <w:pPr>
              <w:spacing w:after="20"/>
              <w:ind w:left="20"/>
              <w:jc w:val="both"/>
            </w:pPr>
            <w:r>
              <w:rPr>
                <w:rFonts w:ascii="Times New Roman"/>
                <w:b w:val="false"/>
                <w:i w:val="false"/>
                <w:color w:val="000000"/>
                <w:sz w:val="20"/>
              </w:rPr>
              <w:t>
</w:t>
            </w:r>
            <w:r>
              <w:rPr>
                <w:rFonts w:ascii="Times New Roman"/>
                <w:b w:val="false"/>
                <w:i w:val="false"/>
                <w:color w:val="000000"/>
                <w:sz w:val="20"/>
              </w:rPr>
              <w:t>8.2.13. Образцы этикеток на упаковках исследуемых препаратов</w:t>
            </w:r>
          </w:p>
          <w:bookmarkEnd w:id="6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подтвердить соблюдение соответствующих требований к маркировке исследуемого препарата и пригодность инструкций для субъектов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668"/>
          <w:p>
            <w:pPr>
              <w:spacing w:after="20"/>
              <w:ind w:left="20"/>
              <w:jc w:val="both"/>
            </w:pPr>
            <w:r>
              <w:rPr>
                <w:rFonts w:ascii="Times New Roman"/>
                <w:b w:val="false"/>
                <w:i w:val="false"/>
                <w:color w:val="000000"/>
                <w:sz w:val="20"/>
              </w:rPr>
              <w:t>
</w:t>
            </w:r>
            <w:r>
              <w:rPr>
                <w:rFonts w:ascii="Times New Roman"/>
                <w:b w:val="false"/>
                <w:i w:val="false"/>
                <w:color w:val="000000"/>
                <w:sz w:val="20"/>
              </w:rPr>
              <w:t>8.2.14. Инструкция по обращению с исследуемыми препаратами и расходными материалами (если не включена в протокол или брошюру исследователя)</w:t>
            </w:r>
          </w:p>
          <w:bookmarkEnd w:id="6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инструкции для обеспечения надлежащего хранения, упаковки, распределения и утилизации исследуемых препаратов и расходных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669"/>
          <w:p>
            <w:pPr>
              <w:spacing w:after="20"/>
              <w:ind w:left="20"/>
              <w:jc w:val="both"/>
            </w:pPr>
            <w:r>
              <w:rPr>
                <w:rFonts w:ascii="Times New Roman"/>
                <w:b w:val="false"/>
                <w:i w:val="false"/>
                <w:color w:val="000000"/>
                <w:sz w:val="20"/>
              </w:rPr>
              <w:t>
</w:t>
            </w:r>
            <w:r>
              <w:rPr>
                <w:rFonts w:ascii="Times New Roman"/>
                <w:b w:val="false"/>
                <w:i w:val="false"/>
                <w:color w:val="000000"/>
                <w:sz w:val="20"/>
              </w:rPr>
              <w:t>8.2.15. Учет поставок исследуемых препаратов и расходных материалов</w:t>
            </w:r>
          </w:p>
          <w:bookmarkEnd w:id="6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даты и способ поставки, номера серий исследуемых препаратов и расходных материалов. Позволяет отследить серию препарата, контролировать условия поставки и вести учет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670"/>
          <w:p>
            <w:pPr>
              <w:spacing w:after="20"/>
              <w:ind w:left="20"/>
              <w:jc w:val="both"/>
            </w:pPr>
            <w:r>
              <w:rPr>
                <w:rFonts w:ascii="Times New Roman"/>
                <w:b w:val="false"/>
                <w:i w:val="false"/>
                <w:color w:val="000000"/>
                <w:sz w:val="20"/>
              </w:rPr>
              <w:t>
</w:t>
            </w:r>
            <w:r>
              <w:rPr>
                <w:rFonts w:ascii="Times New Roman"/>
                <w:b w:val="false"/>
                <w:i w:val="false"/>
                <w:color w:val="000000"/>
                <w:sz w:val="20"/>
              </w:rPr>
              <w:t>8.2.16. Сертификаты анализов поставленных исследуемых препаратов</w:t>
            </w:r>
          </w:p>
          <w:bookmarkEnd w:id="6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подтвердить подлинность, чистоту исследуемых препаратов и количественное содержание в них активного вещества (дозировку)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671"/>
          <w:p>
            <w:pPr>
              <w:spacing w:after="20"/>
              <w:ind w:left="20"/>
              <w:jc w:val="both"/>
            </w:pPr>
            <w:r>
              <w:rPr>
                <w:rFonts w:ascii="Times New Roman"/>
                <w:b w:val="false"/>
                <w:i w:val="false"/>
                <w:color w:val="000000"/>
                <w:sz w:val="20"/>
              </w:rPr>
              <w:t>
</w:t>
            </w:r>
            <w:r>
              <w:rPr>
                <w:rFonts w:ascii="Times New Roman"/>
                <w:b w:val="false"/>
                <w:i w:val="false"/>
                <w:color w:val="000000"/>
                <w:sz w:val="20"/>
              </w:rPr>
              <w:t>8.2.17. Процедуры раскрытия кода для исследований, проводимых слепым методом</w:t>
            </w:r>
          </w:p>
          <w:bookmarkEnd w:id="6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процедуру экстренной идентификации маскированного исследуемого препарата без нарушения маскировки для остальных субъектов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p>
            <w:pPr>
              <w:spacing w:after="20"/>
              <w:ind w:left="20"/>
              <w:jc w:val="both"/>
            </w:pPr>
            <w:r>
              <w:rPr>
                <w:rFonts w:ascii="Times New Roman"/>
                <w:b w:val="false"/>
                <w:i w:val="false"/>
                <w:color w:val="000000"/>
                <w:sz w:val="20"/>
              </w:rPr>
              <w:t>(третья сторона, если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6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8.2.18. Рандомизационный список </w:t>
            </w:r>
          </w:p>
          <w:bookmarkEnd w:id="6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метод рандомизации субъектов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p>
            <w:pPr>
              <w:spacing w:after="20"/>
              <w:ind w:left="20"/>
              <w:jc w:val="both"/>
            </w:pPr>
            <w:r>
              <w:rPr>
                <w:rFonts w:ascii="Times New Roman"/>
                <w:b w:val="false"/>
                <w:i w:val="false"/>
                <w:color w:val="000000"/>
                <w:sz w:val="20"/>
              </w:rPr>
              <w:t>(третья сторона, если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673"/>
          <w:p>
            <w:pPr>
              <w:spacing w:after="20"/>
              <w:ind w:left="20"/>
              <w:jc w:val="both"/>
            </w:pPr>
            <w:r>
              <w:rPr>
                <w:rFonts w:ascii="Times New Roman"/>
                <w:b w:val="false"/>
                <w:i w:val="false"/>
                <w:color w:val="000000"/>
                <w:sz w:val="20"/>
              </w:rPr>
              <w:t>
</w:t>
            </w:r>
            <w:r>
              <w:rPr>
                <w:rFonts w:ascii="Times New Roman"/>
                <w:b w:val="false"/>
                <w:i w:val="false"/>
                <w:color w:val="000000"/>
                <w:sz w:val="20"/>
              </w:rPr>
              <w:t>8.2.19. Отчет монитора о выборе исследовательского центра</w:t>
            </w:r>
          </w:p>
          <w:bookmarkEnd w:id="6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подтвердить приемлемость исследовательского центра для данного исследования (может быть объединено с пунктом 8.2.20 настоящей таблицы)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674"/>
          <w:p>
            <w:pPr>
              <w:spacing w:after="20"/>
              <w:ind w:left="20"/>
              <w:jc w:val="both"/>
            </w:pPr>
            <w:r>
              <w:rPr>
                <w:rFonts w:ascii="Times New Roman"/>
                <w:b w:val="false"/>
                <w:i w:val="false"/>
                <w:color w:val="000000"/>
                <w:sz w:val="20"/>
              </w:rPr>
              <w:t>
</w:t>
            </w:r>
            <w:r>
              <w:rPr>
                <w:rFonts w:ascii="Times New Roman"/>
                <w:b w:val="false"/>
                <w:i w:val="false"/>
                <w:color w:val="000000"/>
                <w:sz w:val="20"/>
              </w:rPr>
              <w:t>8.2.20. Отчет монитора о готовности исследовательского центра</w:t>
            </w:r>
          </w:p>
          <w:bookmarkEnd w:id="6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подтвердить факт ознакомления исследователя и занятого в исследовании персонала с процедурами исследования (может быть объединено с пунктом 8.2.19 настоящей таблицы)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2352" w:id="675"/>
    <w:p>
      <w:pPr>
        <w:spacing w:after="0"/>
        <w:ind w:left="0"/>
        <w:jc w:val="left"/>
      </w:pPr>
      <w:r>
        <w:rPr>
          <w:rFonts w:ascii="Times New Roman"/>
          <w:b/>
          <w:i w:val="false"/>
          <w:color w:val="000000"/>
        </w:rPr>
        <w:t xml:space="preserve"> 8.3. Во время клинической фазы исследования</w:t>
      </w:r>
    </w:p>
    <w:bookmarkEnd w:id="675"/>
    <w:bookmarkStart w:name="z2353" w:id="676"/>
    <w:p>
      <w:pPr>
        <w:spacing w:after="0"/>
        <w:ind w:left="0"/>
        <w:jc w:val="both"/>
      </w:pPr>
      <w:r>
        <w:rPr>
          <w:rFonts w:ascii="Times New Roman"/>
          <w:b w:val="false"/>
          <w:i w:val="false"/>
          <w:color w:val="000000"/>
          <w:sz w:val="28"/>
        </w:rPr>
        <w:t>
      В подтверждение того, что вся необходимая новая информация документально оформляется по мере ее поступления, в дополнение к вышеперечисленным документам, имеющимся в файле, по ходу исследования необходимо добавлять следующие документы:</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67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документа</w:t>
            </w:r>
          </w:p>
          <w:bookmarkEnd w:id="677"/>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Находится в файлах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исследователя (медицинской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678"/>
          <w:p>
            <w:pPr>
              <w:spacing w:after="20"/>
              <w:ind w:left="20"/>
              <w:jc w:val="both"/>
            </w:pPr>
            <w:r>
              <w:rPr>
                <w:rFonts w:ascii="Times New Roman"/>
                <w:b w:val="false"/>
                <w:i w:val="false"/>
                <w:color w:val="000000"/>
                <w:sz w:val="20"/>
              </w:rPr>
              <w:t>
</w:t>
            </w:r>
            <w:r>
              <w:rPr>
                <w:rFonts w:ascii="Times New Roman"/>
                <w:b w:val="false"/>
                <w:i w:val="false"/>
                <w:color w:val="000000"/>
                <w:sz w:val="20"/>
              </w:rPr>
              <w:t>8.3.1. Обновленные версии брошюры исследователя</w:t>
            </w:r>
          </w:p>
          <w:bookmarkEnd w:id="6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факт своевременного сообщения исследователю необходимой информации </w:t>
            </w:r>
          </w:p>
          <w:p>
            <w:pPr>
              <w:spacing w:after="20"/>
              <w:ind w:left="20"/>
              <w:jc w:val="both"/>
            </w:pPr>
            <w:r>
              <w:rPr>
                <w:rFonts w:ascii="Times New Roman"/>
                <w:b w:val="false"/>
                <w:i w:val="false"/>
                <w:color w:val="000000"/>
                <w:sz w:val="20"/>
              </w:rPr>
              <w:t>по мере ее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6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8.3.2. Любое изменение: </w:t>
            </w:r>
          </w:p>
          <w:bookmarkEnd w:id="6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протокола (поправок) </w:t>
            </w:r>
          </w:p>
          <w:p>
            <w:pPr>
              <w:spacing w:after="20"/>
              <w:ind w:left="20"/>
              <w:jc w:val="both"/>
            </w:pPr>
            <w:r>
              <w:rPr>
                <w:rFonts w:ascii="Times New Roman"/>
                <w:b w:val="false"/>
                <w:i w:val="false"/>
                <w:color w:val="000000"/>
                <w:sz w:val="20"/>
              </w:rPr>
              <w:t xml:space="preserve">и индивидуальной регистрационной карты;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формы информированного согласия;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любой другой письменной информации, предоставляемой субъектам исследования; </w:t>
            </w:r>
          </w:p>
          <w:p>
            <w:pPr>
              <w:spacing w:after="20"/>
              <w:ind w:left="20"/>
              <w:jc w:val="both"/>
            </w:pPr>
            <w:r>
              <w:rPr>
                <w:rFonts w:ascii="Times New Roman"/>
                <w:b w:val="false"/>
                <w:i w:val="false"/>
                <w:color w:val="000000"/>
                <w:sz w:val="20"/>
              </w:rPr>
              <w:t>
- рекламных объявлений для привлечения субъектов в исследование (если используются)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изменения данных документов, произведенные во время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680"/>
          <w:p>
            <w:pPr>
              <w:spacing w:after="20"/>
              <w:ind w:left="20"/>
              <w:jc w:val="both"/>
            </w:pPr>
            <w:r>
              <w:rPr>
                <w:rFonts w:ascii="Times New Roman"/>
                <w:b w:val="false"/>
                <w:i w:val="false"/>
                <w:color w:val="000000"/>
                <w:sz w:val="20"/>
              </w:rPr>
              <w:t>
</w:t>
            </w:r>
            <w:r>
              <w:rPr>
                <w:rFonts w:ascii="Times New Roman"/>
                <w:b w:val="false"/>
                <w:i w:val="false"/>
                <w:color w:val="000000"/>
                <w:sz w:val="20"/>
              </w:rPr>
              <w:t>8.3.3. Датированное и документально оформленное одобрение (заключение) ЭСО (НЭК) следующих документов:</w:t>
            </w:r>
          </w:p>
          <w:bookmarkEnd w:id="680"/>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681"/>
          <w:p>
            <w:pPr>
              <w:spacing w:after="20"/>
              <w:ind w:left="20"/>
              <w:jc w:val="both"/>
            </w:pPr>
            <w:r>
              <w:rPr>
                <w:rFonts w:ascii="Times New Roman"/>
                <w:b w:val="false"/>
                <w:i w:val="false"/>
                <w:color w:val="000000"/>
                <w:sz w:val="20"/>
              </w:rPr>
              <w:t>
документально подтвердить факт рассмотрения и одобрения (выдачи заключения) ЭСО (НЭК) поправок и (или) новых редакций.</w:t>
            </w:r>
          </w:p>
          <w:bookmarkEnd w:id="681"/>
          <w:p>
            <w:pPr>
              <w:spacing w:after="20"/>
              <w:ind w:left="20"/>
              <w:jc w:val="both"/>
            </w:pPr>
            <w:r>
              <w:rPr>
                <w:rFonts w:ascii="Times New Roman"/>
                <w:b w:val="false"/>
                <w:i w:val="false"/>
                <w:color w:val="000000"/>
                <w:sz w:val="20"/>
              </w:rPr>
              <w:t xml:space="preserve">
Указываются редакция </w:t>
            </w:r>
          </w:p>
          <w:p>
            <w:pPr>
              <w:spacing w:after="20"/>
              <w:ind w:left="20"/>
              <w:jc w:val="both"/>
            </w:pPr>
            <w:r>
              <w:rPr>
                <w:rFonts w:ascii="Times New Roman"/>
                <w:b w:val="false"/>
                <w:i w:val="false"/>
                <w:color w:val="000000"/>
                <w:sz w:val="20"/>
              </w:rPr>
              <w:t>и дата документа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6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поправок к протоколу; </w:t>
            </w:r>
          </w:p>
          <w:bookmarkEnd w:id="682"/>
          <w:p>
            <w:pPr>
              <w:spacing w:after="20"/>
              <w:ind w:left="20"/>
              <w:jc w:val="both"/>
            </w:pPr>
            <w:r>
              <w:rPr>
                <w:rFonts w:ascii="Times New Roman"/>
                <w:b w:val="false"/>
                <w:i w:val="false"/>
                <w:color w:val="000000"/>
                <w:sz w:val="20"/>
              </w:rPr>
              <w:t>
- новых редакций: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6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формы информированного согласия; </w:t>
            </w:r>
          </w:p>
          <w:bookmarkEnd w:id="683"/>
          <w:p>
            <w:pPr>
              <w:spacing w:after="20"/>
              <w:ind w:left="20"/>
              <w:jc w:val="both"/>
            </w:pPr>
            <w:r>
              <w:rPr>
                <w:rFonts w:ascii="Times New Roman"/>
                <w:b w:val="false"/>
                <w:i w:val="false"/>
                <w:color w:val="000000"/>
                <w:sz w:val="20"/>
              </w:rPr>
              <w:t>
- предоставляемых субъектам информационных материалов;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684"/>
          <w:p>
            <w:pPr>
              <w:spacing w:after="20"/>
              <w:ind w:left="20"/>
              <w:jc w:val="both"/>
            </w:pPr>
            <w:r>
              <w:rPr>
                <w:rFonts w:ascii="Times New Roman"/>
                <w:b w:val="false"/>
                <w:i w:val="false"/>
                <w:color w:val="000000"/>
                <w:sz w:val="20"/>
              </w:rPr>
              <w:t>
</w:t>
            </w:r>
            <w:r>
              <w:rPr>
                <w:rFonts w:ascii="Times New Roman"/>
                <w:b w:val="false"/>
                <w:i w:val="false"/>
                <w:color w:val="000000"/>
                <w:sz w:val="20"/>
              </w:rPr>
              <w:t>- рекламных объявлений для привлечения субъектов в исследование (если используется);</w:t>
            </w:r>
          </w:p>
          <w:bookmarkEnd w:id="68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685"/>
          <w:p>
            <w:pPr>
              <w:spacing w:after="20"/>
              <w:ind w:left="20"/>
              <w:jc w:val="both"/>
            </w:pPr>
            <w:r>
              <w:rPr>
                <w:rFonts w:ascii="Times New Roman"/>
                <w:b w:val="false"/>
                <w:i w:val="false"/>
                <w:color w:val="000000"/>
                <w:sz w:val="20"/>
              </w:rPr>
              <w:t>
</w:t>
            </w:r>
            <w:r>
              <w:rPr>
                <w:rFonts w:ascii="Times New Roman"/>
                <w:b w:val="false"/>
                <w:i w:val="false"/>
                <w:color w:val="000000"/>
                <w:sz w:val="20"/>
              </w:rPr>
              <w:t>- других разрешенных (одобренных) документов;</w:t>
            </w:r>
          </w:p>
          <w:bookmarkEnd w:id="68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6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результатов периодического рассмотрения документации по исследованию </w:t>
            </w:r>
          </w:p>
          <w:bookmarkEnd w:id="686"/>
          <w:p>
            <w:pPr>
              <w:spacing w:after="20"/>
              <w:ind w:left="20"/>
              <w:jc w:val="both"/>
            </w:pPr>
            <w:r>
              <w:rPr>
                <w:rFonts w:ascii="Times New Roman"/>
                <w:b w:val="false"/>
                <w:i w:val="false"/>
                <w:color w:val="000000"/>
                <w:sz w:val="20"/>
              </w:rPr>
              <w:t xml:space="preserve">(где требуется)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687"/>
          <w:p>
            <w:pPr>
              <w:spacing w:after="20"/>
              <w:ind w:left="20"/>
              <w:jc w:val="both"/>
            </w:pPr>
            <w:r>
              <w:rPr>
                <w:rFonts w:ascii="Times New Roman"/>
                <w:b w:val="false"/>
                <w:i w:val="false"/>
                <w:color w:val="000000"/>
                <w:sz w:val="20"/>
              </w:rPr>
              <w:t>
</w:t>
            </w:r>
            <w:r>
              <w:rPr>
                <w:rFonts w:ascii="Times New Roman"/>
                <w:b w:val="false"/>
                <w:i w:val="false"/>
                <w:color w:val="000000"/>
                <w:sz w:val="20"/>
              </w:rPr>
              <w:t>8.3.4. Разрешение (одобрение, уведомление) уполномоченных органов для внесения поправок в протокол и другие документы (при необходимости)</w:t>
            </w:r>
          </w:p>
          <w:bookmarkEnd w:id="6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соответствие применимым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688"/>
          <w:p>
            <w:pPr>
              <w:spacing w:after="20"/>
              <w:ind w:left="20"/>
              <w:jc w:val="both"/>
            </w:pPr>
            <w:r>
              <w:rPr>
                <w:rFonts w:ascii="Times New Roman"/>
                <w:b w:val="false"/>
                <w:i w:val="false"/>
                <w:color w:val="000000"/>
                <w:sz w:val="20"/>
              </w:rPr>
              <w:t>
X</w:t>
            </w:r>
          </w:p>
          <w:bookmarkEnd w:id="688"/>
          <w:p>
            <w:pPr>
              <w:spacing w:after="20"/>
              <w:ind w:left="20"/>
              <w:jc w:val="both"/>
            </w:pPr>
            <w:r>
              <w:rPr>
                <w:rFonts w:ascii="Times New Roman"/>
                <w:b w:val="false"/>
                <w:i w:val="false"/>
                <w:color w:val="000000"/>
                <w:sz w:val="20"/>
              </w:rPr>
              <w:t>
(если требуется)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689"/>
          <w:p>
            <w:pPr>
              <w:spacing w:after="20"/>
              <w:ind w:left="20"/>
              <w:jc w:val="both"/>
            </w:pPr>
            <w:r>
              <w:rPr>
                <w:rFonts w:ascii="Times New Roman"/>
                <w:b w:val="false"/>
                <w:i w:val="false"/>
                <w:color w:val="000000"/>
                <w:sz w:val="20"/>
              </w:rPr>
              <w:t>
</w:t>
            </w:r>
            <w:r>
              <w:rPr>
                <w:rFonts w:ascii="Times New Roman"/>
                <w:b w:val="false"/>
                <w:i w:val="false"/>
                <w:color w:val="000000"/>
                <w:sz w:val="20"/>
              </w:rPr>
              <w:t>8.3.5. Текущую редакцию резюме исследователя (curriculum vitae) новых исследователей и (или) соисследователей</w:t>
            </w:r>
          </w:p>
          <w:bookmarkEnd w:id="6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w:t>
            </w:r>
          </w:p>
          <w:p>
            <w:pPr>
              <w:spacing w:after="20"/>
              <w:ind w:left="20"/>
              <w:jc w:val="both"/>
            </w:pPr>
            <w:r>
              <w:rPr>
                <w:rFonts w:ascii="Times New Roman"/>
                <w:b w:val="false"/>
                <w:i w:val="false"/>
                <w:color w:val="000000"/>
                <w:sz w:val="20"/>
              </w:rPr>
              <w:t>с пунктом 8.2.10 настоящей таблицы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690"/>
          <w:p>
            <w:pPr>
              <w:spacing w:after="20"/>
              <w:ind w:left="20"/>
              <w:jc w:val="both"/>
            </w:pPr>
            <w:r>
              <w:rPr>
                <w:rFonts w:ascii="Times New Roman"/>
                <w:b w:val="false"/>
                <w:i w:val="false"/>
                <w:color w:val="000000"/>
                <w:sz w:val="20"/>
              </w:rPr>
              <w:t>
</w:t>
            </w:r>
            <w:r>
              <w:rPr>
                <w:rFonts w:ascii="Times New Roman"/>
                <w:b w:val="false"/>
                <w:i w:val="false"/>
                <w:color w:val="000000"/>
                <w:sz w:val="20"/>
              </w:rPr>
              <w:t>8.3.6. Изменения нормального диапазона значений для предусмотренных протоколом медицинских (лабораторных, технических) процедур и (или) тестов</w:t>
            </w:r>
          </w:p>
          <w:bookmarkEnd w:id="6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нормальный диапазон значений тестов, измененных в ходе исследования</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пунктом 8.2.11 настоящей таблицы)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691"/>
          <w:p>
            <w:pPr>
              <w:spacing w:after="20"/>
              <w:ind w:left="20"/>
              <w:jc w:val="both"/>
            </w:pPr>
            <w:r>
              <w:rPr>
                <w:rFonts w:ascii="Times New Roman"/>
                <w:b w:val="false"/>
                <w:i w:val="false"/>
                <w:color w:val="000000"/>
                <w:sz w:val="20"/>
              </w:rPr>
              <w:t>
</w:t>
            </w:r>
            <w:r>
              <w:rPr>
                <w:rFonts w:ascii="Times New Roman"/>
                <w:b w:val="false"/>
                <w:i w:val="false"/>
                <w:color w:val="000000"/>
                <w:sz w:val="20"/>
              </w:rPr>
              <w:t>8.3.7. Изменения в медицинских (лабораторных, технических) процедурах и (или) тестах:</w:t>
            </w:r>
          </w:p>
          <w:bookmarkEnd w:id="6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сертификация;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аккредитация; </w:t>
            </w:r>
          </w:p>
          <w:p>
            <w:pPr>
              <w:spacing w:after="20"/>
              <w:ind w:left="20"/>
              <w:jc w:val="both"/>
            </w:pPr>
            <w:r>
              <w:rPr>
                <w:rFonts w:ascii="Times New Roman"/>
                <w:b w:val="false"/>
                <w:i w:val="false"/>
                <w:color w:val="000000"/>
                <w:sz w:val="20"/>
              </w:rPr>
              <w:t xml:space="preserve">
- внутренний и (или) внешний контроль качества; - или другие методы подтверждения </w:t>
            </w:r>
          </w:p>
          <w:p>
            <w:pPr>
              <w:spacing w:after="20"/>
              <w:ind w:left="20"/>
              <w:jc w:val="both"/>
            </w:pPr>
            <w:r>
              <w:rPr>
                <w:rFonts w:ascii="Times New Roman"/>
                <w:b w:val="false"/>
                <w:i w:val="false"/>
                <w:color w:val="000000"/>
                <w:sz w:val="20"/>
              </w:rPr>
              <w:t>(где требуется)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подтвердить, что тесты продолжают отвечать требованиям в течение периода исследования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пунктом 8.2.12 настоящей таблицы)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692"/>
          <w:p>
            <w:pPr>
              <w:spacing w:after="20"/>
              <w:ind w:left="20"/>
              <w:jc w:val="both"/>
            </w:pPr>
            <w:r>
              <w:rPr>
                <w:rFonts w:ascii="Times New Roman"/>
                <w:b w:val="false"/>
                <w:i w:val="false"/>
                <w:color w:val="000000"/>
                <w:sz w:val="20"/>
              </w:rPr>
              <w:t>
X</w:t>
            </w:r>
          </w:p>
          <w:bookmarkEnd w:id="692"/>
          <w:p>
            <w:pPr>
              <w:spacing w:after="20"/>
              <w:ind w:left="20"/>
              <w:jc w:val="both"/>
            </w:pPr>
            <w:r>
              <w:rPr>
                <w:rFonts w:ascii="Times New Roman"/>
                <w:b w:val="false"/>
                <w:i w:val="false"/>
                <w:color w:val="000000"/>
                <w:sz w:val="20"/>
              </w:rPr>
              <w:t>
(если требуется)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693"/>
          <w:p>
            <w:pPr>
              <w:spacing w:after="20"/>
              <w:ind w:left="20"/>
              <w:jc w:val="both"/>
            </w:pPr>
            <w:r>
              <w:rPr>
                <w:rFonts w:ascii="Times New Roman"/>
                <w:b w:val="false"/>
                <w:i w:val="false"/>
                <w:color w:val="000000"/>
                <w:sz w:val="20"/>
              </w:rPr>
              <w:t>
</w:t>
            </w:r>
            <w:r>
              <w:rPr>
                <w:rFonts w:ascii="Times New Roman"/>
                <w:b w:val="false"/>
                <w:i w:val="false"/>
                <w:color w:val="000000"/>
                <w:sz w:val="20"/>
              </w:rPr>
              <w:t>8.3.8. Документация по поставкам исследуемых препаратов и расходных материалов</w:t>
            </w:r>
          </w:p>
          <w:bookmarkEnd w:id="6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w:t>
            </w:r>
          </w:p>
          <w:p>
            <w:pPr>
              <w:spacing w:after="20"/>
              <w:ind w:left="20"/>
              <w:jc w:val="both"/>
            </w:pPr>
            <w:r>
              <w:rPr>
                <w:rFonts w:ascii="Times New Roman"/>
                <w:b w:val="false"/>
                <w:i w:val="false"/>
                <w:color w:val="000000"/>
                <w:sz w:val="20"/>
              </w:rPr>
              <w:t>с пунктом 8.2.15 настоящей таблицы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694"/>
          <w:p>
            <w:pPr>
              <w:spacing w:after="20"/>
              <w:ind w:left="20"/>
              <w:jc w:val="both"/>
            </w:pPr>
            <w:r>
              <w:rPr>
                <w:rFonts w:ascii="Times New Roman"/>
                <w:b w:val="false"/>
                <w:i w:val="false"/>
                <w:color w:val="000000"/>
                <w:sz w:val="20"/>
              </w:rPr>
              <w:t>
</w:t>
            </w:r>
            <w:r>
              <w:rPr>
                <w:rFonts w:ascii="Times New Roman"/>
                <w:b w:val="false"/>
                <w:i w:val="false"/>
                <w:color w:val="000000"/>
                <w:sz w:val="20"/>
              </w:rPr>
              <w:t>8.3.9. Сертификаты анализа новых серий исследуемых препаратов</w:t>
            </w:r>
          </w:p>
          <w:bookmarkEnd w:id="6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w:t>
            </w:r>
          </w:p>
          <w:p>
            <w:pPr>
              <w:spacing w:after="20"/>
              <w:ind w:left="20"/>
              <w:jc w:val="both"/>
            </w:pPr>
            <w:r>
              <w:rPr>
                <w:rFonts w:ascii="Times New Roman"/>
                <w:b w:val="false"/>
                <w:i w:val="false"/>
                <w:color w:val="000000"/>
                <w:sz w:val="20"/>
              </w:rPr>
              <w:t>с пунктом 8.2.16 настоящей таблицы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695"/>
          <w:p>
            <w:pPr>
              <w:spacing w:after="20"/>
              <w:ind w:left="20"/>
              <w:jc w:val="both"/>
            </w:pPr>
            <w:r>
              <w:rPr>
                <w:rFonts w:ascii="Times New Roman"/>
                <w:b w:val="false"/>
                <w:i w:val="false"/>
                <w:color w:val="000000"/>
                <w:sz w:val="20"/>
              </w:rPr>
              <w:t>
</w:t>
            </w:r>
            <w:r>
              <w:rPr>
                <w:rFonts w:ascii="Times New Roman"/>
                <w:b w:val="false"/>
                <w:i w:val="false"/>
                <w:color w:val="000000"/>
                <w:sz w:val="20"/>
              </w:rPr>
              <w:t>8.3.10. Отчеты мониторов о визитах</w:t>
            </w:r>
          </w:p>
          <w:bookmarkEnd w:id="6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визиты мониторов и результаты таких визитов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696"/>
          <w:p>
            <w:pPr>
              <w:spacing w:after="20"/>
              <w:ind w:left="20"/>
              <w:jc w:val="both"/>
            </w:pPr>
            <w:r>
              <w:rPr>
                <w:rFonts w:ascii="Times New Roman"/>
                <w:b w:val="false"/>
                <w:i w:val="false"/>
                <w:color w:val="000000"/>
                <w:sz w:val="20"/>
              </w:rPr>
              <w:t>
</w:t>
            </w:r>
            <w:r>
              <w:rPr>
                <w:rFonts w:ascii="Times New Roman"/>
                <w:b w:val="false"/>
                <w:i w:val="false"/>
                <w:color w:val="000000"/>
                <w:sz w:val="20"/>
              </w:rPr>
              <w:t>8.3.11. Существенные для исследования переговоры (переписка) (помимо визитов):</w:t>
            </w:r>
          </w:p>
          <w:bookmarkEnd w:id="696"/>
          <w:p>
            <w:pPr>
              <w:spacing w:after="20"/>
              <w:ind w:left="20"/>
              <w:jc w:val="both"/>
            </w:pPr>
            <w:r>
              <w:rPr>
                <w:rFonts w:ascii="Times New Roman"/>
                <w:b w:val="false"/>
                <w:i w:val="false"/>
                <w:color w:val="000000"/>
                <w:sz w:val="20"/>
              </w:rPr>
              <w:t>
</w:t>
            </w:r>
            <w:r>
              <w:rPr>
                <w:rFonts w:ascii="Times New Roman"/>
                <w:b w:val="false"/>
                <w:i w:val="false"/>
                <w:color w:val="000000"/>
                <w:sz w:val="20"/>
              </w:rPr>
              <w:t>- переписка;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 записи встреч;</w:t>
            </w:r>
          </w:p>
          <w:p>
            <w:pPr>
              <w:spacing w:after="20"/>
              <w:ind w:left="20"/>
              <w:jc w:val="both"/>
            </w:pPr>
            <w:r>
              <w:rPr>
                <w:rFonts w:ascii="Times New Roman"/>
                <w:b w:val="false"/>
                <w:i w:val="false"/>
                <w:color w:val="000000"/>
                <w:sz w:val="20"/>
              </w:rPr>
              <w:t>
- записи телефонных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любые соглашения либо существенные переговоры, касающиеся вопросов проведения исследования, его административных аспектов, нарушений протокола, отчетности по нежелательным явлениям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6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8.3.12. Подписанные формы информированного согласия пациента </w:t>
            </w:r>
          </w:p>
          <w:bookmarkEnd w:id="6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подтвердить, что согласие каждого субъекта получено в соответствии с настоящими Правилами и протоколом до начала участия в исследовании. Кроме того, документально закрепить разрешение на прямой доступ (в соответствии </w:t>
            </w:r>
          </w:p>
          <w:p>
            <w:pPr>
              <w:spacing w:after="20"/>
              <w:ind w:left="20"/>
              <w:jc w:val="both"/>
            </w:pPr>
            <w:r>
              <w:rPr>
                <w:rFonts w:ascii="Times New Roman"/>
                <w:b w:val="false"/>
                <w:i w:val="false"/>
                <w:color w:val="000000"/>
                <w:sz w:val="20"/>
              </w:rPr>
              <w:t>с пунктом 8.2.3 настоящей таблицы)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698"/>
          <w:p>
            <w:pPr>
              <w:spacing w:after="20"/>
              <w:ind w:left="20"/>
              <w:jc w:val="both"/>
            </w:pPr>
            <w:r>
              <w:rPr>
                <w:rFonts w:ascii="Times New Roman"/>
                <w:b w:val="false"/>
                <w:i w:val="false"/>
                <w:color w:val="000000"/>
                <w:sz w:val="20"/>
              </w:rPr>
              <w:t>
</w:t>
            </w:r>
            <w:r>
              <w:rPr>
                <w:rFonts w:ascii="Times New Roman"/>
                <w:b w:val="false"/>
                <w:i w:val="false"/>
                <w:color w:val="000000"/>
                <w:sz w:val="20"/>
              </w:rPr>
              <w:t>8.3.13. Первичная документация</w:t>
            </w:r>
          </w:p>
          <w:bookmarkEnd w:id="6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подтвердить факт существования субъекта и достоверность собранных данных. Включить исходные документы, относящиеся к исследованию, лечению и анамнезу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699"/>
          <w:p>
            <w:pPr>
              <w:spacing w:after="20"/>
              <w:ind w:left="20"/>
              <w:jc w:val="both"/>
            </w:pPr>
            <w:r>
              <w:rPr>
                <w:rFonts w:ascii="Times New Roman"/>
                <w:b w:val="false"/>
                <w:i w:val="false"/>
                <w:color w:val="000000"/>
                <w:sz w:val="20"/>
              </w:rPr>
              <w:t>
</w:t>
            </w:r>
            <w:r>
              <w:rPr>
                <w:rFonts w:ascii="Times New Roman"/>
                <w:b w:val="false"/>
                <w:i w:val="false"/>
                <w:color w:val="000000"/>
                <w:sz w:val="20"/>
              </w:rPr>
              <w:t>8.3.14. Заполненные, датированные и подписанные индивидуальные регистрационные карты</w:t>
            </w:r>
          </w:p>
          <w:bookmarkEnd w:id="6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700"/>
          <w:p>
            <w:pPr>
              <w:spacing w:after="20"/>
              <w:ind w:left="20"/>
              <w:jc w:val="both"/>
            </w:pPr>
            <w:r>
              <w:rPr>
                <w:rFonts w:ascii="Times New Roman"/>
                <w:b w:val="false"/>
                <w:i w:val="false"/>
                <w:color w:val="000000"/>
                <w:sz w:val="20"/>
              </w:rPr>
              <w:t>
документально оформить подтверждение исследователем или уполномоченными сотрудниками исследователя</w:t>
            </w:r>
          </w:p>
          <w:bookmarkEnd w:id="700"/>
          <w:p>
            <w:pPr>
              <w:spacing w:after="20"/>
              <w:ind w:left="20"/>
              <w:jc w:val="both"/>
            </w:pPr>
            <w:r>
              <w:rPr>
                <w:rFonts w:ascii="Times New Roman"/>
                <w:b w:val="false"/>
                <w:i w:val="false"/>
                <w:color w:val="000000"/>
                <w:sz w:val="20"/>
              </w:rPr>
              <w:t>
зарегистрированных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701"/>
          <w:p>
            <w:pPr>
              <w:spacing w:after="20"/>
              <w:ind w:left="20"/>
              <w:jc w:val="both"/>
            </w:pPr>
            <w:r>
              <w:rPr>
                <w:rFonts w:ascii="Times New Roman"/>
                <w:b w:val="false"/>
                <w:i w:val="false"/>
                <w:color w:val="000000"/>
                <w:sz w:val="20"/>
              </w:rPr>
              <w:t>
X</w:t>
            </w:r>
          </w:p>
          <w:bookmarkEnd w:id="701"/>
          <w:p>
            <w:pPr>
              <w:spacing w:after="20"/>
              <w:ind w:left="20"/>
              <w:jc w:val="both"/>
            </w:pPr>
            <w:r>
              <w:rPr>
                <w:rFonts w:ascii="Times New Roman"/>
                <w:b w:val="false"/>
                <w:i w:val="false"/>
                <w:color w:val="000000"/>
                <w:sz w:val="20"/>
              </w:rPr>
              <w:t>
(копия)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702"/>
          <w:p>
            <w:pPr>
              <w:spacing w:after="20"/>
              <w:ind w:left="20"/>
              <w:jc w:val="both"/>
            </w:pPr>
            <w:r>
              <w:rPr>
                <w:rFonts w:ascii="Times New Roman"/>
                <w:b w:val="false"/>
                <w:i w:val="false"/>
                <w:color w:val="000000"/>
                <w:sz w:val="20"/>
              </w:rPr>
              <w:t>
X</w:t>
            </w:r>
          </w:p>
          <w:bookmarkEnd w:id="702"/>
          <w:p>
            <w:pPr>
              <w:spacing w:after="20"/>
              <w:ind w:left="20"/>
              <w:jc w:val="both"/>
            </w:pPr>
            <w:r>
              <w:rPr>
                <w:rFonts w:ascii="Times New Roman"/>
                <w:b w:val="false"/>
                <w:i w:val="false"/>
                <w:color w:val="000000"/>
                <w:sz w:val="20"/>
              </w:rPr>
              <w:t>
(оригинал)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703"/>
          <w:p>
            <w:pPr>
              <w:spacing w:after="20"/>
              <w:ind w:left="20"/>
              <w:jc w:val="both"/>
            </w:pPr>
            <w:r>
              <w:rPr>
                <w:rFonts w:ascii="Times New Roman"/>
                <w:b w:val="false"/>
                <w:i w:val="false"/>
                <w:color w:val="000000"/>
                <w:sz w:val="20"/>
              </w:rPr>
              <w:t>
</w:t>
            </w:r>
            <w:r>
              <w:rPr>
                <w:rFonts w:ascii="Times New Roman"/>
                <w:b w:val="false"/>
                <w:i w:val="false"/>
                <w:color w:val="000000"/>
                <w:sz w:val="20"/>
              </w:rPr>
              <w:t>8.3.15. Документирование исправлений в индивидуальных регистрационных картах</w:t>
            </w:r>
          </w:p>
          <w:bookmarkEnd w:id="7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все изменения (дополнения) или исправления, сделанные в индивидуальных регистрационных картах после записи первоначальных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704"/>
          <w:p>
            <w:pPr>
              <w:spacing w:after="20"/>
              <w:ind w:left="20"/>
              <w:jc w:val="both"/>
            </w:pPr>
            <w:r>
              <w:rPr>
                <w:rFonts w:ascii="Times New Roman"/>
                <w:b w:val="false"/>
                <w:i w:val="false"/>
                <w:color w:val="000000"/>
                <w:sz w:val="20"/>
              </w:rPr>
              <w:t>
X</w:t>
            </w:r>
          </w:p>
          <w:bookmarkEnd w:id="704"/>
          <w:p>
            <w:pPr>
              <w:spacing w:after="20"/>
              <w:ind w:left="20"/>
              <w:jc w:val="both"/>
            </w:pPr>
            <w:r>
              <w:rPr>
                <w:rFonts w:ascii="Times New Roman"/>
                <w:b w:val="false"/>
                <w:i w:val="false"/>
                <w:color w:val="000000"/>
                <w:sz w:val="20"/>
              </w:rPr>
              <w:t>
(копия)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705"/>
          <w:p>
            <w:pPr>
              <w:spacing w:after="20"/>
              <w:ind w:left="20"/>
              <w:jc w:val="both"/>
            </w:pPr>
            <w:r>
              <w:rPr>
                <w:rFonts w:ascii="Times New Roman"/>
                <w:b w:val="false"/>
                <w:i w:val="false"/>
                <w:color w:val="000000"/>
                <w:sz w:val="20"/>
              </w:rPr>
              <w:t>
X</w:t>
            </w:r>
          </w:p>
          <w:bookmarkEnd w:id="705"/>
          <w:p>
            <w:pPr>
              <w:spacing w:after="20"/>
              <w:ind w:left="20"/>
              <w:jc w:val="both"/>
            </w:pPr>
            <w:r>
              <w:rPr>
                <w:rFonts w:ascii="Times New Roman"/>
                <w:b w:val="false"/>
                <w:i w:val="false"/>
                <w:color w:val="000000"/>
                <w:sz w:val="20"/>
              </w:rPr>
              <w:t>
(оригинал)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706"/>
          <w:p>
            <w:pPr>
              <w:spacing w:after="20"/>
              <w:ind w:left="20"/>
              <w:jc w:val="both"/>
            </w:pPr>
            <w:r>
              <w:rPr>
                <w:rFonts w:ascii="Times New Roman"/>
                <w:b w:val="false"/>
                <w:i w:val="false"/>
                <w:color w:val="000000"/>
                <w:sz w:val="20"/>
              </w:rPr>
              <w:t>
</w:t>
            </w:r>
            <w:r>
              <w:rPr>
                <w:rFonts w:ascii="Times New Roman"/>
                <w:b w:val="false"/>
                <w:i w:val="false"/>
                <w:color w:val="000000"/>
                <w:sz w:val="20"/>
              </w:rPr>
              <w:t>8.3.16. Уведомление исследователем спонсора о серьезных нежелательных явлениях и соответствующие отчеты</w:t>
            </w:r>
          </w:p>
          <w:bookmarkEnd w:id="7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707"/>
          <w:p>
            <w:pPr>
              <w:spacing w:after="20"/>
              <w:ind w:left="20"/>
              <w:jc w:val="both"/>
            </w:pPr>
            <w:r>
              <w:rPr>
                <w:rFonts w:ascii="Times New Roman"/>
                <w:b w:val="false"/>
                <w:i w:val="false"/>
                <w:color w:val="000000"/>
                <w:sz w:val="20"/>
              </w:rPr>
              <w:t xml:space="preserve">
уведомление исследователем спонсора о серьезных нежелательных явлениях и соответствующие отчеты согласно </w:t>
            </w:r>
          </w:p>
          <w:bookmarkEnd w:id="707"/>
          <w:p>
            <w:pPr>
              <w:spacing w:after="20"/>
              <w:ind w:left="20"/>
              <w:jc w:val="both"/>
            </w:pPr>
            <w:r>
              <w:rPr>
                <w:rFonts w:ascii="Times New Roman"/>
                <w:b w:val="false"/>
                <w:i w:val="false"/>
                <w:color w:val="000000"/>
                <w:sz w:val="20"/>
              </w:rPr>
              <w:t>
пункту 4.11 настоящих Правил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708"/>
          <w:p>
            <w:pPr>
              <w:spacing w:after="20"/>
              <w:ind w:left="20"/>
              <w:jc w:val="both"/>
            </w:pPr>
            <w:r>
              <w:rPr>
                <w:rFonts w:ascii="Times New Roman"/>
                <w:b w:val="false"/>
                <w:i w:val="false"/>
                <w:color w:val="000000"/>
                <w:sz w:val="20"/>
              </w:rPr>
              <w:t>
</w:t>
            </w:r>
            <w:r>
              <w:rPr>
                <w:rFonts w:ascii="Times New Roman"/>
                <w:b w:val="false"/>
                <w:i w:val="false"/>
                <w:color w:val="000000"/>
                <w:sz w:val="20"/>
              </w:rPr>
              <w:t>8.3.17. Уведомление спонсором и (или) исследователем (что применимо) уполномоченных органов и ЭСО (НЭК) о серьезных непредвиденных нежелательных лекарственных реакциях и об иной информации по безопасности</w:t>
            </w:r>
          </w:p>
          <w:bookmarkEnd w:id="7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спонсором и (или) исследователем </w:t>
            </w:r>
          </w:p>
          <w:p>
            <w:pPr>
              <w:spacing w:after="20"/>
              <w:ind w:left="20"/>
              <w:jc w:val="both"/>
            </w:pPr>
            <w:r>
              <w:rPr>
                <w:rFonts w:ascii="Times New Roman"/>
                <w:b w:val="false"/>
                <w:i w:val="false"/>
                <w:color w:val="000000"/>
                <w:sz w:val="20"/>
              </w:rPr>
              <w:t xml:space="preserve">(что применимо) уполномоченных органов и ЭСО (НЭК) о серьезных непредвиденных нежелательных лекарственных реакциях </w:t>
            </w:r>
          </w:p>
          <w:p>
            <w:pPr>
              <w:spacing w:after="20"/>
              <w:ind w:left="20"/>
              <w:jc w:val="both"/>
            </w:pPr>
            <w:r>
              <w:rPr>
                <w:rFonts w:ascii="Times New Roman"/>
                <w:b w:val="false"/>
                <w:i w:val="false"/>
                <w:color w:val="000000"/>
                <w:sz w:val="20"/>
              </w:rPr>
              <w:t>в соответствии с подпунктами 5.17 и 4.11.1 настоящих Правил и об иной информации по безопасности в соответствии с подпунктами 5.16.2 и 4.11.2 настоящих Правил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709"/>
          <w:p>
            <w:pPr>
              <w:spacing w:after="20"/>
              <w:ind w:left="20"/>
              <w:jc w:val="both"/>
            </w:pPr>
            <w:r>
              <w:rPr>
                <w:rFonts w:ascii="Times New Roman"/>
                <w:b w:val="false"/>
                <w:i w:val="false"/>
                <w:color w:val="000000"/>
                <w:sz w:val="20"/>
              </w:rPr>
              <w:t>
X</w:t>
            </w:r>
          </w:p>
          <w:bookmarkEnd w:id="709"/>
          <w:p>
            <w:pPr>
              <w:spacing w:after="20"/>
              <w:ind w:left="20"/>
              <w:jc w:val="both"/>
            </w:pPr>
            <w:r>
              <w:rPr>
                <w:rFonts w:ascii="Times New Roman"/>
                <w:b w:val="false"/>
                <w:i w:val="false"/>
                <w:color w:val="000000"/>
                <w:sz w:val="20"/>
              </w:rPr>
              <w:t>
(если требуется)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710"/>
          <w:p>
            <w:pPr>
              <w:spacing w:after="20"/>
              <w:ind w:left="20"/>
              <w:jc w:val="both"/>
            </w:pPr>
            <w:r>
              <w:rPr>
                <w:rFonts w:ascii="Times New Roman"/>
                <w:b w:val="false"/>
                <w:i w:val="false"/>
                <w:color w:val="000000"/>
                <w:sz w:val="20"/>
              </w:rPr>
              <w:t>
</w:t>
            </w:r>
            <w:r>
              <w:rPr>
                <w:rFonts w:ascii="Times New Roman"/>
                <w:b w:val="false"/>
                <w:i w:val="false"/>
                <w:color w:val="000000"/>
                <w:sz w:val="20"/>
              </w:rPr>
              <w:t>8.3.18. Сообщение спонсором исследователю информации по безопасности</w:t>
            </w:r>
          </w:p>
          <w:bookmarkEnd w:id="7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сообщение спонсором исследователю информации по безопасности в соответствии </w:t>
            </w:r>
          </w:p>
          <w:p>
            <w:pPr>
              <w:spacing w:after="20"/>
              <w:ind w:left="20"/>
              <w:jc w:val="both"/>
            </w:pPr>
            <w:r>
              <w:rPr>
                <w:rFonts w:ascii="Times New Roman"/>
                <w:b w:val="false"/>
                <w:i w:val="false"/>
                <w:color w:val="000000"/>
                <w:sz w:val="20"/>
              </w:rPr>
              <w:t>с пунктами 5.16.2 настоящих Правил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711"/>
          <w:p>
            <w:pPr>
              <w:spacing w:after="20"/>
              <w:ind w:left="20"/>
              <w:jc w:val="both"/>
            </w:pPr>
            <w:r>
              <w:rPr>
                <w:rFonts w:ascii="Times New Roman"/>
                <w:b w:val="false"/>
                <w:i w:val="false"/>
                <w:color w:val="000000"/>
                <w:sz w:val="20"/>
              </w:rPr>
              <w:t>
</w:t>
            </w:r>
            <w:r>
              <w:rPr>
                <w:rFonts w:ascii="Times New Roman"/>
                <w:b w:val="false"/>
                <w:i w:val="false"/>
                <w:color w:val="000000"/>
                <w:sz w:val="20"/>
              </w:rPr>
              <w:t>8.3.19. Промежуточные или годовые отчеты, представляемые ЭСО (НЭК) и уполномоченным органам</w:t>
            </w:r>
          </w:p>
          <w:bookmarkEnd w:id="7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промежуточные или годовые отчеты в соответствии </w:t>
            </w:r>
          </w:p>
          <w:p>
            <w:pPr>
              <w:spacing w:after="20"/>
              <w:ind w:left="20"/>
              <w:jc w:val="both"/>
            </w:pPr>
            <w:r>
              <w:rPr>
                <w:rFonts w:ascii="Times New Roman"/>
                <w:b w:val="false"/>
                <w:i w:val="false"/>
                <w:color w:val="000000"/>
                <w:sz w:val="20"/>
              </w:rPr>
              <w:t xml:space="preserve">с пунктами 4.10 и 5.17.3 настоящих Правил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712"/>
          <w:p>
            <w:pPr>
              <w:spacing w:after="20"/>
              <w:ind w:left="20"/>
              <w:jc w:val="both"/>
            </w:pPr>
            <w:r>
              <w:rPr>
                <w:rFonts w:ascii="Times New Roman"/>
                <w:b w:val="false"/>
                <w:i w:val="false"/>
                <w:color w:val="000000"/>
                <w:sz w:val="20"/>
              </w:rPr>
              <w:t>
X</w:t>
            </w:r>
          </w:p>
          <w:bookmarkEnd w:id="712"/>
          <w:p>
            <w:pPr>
              <w:spacing w:after="20"/>
              <w:ind w:left="20"/>
              <w:jc w:val="both"/>
            </w:pPr>
            <w:r>
              <w:rPr>
                <w:rFonts w:ascii="Times New Roman"/>
                <w:b w:val="false"/>
                <w:i w:val="false"/>
                <w:color w:val="000000"/>
                <w:sz w:val="20"/>
              </w:rPr>
              <w:t>
(если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 w:id="713"/>
          <w:p>
            <w:pPr>
              <w:spacing w:after="20"/>
              <w:ind w:left="20"/>
              <w:jc w:val="both"/>
            </w:pPr>
            <w:r>
              <w:rPr>
                <w:rFonts w:ascii="Times New Roman"/>
                <w:b w:val="false"/>
                <w:i w:val="false"/>
                <w:color w:val="000000"/>
                <w:sz w:val="20"/>
              </w:rPr>
              <w:t>
</w:t>
            </w:r>
            <w:r>
              <w:rPr>
                <w:rFonts w:ascii="Times New Roman"/>
                <w:b w:val="false"/>
                <w:i w:val="false"/>
                <w:color w:val="000000"/>
                <w:sz w:val="20"/>
              </w:rPr>
              <w:t>8.3.20. Журнал скрининга субъектов</w:t>
            </w:r>
          </w:p>
          <w:bookmarkEnd w:id="7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идентификацию субъектов, прошедших перед исследованием скрининг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714"/>
          <w:p>
            <w:pPr>
              <w:spacing w:after="20"/>
              <w:ind w:left="20"/>
              <w:jc w:val="both"/>
            </w:pPr>
            <w:r>
              <w:rPr>
                <w:rFonts w:ascii="Times New Roman"/>
                <w:b w:val="false"/>
                <w:i w:val="false"/>
                <w:color w:val="000000"/>
                <w:sz w:val="20"/>
              </w:rPr>
              <w:t>
X</w:t>
            </w:r>
          </w:p>
          <w:bookmarkEnd w:id="714"/>
          <w:p>
            <w:pPr>
              <w:spacing w:after="20"/>
              <w:ind w:left="20"/>
              <w:jc w:val="both"/>
            </w:pPr>
            <w:r>
              <w:rPr>
                <w:rFonts w:ascii="Times New Roman"/>
                <w:b w:val="false"/>
                <w:i w:val="false"/>
                <w:color w:val="000000"/>
                <w:sz w:val="20"/>
              </w:rPr>
              <w:t>
(если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715"/>
          <w:p>
            <w:pPr>
              <w:spacing w:after="20"/>
              <w:ind w:left="20"/>
              <w:jc w:val="both"/>
            </w:pPr>
            <w:r>
              <w:rPr>
                <w:rFonts w:ascii="Times New Roman"/>
                <w:b w:val="false"/>
                <w:i w:val="false"/>
                <w:color w:val="000000"/>
                <w:sz w:val="20"/>
              </w:rPr>
              <w:t>
</w:t>
            </w:r>
            <w:r>
              <w:rPr>
                <w:rFonts w:ascii="Times New Roman"/>
                <w:b w:val="false"/>
                <w:i w:val="false"/>
                <w:color w:val="000000"/>
                <w:sz w:val="20"/>
              </w:rPr>
              <w:t>8.3.21. Перечень идентификационных кодов субъектов</w:t>
            </w:r>
          </w:p>
          <w:bookmarkEnd w:id="7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подтвердить, что исследователь (медицинская организация) хранит конфиденциальный перечень имен всех субъектов, которым при включении в исследование были присвоены идентификационные коды. Указанный перечень позволяет исследователю (медицинской организации) идентифицировать любого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716"/>
          <w:p>
            <w:pPr>
              <w:spacing w:after="20"/>
              <w:ind w:left="20"/>
              <w:jc w:val="both"/>
            </w:pPr>
            <w:r>
              <w:rPr>
                <w:rFonts w:ascii="Times New Roman"/>
                <w:b w:val="false"/>
                <w:i w:val="false"/>
                <w:color w:val="000000"/>
                <w:sz w:val="20"/>
              </w:rPr>
              <w:t>
</w:t>
            </w:r>
            <w:r>
              <w:rPr>
                <w:rFonts w:ascii="Times New Roman"/>
                <w:b w:val="false"/>
                <w:i w:val="false"/>
                <w:color w:val="000000"/>
                <w:sz w:val="20"/>
              </w:rPr>
              <w:t>8.3.22. Журнал регистрации включения субъектов</w:t>
            </w:r>
          </w:p>
          <w:bookmarkEnd w:id="7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хронологическую последовательность включения субъектов по идентификационным кодам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 w:id="717"/>
          <w:p>
            <w:pPr>
              <w:spacing w:after="20"/>
              <w:ind w:left="20"/>
              <w:jc w:val="both"/>
            </w:pPr>
            <w:r>
              <w:rPr>
                <w:rFonts w:ascii="Times New Roman"/>
                <w:b w:val="false"/>
                <w:i w:val="false"/>
                <w:color w:val="000000"/>
                <w:sz w:val="20"/>
              </w:rPr>
              <w:t>
</w:t>
            </w:r>
            <w:r>
              <w:rPr>
                <w:rFonts w:ascii="Times New Roman"/>
                <w:b w:val="false"/>
                <w:i w:val="false"/>
                <w:color w:val="000000"/>
                <w:sz w:val="20"/>
              </w:rPr>
              <w:t>8.3.23. Учет исследуемого препарата в исследовательском центре</w:t>
            </w:r>
          </w:p>
          <w:bookmarkEnd w:id="7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использование исследуемого препарата </w:t>
            </w:r>
          </w:p>
          <w:p>
            <w:pPr>
              <w:spacing w:after="20"/>
              <w:ind w:left="20"/>
              <w:jc w:val="both"/>
            </w:pPr>
            <w:r>
              <w:rPr>
                <w:rFonts w:ascii="Times New Roman"/>
                <w:b w:val="false"/>
                <w:i w:val="false"/>
                <w:color w:val="000000"/>
                <w:sz w:val="20"/>
              </w:rPr>
              <w:t>в соответствии с протоколом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718"/>
          <w:p>
            <w:pPr>
              <w:spacing w:after="20"/>
              <w:ind w:left="20"/>
              <w:jc w:val="both"/>
            </w:pPr>
            <w:r>
              <w:rPr>
                <w:rFonts w:ascii="Times New Roman"/>
                <w:b w:val="false"/>
                <w:i w:val="false"/>
                <w:color w:val="000000"/>
                <w:sz w:val="20"/>
              </w:rPr>
              <w:t>
</w:t>
            </w:r>
            <w:r>
              <w:rPr>
                <w:rFonts w:ascii="Times New Roman"/>
                <w:b w:val="false"/>
                <w:i w:val="false"/>
                <w:color w:val="000000"/>
                <w:sz w:val="20"/>
              </w:rPr>
              <w:t>8.3.24. Лист образцов подписей</w:t>
            </w:r>
          </w:p>
          <w:bookmarkEnd w:id="7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оформить образцы подписей и расшифровок подписей всех лиц, уполномоченных вносить данные и (или) исправления в индивидуальную регистрационную карту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719"/>
          <w:p>
            <w:pPr>
              <w:spacing w:after="20"/>
              <w:ind w:left="20"/>
              <w:jc w:val="both"/>
            </w:pPr>
            <w:r>
              <w:rPr>
                <w:rFonts w:ascii="Times New Roman"/>
                <w:b w:val="false"/>
                <w:i w:val="false"/>
                <w:color w:val="000000"/>
                <w:sz w:val="20"/>
              </w:rPr>
              <w:t>
</w:t>
            </w:r>
            <w:r>
              <w:rPr>
                <w:rFonts w:ascii="Times New Roman"/>
                <w:b w:val="false"/>
                <w:i w:val="false"/>
                <w:color w:val="000000"/>
                <w:sz w:val="20"/>
              </w:rPr>
              <w:t>8.3.25. Учет хранящихся образцов биологических жидкостей (тканей) (при наличии)</w:t>
            </w:r>
          </w:p>
          <w:bookmarkEnd w:id="7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720"/>
          <w:p>
            <w:pPr>
              <w:spacing w:after="20"/>
              <w:ind w:left="20"/>
              <w:jc w:val="both"/>
            </w:pPr>
            <w:r>
              <w:rPr>
                <w:rFonts w:ascii="Times New Roman"/>
                <w:b w:val="false"/>
                <w:i w:val="false"/>
                <w:color w:val="000000"/>
                <w:sz w:val="20"/>
              </w:rPr>
              <w:t xml:space="preserve">
документально закрепить местонахождение и идентификацию хранящихся образцов </w:t>
            </w:r>
          </w:p>
          <w:bookmarkEnd w:id="720"/>
          <w:p>
            <w:pPr>
              <w:spacing w:after="20"/>
              <w:ind w:left="20"/>
              <w:jc w:val="both"/>
            </w:pPr>
            <w:r>
              <w:rPr>
                <w:rFonts w:ascii="Times New Roman"/>
                <w:b w:val="false"/>
                <w:i w:val="false"/>
                <w:color w:val="000000"/>
                <w:sz w:val="20"/>
              </w:rPr>
              <w:t>
(в случае необходимости проведения повторных анализов)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2538" w:id="721"/>
    <w:p>
      <w:pPr>
        <w:spacing w:after="0"/>
        <w:ind w:left="0"/>
        <w:jc w:val="left"/>
      </w:pPr>
      <w:r>
        <w:rPr>
          <w:rFonts w:ascii="Times New Roman"/>
          <w:b/>
          <w:i w:val="false"/>
          <w:color w:val="000000"/>
        </w:rPr>
        <w:t xml:space="preserve"> 8.4. После завершения или досрочного прекращения исследования</w:t>
      </w:r>
    </w:p>
    <w:bookmarkEnd w:id="721"/>
    <w:bookmarkStart w:name="z2539" w:id="722"/>
    <w:p>
      <w:pPr>
        <w:spacing w:after="0"/>
        <w:ind w:left="0"/>
        <w:jc w:val="both"/>
      </w:pPr>
      <w:r>
        <w:rPr>
          <w:rFonts w:ascii="Times New Roman"/>
          <w:b w:val="false"/>
          <w:i w:val="false"/>
          <w:color w:val="000000"/>
          <w:sz w:val="28"/>
        </w:rPr>
        <w:t>
      После завершения или досрочного прекращения исследования все документы, перечисленные в подразделах 8.2 и 8.3 настоящих Правил, должны содержаться в файле исследования вместе с нижеуказанными документами:</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72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документа</w:t>
            </w:r>
          </w:p>
          <w:bookmarkEnd w:id="72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Находится в файлах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исследователя (медицинской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724"/>
          <w:p>
            <w:pPr>
              <w:spacing w:after="20"/>
              <w:ind w:left="20"/>
              <w:jc w:val="both"/>
            </w:pPr>
            <w:r>
              <w:rPr>
                <w:rFonts w:ascii="Times New Roman"/>
                <w:b w:val="false"/>
                <w:i w:val="false"/>
                <w:color w:val="000000"/>
                <w:sz w:val="20"/>
              </w:rPr>
              <w:t>
</w:t>
            </w:r>
            <w:r>
              <w:rPr>
                <w:rFonts w:ascii="Times New Roman"/>
                <w:b w:val="false"/>
                <w:i w:val="false"/>
                <w:color w:val="000000"/>
                <w:sz w:val="20"/>
              </w:rPr>
              <w:t>8.4.1. Учет исследуемого препарата в исследовательском центре</w:t>
            </w:r>
          </w:p>
          <w:bookmarkEnd w:id="7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использование исследуемого препарата </w:t>
            </w:r>
          </w:p>
          <w:p>
            <w:pPr>
              <w:spacing w:after="20"/>
              <w:ind w:left="20"/>
              <w:jc w:val="both"/>
            </w:pPr>
            <w:r>
              <w:rPr>
                <w:rFonts w:ascii="Times New Roman"/>
                <w:b w:val="false"/>
                <w:i w:val="false"/>
                <w:color w:val="000000"/>
                <w:sz w:val="20"/>
              </w:rPr>
              <w:t>в соответствии с протоколом. Документально закрепить результаты окончательного подсчета количества исследуемого препарата, полученного исследовательским центром, выданного субъектам исследования, возвращенного субъектами исследования и возвращенного спонсору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725"/>
          <w:p>
            <w:pPr>
              <w:spacing w:after="20"/>
              <w:ind w:left="20"/>
              <w:jc w:val="both"/>
            </w:pPr>
            <w:r>
              <w:rPr>
                <w:rFonts w:ascii="Times New Roman"/>
                <w:b w:val="false"/>
                <w:i w:val="false"/>
                <w:color w:val="000000"/>
                <w:sz w:val="20"/>
              </w:rPr>
              <w:t>
</w:t>
            </w:r>
            <w:r>
              <w:rPr>
                <w:rFonts w:ascii="Times New Roman"/>
                <w:b w:val="false"/>
                <w:i w:val="false"/>
                <w:color w:val="000000"/>
                <w:sz w:val="20"/>
              </w:rPr>
              <w:t>8.4.2. Документация по уничтожению исследуемого препарата</w:t>
            </w:r>
          </w:p>
          <w:bookmarkEnd w:id="7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закрепить факт уничтожения неиспользованных исследуемых препаратов спонсором или в исследовательском центре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726"/>
          <w:p>
            <w:pPr>
              <w:spacing w:after="20"/>
              <w:ind w:left="20"/>
              <w:jc w:val="both"/>
            </w:pPr>
            <w:r>
              <w:rPr>
                <w:rFonts w:ascii="Times New Roman"/>
                <w:b w:val="false"/>
                <w:i w:val="false"/>
                <w:color w:val="000000"/>
                <w:sz w:val="20"/>
              </w:rPr>
              <w:t>
X</w:t>
            </w:r>
          </w:p>
          <w:bookmarkEnd w:id="726"/>
          <w:p>
            <w:pPr>
              <w:spacing w:after="20"/>
              <w:ind w:left="20"/>
              <w:jc w:val="both"/>
            </w:pPr>
            <w:r>
              <w:rPr>
                <w:rFonts w:ascii="Times New Roman"/>
                <w:b w:val="false"/>
                <w:i w:val="false"/>
                <w:color w:val="000000"/>
                <w:sz w:val="20"/>
              </w:rPr>
              <w:t>
(если уничтожен в клиническом центре)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727"/>
          <w:p>
            <w:pPr>
              <w:spacing w:after="20"/>
              <w:ind w:left="20"/>
              <w:jc w:val="both"/>
            </w:pPr>
            <w:r>
              <w:rPr>
                <w:rFonts w:ascii="Times New Roman"/>
                <w:b w:val="false"/>
                <w:i w:val="false"/>
                <w:color w:val="000000"/>
                <w:sz w:val="20"/>
              </w:rPr>
              <w:t>
</w:t>
            </w:r>
            <w:r>
              <w:rPr>
                <w:rFonts w:ascii="Times New Roman"/>
                <w:b w:val="false"/>
                <w:i w:val="false"/>
                <w:color w:val="000000"/>
                <w:sz w:val="20"/>
              </w:rPr>
              <w:t>8.4.3. Итоговый перечень идентификационных кодов субъектов</w:t>
            </w:r>
          </w:p>
          <w:bookmarkEnd w:id="7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сделать возможной идентификацию всех включенных в исследование субъектов в случае необходимости их последующего наблюдения.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идентификационных кодов субъектов должен храниться с соблюдением требований конфиденциальности в течение согласованного срока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7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8.4.4. Сертификат аудита </w:t>
            </w:r>
          </w:p>
          <w:bookmarkEnd w:id="728"/>
          <w:p>
            <w:pPr>
              <w:spacing w:after="20"/>
              <w:ind w:left="20"/>
              <w:jc w:val="both"/>
            </w:pPr>
            <w:r>
              <w:rPr>
                <w:rFonts w:ascii="Times New Roman"/>
                <w:b w:val="false"/>
                <w:i w:val="false"/>
                <w:color w:val="000000"/>
                <w:sz w:val="20"/>
              </w:rPr>
              <w:t>(при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факт проведения 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729"/>
          <w:p>
            <w:pPr>
              <w:spacing w:after="20"/>
              <w:ind w:left="20"/>
              <w:jc w:val="both"/>
            </w:pPr>
            <w:r>
              <w:rPr>
                <w:rFonts w:ascii="Times New Roman"/>
                <w:b w:val="false"/>
                <w:i w:val="false"/>
                <w:color w:val="000000"/>
                <w:sz w:val="20"/>
              </w:rPr>
              <w:t>
</w:t>
            </w:r>
            <w:r>
              <w:rPr>
                <w:rFonts w:ascii="Times New Roman"/>
                <w:b w:val="false"/>
                <w:i w:val="false"/>
                <w:color w:val="000000"/>
                <w:sz w:val="20"/>
              </w:rPr>
              <w:t>8.4.5. Итоговый отчет монитора о завершении исследования в исследовательском центре</w:t>
            </w:r>
          </w:p>
          <w:bookmarkEnd w:id="7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окончание всех мероприятий исследования, необходимых для завершающего визита, и наличие копий основных документов в соответствующих файлах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730"/>
          <w:p>
            <w:pPr>
              <w:spacing w:after="20"/>
              <w:ind w:left="20"/>
              <w:jc w:val="both"/>
            </w:pPr>
            <w:r>
              <w:rPr>
                <w:rFonts w:ascii="Times New Roman"/>
                <w:b w:val="false"/>
                <w:i w:val="false"/>
                <w:color w:val="000000"/>
                <w:sz w:val="20"/>
              </w:rPr>
              <w:t>
</w:t>
            </w:r>
            <w:r>
              <w:rPr>
                <w:rFonts w:ascii="Times New Roman"/>
                <w:b w:val="false"/>
                <w:i w:val="false"/>
                <w:color w:val="000000"/>
                <w:sz w:val="20"/>
              </w:rPr>
              <w:t>8.4.6. Документация по распределению субъектов по группам и раскрытию кодов</w:t>
            </w:r>
          </w:p>
          <w:bookmarkEnd w:id="7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возвращается спонсору для документального закрепления имевших место случаев вскрытия кодов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731"/>
          <w:p>
            <w:pPr>
              <w:spacing w:after="20"/>
              <w:ind w:left="20"/>
              <w:jc w:val="both"/>
            </w:pPr>
            <w:r>
              <w:rPr>
                <w:rFonts w:ascii="Times New Roman"/>
                <w:b w:val="false"/>
                <w:i w:val="false"/>
                <w:color w:val="000000"/>
                <w:sz w:val="20"/>
              </w:rPr>
              <w:t>
</w:t>
            </w:r>
            <w:r>
              <w:rPr>
                <w:rFonts w:ascii="Times New Roman"/>
                <w:b w:val="false"/>
                <w:i w:val="false"/>
                <w:color w:val="000000"/>
                <w:sz w:val="20"/>
              </w:rPr>
              <w:t>8.4.7. Итоговый отчет исследователя, представляемый ЭСО (НЭК) (если требуется) и уполномоченным органам (где применимо)</w:t>
            </w:r>
          </w:p>
          <w:bookmarkEnd w:id="7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завершение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732"/>
          <w:p>
            <w:pPr>
              <w:spacing w:after="20"/>
              <w:ind w:left="20"/>
              <w:jc w:val="both"/>
            </w:pPr>
            <w:r>
              <w:rPr>
                <w:rFonts w:ascii="Times New Roman"/>
                <w:b w:val="false"/>
                <w:i w:val="false"/>
                <w:color w:val="000000"/>
                <w:sz w:val="20"/>
              </w:rPr>
              <w:t>
</w:t>
            </w:r>
            <w:r>
              <w:rPr>
                <w:rFonts w:ascii="Times New Roman"/>
                <w:b w:val="false"/>
                <w:i w:val="false"/>
                <w:color w:val="000000"/>
                <w:sz w:val="20"/>
              </w:rPr>
              <w:t>8.4.8. Отчет о клиническом исследовании</w:t>
            </w:r>
          </w:p>
          <w:bookmarkEnd w:id="7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 результаты исследования и их интерпретацию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733"/>
          <w:p>
            <w:pPr>
              <w:spacing w:after="20"/>
              <w:ind w:left="20"/>
              <w:jc w:val="both"/>
            </w:pPr>
            <w:r>
              <w:rPr>
                <w:rFonts w:ascii="Times New Roman"/>
                <w:b w:val="false"/>
                <w:i w:val="false"/>
                <w:color w:val="000000"/>
                <w:sz w:val="20"/>
              </w:rPr>
              <w:t>
X</w:t>
            </w:r>
          </w:p>
          <w:bookmarkEnd w:id="733"/>
          <w:p>
            <w:pPr>
              <w:spacing w:after="20"/>
              <w:ind w:left="20"/>
              <w:jc w:val="both"/>
            </w:pPr>
            <w:r>
              <w:rPr>
                <w:rFonts w:ascii="Times New Roman"/>
                <w:b w:val="false"/>
                <w:i w:val="false"/>
                <w:color w:val="000000"/>
                <w:sz w:val="20"/>
              </w:rPr>
              <w:t>
(если применимо)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Правилам надлежащей</w:t>
            </w:r>
            <w:r>
              <w:br/>
            </w:r>
            <w:r>
              <w:rPr>
                <w:rFonts w:ascii="Times New Roman"/>
                <w:b w:val="false"/>
                <w:i w:val="false"/>
                <w:color w:val="000000"/>
                <w:sz w:val="20"/>
              </w:rPr>
              <w:t>клинической практики Евразийского</w:t>
            </w:r>
            <w:r>
              <w:br/>
            </w:r>
            <w:r>
              <w:rPr>
                <w:rFonts w:ascii="Times New Roman"/>
                <w:b w:val="false"/>
                <w:i w:val="false"/>
                <w:color w:val="000000"/>
                <w:sz w:val="20"/>
              </w:rPr>
              <w:t>экономического союза</w:t>
            </w:r>
          </w:p>
        </w:tc>
      </w:tr>
    </w:tbl>
    <w:bookmarkStart w:name="z602" w:id="734"/>
    <w:p>
      <w:pPr>
        <w:spacing w:after="0"/>
        <w:ind w:left="0"/>
        <w:jc w:val="left"/>
      </w:pPr>
      <w:r>
        <w:rPr>
          <w:rFonts w:ascii="Times New Roman"/>
          <w:b/>
          <w:i w:val="false"/>
          <w:color w:val="000000"/>
        </w:rPr>
        <w:t xml:space="preserve"> ТРЕБОВАНИЯ к структуре и содержанию отчета о клиническом</w:t>
      </w:r>
      <w:r>
        <w:br/>
      </w:r>
      <w:r>
        <w:rPr>
          <w:rFonts w:ascii="Times New Roman"/>
          <w:b/>
          <w:i w:val="false"/>
          <w:color w:val="000000"/>
        </w:rPr>
        <w:t>исследовании</w:t>
      </w:r>
      <w:r>
        <w:br/>
      </w:r>
      <w:r>
        <w:rPr>
          <w:rFonts w:ascii="Times New Roman"/>
          <w:b/>
          <w:i w:val="false"/>
          <w:color w:val="000000"/>
        </w:rPr>
        <w:t>I. Общие положения</w:t>
      </w:r>
    </w:p>
    <w:bookmarkEnd w:id="734"/>
    <w:bookmarkStart w:name="z605" w:id="735"/>
    <w:p>
      <w:pPr>
        <w:spacing w:after="0"/>
        <w:ind w:left="0"/>
        <w:jc w:val="both"/>
      </w:pPr>
      <w:r>
        <w:rPr>
          <w:rFonts w:ascii="Times New Roman"/>
          <w:b w:val="false"/>
          <w:i w:val="false"/>
          <w:color w:val="000000"/>
          <w:sz w:val="28"/>
        </w:rPr>
        <w:t>
      Настоящий документ разработан с учетом требований руководства Международной конференции по гармонизации технических требований к регистрации лекарственных препаратов для медицинского применения ICH Harmonised Tripartite Guideline "Structure and Content of Clinical Study Reports (Е3)" (версия 4, 1995).</w:t>
      </w:r>
    </w:p>
    <w:bookmarkEnd w:id="735"/>
    <w:bookmarkStart w:name="z606" w:id="736"/>
    <w:p>
      <w:pPr>
        <w:spacing w:after="0"/>
        <w:ind w:left="0"/>
        <w:jc w:val="both"/>
      </w:pPr>
      <w:r>
        <w:rPr>
          <w:rFonts w:ascii="Times New Roman"/>
          <w:b w:val="false"/>
          <w:i w:val="false"/>
          <w:color w:val="000000"/>
          <w:sz w:val="28"/>
        </w:rPr>
        <w:t>
      Изложенные в настоящем документе требования к структуре и содержанию отчета о клиническом исследовании (далее - отчет) являются общими и пригодны для описания результатов исследования любого терапевтического, профилактического или диагностического лекарственного средства, проведенного у пациентов (здоровых добровольцев). Клиническое и статистическое описание результатов исследования, представление и анализ данных, полученных в ходе выполнения исследования выполняют в виде единого отчета, включающего таблицы и рисунки в основном тексте отчета или в конце текста отчета. Приложения к такому отчету включают:</w:t>
      </w:r>
    </w:p>
    <w:bookmarkEnd w:id="736"/>
    <w:bookmarkStart w:name="z607" w:id="737"/>
    <w:p>
      <w:pPr>
        <w:spacing w:after="0"/>
        <w:ind w:left="0"/>
        <w:jc w:val="both"/>
      </w:pPr>
      <w:r>
        <w:rPr>
          <w:rFonts w:ascii="Times New Roman"/>
          <w:b w:val="false"/>
          <w:i w:val="false"/>
          <w:color w:val="000000"/>
          <w:sz w:val="28"/>
        </w:rPr>
        <w:t>
      протокол;</w:t>
      </w:r>
    </w:p>
    <w:bookmarkEnd w:id="737"/>
    <w:bookmarkStart w:name="z608" w:id="738"/>
    <w:p>
      <w:pPr>
        <w:spacing w:after="0"/>
        <w:ind w:left="0"/>
        <w:jc w:val="both"/>
      </w:pPr>
      <w:r>
        <w:rPr>
          <w:rFonts w:ascii="Times New Roman"/>
          <w:b w:val="false"/>
          <w:i w:val="false"/>
          <w:color w:val="000000"/>
          <w:sz w:val="28"/>
        </w:rPr>
        <w:t>
      образцы индивидуальных регистрационных карт;</w:t>
      </w:r>
    </w:p>
    <w:bookmarkEnd w:id="738"/>
    <w:bookmarkStart w:name="z609" w:id="739"/>
    <w:p>
      <w:pPr>
        <w:spacing w:after="0"/>
        <w:ind w:left="0"/>
        <w:jc w:val="both"/>
      </w:pPr>
      <w:r>
        <w:rPr>
          <w:rFonts w:ascii="Times New Roman"/>
          <w:b w:val="false"/>
          <w:i w:val="false"/>
          <w:color w:val="000000"/>
          <w:sz w:val="28"/>
        </w:rPr>
        <w:t>
      информацию, связанную с исследователями;</w:t>
      </w:r>
    </w:p>
    <w:bookmarkEnd w:id="739"/>
    <w:bookmarkStart w:name="z610" w:id="740"/>
    <w:p>
      <w:pPr>
        <w:spacing w:after="0"/>
        <w:ind w:left="0"/>
        <w:jc w:val="both"/>
      </w:pPr>
      <w:r>
        <w:rPr>
          <w:rFonts w:ascii="Times New Roman"/>
          <w:b w:val="false"/>
          <w:i w:val="false"/>
          <w:color w:val="000000"/>
          <w:sz w:val="28"/>
        </w:rPr>
        <w:t>
      информацию, связанную с исследуемым препаратом (экспериментальным препаратом), включая препараты сравнения (контрольные препараты);</w:t>
      </w:r>
    </w:p>
    <w:bookmarkEnd w:id="740"/>
    <w:bookmarkStart w:name="z611" w:id="741"/>
    <w:p>
      <w:pPr>
        <w:spacing w:after="0"/>
        <w:ind w:left="0"/>
        <w:jc w:val="both"/>
      </w:pPr>
      <w:r>
        <w:rPr>
          <w:rFonts w:ascii="Times New Roman"/>
          <w:b w:val="false"/>
          <w:i w:val="false"/>
          <w:color w:val="000000"/>
          <w:sz w:val="28"/>
        </w:rPr>
        <w:t>
      техническую статистическую документацию;</w:t>
      </w:r>
    </w:p>
    <w:bookmarkEnd w:id="741"/>
    <w:bookmarkStart w:name="z612" w:id="742"/>
    <w:p>
      <w:pPr>
        <w:spacing w:after="0"/>
        <w:ind w:left="0"/>
        <w:jc w:val="both"/>
      </w:pPr>
      <w:r>
        <w:rPr>
          <w:rFonts w:ascii="Times New Roman"/>
          <w:b w:val="false"/>
          <w:i w:val="false"/>
          <w:color w:val="000000"/>
          <w:sz w:val="28"/>
        </w:rPr>
        <w:t>
      соответствующие публикации;</w:t>
      </w:r>
    </w:p>
    <w:bookmarkEnd w:id="742"/>
    <w:bookmarkStart w:name="z613" w:id="743"/>
    <w:p>
      <w:pPr>
        <w:spacing w:after="0"/>
        <w:ind w:left="0"/>
        <w:jc w:val="both"/>
      </w:pPr>
      <w:r>
        <w:rPr>
          <w:rFonts w:ascii="Times New Roman"/>
          <w:b w:val="false"/>
          <w:i w:val="false"/>
          <w:color w:val="000000"/>
          <w:sz w:val="28"/>
        </w:rPr>
        <w:t>
      перечни данных по пациентам;</w:t>
      </w:r>
    </w:p>
    <w:bookmarkEnd w:id="743"/>
    <w:bookmarkStart w:name="z614" w:id="744"/>
    <w:p>
      <w:pPr>
        <w:spacing w:after="0"/>
        <w:ind w:left="0"/>
        <w:jc w:val="both"/>
      </w:pPr>
      <w:r>
        <w:rPr>
          <w:rFonts w:ascii="Times New Roman"/>
          <w:b w:val="false"/>
          <w:i w:val="false"/>
          <w:color w:val="000000"/>
          <w:sz w:val="28"/>
        </w:rPr>
        <w:t>
      такие технические статистические данные, как выводы, промежуточные расчеты, анализы и заключения на основе компьютерных данных;</w:t>
      </w:r>
    </w:p>
    <w:bookmarkEnd w:id="744"/>
    <w:bookmarkStart w:name="z615" w:id="745"/>
    <w:p>
      <w:pPr>
        <w:spacing w:after="0"/>
        <w:ind w:left="0"/>
        <w:jc w:val="both"/>
      </w:pPr>
      <w:r>
        <w:rPr>
          <w:rFonts w:ascii="Times New Roman"/>
          <w:b w:val="false"/>
          <w:i w:val="false"/>
          <w:color w:val="000000"/>
          <w:sz w:val="28"/>
        </w:rPr>
        <w:t>
      и другие.</w:t>
      </w:r>
    </w:p>
    <w:bookmarkEnd w:id="745"/>
    <w:bookmarkStart w:name="z616" w:id="746"/>
    <w:p>
      <w:pPr>
        <w:spacing w:after="0"/>
        <w:ind w:left="0"/>
        <w:jc w:val="both"/>
      </w:pPr>
      <w:r>
        <w:rPr>
          <w:rFonts w:ascii="Times New Roman"/>
          <w:b w:val="false"/>
          <w:i w:val="false"/>
          <w:color w:val="000000"/>
          <w:sz w:val="28"/>
        </w:rPr>
        <w:t>
      Хотя настоящий документ в основном относится к исследованиям эффективности и безопасности, основные принципы составления отчета и его структура могут использоваться при подготовке отчетов по разным видам исследований (например, исследованиям клинической фармакологии). В зависимости от специфики и значимости таких исследований может составляться менее детализированный отчет.</w:t>
      </w:r>
    </w:p>
    <w:bookmarkEnd w:id="746"/>
    <w:bookmarkStart w:name="z617" w:id="747"/>
    <w:p>
      <w:pPr>
        <w:spacing w:after="0"/>
        <w:ind w:left="0"/>
        <w:jc w:val="both"/>
      </w:pPr>
      <w:r>
        <w:rPr>
          <w:rFonts w:ascii="Times New Roman"/>
          <w:b w:val="false"/>
          <w:i w:val="false"/>
          <w:color w:val="000000"/>
          <w:sz w:val="28"/>
        </w:rPr>
        <w:t>
      Настоящий документ предназначен для оказания помощи спонсорам в составлении отчета, который будет полным, лишенным двусмысленности, хорошо сформированным и простым для последующего рассмотрения и оценки. В отчете должны содержаться четкое объяснение того, как были выбраны критические особенности дизайна исследования, информация о плане, методе и ходе проведения исследования, чтобы не было никакой двусмысленности в том, как было проведено исследование. В отчете и приложениях к нему также должно содержаться достаточное количество индивидуальных данных пациентов, в том числе демографических и исходных данных, и характеристика аналитических методов, чтобы при необходимости уполномоченный орган (экспертная организация) государства - члена Евразийского экономического союза (далее - государство-член) мог воспроизвести основные виды анализов. Не менее важно в тексте и в приложениях четко указывать конкретные группы пациентов, у которых выполнялись соответствующие анализы, составлялись таблицы и схемы.</w:t>
      </w:r>
    </w:p>
    <w:bookmarkEnd w:id="747"/>
    <w:bookmarkStart w:name="z618" w:id="748"/>
    <w:p>
      <w:pPr>
        <w:spacing w:after="0"/>
        <w:ind w:left="0"/>
        <w:jc w:val="both"/>
      </w:pPr>
      <w:r>
        <w:rPr>
          <w:rFonts w:ascii="Times New Roman"/>
          <w:b w:val="false"/>
          <w:i w:val="false"/>
          <w:color w:val="000000"/>
          <w:sz w:val="28"/>
        </w:rPr>
        <w:t>
      В зависимости от политики уполномоченного органа государства-члена в области экспертизы неконтролируемых и иных исследований, не направленных на установление эффективности (за исключением контролируемых исследований, направленных на установление безопасности), в определенной степени неполноценных или прекращенных исследований или исследований, цели которых не связаны с заявляемыми показаниями, допускается представлять сокращенные отчеты, основанные на обобщенных данных или без включения в отчет некоторых разделов. Однако в этих случаях необходимо представить полное описание всех аспектов безопасности. При представлении сокращенного отчета он должен включать достаточно сведений о дизайне и результатах исследования, чтобы уполномоченный орган мог определить необходимость представления полного отчета. Если возникают вопросы о необходимости представления отчетов, следует связаться с уполномоченным органом.</w:t>
      </w:r>
    </w:p>
    <w:bookmarkEnd w:id="748"/>
    <w:bookmarkStart w:name="z619" w:id="749"/>
    <w:p>
      <w:pPr>
        <w:spacing w:after="0"/>
        <w:ind w:left="0"/>
        <w:jc w:val="both"/>
      </w:pPr>
      <w:r>
        <w:rPr>
          <w:rFonts w:ascii="Times New Roman"/>
          <w:b w:val="false"/>
          <w:i w:val="false"/>
          <w:color w:val="000000"/>
          <w:sz w:val="28"/>
        </w:rPr>
        <w:t>
      При подробном описании того, как было проведено исследование, допускается повторение его описания из рабочей версии протокола.</w:t>
      </w:r>
    </w:p>
    <w:bookmarkEnd w:id="749"/>
    <w:bookmarkStart w:name="z620" w:id="750"/>
    <w:p>
      <w:pPr>
        <w:spacing w:after="0"/>
        <w:ind w:left="0"/>
        <w:jc w:val="both"/>
      </w:pPr>
      <w:r>
        <w:rPr>
          <w:rFonts w:ascii="Times New Roman"/>
          <w:b w:val="false"/>
          <w:i w:val="false"/>
          <w:color w:val="000000"/>
          <w:sz w:val="28"/>
        </w:rPr>
        <w:t>
      В ряде случаев, если это связано со стандартностью выполняемой методики, допускается представлять методику исследования более кратко в виде отдельного раздела. В каждом разделе, описывающем план и ход проведения исследования, необходимо указать особенности исследования, которые недостаточно полно описаны в протоколе, определить, каким образом проводимое исследование отличалось от протокола, и обсудить статистические методы и анализы, используемые для обоснования этих отклонений от запланированного протоколом хода исследования.</w:t>
      </w:r>
    </w:p>
    <w:bookmarkEnd w:id="750"/>
    <w:bookmarkStart w:name="z621" w:id="751"/>
    <w:p>
      <w:pPr>
        <w:spacing w:after="0"/>
        <w:ind w:left="0"/>
        <w:jc w:val="both"/>
      </w:pPr>
      <w:r>
        <w:rPr>
          <w:rFonts w:ascii="Times New Roman"/>
          <w:b w:val="false"/>
          <w:i w:val="false"/>
          <w:color w:val="000000"/>
          <w:sz w:val="28"/>
        </w:rPr>
        <w:t>
      Полный отчет отдельного клинического исследования должен включать подробное описание индивидуальных нежелательных явлений или лабораторных отклонений, однако данные сведения необходимо повторно рассмотреть при проведении общего анализа безопасности по всем имеющимся отчетам регистрационного досье лекарственного препарата.</w:t>
      </w:r>
    </w:p>
    <w:bookmarkEnd w:id="751"/>
    <w:bookmarkStart w:name="z622" w:id="752"/>
    <w:p>
      <w:pPr>
        <w:spacing w:after="0"/>
        <w:ind w:left="0"/>
        <w:jc w:val="both"/>
      </w:pPr>
      <w:r>
        <w:rPr>
          <w:rFonts w:ascii="Times New Roman"/>
          <w:b w:val="false"/>
          <w:i w:val="false"/>
          <w:color w:val="000000"/>
          <w:sz w:val="28"/>
        </w:rPr>
        <w:t>
      В отчете должны содержаться демографические и другие потенциально значимые прогностические характеристики исследуемой популяции, а в случае если исследование достаточно масштабное, должны представляться данные по демографическим (например, возраст, пол, раса, масса тела) и другим показателям подгруппы (например, почечные или печеночные функции), таким образом, чтобы могли быть установлены возможные различия в эффективности или безопасности. Однако, реакция подгруппы пациентов должна рассматриваться в рамках укрупненной базы данных, используемой в общем статистическом анализе.</w:t>
      </w:r>
    </w:p>
    <w:bookmarkEnd w:id="752"/>
    <w:bookmarkStart w:name="z623" w:id="753"/>
    <w:p>
      <w:pPr>
        <w:spacing w:after="0"/>
        <w:ind w:left="0"/>
        <w:jc w:val="both"/>
      </w:pPr>
      <w:r>
        <w:rPr>
          <w:rFonts w:ascii="Times New Roman"/>
          <w:b w:val="false"/>
          <w:i w:val="false"/>
          <w:color w:val="000000"/>
          <w:sz w:val="28"/>
        </w:rPr>
        <w:t>
      Под перечнями данных, запрашиваемыми в рамках отчета (обычно как приложение к отчету) - понимают данные, которые необходимы для подтверждения основных (критических) видов статистического анализа. Перечни данных, которые являются частью отчета, должны быть удобными для использования рецензентом, проводящим экспертную оценку отчета. Таким образом, следует включать как можно больше переменных в один список, чтобы ограничить объем информации, но это не должно приводить к снижению ясности (понятности) представляемых данных. Нельзя допускать, чтобы избыток данных сопровождался чрезмерным использованием символов вместо слов и хорошо понятных сокращений (общепринятых профессиональных сокращений) или приводил к представлению изображений в малом для восприятия масштабе и т. д. В этом случае предпочтительнее составлять несколько перечней данных.</w:t>
      </w:r>
    </w:p>
    <w:bookmarkEnd w:id="753"/>
    <w:bookmarkStart w:name="z624" w:id="754"/>
    <w:p>
      <w:pPr>
        <w:spacing w:after="0"/>
        <w:ind w:left="0"/>
        <w:jc w:val="both"/>
      </w:pPr>
      <w:r>
        <w:rPr>
          <w:rFonts w:ascii="Times New Roman"/>
          <w:b w:val="false"/>
          <w:i w:val="false"/>
          <w:color w:val="000000"/>
          <w:sz w:val="28"/>
        </w:rPr>
        <w:t>
      Данные должны представляться в отчете с различными уровнями детализации:</w:t>
      </w:r>
    </w:p>
    <w:bookmarkEnd w:id="754"/>
    <w:bookmarkStart w:name="z625" w:id="755"/>
    <w:p>
      <w:pPr>
        <w:spacing w:after="0"/>
        <w:ind w:left="0"/>
        <w:jc w:val="both"/>
      </w:pPr>
      <w:r>
        <w:rPr>
          <w:rFonts w:ascii="Times New Roman"/>
          <w:b w:val="false"/>
          <w:i w:val="false"/>
          <w:color w:val="000000"/>
          <w:sz w:val="28"/>
        </w:rPr>
        <w:t>
      числовые данные и таблицы общего характера, отображающие наиболее значимые для данного исследования демографические показатели, показатели эффективности и безопасности могут быть помещены в текст для иллюстрирования важных моментов;</w:t>
      </w:r>
    </w:p>
    <w:bookmarkEnd w:id="755"/>
    <w:bookmarkStart w:name="z626" w:id="756"/>
    <w:p>
      <w:pPr>
        <w:spacing w:after="0"/>
        <w:ind w:left="0"/>
        <w:jc w:val="both"/>
      </w:pPr>
      <w:r>
        <w:rPr>
          <w:rFonts w:ascii="Times New Roman"/>
          <w:b w:val="false"/>
          <w:i w:val="false"/>
          <w:color w:val="000000"/>
          <w:sz w:val="28"/>
        </w:rPr>
        <w:t>
      все прочие сводные показатели, таблицы и перечни демографических данных, показателей эффективности и безопасности должны быть представлены в разделе 14 отчета (согласно рубрикации разделов указанной в части II настоящего документа);</w:t>
      </w:r>
    </w:p>
    <w:bookmarkEnd w:id="756"/>
    <w:bookmarkStart w:name="z627" w:id="757"/>
    <w:p>
      <w:pPr>
        <w:spacing w:after="0"/>
        <w:ind w:left="0"/>
        <w:jc w:val="both"/>
      </w:pPr>
      <w:r>
        <w:rPr>
          <w:rFonts w:ascii="Times New Roman"/>
          <w:b w:val="false"/>
          <w:i w:val="false"/>
          <w:color w:val="000000"/>
          <w:sz w:val="28"/>
        </w:rPr>
        <w:t>
      индивидуальные данные пациентов по отдельным подгруппам должны быть представлены в виде перечней данных в приложении 16.2 к отчету (согласно рубрикации разделов указанной в части II настоящего документа);</w:t>
      </w:r>
    </w:p>
    <w:bookmarkEnd w:id="757"/>
    <w:bookmarkStart w:name="z628" w:id="758"/>
    <w:p>
      <w:pPr>
        <w:spacing w:after="0"/>
        <w:ind w:left="0"/>
        <w:jc w:val="both"/>
      </w:pPr>
      <w:r>
        <w:rPr>
          <w:rFonts w:ascii="Times New Roman"/>
          <w:b w:val="false"/>
          <w:i w:val="false"/>
          <w:color w:val="000000"/>
          <w:sz w:val="28"/>
        </w:rPr>
        <w:t>
      все индивидуальные данные пациентов, должны приводиться в приложении 16.4 к отчету (согласно рубрикации разделов указанной в части II настоящего документа).</w:t>
      </w:r>
    </w:p>
    <w:bookmarkEnd w:id="758"/>
    <w:bookmarkStart w:name="z629" w:id="759"/>
    <w:p>
      <w:pPr>
        <w:spacing w:after="0"/>
        <w:ind w:left="0"/>
        <w:jc w:val="both"/>
      </w:pPr>
      <w:r>
        <w:rPr>
          <w:rFonts w:ascii="Times New Roman"/>
          <w:b w:val="false"/>
          <w:i w:val="false"/>
          <w:color w:val="000000"/>
          <w:sz w:val="28"/>
        </w:rPr>
        <w:t>
      В любой таблице, перечне данных или на графике, оценочные (теоретические) и производные показатели, если они используются, должны быть однозначно и ясно идентифицированы. При этом должны приводиться подробные разъяснения того, каким образом были рассчитаны или получены данные значения и какие были сделаны основные предположения.</w:t>
      </w:r>
    </w:p>
    <w:bookmarkEnd w:id="759"/>
    <w:bookmarkStart w:name="z630" w:id="760"/>
    <w:p>
      <w:pPr>
        <w:spacing w:after="0"/>
        <w:ind w:left="0"/>
        <w:jc w:val="both"/>
      </w:pPr>
      <w:r>
        <w:rPr>
          <w:rFonts w:ascii="Times New Roman"/>
          <w:b w:val="false"/>
          <w:i w:val="false"/>
          <w:color w:val="000000"/>
          <w:sz w:val="28"/>
        </w:rPr>
        <w:t>
      Приведенные ниже указания являются максимально детализированными и предназначены для напоминания заявителю о максимальном объеме информации, которая должна приводиться им в отчете таким образом, чтобы после ее представления свести к минимуму запросы дополнительных данных. Тем не менее в каждом частном случае требования к представлению и (или) анализу данных могут зависеть от конкретной ситуации, изменяться с течением времени, отличаться в зависимости от класса изучаемых препаратов, различаться в разных регионах, и не могут быть описаны в виде общих требований в настоящем документе. Поэтому при подготовке отчетов необходимо использовать специальные (частные) клинические руководства уполномоченных органов в сфере обращения лекарственных средств и по возможности обсуждать представление данных и анализов с уполномоченным органом. В некоторых уполномоченных органах государств-членов можно получить подробные консультации и руководства по статистическим методикам.</w:t>
      </w:r>
    </w:p>
    <w:bookmarkEnd w:id="760"/>
    <w:bookmarkStart w:name="z631" w:id="761"/>
    <w:p>
      <w:pPr>
        <w:spacing w:after="0"/>
        <w:ind w:left="0"/>
        <w:jc w:val="both"/>
      </w:pPr>
      <w:r>
        <w:rPr>
          <w:rFonts w:ascii="Times New Roman"/>
          <w:b w:val="false"/>
          <w:i w:val="false"/>
          <w:color w:val="000000"/>
          <w:sz w:val="28"/>
        </w:rPr>
        <w:t>
      Каждый отчет должен содержать все описанные ниже разделы (за исключением случаев, при которых эти разделы явно не требуются), при этом для сохранения логики конкретного исследования допускается изменение последовательности или группировки разделов отчета. Указание отдельных сведений в приложениях к отчету является требованием некоторых из уполномоченных органов и данные приложения должны представляться при необходимости. Во всех вышеперечисленных случаях следует соответствующим образом исправлять нумерацию разделов отчета.</w:t>
      </w:r>
    </w:p>
    <w:bookmarkEnd w:id="761"/>
    <w:bookmarkStart w:name="z632" w:id="762"/>
    <w:p>
      <w:pPr>
        <w:spacing w:after="0"/>
        <w:ind w:left="0"/>
        <w:jc w:val="both"/>
      </w:pPr>
      <w:r>
        <w:rPr>
          <w:rFonts w:ascii="Times New Roman"/>
          <w:b w:val="false"/>
          <w:i w:val="false"/>
          <w:color w:val="000000"/>
          <w:sz w:val="28"/>
        </w:rPr>
        <w:t>
      Некоторые требования настоящего документа в отношении крупномасштабных исследований могут быть невыполнимы или нецелесообразны. При планировании и представлении результатов крупномасштабных исследований следует обратиться в уполномоченный орган и обсудить формат отчета.</w:t>
      </w:r>
    </w:p>
    <w:bookmarkEnd w:id="762"/>
    <w:bookmarkStart w:name="z633" w:id="763"/>
    <w:p>
      <w:pPr>
        <w:spacing w:after="0"/>
        <w:ind w:left="0"/>
        <w:jc w:val="both"/>
      </w:pPr>
      <w:r>
        <w:rPr>
          <w:rFonts w:ascii="Times New Roman"/>
          <w:b w:val="false"/>
          <w:i w:val="false"/>
          <w:color w:val="000000"/>
          <w:sz w:val="28"/>
        </w:rPr>
        <w:t>
      Положения настоящего документа следует учитывать совместно с требованиями других документов, регламентирующих проведение клинических исследований и представление результатов о них.</w:t>
      </w:r>
    </w:p>
    <w:bookmarkEnd w:id="763"/>
    <w:bookmarkStart w:name="z634" w:id="764"/>
    <w:p>
      <w:pPr>
        <w:spacing w:after="0"/>
        <w:ind w:left="0"/>
        <w:jc w:val="left"/>
      </w:pPr>
      <w:r>
        <w:rPr>
          <w:rFonts w:ascii="Times New Roman"/>
          <w:b/>
          <w:i w:val="false"/>
          <w:color w:val="000000"/>
        </w:rPr>
        <w:t xml:space="preserve"> II. Требования к структуре и содержанию отчета</w:t>
      </w:r>
      <w:r>
        <w:br/>
      </w:r>
      <w:r>
        <w:rPr>
          <w:rFonts w:ascii="Times New Roman"/>
          <w:b/>
          <w:i w:val="false"/>
          <w:color w:val="000000"/>
        </w:rPr>
        <w:t>1. Титульная страница</w:t>
      </w:r>
    </w:p>
    <w:bookmarkEnd w:id="764"/>
    <w:bookmarkStart w:name="z636" w:id="765"/>
    <w:p>
      <w:pPr>
        <w:spacing w:after="0"/>
        <w:ind w:left="0"/>
        <w:jc w:val="both"/>
      </w:pPr>
      <w:r>
        <w:rPr>
          <w:rFonts w:ascii="Times New Roman"/>
          <w:b w:val="false"/>
          <w:i w:val="false"/>
          <w:color w:val="000000"/>
          <w:sz w:val="28"/>
        </w:rPr>
        <w:t>
      Титульная страница отчета должна содержать следующую информацию:</w:t>
      </w:r>
    </w:p>
    <w:bookmarkEnd w:id="765"/>
    <w:bookmarkStart w:name="z637" w:id="766"/>
    <w:p>
      <w:pPr>
        <w:spacing w:after="0"/>
        <w:ind w:left="0"/>
        <w:jc w:val="both"/>
      </w:pPr>
      <w:r>
        <w:rPr>
          <w:rFonts w:ascii="Times New Roman"/>
          <w:b w:val="false"/>
          <w:i w:val="false"/>
          <w:color w:val="000000"/>
          <w:sz w:val="28"/>
        </w:rPr>
        <w:t>
      наименование отчета с указанием наименования исследуемого препарата, изучаемого показания к применению, при котором проводилось исследование;</w:t>
      </w:r>
    </w:p>
    <w:bookmarkEnd w:id="766"/>
    <w:bookmarkStart w:name="z638" w:id="767"/>
    <w:p>
      <w:pPr>
        <w:spacing w:after="0"/>
        <w:ind w:left="0"/>
        <w:jc w:val="both"/>
      </w:pPr>
      <w:r>
        <w:rPr>
          <w:rFonts w:ascii="Times New Roman"/>
          <w:b w:val="false"/>
          <w:i w:val="false"/>
          <w:color w:val="000000"/>
          <w:sz w:val="28"/>
        </w:rPr>
        <w:t>
      если не указано в наименовании - краткое описание дизайна (параллельный, перекрестный, слепой, рандомизированный), вида сравнения (плацебо-контроль, активный контроль, контроль "доза-эффект"), продолжительность исследования, дозирование исследуемого препарата и контингент субъектов исследования;</w:t>
      </w:r>
    </w:p>
    <w:bookmarkEnd w:id="767"/>
    <w:bookmarkStart w:name="z639" w:id="768"/>
    <w:p>
      <w:pPr>
        <w:spacing w:after="0"/>
        <w:ind w:left="0"/>
        <w:jc w:val="both"/>
      </w:pPr>
      <w:r>
        <w:rPr>
          <w:rFonts w:ascii="Times New Roman"/>
          <w:b w:val="false"/>
          <w:i w:val="false"/>
          <w:color w:val="000000"/>
          <w:sz w:val="28"/>
        </w:rPr>
        <w:t>
      наименование спонсора;</w:t>
      </w:r>
    </w:p>
    <w:bookmarkEnd w:id="768"/>
    <w:bookmarkStart w:name="z640" w:id="769"/>
    <w:p>
      <w:pPr>
        <w:spacing w:after="0"/>
        <w:ind w:left="0"/>
        <w:jc w:val="both"/>
      </w:pPr>
      <w:r>
        <w:rPr>
          <w:rFonts w:ascii="Times New Roman"/>
          <w:b w:val="false"/>
          <w:i w:val="false"/>
          <w:color w:val="000000"/>
          <w:sz w:val="28"/>
        </w:rPr>
        <w:t>
      идентификация протокола (код или номер);</w:t>
      </w:r>
    </w:p>
    <w:bookmarkEnd w:id="769"/>
    <w:bookmarkStart w:name="z641" w:id="770"/>
    <w:p>
      <w:pPr>
        <w:spacing w:after="0"/>
        <w:ind w:left="0"/>
        <w:jc w:val="both"/>
      </w:pPr>
      <w:r>
        <w:rPr>
          <w:rFonts w:ascii="Times New Roman"/>
          <w:b w:val="false"/>
          <w:i w:val="false"/>
          <w:color w:val="000000"/>
          <w:sz w:val="28"/>
        </w:rPr>
        <w:t>
      фаза исследования;</w:t>
      </w:r>
    </w:p>
    <w:bookmarkEnd w:id="770"/>
    <w:bookmarkStart w:name="z642" w:id="771"/>
    <w:p>
      <w:pPr>
        <w:spacing w:after="0"/>
        <w:ind w:left="0"/>
        <w:jc w:val="both"/>
      </w:pPr>
      <w:r>
        <w:rPr>
          <w:rFonts w:ascii="Times New Roman"/>
          <w:b w:val="false"/>
          <w:i w:val="false"/>
          <w:color w:val="000000"/>
          <w:sz w:val="28"/>
        </w:rPr>
        <w:t>
      дата начала исследования (дата включения в исследование первого пациента или иная дата инициирования), дата окончания исследования или его этапа (дата завершения лечения последнего пациента), дата досрочного завершения исследования (при наличии);</w:t>
      </w:r>
    </w:p>
    <w:bookmarkEnd w:id="771"/>
    <w:bookmarkStart w:name="z643" w:id="772"/>
    <w:p>
      <w:pPr>
        <w:spacing w:after="0"/>
        <w:ind w:left="0"/>
        <w:jc w:val="both"/>
      </w:pPr>
      <w:r>
        <w:rPr>
          <w:rFonts w:ascii="Times New Roman"/>
          <w:b w:val="false"/>
          <w:i w:val="false"/>
          <w:color w:val="000000"/>
          <w:sz w:val="28"/>
        </w:rPr>
        <w:t>
      фамилии и должности по основному месту работы главного исследователя (главных исследователей) или исследователя-координатора (исследователей координаторов) или ответственного представителя спонсора;</w:t>
      </w:r>
    </w:p>
    <w:bookmarkEnd w:id="772"/>
    <w:bookmarkStart w:name="z644" w:id="773"/>
    <w:p>
      <w:pPr>
        <w:spacing w:after="0"/>
        <w:ind w:left="0"/>
        <w:jc w:val="both"/>
      </w:pPr>
      <w:r>
        <w:rPr>
          <w:rFonts w:ascii="Times New Roman"/>
          <w:b w:val="false"/>
          <w:i w:val="false"/>
          <w:color w:val="000000"/>
          <w:sz w:val="28"/>
        </w:rPr>
        <w:t>
      информация об ответственном лице, подписавшем отчет исследования от лица спонсора (фамилия представителя компании (спонсора), подписавшего отчет и ответственного за этот отчет). Также на титульной странице, либо в сопроводительном письме указываются фамилии, номера телефона и факса контактных лиц компании-спонсора, ответственных за прием вопросов по отчету;</w:t>
      </w:r>
    </w:p>
    <w:bookmarkEnd w:id="773"/>
    <w:bookmarkStart w:name="z645" w:id="774"/>
    <w:p>
      <w:pPr>
        <w:spacing w:after="0"/>
        <w:ind w:left="0"/>
        <w:jc w:val="both"/>
      </w:pPr>
      <w:r>
        <w:rPr>
          <w:rFonts w:ascii="Times New Roman"/>
          <w:b w:val="false"/>
          <w:i w:val="false"/>
          <w:color w:val="000000"/>
          <w:sz w:val="28"/>
        </w:rPr>
        <w:t>
      указание о том, что исследование, включая архивирование основных документов по исследованию, выполнено в соответствии с правилами надлежащей клинической практики, утвержденными Евразийской экономической комиссией (далее - правила);</w:t>
      </w:r>
    </w:p>
    <w:bookmarkEnd w:id="774"/>
    <w:bookmarkStart w:name="z646" w:id="775"/>
    <w:p>
      <w:pPr>
        <w:spacing w:after="0"/>
        <w:ind w:left="0"/>
        <w:jc w:val="both"/>
      </w:pPr>
      <w:r>
        <w:rPr>
          <w:rFonts w:ascii="Times New Roman"/>
          <w:b w:val="false"/>
          <w:i w:val="false"/>
          <w:color w:val="000000"/>
          <w:sz w:val="28"/>
        </w:rPr>
        <w:t>
      дата отчета (также необходимо указать наименования и даты всех более ранних отчетов, подготовленных в рамках проведения данного исследования).</w:t>
      </w:r>
    </w:p>
    <w:bookmarkEnd w:id="775"/>
    <w:bookmarkStart w:name="z647" w:id="776"/>
    <w:p>
      <w:pPr>
        <w:spacing w:after="0"/>
        <w:ind w:left="0"/>
        <w:jc w:val="left"/>
      </w:pPr>
      <w:r>
        <w:rPr>
          <w:rFonts w:ascii="Times New Roman"/>
          <w:b/>
          <w:i w:val="false"/>
          <w:color w:val="000000"/>
        </w:rPr>
        <w:t xml:space="preserve"> 2. Синопсис (краткое описание клинического исследования)</w:t>
      </w:r>
    </w:p>
    <w:bookmarkEnd w:id="776"/>
    <w:bookmarkStart w:name="z648" w:id="777"/>
    <w:p>
      <w:pPr>
        <w:spacing w:after="0"/>
        <w:ind w:left="0"/>
        <w:jc w:val="both"/>
      </w:pPr>
      <w:r>
        <w:rPr>
          <w:rFonts w:ascii="Times New Roman"/>
          <w:b w:val="false"/>
          <w:i w:val="false"/>
          <w:color w:val="000000"/>
          <w:sz w:val="28"/>
        </w:rPr>
        <w:t>
      Необходимо представить синопсис (обычно около 3 страниц), обобщающий сведения об исследовании (в соответствии с приложением № 2 к Правилам). Чтобы отразить результаты, синопсис должен включать числовые данные, а не только текст и p-значения.</w:t>
      </w:r>
    </w:p>
    <w:bookmarkEnd w:id="777"/>
    <w:bookmarkStart w:name="z649" w:id="778"/>
    <w:p>
      <w:pPr>
        <w:spacing w:after="0"/>
        <w:ind w:left="0"/>
        <w:jc w:val="left"/>
      </w:pPr>
      <w:r>
        <w:rPr>
          <w:rFonts w:ascii="Times New Roman"/>
          <w:b/>
          <w:i w:val="false"/>
          <w:color w:val="000000"/>
        </w:rPr>
        <w:t xml:space="preserve"> 3. Содержание отчета</w:t>
      </w:r>
    </w:p>
    <w:bookmarkEnd w:id="778"/>
    <w:bookmarkStart w:name="z650" w:id="779"/>
    <w:p>
      <w:pPr>
        <w:spacing w:after="0"/>
        <w:ind w:left="0"/>
        <w:jc w:val="both"/>
      </w:pPr>
      <w:r>
        <w:rPr>
          <w:rFonts w:ascii="Times New Roman"/>
          <w:b w:val="false"/>
          <w:i w:val="false"/>
          <w:color w:val="000000"/>
          <w:sz w:val="28"/>
        </w:rPr>
        <w:t>
      Содержание отчета должно включать номера страниц или другое указание на расположение в тексте отчета каждого раздела, в том числе сводных таблиц, рисунков и графиков; перечень и расположение приложений, таблиц и представленных индивидуальных регистрационных карт (далее - ИРК).</w:t>
      </w:r>
    </w:p>
    <w:bookmarkEnd w:id="779"/>
    <w:bookmarkStart w:name="z651" w:id="780"/>
    <w:p>
      <w:pPr>
        <w:spacing w:after="0"/>
        <w:ind w:left="0"/>
        <w:jc w:val="left"/>
      </w:pPr>
      <w:r>
        <w:rPr>
          <w:rFonts w:ascii="Times New Roman"/>
          <w:b/>
          <w:i w:val="false"/>
          <w:color w:val="000000"/>
        </w:rPr>
        <w:t xml:space="preserve"> 4. Перечень сокращений и определения терминов</w:t>
      </w:r>
    </w:p>
    <w:bookmarkEnd w:id="780"/>
    <w:bookmarkStart w:name="z652" w:id="781"/>
    <w:p>
      <w:pPr>
        <w:spacing w:after="0"/>
        <w:ind w:left="0"/>
        <w:jc w:val="both"/>
      </w:pPr>
      <w:r>
        <w:rPr>
          <w:rFonts w:ascii="Times New Roman"/>
          <w:b w:val="false"/>
          <w:i w:val="false"/>
          <w:color w:val="000000"/>
          <w:sz w:val="28"/>
        </w:rPr>
        <w:t>
      В отчете должны быть представлены перечень сокращений и определений специализированных или необычных терминов, а также единиц измерений, используемых в отчете. При первом упоминании в тексте сокращенные термины должны прописываться полностью, а их аббревиатуру необходимо взять в скобки.</w:t>
      </w:r>
    </w:p>
    <w:bookmarkEnd w:id="781"/>
    <w:bookmarkStart w:name="z653" w:id="782"/>
    <w:p>
      <w:pPr>
        <w:spacing w:after="0"/>
        <w:ind w:left="0"/>
        <w:jc w:val="left"/>
      </w:pPr>
      <w:r>
        <w:rPr>
          <w:rFonts w:ascii="Times New Roman"/>
          <w:b/>
          <w:i w:val="false"/>
          <w:color w:val="000000"/>
        </w:rPr>
        <w:t xml:space="preserve"> 5. Этические вопросы</w:t>
      </w:r>
    </w:p>
    <w:bookmarkEnd w:id="782"/>
    <w:bookmarkStart w:name="z654" w:id="783"/>
    <w:p>
      <w:pPr>
        <w:spacing w:after="0"/>
        <w:ind w:left="0"/>
        <w:jc w:val="both"/>
      </w:pPr>
      <w:r>
        <w:rPr>
          <w:rFonts w:ascii="Times New Roman"/>
          <w:b w:val="false"/>
          <w:i w:val="false"/>
          <w:color w:val="000000"/>
          <w:sz w:val="28"/>
        </w:rPr>
        <w:t>
      5.1. Экспертный совет организации (Независимый этический комитет).</w:t>
      </w:r>
    </w:p>
    <w:bookmarkEnd w:id="783"/>
    <w:bookmarkStart w:name="z655" w:id="784"/>
    <w:p>
      <w:pPr>
        <w:spacing w:after="0"/>
        <w:ind w:left="0"/>
        <w:jc w:val="both"/>
      </w:pPr>
      <w:r>
        <w:rPr>
          <w:rFonts w:ascii="Times New Roman"/>
          <w:b w:val="false"/>
          <w:i w:val="false"/>
          <w:color w:val="000000"/>
          <w:sz w:val="28"/>
        </w:rPr>
        <w:t>
      Должно быть представлено подтверждение того, что протокол исследования и любые поправки к нему были рассмотрены Экспертным советом организации (Независимым этическим комитетом) (далее - ЭСО (НЭК)). Перечень всех ЭСО (НЭК), к которым обращались, следует привести в приложении 16.1.3 к отчету (согласно рубрикации разделов указанной в настоящей части документа) и указать фамилию, имя и отчество (при наличии) председателя ЭСО (НЭК), если это требует уполномоченный орган.</w:t>
      </w:r>
    </w:p>
    <w:bookmarkEnd w:id="784"/>
    <w:bookmarkStart w:name="z656" w:id="785"/>
    <w:p>
      <w:pPr>
        <w:spacing w:after="0"/>
        <w:ind w:left="0"/>
        <w:jc w:val="both"/>
      </w:pPr>
      <w:r>
        <w:rPr>
          <w:rFonts w:ascii="Times New Roman"/>
          <w:b w:val="false"/>
          <w:i w:val="false"/>
          <w:color w:val="000000"/>
          <w:sz w:val="28"/>
        </w:rPr>
        <w:t>
      5.2. Заявление о проведении исследования в соответствии с этическими принципами.</w:t>
      </w:r>
    </w:p>
    <w:bookmarkEnd w:id="785"/>
    <w:bookmarkStart w:name="z657" w:id="786"/>
    <w:p>
      <w:pPr>
        <w:spacing w:after="0"/>
        <w:ind w:left="0"/>
        <w:jc w:val="both"/>
      </w:pPr>
      <w:r>
        <w:rPr>
          <w:rFonts w:ascii="Times New Roman"/>
          <w:b w:val="false"/>
          <w:i w:val="false"/>
          <w:color w:val="000000"/>
          <w:sz w:val="28"/>
        </w:rPr>
        <w:t>
      Следует привести подтверждение, что исследование проведено в соответствии с этическими принципами Хельсинской декларации, принятой XVII сессией Всемирной ассамблеи здравоохранения в 1964 году.</w:t>
      </w:r>
    </w:p>
    <w:bookmarkEnd w:id="786"/>
    <w:bookmarkStart w:name="z658" w:id="787"/>
    <w:p>
      <w:pPr>
        <w:spacing w:after="0"/>
        <w:ind w:left="0"/>
        <w:jc w:val="both"/>
      </w:pPr>
      <w:r>
        <w:rPr>
          <w:rFonts w:ascii="Times New Roman"/>
          <w:b w:val="false"/>
          <w:i w:val="false"/>
          <w:color w:val="000000"/>
          <w:sz w:val="28"/>
        </w:rPr>
        <w:t>
      5.3. Информированное согласие.</w:t>
      </w:r>
    </w:p>
    <w:bookmarkEnd w:id="787"/>
    <w:bookmarkStart w:name="z659" w:id="788"/>
    <w:p>
      <w:pPr>
        <w:spacing w:after="0"/>
        <w:ind w:left="0"/>
        <w:jc w:val="both"/>
      </w:pPr>
      <w:r>
        <w:rPr>
          <w:rFonts w:ascii="Times New Roman"/>
          <w:b w:val="false"/>
          <w:i w:val="false"/>
          <w:color w:val="000000"/>
          <w:sz w:val="28"/>
        </w:rPr>
        <w:t>
      Должно быть описано, как и когда было получено информированное согласие у набранных в исследование пациентов (например, при отборе в исследование, предварительном скрининге).</w:t>
      </w:r>
    </w:p>
    <w:bookmarkEnd w:id="788"/>
    <w:bookmarkStart w:name="z660" w:id="789"/>
    <w:p>
      <w:pPr>
        <w:spacing w:after="0"/>
        <w:ind w:left="0"/>
        <w:jc w:val="both"/>
      </w:pPr>
      <w:r>
        <w:rPr>
          <w:rFonts w:ascii="Times New Roman"/>
          <w:b w:val="false"/>
          <w:i w:val="false"/>
          <w:color w:val="000000"/>
          <w:sz w:val="28"/>
        </w:rPr>
        <w:t>
      В приложении 16.1.3 (согласно рубрикации разделов отчета, указанной в настоящей части документа) к отчету должны быть приложены образец письменной информации для пациента (при наличии) и образец формы согласия пациента.</w:t>
      </w:r>
    </w:p>
    <w:bookmarkEnd w:id="789"/>
    <w:bookmarkStart w:name="z661" w:id="790"/>
    <w:p>
      <w:pPr>
        <w:spacing w:after="0"/>
        <w:ind w:left="0"/>
        <w:jc w:val="left"/>
      </w:pPr>
      <w:r>
        <w:rPr>
          <w:rFonts w:ascii="Times New Roman"/>
          <w:b/>
          <w:i w:val="false"/>
          <w:color w:val="000000"/>
        </w:rPr>
        <w:t xml:space="preserve"> 6. Исследователи и административная структура исследования</w:t>
      </w:r>
    </w:p>
    <w:bookmarkEnd w:id="790"/>
    <w:bookmarkStart w:name="z662" w:id="791"/>
    <w:p>
      <w:pPr>
        <w:spacing w:after="0"/>
        <w:ind w:left="0"/>
        <w:jc w:val="both"/>
      </w:pPr>
      <w:r>
        <w:rPr>
          <w:rFonts w:ascii="Times New Roman"/>
          <w:b w:val="false"/>
          <w:i w:val="false"/>
          <w:color w:val="000000"/>
          <w:sz w:val="28"/>
        </w:rPr>
        <w:t>
      Административная структура исследования (например, главный исследователь, исследователь-координатор, управляющий комитет, администрация, комитеты мониторинга и оценки данных, участвующие подразделения, специалисты-статистики, центральная лаборатория, контрактная исследовательская организация (далее - КИО), управление поставками в рамках клинических исследований) должна быть кратко описана в этом разделе отчета.</w:t>
      </w:r>
    </w:p>
    <w:bookmarkEnd w:id="791"/>
    <w:bookmarkStart w:name="z663" w:id="792"/>
    <w:p>
      <w:pPr>
        <w:spacing w:after="0"/>
        <w:ind w:left="0"/>
        <w:jc w:val="both"/>
      </w:pPr>
      <w:r>
        <w:rPr>
          <w:rFonts w:ascii="Times New Roman"/>
          <w:b w:val="false"/>
          <w:i w:val="false"/>
          <w:color w:val="000000"/>
          <w:sz w:val="28"/>
        </w:rPr>
        <w:t>
      В приложении 16.1.4 к отчету (согласно рубрикации разделов отчета, указанной в настоящей части документа) должны быть представлены перечень исследователей и их организаций, их роль (обязанности) в исследовании, сведения о квалификации исследователей (резюме или эквивалентный ему документ). Также в приложении 16.1.4 к отчету (согласно рубрикации разделов отчета, указанной в настоящей части документа) должен быть представлен аналогичный перечень других лиц, участие которых имеет существенное влияние на проведение исследования. Для масштабных исследований с участием большого количества исследователей вышеуказанные требования можно сократить до общих сведений о квалификации лиц, проводивших исследование, с указанием имени, ученой степени, места работы и роли каждого из исследователей или других участников.</w:t>
      </w:r>
    </w:p>
    <w:bookmarkEnd w:id="792"/>
    <w:bookmarkStart w:name="z664" w:id="793"/>
    <w:p>
      <w:pPr>
        <w:spacing w:after="0"/>
        <w:ind w:left="0"/>
        <w:jc w:val="both"/>
      </w:pPr>
      <w:r>
        <w:rPr>
          <w:rFonts w:ascii="Times New Roman"/>
          <w:b w:val="false"/>
          <w:i w:val="false"/>
          <w:color w:val="000000"/>
          <w:sz w:val="28"/>
        </w:rPr>
        <w:t>
      Перечень должен включать следующую информацию:</w:t>
      </w:r>
    </w:p>
    <w:bookmarkEnd w:id="793"/>
    <w:bookmarkStart w:name="z665" w:id="794"/>
    <w:p>
      <w:pPr>
        <w:spacing w:after="0"/>
        <w:ind w:left="0"/>
        <w:jc w:val="both"/>
      </w:pPr>
      <w:r>
        <w:rPr>
          <w:rFonts w:ascii="Times New Roman"/>
          <w:b w:val="false"/>
          <w:i w:val="false"/>
          <w:color w:val="000000"/>
          <w:sz w:val="28"/>
        </w:rPr>
        <w:t>
      исследователи;</w:t>
      </w:r>
    </w:p>
    <w:bookmarkEnd w:id="794"/>
    <w:bookmarkStart w:name="z666" w:id="795"/>
    <w:p>
      <w:pPr>
        <w:spacing w:after="0"/>
        <w:ind w:left="0"/>
        <w:jc w:val="both"/>
      </w:pPr>
      <w:r>
        <w:rPr>
          <w:rFonts w:ascii="Times New Roman"/>
          <w:b w:val="false"/>
          <w:i w:val="false"/>
          <w:color w:val="000000"/>
          <w:sz w:val="28"/>
        </w:rPr>
        <w:t>
      любое другое лицо, осуществляющее наблюдение за первичными или другими показателями эффективности (например, медсестра, помощник врача, клинический психолог, клинический фармаколог или штатный врач). Необязательно включать в этот перечень лицо, выполняющее в рамках исследования эпизодические обязанности (например, врача, который был вызван в связи с возможной нежелательной реакцией на прием лекарственного препарата или временно заменял кого-то из вышеперечисленных лиц);</w:t>
      </w:r>
    </w:p>
    <w:bookmarkEnd w:id="795"/>
    <w:bookmarkStart w:name="z667" w:id="796"/>
    <w:p>
      <w:pPr>
        <w:spacing w:after="0"/>
        <w:ind w:left="0"/>
        <w:jc w:val="both"/>
      </w:pPr>
      <w:r>
        <w:rPr>
          <w:rFonts w:ascii="Times New Roman"/>
          <w:b w:val="false"/>
          <w:i w:val="false"/>
          <w:color w:val="000000"/>
          <w:sz w:val="28"/>
        </w:rPr>
        <w:t>
      автор (авторы) отчета, в том числе ответственный биостатистик (ответственные биостатистики).</w:t>
      </w:r>
    </w:p>
    <w:bookmarkEnd w:id="796"/>
    <w:bookmarkStart w:name="z668" w:id="797"/>
    <w:p>
      <w:pPr>
        <w:spacing w:after="0"/>
        <w:ind w:left="0"/>
        <w:jc w:val="both"/>
      </w:pPr>
      <w:r>
        <w:rPr>
          <w:rFonts w:ascii="Times New Roman"/>
          <w:b w:val="false"/>
          <w:i w:val="false"/>
          <w:color w:val="000000"/>
          <w:sz w:val="28"/>
        </w:rPr>
        <w:t>
      В случаях когда уполномоченными органами требуются образцы подписей главного исследователя или исследователя-координатора, их подписи должны быть включены в приложение 16.1.5 к отчету (согласно рубрикации разделов отчета, указанной в настоящей части документа, в соответствии с формой приложения № 3 к Правилам). Если образцы подписей не требуются, в приложении 16.1.5 к отчету (согласно рубрикации разделов указанной в части II настоящего документа) приводится образец подписи ответственного специалиста спонсора исследования</w:t>
      </w:r>
    </w:p>
    <w:bookmarkEnd w:id="797"/>
    <w:bookmarkStart w:name="z669" w:id="798"/>
    <w:p>
      <w:pPr>
        <w:spacing w:after="0"/>
        <w:ind w:left="0"/>
        <w:jc w:val="left"/>
      </w:pPr>
      <w:r>
        <w:rPr>
          <w:rFonts w:ascii="Times New Roman"/>
          <w:b/>
          <w:i w:val="false"/>
          <w:color w:val="000000"/>
        </w:rPr>
        <w:t xml:space="preserve"> 7. Введение</w:t>
      </w:r>
    </w:p>
    <w:bookmarkEnd w:id="798"/>
    <w:bookmarkStart w:name="z670" w:id="799"/>
    <w:p>
      <w:pPr>
        <w:spacing w:after="0"/>
        <w:ind w:left="0"/>
        <w:jc w:val="both"/>
      </w:pPr>
      <w:r>
        <w:rPr>
          <w:rFonts w:ascii="Times New Roman"/>
          <w:b w:val="false"/>
          <w:i w:val="false"/>
          <w:color w:val="000000"/>
          <w:sz w:val="28"/>
        </w:rPr>
        <w:t>
      Введение должно содержать краткое изложение (как правило, не более 1 страницы) исследования в контексте разработки исследуемого препарата, обсуждение критических особенностей исследования (например, обоснование и цели, целевые группы, лечение, продолжительность, первичные конечные точки).</w:t>
      </w:r>
    </w:p>
    <w:bookmarkEnd w:id="799"/>
    <w:bookmarkStart w:name="z671" w:id="800"/>
    <w:p>
      <w:pPr>
        <w:spacing w:after="0"/>
        <w:ind w:left="0"/>
        <w:jc w:val="both"/>
      </w:pPr>
      <w:r>
        <w:rPr>
          <w:rFonts w:ascii="Times New Roman"/>
          <w:b w:val="false"/>
          <w:i w:val="false"/>
          <w:color w:val="000000"/>
          <w:sz w:val="28"/>
        </w:rPr>
        <w:t>
      Необходимо перечислить все документы, на основе которых разрабатывался протокол, или прочие значимые для данного исследования соглашения или договоренности между спонсором (компанией) и уполномоченными органами.</w:t>
      </w:r>
    </w:p>
    <w:bookmarkEnd w:id="800"/>
    <w:bookmarkStart w:name="z672" w:id="801"/>
    <w:p>
      <w:pPr>
        <w:spacing w:after="0"/>
        <w:ind w:left="0"/>
        <w:jc w:val="left"/>
      </w:pPr>
      <w:r>
        <w:rPr>
          <w:rFonts w:ascii="Times New Roman"/>
          <w:b/>
          <w:i w:val="false"/>
          <w:color w:val="000000"/>
        </w:rPr>
        <w:t xml:space="preserve"> 8. Цель и задачи исследования</w:t>
      </w:r>
    </w:p>
    <w:bookmarkEnd w:id="801"/>
    <w:bookmarkStart w:name="z673" w:id="802"/>
    <w:p>
      <w:pPr>
        <w:spacing w:after="0"/>
        <w:ind w:left="0"/>
        <w:jc w:val="both"/>
      </w:pPr>
      <w:r>
        <w:rPr>
          <w:rFonts w:ascii="Times New Roman"/>
          <w:b w:val="false"/>
          <w:i w:val="false"/>
          <w:color w:val="000000"/>
          <w:sz w:val="28"/>
        </w:rPr>
        <w:t>
      В данном разделе должна быть представлена информация с изложением общих целей и задач проведенного исследования.</w:t>
      </w:r>
    </w:p>
    <w:bookmarkEnd w:id="802"/>
    <w:bookmarkStart w:name="z674" w:id="803"/>
    <w:p>
      <w:pPr>
        <w:spacing w:after="0"/>
        <w:ind w:left="0"/>
        <w:jc w:val="left"/>
      </w:pPr>
      <w:r>
        <w:rPr>
          <w:rFonts w:ascii="Times New Roman"/>
          <w:b/>
          <w:i w:val="false"/>
          <w:color w:val="000000"/>
        </w:rPr>
        <w:t xml:space="preserve"> 9. План исследования</w:t>
      </w:r>
    </w:p>
    <w:bookmarkEnd w:id="803"/>
    <w:bookmarkStart w:name="z675" w:id="804"/>
    <w:p>
      <w:pPr>
        <w:spacing w:after="0"/>
        <w:ind w:left="0"/>
        <w:jc w:val="both"/>
      </w:pPr>
      <w:r>
        <w:rPr>
          <w:rFonts w:ascii="Times New Roman"/>
          <w:b w:val="false"/>
          <w:i w:val="false"/>
          <w:color w:val="000000"/>
          <w:sz w:val="28"/>
        </w:rPr>
        <w:t>
      9.1. Общий дизайн и план-описание исследования.</w:t>
      </w:r>
    </w:p>
    <w:bookmarkEnd w:id="804"/>
    <w:bookmarkStart w:name="z676" w:id="805"/>
    <w:p>
      <w:pPr>
        <w:spacing w:after="0"/>
        <w:ind w:left="0"/>
        <w:jc w:val="both"/>
      </w:pPr>
      <w:r>
        <w:rPr>
          <w:rFonts w:ascii="Times New Roman"/>
          <w:b w:val="false"/>
          <w:i w:val="false"/>
          <w:color w:val="000000"/>
          <w:sz w:val="28"/>
        </w:rPr>
        <w:t>
      Общий план исследования и дизайн (конфигурация) исследования (например, параллельный, перекрестный) должны быть описаны кратко, но ясно с использованием графиков и диаграмм (при необходимости). Если в других исследованиях используется похожий протокол, может быть полезным дать ссылку на такой протокол и описать любые значимые отличия от него. Действующая редакция протокола и любые изменения должны быть включены как приложения 16.1.1 к отчету (согласно рубрикации разделов отчета, указанной в настоящей части документа), а образец ИРК (только уникальные страницы; т.е. без включения идентичных страниц карты, относящихся к разным визитам) в виде приложения 16.1.2 к отчету (согласно рубрикации разделов отчета, указанной в настоящей части документа). Если какая-либо информация в этом разделе отчета взята из других источников (помимо протокола) их следует указать.</w:t>
      </w:r>
    </w:p>
    <w:bookmarkEnd w:id="805"/>
    <w:bookmarkStart w:name="z677" w:id="806"/>
    <w:p>
      <w:pPr>
        <w:spacing w:after="0"/>
        <w:ind w:left="0"/>
        <w:jc w:val="both"/>
      </w:pPr>
      <w:r>
        <w:rPr>
          <w:rFonts w:ascii="Times New Roman"/>
          <w:b w:val="false"/>
          <w:i w:val="false"/>
          <w:color w:val="000000"/>
          <w:sz w:val="28"/>
        </w:rPr>
        <w:t>
      Представленная информация должна включать:</w:t>
      </w:r>
    </w:p>
    <w:bookmarkEnd w:id="806"/>
    <w:bookmarkStart w:name="z678" w:id="807"/>
    <w:p>
      <w:pPr>
        <w:spacing w:after="0"/>
        <w:ind w:left="0"/>
        <w:jc w:val="both"/>
      </w:pPr>
      <w:r>
        <w:rPr>
          <w:rFonts w:ascii="Times New Roman"/>
          <w:b w:val="false"/>
          <w:i w:val="false"/>
          <w:color w:val="000000"/>
          <w:sz w:val="28"/>
        </w:rPr>
        <w:t>
      изучаемые методы лечения (конкретные препараты, дозы и процедуры);</w:t>
      </w:r>
    </w:p>
    <w:bookmarkEnd w:id="807"/>
    <w:bookmarkStart w:name="z679" w:id="808"/>
    <w:p>
      <w:pPr>
        <w:spacing w:after="0"/>
        <w:ind w:left="0"/>
        <w:jc w:val="both"/>
      </w:pPr>
      <w:r>
        <w:rPr>
          <w:rFonts w:ascii="Times New Roman"/>
          <w:b w:val="false"/>
          <w:i w:val="false"/>
          <w:color w:val="000000"/>
          <w:sz w:val="28"/>
        </w:rPr>
        <w:t>
      исследуемую популяцию пациентов и количество пациентов, которые должны быть включены в исследование;</w:t>
      </w:r>
    </w:p>
    <w:bookmarkEnd w:id="808"/>
    <w:bookmarkStart w:name="z680" w:id="809"/>
    <w:p>
      <w:pPr>
        <w:spacing w:after="0"/>
        <w:ind w:left="0"/>
        <w:jc w:val="both"/>
      </w:pPr>
      <w:r>
        <w:rPr>
          <w:rFonts w:ascii="Times New Roman"/>
          <w:b w:val="false"/>
          <w:i w:val="false"/>
          <w:color w:val="000000"/>
          <w:sz w:val="28"/>
        </w:rPr>
        <w:t>
      степень и метод ослепления (маскировки) (например, открытое, двойное слепое, простое слепое, ослепление аналитиков и неослепление пациентов и (или) исследователей);</w:t>
      </w:r>
    </w:p>
    <w:bookmarkEnd w:id="809"/>
    <w:bookmarkStart w:name="z681" w:id="810"/>
    <w:p>
      <w:pPr>
        <w:spacing w:after="0"/>
        <w:ind w:left="0"/>
        <w:jc w:val="both"/>
      </w:pPr>
      <w:r>
        <w:rPr>
          <w:rFonts w:ascii="Times New Roman"/>
          <w:b w:val="false"/>
          <w:i w:val="false"/>
          <w:color w:val="000000"/>
          <w:sz w:val="28"/>
        </w:rPr>
        <w:t>
      вид контроля (например, плацебо, отсутствие лечения, активный контроль, контроль "доза-эффект", исторический (ретроспективный)) и конфигурацию исследования (параллельная, перекрестная);</w:t>
      </w:r>
    </w:p>
    <w:bookmarkEnd w:id="810"/>
    <w:bookmarkStart w:name="z682" w:id="811"/>
    <w:p>
      <w:pPr>
        <w:spacing w:after="0"/>
        <w:ind w:left="0"/>
        <w:jc w:val="both"/>
      </w:pPr>
      <w:r>
        <w:rPr>
          <w:rFonts w:ascii="Times New Roman"/>
          <w:b w:val="false"/>
          <w:i w:val="false"/>
          <w:color w:val="000000"/>
          <w:sz w:val="28"/>
        </w:rPr>
        <w:t>
      метод распределения субъектов по исследуемым группам (рандомизация, стратификации);</w:t>
      </w:r>
    </w:p>
    <w:bookmarkEnd w:id="811"/>
    <w:bookmarkStart w:name="z683" w:id="812"/>
    <w:p>
      <w:pPr>
        <w:spacing w:after="0"/>
        <w:ind w:left="0"/>
        <w:jc w:val="both"/>
      </w:pPr>
      <w:r>
        <w:rPr>
          <w:rFonts w:ascii="Times New Roman"/>
          <w:b w:val="false"/>
          <w:i w:val="false"/>
          <w:color w:val="000000"/>
          <w:sz w:val="28"/>
        </w:rPr>
        <w:t>
      последовательность и продолжительность всех периодов исследования, в том числе периода, предшествующего рандомизации, и периода наблюдения после проведения лечения, периода отмены терапии и периода простого слепого и двойного слепого лечения. Должно быть указано, когда пациенты были рандомизированы. Рекомендуется указать дизайн в виде графической схемы, включающей хронологию проведенных оценок (в соответствии с формами графических схем приложения № 4 к Правилам);</w:t>
      </w:r>
    </w:p>
    <w:bookmarkEnd w:id="812"/>
    <w:bookmarkStart w:name="z684" w:id="813"/>
    <w:p>
      <w:pPr>
        <w:spacing w:after="0"/>
        <w:ind w:left="0"/>
        <w:jc w:val="both"/>
      </w:pPr>
      <w:r>
        <w:rPr>
          <w:rFonts w:ascii="Times New Roman"/>
          <w:b w:val="false"/>
          <w:i w:val="false"/>
          <w:color w:val="000000"/>
          <w:sz w:val="28"/>
        </w:rPr>
        <w:t>
      любые комитеты по безопасности, мониторингу данных или специальные руководящие или оценочные комитеты;</w:t>
      </w:r>
    </w:p>
    <w:bookmarkEnd w:id="813"/>
    <w:bookmarkStart w:name="z685" w:id="814"/>
    <w:p>
      <w:pPr>
        <w:spacing w:after="0"/>
        <w:ind w:left="0"/>
        <w:jc w:val="both"/>
      </w:pPr>
      <w:r>
        <w:rPr>
          <w:rFonts w:ascii="Times New Roman"/>
          <w:b w:val="false"/>
          <w:i w:val="false"/>
          <w:color w:val="000000"/>
          <w:sz w:val="28"/>
        </w:rPr>
        <w:t>
      любые промежуточные статистические анализы и оценки.</w:t>
      </w:r>
    </w:p>
    <w:bookmarkEnd w:id="814"/>
    <w:bookmarkStart w:name="z686" w:id="815"/>
    <w:p>
      <w:pPr>
        <w:spacing w:after="0"/>
        <w:ind w:left="0"/>
        <w:jc w:val="both"/>
      </w:pPr>
      <w:r>
        <w:rPr>
          <w:rFonts w:ascii="Times New Roman"/>
          <w:b w:val="false"/>
          <w:i w:val="false"/>
          <w:color w:val="000000"/>
          <w:sz w:val="28"/>
        </w:rPr>
        <w:t>
      9.2. Обоснование дизайна исследования, в том числе выбора контрольных групп.</w:t>
      </w:r>
    </w:p>
    <w:bookmarkEnd w:id="815"/>
    <w:bookmarkStart w:name="z687" w:id="816"/>
    <w:p>
      <w:pPr>
        <w:spacing w:after="0"/>
        <w:ind w:left="0"/>
        <w:jc w:val="both"/>
      </w:pPr>
      <w:r>
        <w:rPr>
          <w:rFonts w:ascii="Times New Roman"/>
          <w:b w:val="false"/>
          <w:i w:val="false"/>
          <w:color w:val="000000"/>
          <w:sz w:val="28"/>
        </w:rPr>
        <w:t>
      Необходимо обосновать вид выбранного контроля и дизайна исследования. Некоторые аспекты дизайна исследования, нуждающиеся в рассмотрении, представлены ниже.</w:t>
      </w:r>
    </w:p>
    <w:bookmarkEnd w:id="816"/>
    <w:bookmarkStart w:name="z688" w:id="817"/>
    <w:p>
      <w:pPr>
        <w:spacing w:after="0"/>
        <w:ind w:left="0"/>
        <w:jc w:val="both"/>
      </w:pPr>
      <w:r>
        <w:rPr>
          <w:rFonts w:ascii="Times New Roman"/>
          <w:b w:val="false"/>
          <w:i w:val="false"/>
          <w:color w:val="000000"/>
          <w:sz w:val="28"/>
        </w:rPr>
        <w:t>
      В целом, выделяют следующие конкурентные контрольные группы (группы сравнения):</w:t>
      </w:r>
    </w:p>
    <w:bookmarkEnd w:id="817"/>
    <w:bookmarkStart w:name="z689" w:id="818"/>
    <w:p>
      <w:pPr>
        <w:spacing w:after="0"/>
        <w:ind w:left="0"/>
        <w:jc w:val="both"/>
      </w:pPr>
      <w:r>
        <w:rPr>
          <w:rFonts w:ascii="Times New Roman"/>
          <w:b w:val="false"/>
          <w:i w:val="false"/>
          <w:color w:val="000000"/>
          <w:sz w:val="28"/>
        </w:rPr>
        <w:t>
      плацебо-контроль;</w:t>
      </w:r>
    </w:p>
    <w:bookmarkEnd w:id="818"/>
    <w:bookmarkStart w:name="z690" w:id="819"/>
    <w:p>
      <w:pPr>
        <w:spacing w:after="0"/>
        <w:ind w:left="0"/>
        <w:jc w:val="both"/>
      </w:pPr>
      <w:r>
        <w:rPr>
          <w:rFonts w:ascii="Times New Roman"/>
          <w:b w:val="false"/>
          <w:i w:val="false"/>
          <w:color w:val="000000"/>
          <w:sz w:val="28"/>
        </w:rPr>
        <w:t>
      контроль с отсутствием лечения;</w:t>
      </w:r>
    </w:p>
    <w:bookmarkEnd w:id="819"/>
    <w:bookmarkStart w:name="z691" w:id="820"/>
    <w:p>
      <w:pPr>
        <w:spacing w:after="0"/>
        <w:ind w:left="0"/>
        <w:jc w:val="both"/>
      </w:pPr>
      <w:r>
        <w:rPr>
          <w:rFonts w:ascii="Times New Roman"/>
          <w:b w:val="false"/>
          <w:i w:val="false"/>
          <w:color w:val="000000"/>
          <w:sz w:val="28"/>
        </w:rPr>
        <w:t>
      активный контроль;</w:t>
      </w:r>
    </w:p>
    <w:bookmarkEnd w:id="820"/>
    <w:bookmarkStart w:name="z692" w:id="821"/>
    <w:p>
      <w:pPr>
        <w:spacing w:after="0"/>
        <w:ind w:left="0"/>
        <w:jc w:val="both"/>
      </w:pPr>
      <w:r>
        <w:rPr>
          <w:rFonts w:ascii="Times New Roman"/>
          <w:b w:val="false"/>
          <w:i w:val="false"/>
          <w:color w:val="000000"/>
          <w:sz w:val="28"/>
        </w:rPr>
        <w:t>
      подбор дозы;</w:t>
      </w:r>
    </w:p>
    <w:bookmarkEnd w:id="821"/>
    <w:bookmarkStart w:name="z693" w:id="822"/>
    <w:p>
      <w:pPr>
        <w:spacing w:after="0"/>
        <w:ind w:left="0"/>
        <w:jc w:val="both"/>
      </w:pPr>
      <w:r>
        <w:rPr>
          <w:rFonts w:ascii="Times New Roman"/>
          <w:b w:val="false"/>
          <w:i w:val="false"/>
          <w:color w:val="000000"/>
          <w:sz w:val="28"/>
        </w:rPr>
        <w:t>
      исторический контроль.</w:t>
      </w:r>
    </w:p>
    <w:bookmarkEnd w:id="822"/>
    <w:bookmarkStart w:name="z694" w:id="823"/>
    <w:p>
      <w:pPr>
        <w:spacing w:after="0"/>
        <w:ind w:left="0"/>
        <w:jc w:val="both"/>
      </w:pPr>
      <w:r>
        <w:rPr>
          <w:rFonts w:ascii="Times New Roman"/>
          <w:b w:val="false"/>
          <w:i w:val="false"/>
          <w:color w:val="000000"/>
          <w:sz w:val="28"/>
        </w:rPr>
        <w:t>
      В дополнение к описанию вида контроля, другими ключевыми особенностями дизайна считаются использование перекрестной конфигурации (схемы) и выбор пациентов с определенными состояниями в анамнезе: например, чувствительностью или резистентностью к определенному лекарственному препарату или группе лекарственных препаратов. Если не применялась рандомизация, необходимо объяснить, какие методы использовались для исключения систематической ошибки отбора (systematic selection bias).</w:t>
      </w:r>
    </w:p>
    <w:bookmarkEnd w:id="823"/>
    <w:bookmarkStart w:name="z695" w:id="824"/>
    <w:p>
      <w:pPr>
        <w:spacing w:after="0"/>
        <w:ind w:left="0"/>
        <w:jc w:val="both"/>
      </w:pPr>
      <w:r>
        <w:rPr>
          <w:rFonts w:ascii="Times New Roman"/>
          <w:b w:val="false"/>
          <w:i w:val="false"/>
          <w:color w:val="000000"/>
          <w:sz w:val="28"/>
        </w:rPr>
        <w:t>
      Необходимо с позиций изучаемого заболевания или применяемого вида лечения объяснить потенциальные или заранее известные затруднения, обусловленные выбранным дизайном исследования или контрольной группой. Так, для перекрестного дизайна в том числе следует предусмотреть возможность спонтанного изменения течения заболевания в ходе исследования и возникновения эффектов переноса.</w:t>
      </w:r>
    </w:p>
    <w:bookmarkEnd w:id="824"/>
    <w:bookmarkStart w:name="z696" w:id="825"/>
    <w:p>
      <w:pPr>
        <w:spacing w:after="0"/>
        <w:ind w:left="0"/>
        <w:jc w:val="both"/>
      </w:pPr>
      <w:r>
        <w:rPr>
          <w:rFonts w:ascii="Times New Roman"/>
          <w:b w:val="false"/>
          <w:i w:val="false"/>
          <w:color w:val="000000"/>
          <w:sz w:val="28"/>
        </w:rPr>
        <w:t>
      Если методом установления эффективности выбрано подтверждение эквивалентности, при котором эффективность нового вида лечения не ниже определенного порога по сравнению с признанным видом лечения (не меньшая эффективность), необходимо рассмотреть возможные затруднения в связи с выбранным дизайном исследования. В частности, необходимо обосновать, что выбранный дизайн способен установить различия между эффективной и неэффективной терапией. Для этого рекомендуется проанализировать подобные, ранее проведенные исследования в контексте ключевых особенностей дизайна (выбор пациентов, конечные точки, длительность, доза препарата, являющегося активным контролем, сопутствующая терапия и др.), подтверждающие стойкую способность выявлять превосходство активного контроля над плацебо. Необходимо описать методы выявления различий между эффективной и неэффективной терапией. Например, наличием эффективности можно считать четкое различие (на основании ранее проведенных исследований) между группой пациентов, получавших лечение и группой пациентов, не получавшей лекарственный препарат. Мерой эффективности может служить изменение значения целевого показателя от исходного уровня или другой критерий, например, количество выздоровлений или выживаемость. Достижение такого результата будет подтверждать способность исследования установить различия между эффективным и неэффективным лекарственными препаратами. Необходимо также обосновать, что в ходе исследования граница не меньшей эффективности (безопасности) (дельта) не была превышена.</w:t>
      </w:r>
    </w:p>
    <w:bookmarkEnd w:id="825"/>
    <w:bookmarkStart w:name="z697" w:id="826"/>
    <w:p>
      <w:pPr>
        <w:spacing w:after="0"/>
        <w:ind w:left="0"/>
        <w:jc w:val="both"/>
      </w:pPr>
      <w:r>
        <w:rPr>
          <w:rFonts w:ascii="Times New Roman"/>
          <w:b w:val="false"/>
          <w:i w:val="false"/>
          <w:color w:val="000000"/>
          <w:sz w:val="28"/>
        </w:rPr>
        <w:t>
      Особое обоснование в отчете следует представить в отношении применения исторического контроля, применение которого в исследовании имеет ряд ограничений (сложность обеспечения сопоставимости сравниваемых групп, невозможность "ослепления" исследователей, изменение подходов к лечению или течения заболевания, различия, обусловленные эффектом плацебо).</w:t>
      </w:r>
    </w:p>
    <w:bookmarkEnd w:id="826"/>
    <w:bookmarkStart w:name="z698" w:id="827"/>
    <w:p>
      <w:pPr>
        <w:spacing w:after="0"/>
        <w:ind w:left="0"/>
        <w:jc w:val="both"/>
      </w:pPr>
      <w:r>
        <w:rPr>
          <w:rFonts w:ascii="Times New Roman"/>
          <w:b w:val="false"/>
          <w:i w:val="false"/>
          <w:color w:val="000000"/>
          <w:sz w:val="28"/>
        </w:rPr>
        <w:t>
      Некоторые другие особенности дизайна исследования также требуют обоснования, в том числе наличие или отсутствие отмывочного периода и длительность периода лечения, что особенно важно при хронических заболеваниях. Если это не является очевидным, то необходимо также обосновать выбор дозы и интервала дозирования. Например, обычно неэффективен прием 1 раз в сутки лекарственного препарата с коротким периодом полувыведения для которого эффект тесно связан с его концентрацией в плазме. Если в рамках исследования применяется такой режим дозирования, его необходимо обосновать, например, тем, что продолжительность фармакодинамического эффекта превышает длительность нахождения лекарственного препарата в крови. Необходимо описать использованные процедуры, направленные на установление эффекта "ускользания" от действия препарата в конце интервала дозирования, например, определение действия препарата перед приемом очередной дозы. В исследовании доза-эффект с параллельным дизайном необходимо также обосновать выбранный диапазон доз.</w:t>
      </w:r>
    </w:p>
    <w:bookmarkEnd w:id="827"/>
    <w:bookmarkStart w:name="z699" w:id="828"/>
    <w:p>
      <w:pPr>
        <w:spacing w:after="0"/>
        <w:ind w:left="0"/>
        <w:jc w:val="both"/>
      </w:pPr>
      <w:r>
        <w:rPr>
          <w:rFonts w:ascii="Times New Roman"/>
          <w:b w:val="false"/>
          <w:i w:val="false"/>
          <w:color w:val="000000"/>
          <w:sz w:val="28"/>
        </w:rPr>
        <w:t>
      9.3. Выбор изучаемой популяции.</w:t>
      </w:r>
    </w:p>
    <w:bookmarkEnd w:id="828"/>
    <w:bookmarkStart w:name="z700" w:id="829"/>
    <w:p>
      <w:pPr>
        <w:spacing w:after="0"/>
        <w:ind w:left="0"/>
        <w:jc w:val="both"/>
      </w:pPr>
      <w:r>
        <w:rPr>
          <w:rFonts w:ascii="Times New Roman"/>
          <w:b w:val="false"/>
          <w:i w:val="false"/>
          <w:color w:val="000000"/>
          <w:sz w:val="28"/>
        </w:rPr>
        <w:t>
      9.3.1. Критерии включения. В отчете должны быть описаны популяция пациентов и критерии отбора, используемые для включения пациентов в исследование, и проанализирована пригодность избранной популяции для целей исследования. Должны быть представлены конкретные используемые диагностические критерии, а также конкретные требования к заболеванию (например, определенная степень тяжести и продолжительность заболевания, результаты анализа конкретных лабораторных показателей или рейтинговой шкалы, физикального обследования, особенности анамнеза (неудача или успех предыдущей терапии) или другие потенциальные прогностические факторы и любые возрастные, половые или этнические факторы.</w:t>
      </w:r>
    </w:p>
    <w:bookmarkEnd w:id="829"/>
    <w:bookmarkStart w:name="z701" w:id="830"/>
    <w:p>
      <w:pPr>
        <w:spacing w:after="0"/>
        <w:ind w:left="0"/>
        <w:jc w:val="both"/>
      </w:pPr>
      <w:r>
        <w:rPr>
          <w:rFonts w:ascii="Times New Roman"/>
          <w:b w:val="false"/>
          <w:i w:val="false"/>
          <w:color w:val="000000"/>
          <w:sz w:val="28"/>
        </w:rPr>
        <w:t>
      Должны быть описаны критерии отбора и любые дополнительные критерии рандомизации (отбор пациентов в группу с применением исследуемого препарата). При наличии оснований полагать, что при проведении исследования были дополнительные критерии включения в него, не определенные в протоколе исследования, должны быть обсуждены их возможные последствия. Например, если некоторые исследователи могли исключать или переводить в другие исследования пациентов, которые имели определенные заболевания или определенные исходные характеристики.</w:t>
      </w:r>
    </w:p>
    <w:bookmarkEnd w:id="830"/>
    <w:bookmarkStart w:name="z702" w:id="831"/>
    <w:p>
      <w:pPr>
        <w:spacing w:after="0"/>
        <w:ind w:left="0"/>
        <w:jc w:val="both"/>
      </w:pPr>
      <w:r>
        <w:rPr>
          <w:rFonts w:ascii="Times New Roman"/>
          <w:b w:val="false"/>
          <w:i w:val="false"/>
          <w:color w:val="000000"/>
          <w:sz w:val="28"/>
        </w:rPr>
        <w:t>
      9.3.2. Критерии невключения. Должны быть указаны критерии для невключения пациента в исследование на этапе отбора, а также обоснование этих критериев (например, с позиций безопасности, административные причины или непригодность для исследования). Влияние критериев невключения на возможность распространения результатов исследования на всю популяцию в целом должны быть проанализированы в разделе 13 отчета об исследовании (согласно рубрикации разделов отчета, указанной в настоящей части документа) или в обзоре безопасности и эффективности модуля 2 регистрационного досье на лекарственный препарат.</w:t>
      </w:r>
    </w:p>
    <w:bookmarkEnd w:id="831"/>
    <w:bookmarkStart w:name="z703" w:id="832"/>
    <w:p>
      <w:pPr>
        <w:spacing w:after="0"/>
        <w:ind w:left="0"/>
        <w:jc w:val="both"/>
      </w:pPr>
      <w:r>
        <w:rPr>
          <w:rFonts w:ascii="Times New Roman"/>
          <w:b w:val="false"/>
          <w:i w:val="false"/>
          <w:color w:val="000000"/>
          <w:sz w:val="28"/>
        </w:rPr>
        <w:t>
      9.3.3. Критерии исключения из клинической или аналитической части исследования. Должны быть описаны запланированные причины исключения пациентов из терапии или основного наблюдения (при наличии), а также описаны характер и продолжительность любого запланированного последующего наблюдения для данных пациентов.</w:t>
      </w:r>
    </w:p>
    <w:bookmarkEnd w:id="832"/>
    <w:bookmarkStart w:name="z704" w:id="833"/>
    <w:p>
      <w:pPr>
        <w:spacing w:after="0"/>
        <w:ind w:left="0"/>
        <w:jc w:val="both"/>
      </w:pPr>
      <w:r>
        <w:rPr>
          <w:rFonts w:ascii="Times New Roman"/>
          <w:b w:val="false"/>
          <w:i w:val="false"/>
          <w:color w:val="000000"/>
          <w:sz w:val="28"/>
        </w:rPr>
        <w:t>
      9.4. Лечение.</w:t>
      </w:r>
    </w:p>
    <w:bookmarkEnd w:id="833"/>
    <w:bookmarkStart w:name="z705" w:id="834"/>
    <w:p>
      <w:pPr>
        <w:spacing w:after="0"/>
        <w:ind w:left="0"/>
        <w:jc w:val="both"/>
      </w:pPr>
      <w:r>
        <w:rPr>
          <w:rFonts w:ascii="Times New Roman"/>
          <w:b w:val="false"/>
          <w:i w:val="false"/>
          <w:color w:val="000000"/>
          <w:sz w:val="28"/>
        </w:rPr>
        <w:t>
      9.4.1. Назначенное лечение. Должны быть описаны точные методы лечения или диагностические средства, применяемые в каждой группе пациентов и периоде исследования, в том числе способы введения, дозы и схемы применения.</w:t>
      </w:r>
    </w:p>
    <w:bookmarkEnd w:id="834"/>
    <w:bookmarkStart w:name="z706" w:id="835"/>
    <w:p>
      <w:pPr>
        <w:spacing w:after="0"/>
        <w:ind w:left="0"/>
        <w:jc w:val="both"/>
      </w:pPr>
      <w:r>
        <w:rPr>
          <w:rFonts w:ascii="Times New Roman"/>
          <w:b w:val="false"/>
          <w:i w:val="false"/>
          <w:color w:val="000000"/>
          <w:sz w:val="28"/>
        </w:rPr>
        <w:t>
      9.4.2. Описание исследуемого препарата. В отчете должны быть приведены следующие сведения:</w:t>
      </w:r>
    </w:p>
    <w:bookmarkEnd w:id="835"/>
    <w:bookmarkStart w:name="z707" w:id="836"/>
    <w:p>
      <w:pPr>
        <w:spacing w:after="0"/>
        <w:ind w:left="0"/>
        <w:jc w:val="both"/>
      </w:pPr>
      <w:r>
        <w:rPr>
          <w:rFonts w:ascii="Times New Roman"/>
          <w:b w:val="false"/>
          <w:i w:val="false"/>
          <w:color w:val="000000"/>
          <w:sz w:val="28"/>
        </w:rPr>
        <w:t>
      краткое описание исследуемого препарата (экспериментального препарата) (лекарственная форма, дозировка, номер партии). Если использована не 1 серия исследуемого препарата (экспериментального препарата), пациенты, получающие препарат из каждой партии, должны быть идентифицированы в приложении 16.1.6 к отчету (согласно рубрикации разделов отчета, указанной в настоящей части документа);</w:t>
      </w:r>
    </w:p>
    <w:bookmarkEnd w:id="836"/>
    <w:bookmarkStart w:name="z708" w:id="837"/>
    <w:p>
      <w:pPr>
        <w:spacing w:after="0"/>
        <w:ind w:left="0"/>
        <w:jc w:val="both"/>
      </w:pPr>
      <w:r>
        <w:rPr>
          <w:rFonts w:ascii="Times New Roman"/>
          <w:b w:val="false"/>
          <w:i w:val="false"/>
          <w:color w:val="000000"/>
          <w:sz w:val="28"/>
        </w:rPr>
        <w:t>
      источник получения плацебо и препарата сравнения. Модификация препарата сравнения от их обычной коммерческой формы выпуска должна быть указана в отчете, и должны быть приведены предпринятые меры для обеспечения того, чтобы в результате модификации биологическая доступность не была изменена;</w:t>
      </w:r>
    </w:p>
    <w:bookmarkEnd w:id="837"/>
    <w:bookmarkStart w:name="z709" w:id="838"/>
    <w:p>
      <w:pPr>
        <w:spacing w:after="0"/>
        <w:ind w:left="0"/>
        <w:jc w:val="both"/>
      </w:pPr>
      <w:r>
        <w:rPr>
          <w:rFonts w:ascii="Times New Roman"/>
          <w:b w:val="false"/>
          <w:i w:val="false"/>
          <w:color w:val="000000"/>
          <w:sz w:val="28"/>
        </w:rPr>
        <w:t>
      логистика поставок для длительных исследований, в которых применяются исследуемые препараты с ограниченным сроком годности или неполными данными о стабильности. Сведения о применении исследуемых препаратов после истечения срока их годности и идентификация получавших их пациентов, а также в случае наличия особых требований к хранению - эти требования к хранению.</w:t>
      </w:r>
    </w:p>
    <w:bookmarkEnd w:id="838"/>
    <w:bookmarkStart w:name="z710" w:id="839"/>
    <w:p>
      <w:pPr>
        <w:spacing w:after="0"/>
        <w:ind w:left="0"/>
        <w:jc w:val="both"/>
      </w:pPr>
      <w:r>
        <w:rPr>
          <w:rFonts w:ascii="Times New Roman"/>
          <w:b w:val="false"/>
          <w:i w:val="false"/>
          <w:color w:val="000000"/>
          <w:sz w:val="28"/>
        </w:rPr>
        <w:t>
      9.4.3. Методы распределения субъектов исследования по группам. Методы, используемые для распределения субъектов исследования по терапевтическим группам, например, централизованное распределение, распределение в рамках отдельных медицинских организаций, адаптивное распределение (распределение на основании ранее полученной оценки или ответа на лечение) должны быть описаны в тексте отчета, включая процедуры стратификации или выбора размера блоков для рандомизации. Любые особенности распределения пациентов должны быть проанализированы в отдельной части данного раздела отчета.</w:t>
      </w:r>
    </w:p>
    <w:bookmarkEnd w:id="839"/>
    <w:bookmarkStart w:name="z711" w:id="840"/>
    <w:p>
      <w:pPr>
        <w:spacing w:after="0"/>
        <w:ind w:left="0"/>
        <w:jc w:val="both"/>
      </w:pPr>
      <w:r>
        <w:rPr>
          <w:rFonts w:ascii="Times New Roman"/>
          <w:b w:val="false"/>
          <w:i w:val="false"/>
          <w:color w:val="000000"/>
          <w:sz w:val="28"/>
        </w:rPr>
        <w:t>
      Подробное описание метода рандомизации, включая описание метода выполнения, должно быть приведено с указанием ссылок на источники в приложении 16.1.7 к отчету (согласно рубрикации разделов отчета, указанной в настоящей части документа) (при необходимости). Таблица, содержащая коды рандомизации, идентификационный код пациента в исследовании и назначенное лечение, также должна быть представлена в приложении. В многоцентровом исследовании информация в отчете должна быть предоставлена по центрам в отдельности. Должен быть пояснен метод случайного генерирования номеров.</w:t>
      </w:r>
    </w:p>
    <w:bookmarkEnd w:id="840"/>
    <w:bookmarkStart w:name="z712" w:id="841"/>
    <w:p>
      <w:pPr>
        <w:spacing w:after="0"/>
        <w:ind w:left="0"/>
        <w:jc w:val="both"/>
      </w:pPr>
      <w:r>
        <w:rPr>
          <w:rFonts w:ascii="Times New Roman"/>
          <w:b w:val="false"/>
          <w:i w:val="false"/>
          <w:color w:val="000000"/>
          <w:sz w:val="28"/>
        </w:rPr>
        <w:t>
      Для исследований с ретроспективным контролем важно объяснить, каким образом был выбран конкретный контроль, какой альтернативный ретроспективный контроль рассматривался (при наличии) и как полученные результаты сравнивались с используемым контролем.</w:t>
      </w:r>
    </w:p>
    <w:bookmarkEnd w:id="8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9.4.3 с изменениями, внесенными решением Совета Евразийской экономической комиссии от 01.08.2025 </w:t>
      </w:r>
      <w:r>
        <w:rPr>
          <w:rFonts w:ascii="Times New Roman"/>
          <w:b w:val="false"/>
          <w:i w:val="false"/>
          <w:color w:val="000000"/>
          <w:sz w:val="28"/>
        </w:rPr>
        <w:t>№ 40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713" w:id="842"/>
    <w:p>
      <w:pPr>
        <w:spacing w:after="0"/>
        <w:ind w:left="0"/>
        <w:jc w:val="both"/>
      </w:pPr>
      <w:r>
        <w:rPr>
          <w:rFonts w:ascii="Times New Roman"/>
          <w:b w:val="false"/>
          <w:i w:val="false"/>
          <w:color w:val="000000"/>
          <w:sz w:val="28"/>
        </w:rPr>
        <w:t>
      9.4.4. Выбор доз для изучения. Дозы или диапазоны доз, используемые в исследовании, должны быть приведены по всем видам терапии и должно быть описано основание для их выбора (например, данные о предшествующем опыте у людей и животных).</w:t>
      </w:r>
    </w:p>
    <w:bookmarkEnd w:id="842"/>
    <w:bookmarkStart w:name="z714" w:id="843"/>
    <w:p>
      <w:pPr>
        <w:spacing w:after="0"/>
        <w:ind w:left="0"/>
        <w:jc w:val="both"/>
      </w:pPr>
      <w:r>
        <w:rPr>
          <w:rFonts w:ascii="Times New Roman"/>
          <w:b w:val="false"/>
          <w:i w:val="false"/>
          <w:color w:val="000000"/>
          <w:sz w:val="28"/>
        </w:rPr>
        <w:t>
      9.4.5. Выбор доз, времени и интервала приема препарата для каждого пациента. Необходимо описать процедуру подбора дозы исследуемого препарата и препарата сравнения (активного контроля) для каждого пациента. Такие процедуры могут заключаться как в простом случайном выборе фиксированной дозы или режима дозирования, так и в особом подборе дозы или подробно разработанном механизме отбора, основанном на индивидуальной реакции пациента, например, если повышение дозы происходит вплоть до максимальной переносимой дозы или определенного результата. При наличии тактики снижения дозы, ее также необходимо описать.</w:t>
      </w:r>
    </w:p>
    <w:bookmarkEnd w:id="843"/>
    <w:bookmarkStart w:name="z715" w:id="844"/>
    <w:p>
      <w:pPr>
        <w:spacing w:after="0"/>
        <w:ind w:left="0"/>
        <w:jc w:val="both"/>
      </w:pPr>
      <w:r>
        <w:rPr>
          <w:rFonts w:ascii="Times New Roman"/>
          <w:b w:val="false"/>
          <w:i w:val="false"/>
          <w:color w:val="000000"/>
          <w:sz w:val="28"/>
        </w:rPr>
        <w:t>
      Сроки дозирования (время суток и интервал) и соотношение дозирования с приемами пищи должны быть описаны, и, если они не были указаны в протоколе, это должно быть отмечено в отчете особо.</w:t>
      </w:r>
    </w:p>
    <w:bookmarkEnd w:id="844"/>
    <w:bookmarkStart w:name="z716" w:id="845"/>
    <w:p>
      <w:pPr>
        <w:spacing w:after="0"/>
        <w:ind w:left="0"/>
        <w:jc w:val="both"/>
      </w:pPr>
      <w:r>
        <w:rPr>
          <w:rFonts w:ascii="Times New Roman"/>
          <w:b w:val="false"/>
          <w:i w:val="false"/>
          <w:color w:val="000000"/>
          <w:sz w:val="28"/>
        </w:rPr>
        <w:t>
      Должны быть описаны любые конкретные инструкции для пациентов о времени и способе приема дозы.</w:t>
      </w:r>
    </w:p>
    <w:bookmarkEnd w:id="845"/>
    <w:bookmarkStart w:name="z717" w:id="846"/>
    <w:p>
      <w:pPr>
        <w:spacing w:after="0"/>
        <w:ind w:left="0"/>
        <w:jc w:val="both"/>
      </w:pPr>
      <w:r>
        <w:rPr>
          <w:rFonts w:ascii="Times New Roman"/>
          <w:b w:val="false"/>
          <w:i w:val="false"/>
          <w:color w:val="000000"/>
          <w:sz w:val="28"/>
        </w:rPr>
        <w:t>
      9.4.6. Маскировка данных ("слепой" метод) (при наличии). Должно быть предоставлено описание конкретных процедур, используемых для маскировки данных (например, способ маркирования упаковок, использование этикеток, которые раскрывают коды маскировки, запечатанных перечней кодов (конвертов), техники двойной имитации). В том числе должны быть описаны обстоятельства, при которых допускалось нарушение маскирования одного или всех пациентов (например, в случае серьезных нежелательных явлений), используемые при этом процедуры, а также перечень лиц, имеющих доступ к кодам пациентов. Если исследование позволяло отдельным исследователям быть информированными о курсе проводимого лечения (например, для возможности скорректировать режим применения препарата), необходимо объяснить процедуру защиты других исследователей от раскрытия информации.</w:t>
      </w:r>
    </w:p>
    <w:bookmarkEnd w:id="846"/>
    <w:bookmarkStart w:name="z718" w:id="847"/>
    <w:p>
      <w:pPr>
        <w:spacing w:after="0"/>
        <w:ind w:left="0"/>
        <w:jc w:val="both"/>
      </w:pPr>
      <w:r>
        <w:rPr>
          <w:rFonts w:ascii="Times New Roman"/>
          <w:b w:val="false"/>
          <w:i w:val="false"/>
          <w:color w:val="000000"/>
          <w:sz w:val="28"/>
        </w:rPr>
        <w:t>
      Должны быть описаны меры, принятые для обеспечения того, чтобы исследуемый препарат и плацебо были неотличимы, и приведены доказательства того, что они были неразличимы по внешнему виду, форме, запаху и вкусу. Должны быть описаны меры по предотвращению нарушения маскировки данных исследования на основании лабораторных измерений (при наличии). При наличии комитета по мониторингу данных с доступом к немаскированным данным должны быть описаны процедуры, обеспечивающие поддержание общей маскировки исследования. Также должна быть пояснена процедура поддержания маскировки во время проведения промежуточных анализов.</w:t>
      </w:r>
    </w:p>
    <w:bookmarkEnd w:id="847"/>
    <w:bookmarkStart w:name="z719" w:id="848"/>
    <w:p>
      <w:pPr>
        <w:spacing w:after="0"/>
        <w:ind w:left="0"/>
        <w:jc w:val="both"/>
      </w:pPr>
      <w:r>
        <w:rPr>
          <w:rFonts w:ascii="Times New Roman"/>
          <w:b w:val="false"/>
          <w:i w:val="false"/>
          <w:color w:val="000000"/>
          <w:sz w:val="28"/>
        </w:rPr>
        <w:t>
      Необходимо объяснить, почему для снижения субъективности ослепления некоторых или всех наблюдений не требовалось, например, использование сфигмоманометра со случайным нулем (random-zero) - устраняет возможную исследовательскую субъективность при интерпретации величины артериального давления, а ленты, полученные при холтеровском мониторировании, зачастую расшифровываются автоматически, что, предположительно, позволяет избежать исследовательской субъективности. Если ослепление было желаемым, но невозможным, необходимо объяснить причины отказа от его выполнения и рассмотреть последствия. В некоторых случаях ослепление проводится, но заранее известно о его несовершенстве вследствие очевидных лекарственных реакций по меньшей мере у части пациентов (сухость во рту, брадикардия, лихорадка, реакции в месте введения, изменение лабораторных показателей). Такого рода проблемы или потенциальные затруднения необходимо заранее выявить и описать, предпринимались ли попытки оценить их величину или решить их (например, некоторые измерения могли проводиться лицами, которые не имели прав раскрывать ослепление).</w:t>
      </w:r>
    </w:p>
    <w:bookmarkEnd w:id="848"/>
    <w:bookmarkStart w:name="z720" w:id="849"/>
    <w:p>
      <w:pPr>
        <w:spacing w:after="0"/>
        <w:ind w:left="0"/>
        <w:jc w:val="both"/>
      </w:pPr>
      <w:r>
        <w:rPr>
          <w:rFonts w:ascii="Times New Roman"/>
          <w:b w:val="false"/>
          <w:i w:val="false"/>
          <w:color w:val="000000"/>
          <w:sz w:val="28"/>
        </w:rPr>
        <w:t>
      9.4.7. Предшествующая и сопутствующая терапия. Должно быть описано, какие препараты или процедуры были разрешены до и во время исследования, было ли зарегистрировано их использование и каким образом, а также любые другие специфические правила и процедуры, связанные с разрешенной или запрещенной сопутствующей терапией. Должно быть описано, как разрешенная сопутствующая терапия может повлиять на результат вследствие взаимодействия разных препаратов или прямого их воздействия на конечные точки (основные переменные) исследования и как могут быть установлены независимые эффекты сопутствующей и исследуемой терапии.</w:t>
      </w:r>
    </w:p>
    <w:bookmarkEnd w:id="849"/>
    <w:bookmarkStart w:name="z721" w:id="850"/>
    <w:p>
      <w:pPr>
        <w:spacing w:after="0"/>
        <w:ind w:left="0"/>
        <w:jc w:val="both"/>
      </w:pPr>
      <w:r>
        <w:rPr>
          <w:rFonts w:ascii="Times New Roman"/>
          <w:b w:val="false"/>
          <w:i w:val="false"/>
          <w:color w:val="000000"/>
          <w:sz w:val="28"/>
        </w:rPr>
        <w:t>
      9.4.8. Меры по обеспечению соблюдения режима лечения. Должны быть описаны меры, принимаемые для обеспечения и фиксации в документах соблюдения режима терапии, например, учет препаратов, дневники пациентов, показатели содержания препарата в крови, моче или других жидкостях организма или мониторинг действия препарата.</w:t>
      </w:r>
    </w:p>
    <w:bookmarkEnd w:id="850"/>
    <w:bookmarkStart w:name="z722" w:id="851"/>
    <w:p>
      <w:pPr>
        <w:spacing w:after="0"/>
        <w:ind w:left="0"/>
        <w:jc w:val="both"/>
      </w:pPr>
      <w:r>
        <w:rPr>
          <w:rFonts w:ascii="Times New Roman"/>
          <w:b w:val="false"/>
          <w:i w:val="false"/>
          <w:color w:val="000000"/>
          <w:sz w:val="28"/>
        </w:rPr>
        <w:t>
      9.5. Данные эффективности и безопасности.</w:t>
      </w:r>
    </w:p>
    <w:bookmarkEnd w:id="851"/>
    <w:bookmarkStart w:name="z723" w:id="852"/>
    <w:p>
      <w:pPr>
        <w:spacing w:after="0"/>
        <w:ind w:left="0"/>
        <w:jc w:val="both"/>
      </w:pPr>
      <w:r>
        <w:rPr>
          <w:rFonts w:ascii="Times New Roman"/>
          <w:b w:val="false"/>
          <w:i w:val="false"/>
          <w:color w:val="000000"/>
          <w:sz w:val="28"/>
        </w:rPr>
        <w:t>
      9.5.1. Оцениваемые показатели эффективности и безопасности и блок-схема. Должны быть оценены конкретные показатели эффективности и безопасности и проведены лабораторные исследования. При этом должны быть указаны расписание дней оценки этих показателей (дни проведения исследования, время суток, связь с приемами пищи, и критические сроки оценки показателей по отношению к приему исследуемого препарата, например, непосредственно перед следующей дозой, через 2 часа после дозы), методы их измерения, а также лица, ответственные за измерение. Если в составе персонала, выполняющего клинически значимые измерения, произошли изменения, они должны быть указаны.</w:t>
      </w:r>
    </w:p>
    <w:bookmarkEnd w:id="852"/>
    <w:bookmarkStart w:name="z724" w:id="853"/>
    <w:p>
      <w:pPr>
        <w:spacing w:after="0"/>
        <w:ind w:left="0"/>
        <w:jc w:val="both"/>
      </w:pPr>
      <w:r>
        <w:rPr>
          <w:rFonts w:ascii="Times New Roman"/>
          <w:b w:val="false"/>
          <w:i w:val="false"/>
          <w:color w:val="000000"/>
          <w:sz w:val="28"/>
        </w:rPr>
        <w:t>
      Частоту и время измерения показателей эффективности и безопасности следует отображать в графическом виде блок-схемы (в соответствии с приложением № 4 к Правилам). Должны быть указаны номера и время визитов, или только время визитов (если указаны только номера визитов данные трудно воспринимать и интерпретировать). Также следует указать все специфические инструкции для пациентов (например, использование ими руководств по приему изучаемых препаратов или использование дневника).</w:t>
      </w:r>
    </w:p>
    <w:bookmarkEnd w:id="853"/>
    <w:bookmarkStart w:name="z725" w:id="854"/>
    <w:p>
      <w:pPr>
        <w:spacing w:after="0"/>
        <w:ind w:left="0"/>
        <w:jc w:val="both"/>
      </w:pPr>
      <w:r>
        <w:rPr>
          <w:rFonts w:ascii="Times New Roman"/>
          <w:b w:val="false"/>
          <w:i w:val="false"/>
          <w:color w:val="000000"/>
          <w:sz w:val="28"/>
        </w:rPr>
        <w:t>
      Определения, используемые для характеристики исходов исследования (например, критерии определения возникновения острого инфаркта миокарда, установление локализации инфаркта, характеристика инсульта как тромботического или геморрагического, различия между транзиторным нарушением мозгового кровообращения и инсультом, установление причины смерти) должны быть подробно объяснены. Любые методы, используемые для стандартизации или сравнения результатов лабораторных исследований или других клинических измерений (например, ЭКГ, рентгенографическое исследование грудной клетки) также должны быть описаны. Это особенно важно в многоцентровых исследованиях.</w:t>
      </w:r>
    </w:p>
    <w:bookmarkEnd w:id="854"/>
    <w:bookmarkStart w:name="z726" w:id="855"/>
    <w:p>
      <w:pPr>
        <w:spacing w:after="0"/>
        <w:ind w:left="0"/>
        <w:jc w:val="both"/>
      </w:pPr>
      <w:r>
        <w:rPr>
          <w:rFonts w:ascii="Times New Roman"/>
          <w:b w:val="false"/>
          <w:i w:val="false"/>
          <w:color w:val="000000"/>
          <w:sz w:val="28"/>
        </w:rPr>
        <w:t>
      Если помимо исследователя оценку клинических исходов осуществляли иные лица (например, спонсор или внешняя комиссия оценивали рентгенограммы или ЭКГ или определяли наличие у пациента инсульта, острого инфаркта или внезапной смерти), таких лиц необходимо ясно указать в отчете. Необходимо полностью описать процедуры, включая способы поддержания ослепления и централизованного проведения измерений и интерпретации их результатов.</w:t>
      </w:r>
    </w:p>
    <w:bookmarkEnd w:id="855"/>
    <w:bookmarkStart w:name="z727" w:id="856"/>
    <w:p>
      <w:pPr>
        <w:spacing w:after="0"/>
        <w:ind w:left="0"/>
        <w:jc w:val="both"/>
      </w:pPr>
      <w:r>
        <w:rPr>
          <w:rFonts w:ascii="Times New Roman"/>
          <w:b w:val="false"/>
          <w:i w:val="false"/>
          <w:color w:val="000000"/>
          <w:sz w:val="28"/>
        </w:rPr>
        <w:t>
      Должны быть описаны способы получения данных о нежелательных явлениях (добровольное сообщение, заполнение анкет или опрос), а также использованные специальные рейтинговые шкалы и специально запланированные последующие процедуры, направленные на устранение нежелательных явлений, или запланированная процедура пробного возобновления приема препарата.</w:t>
      </w:r>
    </w:p>
    <w:bookmarkEnd w:id="856"/>
    <w:bookmarkStart w:name="z728" w:id="857"/>
    <w:p>
      <w:pPr>
        <w:spacing w:after="0"/>
        <w:ind w:left="0"/>
        <w:jc w:val="both"/>
      </w:pPr>
      <w:r>
        <w:rPr>
          <w:rFonts w:ascii="Times New Roman"/>
          <w:b w:val="false"/>
          <w:i w:val="false"/>
          <w:color w:val="000000"/>
          <w:sz w:val="28"/>
        </w:rPr>
        <w:t>
      Должны быть описаны все использованные оценки нежелательных явлений исследователем, спонсором или внешней группой (например, оценка по степени тяжести или по вероятности того, что нежелательные явления вызваны исследуемым препаратом). Должны указываться критерии таких оценок (при наличии) и ясно указаны стороны, ответственные за оценку. Если эффективность или безопасность были оценены по категориальной, балльной шкале и др., должны быть представлены критерии, используемые для присвоения баллов (например, определение баллов на шкале). В многоцентровых исследованиях необходимо указать, каким образом методы были стандартизированы.</w:t>
      </w:r>
    </w:p>
    <w:bookmarkEnd w:id="857"/>
    <w:bookmarkStart w:name="z729" w:id="858"/>
    <w:p>
      <w:pPr>
        <w:spacing w:after="0"/>
        <w:ind w:left="0"/>
        <w:jc w:val="both"/>
      </w:pPr>
      <w:r>
        <w:rPr>
          <w:rFonts w:ascii="Times New Roman"/>
          <w:b w:val="false"/>
          <w:i w:val="false"/>
          <w:color w:val="000000"/>
          <w:sz w:val="28"/>
        </w:rPr>
        <w:t>
      9.5.2. Соответствие измерений. Если какая-либо из оценок эффективности или безопасности не была стандартной, то есть не являлась общепринятой, признанно надежной, точной и значимой (способной различать эффективные и неэффективные препараты), ее надежность, точность и значимость должны быть документально подтверждены. Следует описать в данном разделе отчета рассмотренные, но отклоненные альтернативы.</w:t>
      </w:r>
    </w:p>
    <w:bookmarkEnd w:id="858"/>
    <w:bookmarkStart w:name="z730" w:id="859"/>
    <w:p>
      <w:pPr>
        <w:spacing w:after="0"/>
        <w:ind w:left="0"/>
        <w:jc w:val="both"/>
      </w:pPr>
      <w:r>
        <w:rPr>
          <w:rFonts w:ascii="Times New Roman"/>
          <w:b w:val="false"/>
          <w:i w:val="false"/>
          <w:color w:val="000000"/>
          <w:sz w:val="28"/>
        </w:rPr>
        <w:t>
      Если в качестве конечной точки исследования использовалась суррогатная конечная точка (лабораторные показания, физикальное измерение или признак, не являющийся прямым показателем клинического результата), это должно быть обосновано, например, со ссылкой на клинические данные, публикации, руководства или решения уполномоченных органов.</w:t>
      </w:r>
    </w:p>
    <w:bookmarkEnd w:id="859"/>
    <w:bookmarkStart w:name="z731" w:id="860"/>
    <w:p>
      <w:pPr>
        <w:spacing w:after="0"/>
        <w:ind w:left="0"/>
        <w:jc w:val="both"/>
      </w:pPr>
      <w:r>
        <w:rPr>
          <w:rFonts w:ascii="Times New Roman"/>
          <w:b w:val="false"/>
          <w:i w:val="false"/>
          <w:color w:val="000000"/>
          <w:sz w:val="28"/>
        </w:rPr>
        <w:t>
      9.5.3. Первичные показатели эффективности. Необходимо подробно перечислить первичные показатели и конечные точки, использованные для установления эффективности. Несмотря на то что ключевые показатели эффективности могут казаться очевидными, при наличии множества переменных или при их многократном измерении в протоколе необходимо указать первичные показатели эффективности (с обоснованием их выбора) или определить набор значимых параметров или другой метод группировки информации, который можно интерпретировать как показатель эффективности. Если первичные показатели в протоколе не указаны, в отчете об исследовании необходимо представить объяснения, как эти ключевые показатели были отобраны (например, на основании публикаций, руководств или решений уполномоченных органов) и когда они были выявлены (до или после завершения исследования и снятия ослепления). Необходимо указать, был ли порог эффективности описан в протоколе.</w:t>
      </w:r>
    </w:p>
    <w:bookmarkEnd w:id="860"/>
    <w:bookmarkStart w:name="z732" w:id="861"/>
    <w:p>
      <w:pPr>
        <w:spacing w:after="0"/>
        <w:ind w:left="0"/>
        <w:jc w:val="both"/>
      </w:pPr>
      <w:r>
        <w:rPr>
          <w:rFonts w:ascii="Times New Roman"/>
          <w:b w:val="false"/>
          <w:i w:val="false"/>
          <w:color w:val="000000"/>
          <w:sz w:val="28"/>
        </w:rPr>
        <w:t>
      9.5.4. Измерение концентрации лекарства. Любые измеряемые концентрации препарата, а также время и периоды отбора образцов по отношению ко времени применения препарата должны быть описаны. Любая связь применения препарата и отбора проб с приемами пищи, положением тела и возможным эффектом приема сопутствующего лекарства (алкоголя, кофеина, никотина) также должна быть указана. Должны быть описаны вид биологического образца, обработка образцов и метод измерения со ссылкой на опубликованную и (или) внутреннюю валидационную документацию по процедуре исследования для характеристики методологических особенностей. Если в оценке фармакокинетики важными считаются и другие факторы (например, растворимые циркулирующие рецепторы, функция почек или печени), сроки и планы по измерению этих факторов также должны быть указаны.</w:t>
      </w:r>
    </w:p>
    <w:bookmarkEnd w:id="861"/>
    <w:bookmarkStart w:name="z733" w:id="862"/>
    <w:p>
      <w:pPr>
        <w:spacing w:after="0"/>
        <w:ind w:left="0"/>
        <w:jc w:val="both"/>
      </w:pPr>
      <w:r>
        <w:rPr>
          <w:rFonts w:ascii="Times New Roman"/>
          <w:b w:val="false"/>
          <w:i w:val="false"/>
          <w:color w:val="000000"/>
          <w:sz w:val="28"/>
        </w:rPr>
        <w:t>
      9.6. Обеспечение качества данных. Должны быть кратко описаны системы обеспечения качества и контроля качества, внедренные для обеспечения качества данных. Если такие системы не использовались, это должно быть указано. Документация по межлабораторным методам стандартизации и процедурам обеспечения качества (при наличии) должна быть представлена в соответствии с приложением 16.1.10 к отчету (согласно рубрикации разделов отчета, указанной в настоящей части документа).</w:t>
      </w:r>
    </w:p>
    <w:bookmarkEnd w:id="862"/>
    <w:bookmarkStart w:name="z734" w:id="863"/>
    <w:p>
      <w:pPr>
        <w:spacing w:after="0"/>
        <w:ind w:left="0"/>
        <w:jc w:val="both"/>
      </w:pPr>
      <w:r>
        <w:rPr>
          <w:rFonts w:ascii="Times New Roman"/>
          <w:b w:val="false"/>
          <w:i w:val="false"/>
          <w:color w:val="000000"/>
          <w:sz w:val="28"/>
        </w:rPr>
        <w:t>
      Любые меры, принятые в исследовательском центре или централизованно в целях обеспечения использования стандартной терминологии и сбора точных, последовательных, полных и достоверных данных, например тренинги, мониторинг исследователей персоналом спонсора исследования, инструктирующие руководства, проверка данных, перекрестные проверки, использование центральной лаборатории для проведения отдельных анализов, централизованная расшифровка ЭКГ или аудиторская проверка данных, должны быть описаны. Следует отметить, проводились ли конференции для исследователей, или принимались ли другие шаги для подготовки исследователей и стандартизации работы.</w:t>
      </w:r>
    </w:p>
    <w:bookmarkEnd w:id="863"/>
    <w:bookmarkStart w:name="z735" w:id="864"/>
    <w:p>
      <w:pPr>
        <w:spacing w:after="0"/>
        <w:ind w:left="0"/>
        <w:jc w:val="both"/>
      </w:pPr>
      <w:r>
        <w:rPr>
          <w:rFonts w:ascii="Times New Roman"/>
          <w:b w:val="false"/>
          <w:i w:val="false"/>
          <w:color w:val="000000"/>
          <w:sz w:val="28"/>
        </w:rPr>
        <w:t>
      Если спонсор использовал процедуры независимой внутренней или внешней аудиторской проверок, это следует указать в данном разделе отчета и описать подробно в приложении 16.1.8 к отчету (согласно рубрикации разделов отчета, указанной в настоящей части документа). В указанном приложении должны быть представлены сертификаты аудита (при наличии).</w:t>
      </w:r>
    </w:p>
    <w:bookmarkEnd w:id="864"/>
    <w:bookmarkStart w:name="z736" w:id="865"/>
    <w:p>
      <w:pPr>
        <w:spacing w:after="0"/>
        <w:ind w:left="0"/>
        <w:jc w:val="both"/>
      </w:pPr>
      <w:r>
        <w:rPr>
          <w:rFonts w:ascii="Times New Roman"/>
          <w:b w:val="false"/>
          <w:i w:val="false"/>
          <w:color w:val="000000"/>
          <w:sz w:val="28"/>
        </w:rPr>
        <w:t>
      9.7. Предусмотренные протоколом статистические методы и определение размера выборки.</w:t>
      </w:r>
    </w:p>
    <w:bookmarkEnd w:id="865"/>
    <w:bookmarkStart w:name="z737" w:id="866"/>
    <w:p>
      <w:pPr>
        <w:spacing w:after="0"/>
        <w:ind w:left="0"/>
        <w:jc w:val="both"/>
      </w:pPr>
      <w:r>
        <w:rPr>
          <w:rFonts w:ascii="Times New Roman"/>
          <w:b w:val="false"/>
          <w:i w:val="false"/>
          <w:color w:val="000000"/>
          <w:sz w:val="28"/>
        </w:rPr>
        <w:t>
      9.7.1. Статистический план и план анализа. В протоколе исследования должен быть описан план статистического анализа и все его изменения, произведенные до получения данных об исходах. В настоящем разделе отчета необходимо подробно описать запланированные согласно протоколу исследования, но не реально выполненные анализы, сравнения и статистические тесты. Необходимо указать, проводились ли измерения ключевых показателей более 1 раза, перечислить конкретные измерения (например, среднее значение нескольких измерений в течение всего исследования, значения в определенные временны?е точки, значения для завершивших исследование субъектов или значения в конце терапии), запланированные как основа для сравнений между исследуемым препаратом и контролем. Сходным образом при наличии более 1 аналитического подхода, например, изменение от исходного значения, анализ наклона кривых, анализ таблиц смертности, необходимо обозначить запланированный подход. Также необходимо указать, была ли предусмотрена в рамках первичного анализа поправка на ковариаты.</w:t>
      </w:r>
    </w:p>
    <w:bookmarkEnd w:id="866"/>
    <w:bookmarkStart w:name="z738" w:id="867"/>
    <w:p>
      <w:pPr>
        <w:spacing w:after="0"/>
        <w:ind w:left="0"/>
        <w:jc w:val="both"/>
      </w:pPr>
      <w:r>
        <w:rPr>
          <w:rFonts w:ascii="Times New Roman"/>
          <w:b w:val="false"/>
          <w:i w:val="false"/>
          <w:color w:val="000000"/>
          <w:sz w:val="28"/>
        </w:rPr>
        <w:t>
      Необходимо описать, были ли запланированы основания для исключения из анализа пациентов с собранными данными. Необходимо указать, были ли предусмотрены подгруппы, чьи результаты анализировались отдельно. Если при анализе результатов использовались категориальные шкалы (глобальные оценочные шкалы, степени тяжести, результаты определенной величины), их необходимо четко определить.</w:t>
      </w:r>
    </w:p>
    <w:bookmarkEnd w:id="867"/>
    <w:bookmarkStart w:name="z739" w:id="868"/>
    <w:p>
      <w:pPr>
        <w:spacing w:after="0"/>
        <w:ind w:left="0"/>
        <w:jc w:val="both"/>
      </w:pPr>
      <w:r>
        <w:rPr>
          <w:rFonts w:ascii="Times New Roman"/>
          <w:b w:val="false"/>
          <w:i w:val="false"/>
          <w:color w:val="000000"/>
          <w:sz w:val="28"/>
        </w:rPr>
        <w:t>
      Необходимо описать запланированный мониторинг результатов исследований. Если исследованием было предусмотрено участие комитета по мониторингу данных, подконтрольного или неподконтрольного спонсору, необходимо описать его состав и операционные процедуры, а также процедуры, обеспечивающие сохранение ослепления исследования. Необходимо описать частоту и суть запланированного промежуточного анализа, указать все заранее установленные в протоколе исследования обстоятельства, в силу которых исследование должно быть прекращено, а также указать все вносимые по результатам промежуточного анализа статистические коррективы.</w:t>
      </w:r>
    </w:p>
    <w:bookmarkEnd w:id="868"/>
    <w:bookmarkStart w:name="z740" w:id="869"/>
    <w:p>
      <w:pPr>
        <w:spacing w:after="0"/>
        <w:ind w:left="0"/>
        <w:jc w:val="both"/>
      </w:pPr>
      <w:r>
        <w:rPr>
          <w:rFonts w:ascii="Times New Roman"/>
          <w:b w:val="false"/>
          <w:i w:val="false"/>
          <w:color w:val="000000"/>
          <w:sz w:val="28"/>
        </w:rPr>
        <w:t>
      9.7.2. Определение размера выборки. Необходимо представить запланированный размер выборки и способ его вычисления, например, статистические расчеты или практические ограничения. Наряду с методами расчета размера выборки необходимо представить обоснование расчетов или ссылки на такое обоснование. Необходимо привести оценки, использованные в расчетах, и объяснения, как эти оценки были получены. В исследованиях, направленных на подтверждение различий между методами лечения, необходимо оговорить величину выявляемой разницы. В исследованиях с положительным контролем, направленных на подтверждение не меньшей эффективности по сравнению со стандартной терапией, определение размера выборки должно включать разницу между сравниваемыми методами, которая считается неприемлемо большой и может быть исключена в рамках запланированного исследования.</w:t>
      </w:r>
    </w:p>
    <w:bookmarkEnd w:id="869"/>
    <w:bookmarkStart w:name="z741" w:id="870"/>
    <w:p>
      <w:pPr>
        <w:spacing w:after="0"/>
        <w:ind w:left="0"/>
        <w:jc w:val="both"/>
      </w:pPr>
      <w:r>
        <w:rPr>
          <w:rFonts w:ascii="Times New Roman"/>
          <w:b w:val="false"/>
          <w:i w:val="false"/>
          <w:color w:val="000000"/>
          <w:sz w:val="28"/>
        </w:rPr>
        <w:t>
      9.8. Изменения в ходе проведения исследования или в запланированном анализе.</w:t>
      </w:r>
    </w:p>
    <w:bookmarkEnd w:id="870"/>
    <w:bookmarkStart w:name="z742" w:id="871"/>
    <w:p>
      <w:pPr>
        <w:spacing w:after="0"/>
        <w:ind w:left="0"/>
        <w:jc w:val="both"/>
      </w:pPr>
      <w:r>
        <w:rPr>
          <w:rFonts w:ascii="Times New Roman"/>
          <w:b w:val="false"/>
          <w:i w:val="false"/>
          <w:color w:val="000000"/>
          <w:sz w:val="28"/>
        </w:rPr>
        <w:t>
      Любое изменение в проведении исследования или планируемых анализов (например, исключение какой-либо из сравниваемых групп лечения, изменение критериев включения или дозы препарата, корректировка размера выборки и др.), имевшее место после начала исследования, должно быть описано. Время и причины таких изменений, процедуры, используемые для принятия решения о внедрении изменений, лица или группы лиц, ответственные за изменения, характер и содержание имеющихся данных и перечень лиц, которым они были доступны на дату внедрения изменения, также должны быть описаны вне зависимости от того, было ли изменение задокументировано в качестве официальной поправки к протоколу или нет (В данный раздел не следует включать изменения в части кадровых перестановок и решений). Любые возможные последствия изменений в части интерпретации результатов исследования должны быть кратко описаны в настоящем разделе и более подробно в других соответствующих разделах отчета. В каждом разделе отчета должно быть проведено четкое различие между условиями (процедурами), запланированными в протоколе и в поправках или дополнениях. Считается, что в целом изменения в запланированных анализах данных, введенные до раскрытия маскированных данных, незначительно влияют на интерпретацию результатов исследования. Особенно важно, чтобы время внедрения изменений было четко указано по отношению к времени раскрытия маскированных данных и получения итоговых результатов.</w:t>
      </w:r>
    </w:p>
    <w:bookmarkEnd w:id="871"/>
    <w:bookmarkStart w:name="z743" w:id="872"/>
    <w:p>
      <w:pPr>
        <w:spacing w:after="0"/>
        <w:ind w:left="0"/>
        <w:jc w:val="left"/>
      </w:pPr>
      <w:r>
        <w:rPr>
          <w:rFonts w:ascii="Times New Roman"/>
          <w:b/>
          <w:i w:val="false"/>
          <w:color w:val="000000"/>
        </w:rPr>
        <w:t xml:space="preserve"> 10. Информация о субъектах исследования</w:t>
      </w:r>
    </w:p>
    <w:bookmarkEnd w:id="872"/>
    <w:bookmarkStart w:name="z744" w:id="873"/>
    <w:p>
      <w:pPr>
        <w:spacing w:after="0"/>
        <w:ind w:left="0"/>
        <w:jc w:val="both"/>
      </w:pPr>
      <w:r>
        <w:rPr>
          <w:rFonts w:ascii="Times New Roman"/>
          <w:b w:val="false"/>
          <w:i w:val="false"/>
          <w:color w:val="000000"/>
          <w:sz w:val="28"/>
        </w:rPr>
        <w:t>
      10.1. Распределение субъектов по группам.</w:t>
      </w:r>
    </w:p>
    <w:bookmarkEnd w:id="873"/>
    <w:bookmarkStart w:name="z745" w:id="874"/>
    <w:p>
      <w:pPr>
        <w:spacing w:after="0"/>
        <w:ind w:left="0"/>
        <w:jc w:val="both"/>
      </w:pPr>
      <w:r>
        <w:rPr>
          <w:rFonts w:ascii="Times New Roman"/>
          <w:b w:val="false"/>
          <w:i w:val="false"/>
          <w:color w:val="000000"/>
          <w:sz w:val="28"/>
        </w:rPr>
        <w:t>
      Следует провести подробный и понятный учет всех пациентов, которые приняли участие в исследовании, при помощи графического или табличного представления данных в тексте отчета. Должно быть указано количество пациентов, которые были рандомизированы, вошли в исследование и завершили каждый его этап (каждую неделю (месяц) исследования), а также причины всех пост-рандомизационных прекращений лечения, сгруппированные по виду лечения и основной причине (выбытие из-под наблюдения, нежелательные явления, несоблюдение режима лечения и др.). Кроме того, в ряде случаев необходимо указать количество пациентов, рассматриваемых (отобранных) для включения в исследование, и привести анализ причин исключения пациентов во время скрининга, если это может помочь прояснить основания набора фактически полученной в исследовании популяции пациентов, применяющих препарат. Как правило, наиболее удобным является представление данных в виде блок-схемы (в соответствии с приложением № 5 к Правилам). Также должно быть ясно указано, наблюдались ли пациенты в течение всего срока исследования, даже если прием препаратов ими прекращался.</w:t>
      </w:r>
    </w:p>
    <w:bookmarkEnd w:id="874"/>
    <w:bookmarkStart w:name="z746" w:id="875"/>
    <w:p>
      <w:pPr>
        <w:spacing w:after="0"/>
        <w:ind w:left="0"/>
        <w:jc w:val="both"/>
      </w:pPr>
      <w:r>
        <w:rPr>
          <w:rFonts w:ascii="Times New Roman"/>
          <w:b w:val="false"/>
          <w:i w:val="false"/>
          <w:color w:val="000000"/>
          <w:sz w:val="28"/>
        </w:rPr>
        <w:t>
      В приложении 16.2.1 к отчету (согласно рубрикации разделов отчета, указанной в настоящей части документа) также должен быть перечень всех пациентов, прекративших участие в исследовании после их включения в него, с разделением по исследовательским центрам и группам лечения, с указанием идентификационного кода пациента, конкретной причины прекращения участия в исследовании, проводимого лечения (лекарственный препарат и доза), совокупной принятой дозы (если применимо), а также продолжительности лечения до его прекращения. Должно быть указано, были ли демаскированы данные лечения пациента на дату прекращения им лечения. Также следует включить другую информацию, такую как критические демографические данные (например, возраст, пол, раса), сопутствующая терапия и основные изменения в состоянии пациента на дату прекращения лечения. Образец указанного перечня предусмотрен приложением № 6 к Правилам.</w:t>
      </w:r>
    </w:p>
    <w:bookmarkEnd w:id="875"/>
    <w:bookmarkStart w:name="z747" w:id="876"/>
    <w:p>
      <w:pPr>
        <w:spacing w:after="0"/>
        <w:ind w:left="0"/>
        <w:jc w:val="both"/>
      </w:pPr>
      <w:r>
        <w:rPr>
          <w:rFonts w:ascii="Times New Roman"/>
          <w:b w:val="false"/>
          <w:i w:val="false"/>
          <w:color w:val="000000"/>
          <w:sz w:val="28"/>
        </w:rPr>
        <w:t>
      10.2. Отклонения от протокола.</w:t>
      </w:r>
    </w:p>
    <w:bookmarkEnd w:id="876"/>
    <w:bookmarkStart w:name="z748" w:id="877"/>
    <w:p>
      <w:pPr>
        <w:spacing w:after="0"/>
        <w:ind w:left="0"/>
        <w:jc w:val="both"/>
      </w:pPr>
      <w:r>
        <w:rPr>
          <w:rFonts w:ascii="Times New Roman"/>
          <w:b w:val="false"/>
          <w:i w:val="false"/>
          <w:color w:val="000000"/>
          <w:sz w:val="28"/>
        </w:rPr>
        <w:t>
      Должны быть описаны все важные (существенные) отклонения, связанные с критериями включения или невключения в исследование, проведением исследования, ведением пациента или оценкой его состояния.</w:t>
      </w:r>
    </w:p>
    <w:bookmarkEnd w:id="877"/>
    <w:bookmarkStart w:name="z749" w:id="878"/>
    <w:p>
      <w:pPr>
        <w:spacing w:after="0"/>
        <w:ind w:left="0"/>
        <w:jc w:val="both"/>
      </w:pPr>
      <w:r>
        <w:rPr>
          <w:rFonts w:ascii="Times New Roman"/>
          <w:b w:val="false"/>
          <w:i w:val="false"/>
          <w:color w:val="000000"/>
          <w:sz w:val="28"/>
        </w:rPr>
        <w:t>
      В тексте отчета отклонения от протокола должны быть надлежащим образом обобщены по исследовательским центрам и сгруппированы по различным категориям, таким как:</w:t>
      </w:r>
    </w:p>
    <w:bookmarkEnd w:id="878"/>
    <w:bookmarkStart w:name="z750" w:id="879"/>
    <w:p>
      <w:pPr>
        <w:spacing w:after="0"/>
        <w:ind w:left="0"/>
        <w:jc w:val="both"/>
      </w:pPr>
      <w:r>
        <w:rPr>
          <w:rFonts w:ascii="Times New Roman"/>
          <w:b w:val="false"/>
          <w:i w:val="false"/>
          <w:color w:val="000000"/>
          <w:sz w:val="28"/>
        </w:rPr>
        <w:t>
      пациенты, которые приняли участие в исследовании, даже если не удовлетворяют критериям включения;</w:t>
      </w:r>
    </w:p>
    <w:bookmarkEnd w:id="879"/>
    <w:bookmarkStart w:name="z751" w:id="880"/>
    <w:p>
      <w:pPr>
        <w:spacing w:after="0"/>
        <w:ind w:left="0"/>
        <w:jc w:val="both"/>
      </w:pPr>
      <w:r>
        <w:rPr>
          <w:rFonts w:ascii="Times New Roman"/>
          <w:b w:val="false"/>
          <w:i w:val="false"/>
          <w:color w:val="000000"/>
          <w:sz w:val="28"/>
        </w:rPr>
        <w:t>
      пациенты, которые стали соответствовать критериям прекращения участия в исследовании во время его проведения, но не прекратили его;</w:t>
      </w:r>
    </w:p>
    <w:bookmarkEnd w:id="880"/>
    <w:bookmarkStart w:name="z752" w:id="881"/>
    <w:p>
      <w:pPr>
        <w:spacing w:after="0"/>
        <w:ind w:left="0"/>
        <w:jc w:val="both"/>
      </w:pPr>
      <w:r>
        <w:rPr>
          <w:rFonts w:ascii="Times New Roman"/>
          <w:b w:val="false"/>
          <w:i w:val="false"/>
          <w:color w:val="000000"/>
          <w:sz w:val="28"/>
        </w:rPr>
        <w:t>
      пациенты, которые получили неправильное лечение или дозу препаратов;</w:t>
      </w:r>
    </w:p>
    <w:bookmarkEnd w:id="881"/>
    <w:bookmarkStart w:name="z753" w:id="882"/>
    <w:p>
      <w:pPr>
        <w:spacing w:after="0"/>
        <w:ind w:left="0"/>
        <w:jc w:val="both"/>
      </w:pPr>
      <w:r>
        <w:rPr>
          <w:rFonts w:ascii="Times New Roman"/>
          <w:b w:val="false"/>
          <w:i w:val="false"/>
          <w:color w:val="000000"/>
          <w:sz w:val="28"/>
        </w:rPr>
        <w:t>
      пациенты, которые получили неразрешенное сопутствующее лечение.</w:t>
      </w:r>
    </w:p>
    <w:bookmarkEnd w:id="882"/>
    <w:bookmarkStart w:name="z754" w:id="883"/>
    <w:p>
      <w:pPr>
        <w:spacing w:after="0"/>
        <w:ind w:left="0"/>
        <w:jc w:val="both"/>
      </w:pPr>
      <w:r>
        <w:rPr>
          <w:rFonts w:ascii="Times New Roman"/>
          <w:b w:val="false"/>
          <w:i w:val="false"/>
          <w:color w:val="000000"/>
          <w:sz w:val="28"/>
        </w:rPr>
        <w:t>
      В приложении 16.2.2 к отчету (согласно рубрикации разделов отчета, указанной в настоящей части документа) должны быть перечислены конкретные пациенты с этими отклонениями от протокола с разделением по центрам для многоцентровых исследований.</w:t>
      </w:r>
    </w:p>
    <w:bookmarkEnd w:id="883"/>
    <w:bookmarkStart w:name="z755" w:id="884"/>
    <w:p>
      <w:pPr>
        <w:spacing w:after="0"/>
        <w:ind w:left="0"/>
        <w:jc w:val="left"/>
      </w:pPr>
      <w:r>
        <w:rPr>
          <w:rFonts w:ascii="Times New Roman"/>
          <w:b/>
          <w:i w:val="false"/>
          <w:color w:val="000000"/>
        </w:rPr>
        <w:t xml:space="preserve"> 11. Оценка эффективности</w:t>
      </w:r>
    </w:p>
    <w:bookmarkEnd w:id="884"/>
    <w:bookmarkStart w:name="z756" w:id="885"/>
    <w:p>
      <w:pPr>
        <w:spacing w:after="0"/>
        <w:ind w:left="0"/>
        <w:jc w:val="both"/>
      </w:pPr>
      <w:r>
        <w:rPr>
          <w:rFonts w:ascii="Times New Roman"/>
          <w:b w:val="false"/>
          <w:i w:val="false"/>
          <w:color w:val="000000"/>
          <w:sz w:val="28"/>
        </w:rPr>
        <w:t>
      11.1. Данные, подлежащие анализу.</w:t>
      </w:r>
    </w:p>
    <w:bookmarkEnd w:id="885"/>
    <w:bookmarkStart w:name="z757" w:id="886"/>
    <w:p>
      <w:pPr>
        <w:spacing w:after="0"/>
        <w:ind w:left="0"/>
        <w:jc w:val="both"/>
      </w:pPr>
      <w:r>
        <w:rPr>
          <w:rFonts w:ascii="Times New Roman"/>
          <w:b w:val="false"/>
          <w:i w:val="false"/>
          <w:color w:val="000000"/>
          <w:sz w:val="28"/>
        </w:rPr>
        <w:t>
      Необходимо ясно указать, какие именно пациенты были включены в каждый анализ эффективности, например, пациенты, получившие какой-либо из исследуемых препаратов, пациенты с какими-либо данными по эффективности или с определенным минимальным количеством наблюдений, пациенты, завершившие исследование, пациенты, наблюдавшиеся в определенный промежуток времени, пациенты с определенной степенью приверженности и др. Необходимо ясно указать, если это не описано в протоколе исследования, когда (по отношению к снятию ослепления) и как были сформированы критерии включения и невключения проанализированных совокупностей данных. Если первичный анализ, предлагаемый заявителем, основан на ограниченном количестве пациентов, необходимо предпринять попытку установления эффективности с помощью дополнительного анализа с использованием данных всех рандомизированных или включенных иным образом пациентов с любым объемом данных.</w:t>
      </w:r>
    </w:p>
    <w:bookmarkEnd w:id="886"/>
    <w:bookmarkStart w:name="z758" w:id="887"/>
    <w:p>
      <w:pPr>
        <w:spacing w:after="0"/>
        <w:ind w:left="0"/>
        <w:jc w:val="both"/>
      </w:pPr>
      <w:r>
        <w:rPr>
          <w:rFonts w:ascii="Times New Roman"/>
          <w:b w:val="false"/>
          <w:i w:val="false"/>
          <w:color w:val="000000"/>
          <w:sz w:val="28"/>
        </w:rPr>
        <w:t>
      В приложении 16.2.3 к отчету (согласно рубрикации разделов отчета, указанной в настоящей части документа) необходимо представить табличный список всех пациентов, визитов и наблюдений, исключенных из анализа эффективности (в соответствии с приложением № 7 к Правилам). Необходимо также в динамике проанализировать причины исключения пациентов, визитов и наблюдений во всех группах лечения (в соответствии с приложением № 8 к Правилам).</w:t>
      </w:r>
    </w:p>
    <w:bookmarkEnd w:id="887"/>
    <w:bookmarkStart w:name="z759" w:id="888"/>
    <w:p>
      <w:pPr>
        <w:spacing w:after="0"/>
        <w:ind w:left="0"/>
        <w:jc w:val="both"/>
      </w:pPr>
      <w:r>
        <w:rPr>
          <w:rFonts w:ascii="Times New Roman"/>
          <w:b w:val="false"/>
          <w:i w:val="false"/>
          <w:color w:val="000000"/>
          <w:sz w:val="28"/>
        </w:rPr>
        <w:t>
      11.2. Демографические и другие исходные характеристики.</w:t>
      </w:r>
    </w:p>
    <w:bookmarkEnd w:id="888"/>
    <w:bookmarkStart w:name="z760" w:id="889"/>
    <w:p>
      <w:pPr>
        <w:spacing w:after="0"/>
        <w:ind w:left="0"/>
        <w:jc w:val="both"/>
      </w:pPr>
      <w:r>
        <w:rPr>
          <w:rFonts w:ascii="Times New Roman"/>
          <w:b w:val="false"/>
          <w:i w:val="false"/>
          <w:color w:val="000000"/>
          <w:sz w:val="28"/>
        </w:rPr>
        <w:t>
      Необходимо представить групповые данные по важнейшим демографическим и исходным характеристикам пациентов, а также другие факторы, возникшие в ходе исследования, которые могли повлиять на исходы исследования. В разделе 14.1 необходимо представить сопоставимость групп лечения по всем имеющим значение характеристикам с использованием таблиц и графиков. Сначала необходимо описать данные для пациентов, включенных в группы "все пациенты с данными". Далее могут следовать данные по другим группам, включенным в основные анализы, такие как анализ "по протоколу" и другие, например, группы, отобранные по приверженности к лечению, сопутствующему заболеванию (лечению) или демографическим (исходным) характеристикам. При использовании таких групп, необходимо представить данные по дополняющим их исключенным группам. В многоцентровых исследованиях сопоставимость групп по возможности необходимо оценить как внутри одного центра, так и между центрами.</w:t>
      </w:r>
    </w:p>
    <w:bookmarkEnd w:id="889"/>
    <w:bookmarkStart w:name="z761" w:id="890"/>
    <w:p>
      <w:pPr>
        <w:spacing w:after="0"/>
        <w:ind w:left="0"/>
        <w:jc w:val="both"/>
      </w:pPr>
      <w:r>
        <w:rPr>
          <w:rFonts w:ascii="Times New Roman"/>
          <w:b w:val="false"/>
          <w:i w:val="false"/>
          <w:color w:val="000000"/>
          <w:sz w:val="28"/>
        </w:rPr>
        <w:t>
      Необходимо представить диаграмму, отражающую взаимосвязь между всей выборкой и каждой анализируемой группой.</w:t>
      </w:r>
    </w:p>
    <w:bookmarkEnd w:id="890"/>
    <w:bookmarkStart w:name="z762" w:id="891"/>
    <w:p>
      <w:pPr>
        <w:spacing w:after="0"/>
        <w:ind w:left="0"/>
        <w:jc w:val="both"/>
      </w:pPr>
      <w:r>
        <w:rPr>
          <w:rFonts w:ascii="Times New Roman"/>
          <w:b w:val="false"/>
          <w:i w:val="false"/>
          <w:color w:val="000000"/>
          <w:sz w:val="28"/>
        </w:rPr>
        <w:t>
      Важнейшие переменные зависят от природы заболевания и требований протокола. Как правило, к таким переменным относят:</w:t>
      </w:r>
    </w:p>
    <w:bookmarkEnd w:id="891"/>
    <w:bookmarkStart w:name="z763" w:id="892"/>
    <w:p>
      <w:pPr>
        <w:spacing w:after="0"/>
        <w:ind w:left="0"/>
        <w:jc w:val="both"/>
      </w:pPr>
      <w:r>
        <w:rPr>
          <w:rFonts w:ascii="Times New Roman"/>
          <w:b w:val="false"/>
          <w:i w:val="false"/>
          <w:color w:val="000000"/>
          <w:sz w:val="28"/>
        </w:rPr>
        <w:t>
      демографические переменные: возраст, пол, раса;</w:t>
      </w:r>
    </w:p>
    <w:bookmarkEnd w:id="892"/>
    <w:bookmarkStart w:name="z764" w:id="893"/>
    <w:p>
      <w:pPr>
        <w:spacing w:after="0"/>
        <w:ind w:left="0"/>
        <w:jc w:val="both"/>
      </w:pPr>
      <w:r>
        <w:rPr>
          <w:rFonts w:ascii="Times New Roman"/>
          <w:b w:val="false"/>
          <w:i w:val="false"/>
          <w:color w:val="000000"/>
          <w:sz w:val="28"/>
        </w:rPr>
        <w:t>
      факторы заболевания:</w:t>
      </w:r>
    </w:p>
    <w:bookmarkEnd w:id="893"/>
    <w:bookmarkStart w:name="z765" w:id="894"/>
    <w:p>
      <w:pPr>
        <w:spacing w:after="0"/>
        <w:ind w:left="0"/>
        <w:jc w:val="both"/>
      </w:pPr>
      <w:r>
        <w:rPr>
          <w:rFonts w:ascii="Times New Roman"/>
          <w:b w:val="false"/>
          <w:i w:val="false"/>
          <w:color w:val="000000"/>
          <w:sz w:val="28"/>
        </w:rPr>
        <w:t>
      особые критерии включения (если они не унифицированы), длительность, стадия и тяжесть заболевания и другие виды клинических классификаций и группировок, которые часто используются или имеют прогностическую значимость;</w:t>
      </w:r>
    </w:p>
    <w:bookmarkEnd w:id="894"/>
    <w:bookmarkStart w:name="z766" w:id="895"/>
    <w:p>
      <w:pPr>
        <w:spacing w:after="0"/>
        <w:ind w:left="0"/>
        <w:jc w:val="both"/>
      </w:pPr>
      <w:r>
        <w:rPr>
          <w:rFonts w:ascii="Times New Roman"/>
          <w:b w:val="false"/>
          <w:i w:val="false"/>
          <w:color w:val="000000"/>
          <w:sz w:val="28"/>
        </w:rPr>
        <w:t>
      исходные значения основных клинических измерений, проведенных в ходе исследования и принятых в качестве важных показателей прогноза или ответа на лечение;</w:t>
      </w:r>
    </w:p>
    <w:bookmarkEnd w:id="895"/>
    <w:bookmarkStart w:name="z767" w:id="896"/>
    <w:p>
      <w:pPr>
        <w:spacing w:after="0"/>
        <w:ind w:left="0"/>
        <w:jc w:val="both"/>
      </w:pPr>
      <w:r>
        <w:rPr>
          <w:rFonts w:ascii="Times New Roman"/>
          <w:b w:val="false"/>
          <w:i w:val="false"/>
          <w:color w:val="000000"/>
          <w:sz w:val="28"/>
        </w:rPr>
        <w:t>
      сопутствующие заболевания в начале исследования, такие как почечная недостаточность, сахарный диабет, сердечная недостаточность;</w:t>
      </w:r>
    </w:p>
    <w:bookmarkEnd w:id="896"/>
    <w:bookmarkStart w:name="z768" w:id="897"/>
    <w:p>
      <w:pPr>
        <w:spacing w:after="0"/>
        <w:ind w:left="0"/>
        <w:jc w:val="both"/>
      </w:pPr>
      <w:r>
        <w:rPr>
          <w:rFonts w:ascii="Times New Roman"/>
          <w:b w:val="false"/>
          <w:i w:val="false"/>
          <w:color w:val="000000"/>
          <w:sz w:val="28"/>
        </w:rPr>
        <w:t>
      значимые заболевания в анамнезе;</w:t>
      </w:r>
    </w:p>
    <w:bookmarkEnd w:id="897"/>
    <w:bookmarkStart w:name="z769" w:id="898"/>
    <w:p>
      <w:pPr>
        <w:spacing w:after="0"/>
        <w:ind w:left="0"/>
        <w:jc w:val="both"/>
      </w:pPr>
      <w:r>
        <w:rPr>
          <w:rFonts w:ascii="Times New Roman"/>
          <w:b w:val="false"/>
          <w:i w:val="false"/>
          <w:color w:val="000000"/>
          <w:sz w:val="28"/>
        </w:rPr>
        <w:t>
      значимая ранее проводимая терапия заболевания, для лечения которого проводится исследование;</w:t>
      </w:r>
    </w:p>
    <w:bookmarkEnd w:id="898"/>
    <w:bookmarkStart w:name="z770" w:id="899"/>
    <w:p>
      <w:pPr>
        <w:spacing w:after="0"/>
        <w:ind w:left="0"/>
        <w:jc w:val="both"/>
      </w:pPr>
      <w:r>
        <w:rPr>
          <w:rFonts w:ascii="Times New Roman"/>
          <w:b w:val="false"/>
          <w:i w:val="false"/>
          <w:color w:val="000000"/>
          <w:sz w:val="28"/>
        </w:rPr>
        <w:t>
      проводимая сопутствующая терапия, даже при изменении режима дозирования в ходе исследования, включая гормональную контрацепцию или заместительную гормональную терапию, прекращенное или измененное лечение вследствие начала исследования;</w:t>
      </w:r>
    </w:p>
    <w:bookmarkEnd w:id="899"/>
    <w:bookmarkStart w:name="z771" w:id="900"/>
    <w:p>
      <w:pPr>
        <w:spacing w:after="0"/>
        <w:ind w:left="0"/>
        <w:jc w:val="both"/>
      </w:pPr>
      <w:r>
        <w:rPr>
          <w:rFonts w:ascii="Times New Roman"/>
          <w:b w:val="false"/>
          <w:i w:val="false"/>
          <w:color w:val="000000"/>
          <w:sz w:val="28"/>
        </w:rPr>
        <w:t>
      иные факторы, которые могут повлиять на ответ на лечение (например, масса тела, рениновый статус, содержание антител, метаболический статус);</w:t>
      </w:r>
    </w:p>
    <w:bookmarkEnd w:id="900"/>
    <w:bookmarkStart w:name="z772" w:id="901"/>
    <w:p>
      <w:pPr>
        <w:spacing w:after="0"/>
        <w:ind w:left="0"/>
        <w:jc w:val="both"/>
      </w:pPr>
      <w:r>
        <w:rPr>
          <w:rFonts w:ascii="Times New Roman"/>
          <w:b w:val="false"/>
          <w:i w:val="false"/>
          <w:color w:val="000000"/>
          <w:sz w:val="28"/>
        </w:rPr>
        <w:t>
      иные, потенциально значимые переменные (например, курение, потребление алкоголя, особые диеты), а также для женщин - менструальный статус и дата последних менструаций (если применимо, для данного исследования).</w:t>
      </w:r>
    </w:p>
    <w:bookmarkEnd w:id="901"/>
    <w:bookmarkStart w:name="z773" w:id="902"/>
    <w:p>
      <w:pPr>
        <w:spacing w:after="0"/>
        <w:ind w:left="0"/>
        <w:jc w:val="both"/>
      </w:pPr>
      <w:r>
        <w:rPr>
          <w:rFonts w:ascii="Times New Roman"/>
          <w:b w:val="false"/>
          <w:i w:val="false"/>
          <w:color w:val="000000"/>
          <w:sz w:val="28"/>
        </w:rPr>
        <w:t>
      В дополнение к таблицам и графикам с данными по указанным исходным переменным в приложении 16.2.4 к отчету (согласно рубрикации разделов отчета, указанной в настоящей части документа) необходимо представить табличные данные по имеющим значимость индивидуальным демографическим и исходным характеристикам, включая лабораторные показатели и все сопутствующие лекарственные препараты по каждому рандомизированному пациенту (по видам лечения, а для многоцентровых исследований - по центрам). Несмотря на то что некоторые уполномоченные органы запрашивают все исходные данные в виде таблиц, в приложении к отчету об исследовании необходимо указать только сведения, имеющие наибольшую значимость (как правило, это переменные, перечисленные выше).</w:t>
      </w:r>
    </w:p>
    <w:bookmarkEnd w:id="902"/>
    <w:bookmarkStart w:name="z774" w:id="903"/>
    <w:p>
      <w:pPr>
        <w:spacing w:after="0"/>
        <w:ind w:left="0"/>
        <w:jc w:val="both"/>
      </w:pPr>
      <w:r>
        <w:rPr>
          <w:rFonts w:ascii="Times New Roman"/>
          <w:b w:val="false"/>
          <w:i w:val="false"/>
          <w:color w:val="000000"/>
          <w:sz w:val="28"/>
        </w:rPr>
        <w:t>
      11.3. Измерение приверженности лечению.</w:t>
      </w:r>
    </w:p>
    <w:bookmarkEnd w:id="903"/>
    <w:bookmarkStart w:name="z775" w:id="904"/>
    <w:p>
      <w:pPr>
        <w:spacing w:after="0"/>
        <w:ind w:left="0"/>
        <w:jc w:val="both"/>
      </w:pPr>
      <w:r>
        <w:rPr>
          <w:rFonts w:ascii="Times New Roman"/>
          <w:b w:val="false"/>
          <w:i w:val="false"/>
          <w:color w:val="000000"/>
          <w:sz w:val="28"/>
        </w:rPr>
        <w:t>
      В приложении 16.2.5 к отчету (согласно рубрикации разделов отчета, указанной в настоящей части документа) необходимо обобщить, проанализировать по группам лечения и временным интервалам и представить в табличном виде все измерения приверженности отдельного пациента к исследуемому режиму терапии и определения концентрации лекарственного препарата в жидкостях организма.</w:t>
      </w:r>
    </w:p>
    <w:bookmarkEnd w:id="904"/>
    <w:bookmarkStart w:name="z776" w:id="905"/>
    <w:p>
      <w:pPr>
        <w:spacing w:after="0"/>
        <w:ind w:left="0"/>
        <w:jc w:val="both"/>
      </w:pPr>
      <w:r>
        <w:rPr>
          <w:rFonts w:ascii="Times New Roman"/>
          <w:b w:val="false"/>
          <w:i w:val="false"/>
          <w:color w:val="000000"/>
          <w:sz w:val="28"/>
        </w:rPr>
        <w:t>
      11.4. Результаты определения эффективности и сводные таблицы индивидуальных сведений о пациентах.</w:t>
      </w:r>
    </w:p>
    <w:bookmarkEnd w:id="905"/>
    <w:bookmarkStart w:name="z777" w:id="906"/>
    <w:p>
      <w:pPr>
        <w:spacing w:after="0"/>
        <w:ind w:left="0"/>
        <w:jc w:val="both"/>
      </w:pPr>
      <w:r>
        <w:rPr>
          <w:rFonts w:ascii="Times New Roman"/>
          <w:b w:val="false"/>
          <w:i w:val="false"/>
          <w:color w:val="000000"/>
          <w:sz w:val="28"/>
        </w:rPr>
        <w:t>
      11.4.1. Анализ эффективности. Необходимо сравнить все группы лечения по всем важным показателям эффективности (изученным первичным и вторичным конечным точкам, всем фармакодинамическим конечным точкам), а также по оценке отношения пользы к риску для каждого пациента, если таковая осуществлялась. В исследованиях, направленных на установление эффективности, необходимо представить результаты всех запланированных в протоколе анализов и анализа, включающего всех пациентов с исследуемыми данными. В анализе необходимо отразить величину (точечная оценка) различий между группами лечения, связанный с ней доверительный интервал и результаты тестирования гипотезы, если таковая выдвигалась.</w:t>
      </w:r>
    </w:p>
    <w:bookmarkEnd w:id="906"/>
    <w:bookmarkStart w:name="z778" w:id="907"/>
    <w:p>
      <w:pPr>
        <w:spacing w:after="0"/>
        <w:ind w:left="0"/>
        <w:jc w:val="both"/>
      </w:pPr>
      <w:r>
        <w:rPr>
          <w:rFonts w:ascii="Times New Roman"/>
          <w:b w:val="false"/>
          <w:i w:val="false"/>
          <w:color w:val="000000"/>
          <w:sz w:val="28"/>
        </w:rPr>
        <w:t>
      Анализы, основанные на непрерывных (например, среднее артериальное давление и балл по шкале депрессии) и категориальных переменных (например, купирование инфекции), могут быть одинаково приемлемы. Как правило, оба из них необходимо представить, если они планировались и по ним имеются доступные данные. Если категории были разработаны впервые (то есть не включены в статистический план), необходимо объяснить предпосылки их создания. Даже если основное внимание уделяется одной переменной (например, в исследовании по артериальному давлению таковой может быть величина артериального давления в положении "лежа на спине" на неделе "x"), необходимо по меньшей мере кратко оценить и другие важные параметры (например, артериальное давление в положении "стоя" и в других временных точках). К тому же по возможности необходимо описать динамику ответа на лечение во времени. Для многоцентровых исследований в целях представления ясной картины анализа по каждому центру, особенно крупному, в отношении важных переменных необходимо представить данные и результаты анализа по каждому центру (при необходимости).</w:t>
      </w:r>
    </w:p>
    <w:bookmarkEnd w:id="907"/>
    <w:bookmarkStart w:name="z779" w:id="908"/>
    <w:p>
      <w:pPr>
        <w:spacing w:after="0"/>
        <w:ind w:left="0"/>
        <w:jc w:val="both"/>
      </w:pPr>
      <w:r>
        <w:rPr>
          <w:rFonts w:ascii="Times New Roman"/>
          <w:b w:val="false"/>
          <w:i w:val="false"/>
          <w:color w:val="000000"/>
          <w:sz w:val="28"/>
        </w:rPr>
        <w:t>
      Если важные измерения или оценки исходов эффективности или безопасности осуществлялись более чем одной стороной (например, исследователь и комиссия экспертов могли сделать заключение о наличии или отсутствии у пациента острого инфаркта миокарда), необходимо отразить итоговые различия в оценках с указанием каждого пациента с несогласующимися заключениями. В каждом анализе необходимо четко описать способ оценки.</w:t>
      </w:r>
    </w:p>
    <w:bookmarkEnd w:id="908"/>
    <w:bookmarkStart w:name="z780" w:id="909"/>
    <w:p>
      <w:pPr>
        <w:spacing w:after="0"/>
        <w:ind w:left="0"/>
        <w:jc w:val="both"/>
      </w:pPr>
      <w:r>
        <w:rPr>
          <w:rFonts w:ascii="Times New Roman"/>
          <w:b w:val="false"/>
          <w:i w:val="false"/>
          <w:color w:val="000000"/>
          <w:sz w:val="28"/>
        </w:rPr>
        <w:t>
      При многих исследованиях трудно провести границу между показателями эффективности и безопасности (например, летальные исходы в исследовании смертельного заболевания). Большинство указанных далее принципов необходимо применять также при оценке важных показателей безопасности.</w:t>
      </w:r>
    </w:p>
    <w:bookmarkEnd w:id="909"/>
    <w:bookmarkStart w:name="z781" w:id="910"/>
    <w:p>
      <w:pPr>
        <w:spacing w:after="0"/>
        <w:ind w:left="0"/>
        <w:jc w:val="both"/>
      </w:pPr>
      <w:r>
        <w:rPr>
          <w:rFonts w:ascii="Times New Roman"/>
          <w:b w:val="false"/>
          <w:i w:val="false"/>
          <w:color w:val="000000"/>
          <w:sz w:val="28"/>
        </w:rPr>
        <w:t>
      11.4.2. Статистические (аналитические) результаты. Для экспертов по клинической и статистической частям исследования в отчете необходимо описать статистический анализ. В приложении 16.1.9 к отчету (согласно рубрикации разделов отчета, указанной в настоящей части документа) необходимо представить детализированную документацию по статистическим методам (в соответствии с приложением № 9 к Правилам). Необходимо описать важные элементы анализа, включая использованные методы, поправки на демографические и исходные характеристики или сопутствующую терапию, обращение с выбываниями и отсутствующими данными, поправки на множественные сравнения, особые анализы для многоцентровых исследований и поправки на промежуточный анализ. Необходимо представить сведения о всех изменениях в анализе, произведенных после снятия ослепления.</w:t>
      </w:r>
    </w:p>
    <w:bookmarkEnd w:id="910"/>
    <w:bookmarkStart w:name="z782" w:id="911"/>
    <w:p>
      <w:pPr>
        <w:spacing w:after="0"/>
        <w:ind w:left="0"/>
        <w:jc w:val="both"/>
      </w:pPr>
      <w:r>
        <w:rPr>
          <w:rFonts w:ascii="Times New Roman"/>
          <w:b w:val="false"/>
          <w:i w:val="false"/>
          <w:color w:val="000000"/>
          <w:sz w:val="28"/>
        </w:rPr>
        <w:t>
      В дополнение к общему описанию в данном разделе отчета необходимо рассмотреть следующие вопросы (если применимо):</w:t>
      </w:r>
    </w:p>
    <w:bookmarkEnd w:id="911"/>
    <w:bookmarkStart w:name="z783" w:id="912"/>
    <w:p>
      <w:pPr>
        <w:spacing w:after="0"/>
        <w:ind w:left="0"/>
        <w:jc w:val="both"/>
      </w:pPr>
      <w:r>
        <w:rPr>
          <w:rFonts w:ascii="Times New Roman"/>
          <w:b w:val="false"/>
          <w:i w:val="false"/>
          <w:color w:val="000000"/>
          <w:sz w:val="28"/>
        </w:rPr>
        <w:t>
      11.4.2.1. Поправки на ковариаты. В отчете необходимо представить объяснения выбора и поправок на демографические и исходные характеристики, сопутствующую терапию и любые другие ковариаты или прогностические факторы. Методы осуществления поправок, результаты анализов и вспомогательные сведения (например, ковариационный анализ, значения регрессии Кокса) необходимо включить в детализированную документацию по статистическим методам. Если ковариаты или методы, использованные в данных анализах, отличаются от запланированных в протоколе, необходимо объяснить имеющиеся различия и представить результаты запланированных анализов (при необходимости). Не являясь частью отдельного отчета об исследовании, сравнение поправок на ковариаты и прогностических факторов между отдельными исследованиями может быть важным в резюме данных клинической эффективности.</w:t>
      </w:r>
    </w:p>
    <w:bookmarkEnd w:id="912"/>
    <w:bookmarkStart w:name="z784" w:id="913"/>
    <w:p>
      <w:pPr>
        <w:spacing w:after="0"/>
        <w:ind w:left="0"/>
        <w:jc w:val="both"/>
      </w:pPr>
      <w:r>
        <w:rPr>
          <w:rFonts w:ascii="Times New Roman"/>
          <w:b w:val="false"/>
          <w:i w:val="false"/>
          <w:color w:val="000000"/>
          <w:sz w:val="28"/>
        </w:rPr>
        <w:t>
      11.4.2.2. Обращение с данными выбывших субъектов исследования или отсутствующими данными. Существует несколько факторов, которые могут повлиять на частоту выбываний. К ним относятся: длительность исследования, природа заболевания, эффективность и токсичность исследуемого лекарственного препарата и другие факторы, не относящиеся к терапии. Игнорирование пациентов, выбывших из исследования, и построение выводов исключительно опираясь на пациентов, завершивших исследование, может привести к неправильным выводам. Однако большой объем выбываний, даже включенных в анализ, может ввести в заблуждение, в частности если в одной из групп сравнения было много выбывших пациентов на ранних или причины выбывания обусловлены лечением или его исходами. Несмотря на то что влияние ранних выбываний и в отдельных случаях даже суть ошибки бывает трудно установить, возможное их влияние необходимо проанализировать как можно полнее. Рекомендуется изучить наблюдавшиеся случаи в различные временные точки или, если выбывания были достаточно частыми, выполнить анализы во временной точке, в которой большинство пациентов все еще находилось под наблюдением и когда проявился полный эффект лекарственного препарата. Для оценки такой неполной совокупности данных рекомендуется использовать моделирование.</w:t>
      </w:r>
    </w:p>
    <w:bookmarkEnd w:id="913"/>
    <w:bookmarkStart w:name="z785" w:id="914"/>
    <w:p>
      <w:pPr>
        <w:spacing w:after="0"/>
        <w:ind w:left="0"/>
        <w:jc w:val="both"/>
      </w:pPr>
      <w:r>
        <w:rPr>
          <w:rFonts w:ascii="Times New Roman"/>
          <w:b w:val="false"/>
          <w:i w:val="false"/>
          <w:color w:val="000000"/>
          <w:sz w:val="28"/>
        </w:rPr>
        <w:t>
      Необходимо оценить результаты клинического исследования не только для подгруппы пациентов, завершившей исследования, но и для всей рандомизированной популяции пациентов или, по меньшей мере, для той ее части, в отношении которой осуществлялись хоть какие-то измерения. При анализе влияния выбываний следует учитывать и сравнивать несколько факторов исследуемых групп: причины выбывания, время до выбывания, доля выбывших в исследуемых группах в различные промежутки времени.</w:t>
      </w:r>
    </w:p>
    <w:bookmarkEnd w:id="914"/>
    <w:bookmarkStart w:name="z786" w:id="915"/>
    <w:p>
      <w:pPr>
        <w:spacing w:after="0"/>
        <w:ind w:left="0"/>
        <w:jc w:val="both"/>
      </w:pPr>
      <w:r>
        <w:rPr>
          <w:rFonts w:ascii="Times New Roman"/>
          <w:b w:val="false"/>
          <w:i w:val="false"/>
          <w:color w:val="000000"/>
          <w:sz w:val="28"/>
        </w:rPr>
        <w:t>
      Необходимо описать процедуры обращения с отсутствующими данными, например, использование ожидаемых или производных данных. Необходимо представить подробное объяснение, как такие оценки или производные данные были получены и на каких допущениях они основаны.</w:t>
      </w:r>
    </w:p>
    <w:bookmarkEnd w:id="915"/>
    <w:bookmarkStart w:name="z787" w:id="916"/>
    <w:p>
      <w:pPr>
        <w:spacing w:after="0"/>
        <w:ind w:left="0"/>
        <w:jc w:val="both"/>
      </w:pPr>
      <w:r>
        <w:rPr>
          <w:rFonts w:ascii="Times New Roman"/>
          <w:b w:val="false"/>
          <w:i w:val="false"/>
          <w:color w:val="000000"/>
          <w:sz w:val="28"/>
        </w:rPr>
        <w:t>
      11.4.2.3. Промежуточный анализ и мониторинг данных. Процесс рассмотрения и анализа данных, полученных в рамках клинического исследования (формально или неформально) может привносить систематические ошибки и (или) увеличивать ошибку I рода. Поэтому необходимо полностью описать все промежуточные анализы, формальные или неформальные, запланированные или ситуативные, осуществлявшиеся любой стороной исследования, представителями спонсора или комиссией по мониторингу данных, даже если группы лечения не были идентифицированы. Следует учитывать необходимость введения статистических поправок вследствие таких анализов. Необходимо описать все инструкции или процедуры, использованные для проведения таких анализов. Протоколы заседаний любой комиссии по мониторингу данных или отчеты по рассмотренным на таких заседаниях данным, особенно если заседания привели к изменениям в протоколе или досрочному прекращению исследования, могут позволить объяснить это и должны быть представлены в приложении 16.1.9 к отчету (согласно рубрикации разделов отчета, указанной в настоящей части документа). Необходимо описать мониторинг данных, осуществляемый без вскрытия кодов, даже если считается, что такого рода мониторинг не увеличивает ошибку I рода.</w:t>
      </w:r>
    </w:p>
    <w:bookmarkEnd w:id="916"/>
    <w:bookmarkStart w:name="z788" w:id="917"/>
    <w:p>
      <w:pPr>
        <w:spacing w:after="0"/>
        <w:ind w:left="0"/>
        <w:jc w:val="both"/>
      </w:pPr>
      <w:r>
        <w:rPr>
          <w:rFonts w:ascii="Times New Roman"/>
          <w:b w:val="false"/>
          <w:i w:val="false"/>
          <w:color w:val="000000"/>
          <w:sz w:val="28"/>
        </w:rPr>
        <w:t>
      11.4.2.4. Многоцентровые исследования. Многоцентровое исследование - это исследование, проводимое по единому протоколу, включающее несколько исследовательских центров (например, клиник, поликлиник, больниц), в котором собранные данные анализируются как единое целое (в отличии от последующего решения о совмещении данных или результатов отдельных исследований). Необходимо представить результаты по каждому центру. По возможности, например, если в центрах удовлетворительное количество пациентов в целях повышения ценности такого анализа, необходимо установить наличие качественной или количественной зависимости между исследуемыми группами из разных центров. Необходимо описать и объяснить все резко отклоняющиеся или противоположные результаты между центрами, учитывая различия в проведении исследования, характеристиках пациентов или клинических базах. Сравнение групп должно включать в себя анализы, которые позволяют выявить различия между центрами в отношении ответа групп на лечение. По возможности необходимо представить демографические, исходные и итоговые (результат изменения исходных) данные, а также данные эффективности по каждому центру, даже если комбинированный анализ является первичным.</w:t>
      </w:r>
    </w:p>
    <w:bookmarkEnd w:id="917"/>
    <w:bookmarkStart w:name="z789" w:id="918"/>
    <w:p>
      <w:pPr>
        <w:spacing w:after="0"/>
        <w:ind w:left="0"/>
        <w:jc w:val="both"/>
      </w:pPr>
      <w:r>
        <w:rPr>
          <w:rFonts w:ascii="Times New Roman"/>
          <w:b w:val="false"/>
          <w:i w:val="false"/>
          <w:color w:val="000000"/>
          <w:sz w:val="28"/>
        </w:rPr>
        <w:t>
      11.4.2.5. Множественные сравнения (множественность). По мере увеличения количества проведенных тестов на значимость (количества сравнений) увеличивается число ложноположительных результатов. При наличии более 1 первичной конечной точки (переменная исхода) более 1 анализа конкретной конечной точки или множества исследуемых групп или подгрупп обследованных пациентов, в статистическом анализе необходимо отразить эту множественность, представить статистическую поправку для предотвращения увеличения ошибки I рода или привести объяснения, почему такая поправка не была предусмотрена.</w:t>
      </w:r>
    </w:p>
    <w:bookmarkEnd w:id="918"/>
    <w:bookmarkStart w:name="z790" w:id="919"/>
    <w:p>
      <w:pPr>
        <w:spacing w:after="0"/>
        <w:ind w:left="0"/>
        <w:jc w:val="both"/>
      </w:pPr>
      <w:r>
        <w:rPr>
          <w:rFonts w:ascii="Times New Roman"/>
          <w:b w:val="false"/>
          <w:i w:val="false"/>
          <w:color w:val="000000"/>
          <w:sz w:val="28"/>
        </w:rPr>
        <w:t>
      11.4.2.6. Использование подгруппы пациентов, у которых показана эффективность. Необходимо особо проанализировать влияние выбывших из анализа пациентов с имеющимися данными вследствие низкой приверженности, пропуска визитов, несоответствия требованиям исследования или других причин. Как указано выше, используя все имеющиеся данные, необходимо провести анализ всех исследований, целью которых являлось установление эффективности, даже если такой анализ не предусмотрен заявителем в качестве первичного. Рекомендуется подтвердить надежность основных выводов исследования на примере альтернативной анализируемой популяции пациентов. Любые значительные расхождения, возникающие вследствие изменения популяции пациентов для анализа, должны быть подробно объяснены.</w:t>
      </w:r>
    </w:p>
    <w:bookmarkEnd w:id="919"/>
    <w:bookmarkStart w:name="z791" w:id="920"/>
    <w:p>
      <w:pPr>
        <w:spacing w:after="0"/>
        <w:ind w:left="0"/>
        <w:jc w:val="both"/>
      </w:pPr>
      <w:r>
        <w:rPr>
          <w:rFonts w:ascii="Times New Roman"/>
          <w:b w:val="false"/>
          <w:i w:val="false"/>
          <w:color w:val="000000"/>
          <w:sz w:val="28"/>
        </w:rPr>
        <w:t>
      11.4.2.7. Исследования эквивалентности с активным контролем. Если исследование с активным контролем направлено на подтверждение эквивалентности (то есть отсутствие заранее установленной величины различий) между исследуемым препаратом и активным контролем (препаратом сравнения), в анализе необходимо отразить доверительный интервал для этого сравнения между двумя лекарственными препаратами по важнейшим конечным точкам и отношение этого интервала к заранее оговоренной степени меньшей эффективности (безопасности), которая считается неприемлемой (требования к описанию основных условий использования активного контроля в исследованиях эквивалентности указаны в разделе 9.2 настоящего документа).</w:t>
      </w:r>
    </w:p>
    <w:bookmarkEnd w:id="920"/>
    <w:bookmarkStart w:name="z792" w:id="921"/>
    <w:p>
      <w:pPr>
        <w:spacing w:after="0"/>
        <w:ind w:left="0"/>
        <w:jc w:val="both"/>
      </w:pPr>
      <w:r>
        <w:rPr>
          <w:rFonts w:ascii="Times New Roman"/>
          <w:b w:val="false"/>
          <w:i w:val="false"/>
          <w:color w:val="000000"/>
          <w:sz w:val="28"/>
        </w:rPr>
        <w:t>
      11.4.2.8. Изучение подгрупп. Если позволяет размер выборки, включенной в исследование, необходимо проанализировать подгруппы, сформированные по важным демографическим и исходным характеристикам, на наличие неожиданно высоких или низких ответов и представить в отчете соответствующие результаты анализа, например, сравнение влияния возраста, пола, расы, степени тяжести заболевания, прогностических факторов, анамнеза предыдущего лечения лекарственными препаратами того же класса и др. Если выдвигалась гипотеза о наличии различий между некоторыми подгруппами, гипотеза и ее проверка должны быть частью статистического анализа.</w:t>
      </w:r>
    </w:p>
    <w:bookmarkEnd w:id="921"/>
    <w:bookmarkStart w:name="z793" w:id="922"/>
    <w:p>
      <w:pPr>
        <w:spacing w:after="0"/>
        <w:ind w:left="0"/>
        <w:jc w:val="both"/>
      </w:pPr>
      <w:r>
        <w:rPr>
          <w:rFonts w:ascii="Times New Roman"/>
          <w:b w:val="false"/>
          <w:i w:val="false"/>
          <w:color w:val="000000"/>
          <w:sz w:val="28"/>
        </w:rPr>
        <w:t>
      11.4.3. Сводные таблицы данных индивидуальных эффектов.</w:t>
      </w:r>
    </w:p>
    <w:bookmarkEnd w:id="922"/>
    <w:bookmarkStart w:name="z794" w:id="923"/>
    <w:p>
      <w:pPr>
        <w:spacing w:after="0"/>
        <w:ind w:left="0"/>
        <w:jc w:val="both"/>
      </w:pPr>
      <w:r>
        <w:rPr>
          <w:rFonts w:ascii="Times New Roman"/>
          <w:b w:val="false"/>
          <w:i w:val="false"/>
          <w:color w:val="000000"/>
          <w:sz w:val="28"/>
        </w:rPr>
        <w:t>
      В дополнение к таблицам и графикам данных по группам в таблицах необходимо представить сведения об индивидуальных ответах и прочие имеющие значимость для исследования сведения. Уполномоченные органы вправе требовать данные по всем пациентам в виде архивных таблиц по каждому пациенту. Требования к содержанию отчета могут варьироваться от исследования к исследованию и от одного класса лекарственных препаратов к другому, поэтому заявитель должен определить, по возможности после консультации с уполномоченным органом, какую именно информацию включить в приложение отчета об исследовании. В отчете об исследовании необходимо отразить, какие данные включены в качестве приложения, и какие данные представлены в более подробных архивных таблицах по отдельным пациентам, если это требуется уполномоченным органом, и какие данные доступны по запросу.</w:t>
      </w:r>
    </w:p>
    <w:bookmarkEnd w:id="923"/>
    <w:bookmarkStart w:name="z795" w:id="924"/>
    <w:p>
      <w:pPr>
        <w:spacing w:after="0"/>
        <w:ind w:left="0"/>
        <w:jc w:val="both"/>
      </w:pPr>
      <w:r>
        <w:rPr>
          <w:rFonts w:ascii="Times New Roman"/>
          <w:b w:val="false"/>
          <w:i w:val="false"/>
          <w:color w:val="000000"/>
          <w:sz w:val="28"/>
        </w:rPr>
        <w:t>
      В контролируемых исследованиях, в которых важнейшие измерения и оценки эффективности (например, посевы крови и мочи, функциональные исследования легких, частота приступов стенокардии или общие оценки) периодически повторяются, перечни данных для каждого пациента, прилагаемых к отчету, должны включать в себя: идентификатор пациента, все измеренные и наблюдавшиеся значения важнейших показателей, включая исходные, с указанием времени проведения измерений (например, день терапии и время суток, если это имеет важное значение), лекарственный препарат (дозу) (при необходимости в мг/кг), все определения приверженности и всю сопутствующую терапию на момент определения (оценки) или близкий к нему промежуток времени. Если кроме повторных оценок в исследовании проводились также сравнения ответивших и не ответивших на лечение пациентов (бактериологическое излечение или неудача), их необходимо описать. В дополнение к описанию важнейших измерений в таблицах необходимо указать сведения о том, был ли пациент включен в анализ эффективности (и в который из них, если их было несколько), сведения о приверженности пациента к лечению (при наличии), ссылку на соответствующие ИРК, если они включены в отчет. Также целесообразно указать важные исходные сведения, такие как пол, возраст, масса тела, исследуемое заболевание (если в исследование включены пациенты с различными заболеваниями), его стадия и тяжесть. При оценке эффективности исходные значения важнейших измерений обычно указываются в качестве нулевых.</w:t>
      </w:r>
    </w:p>
    <w:bookmarkEnd w:id="924"/>
    <w:bookmarkStart w:name="z796" w:id="925"/>
    <w:p>
      <w:pPr>
        <w:spacing w:after="0"/>
        <w:ind w:left="0"/>
        <w:jc w:val="both"/>
      </w:pPr>
      <w:r>
        <w:rPr>
          <w:rFonts w:ascii="Times New Roman"/>
          <w:b w:val="false"/>
          <w:i w:val="false"/>
          <w:color w:val="000000"/>
          <w:sz w:val="28"/>
        </w:rPr>
        <w:t>
      Описанные табличные данные необходимо представить в приложении 16.2.6 отчета (согласно рубрикации разделов отчета, указанной в настоящей части документа), вместо того, чтобы включать в него более объемные таблицы по индивидуальным регистрационным картам, требуемым некоторыми уполномоченными органами, поскольку они представляют собой базовые данные по эффективности, на основании которых строятся обобщенные таблицы. Однако такого рода громоздкие таблицы могут быть неудобны для анализа при проведении экспертизы, и предпочтительнее, чтобы в отчете были представлены имеющие практический интерес. Например, если в отчете сообщается о проведении множества измерений, таблицы отдельных пациентов с важнейшими измерениями будут полезны для контроля индивидуальных результатов исследования, в которых ответ каждого пациента обобщен в одной строке таблицы или небольшом количестве строк таблицы.</w:t>
      </w:r>
    </w:p>
    <w:bookmarkEnd w:id="925"/>
    <w:bookmarkStart w:name="z797" w:id="926"/>
    <w:p>
      <w:pPr>
        <w:spacing w:after="0"/>
        <w:ind w:left="0"/>
        <w:jc w:val="both"/>
      </w:pPr>
      <w:r>
        <w:rPr>
          <w:rFonts w:ascii="Times New Roman"/>
          <w:b w:val="false"/>
          <w:i w:val="false"/>
          <w:color w:val="000000"/>
          <w:sz w:val="28"/>
        </w:rPr>
        <w:t>
      11.4.4. Зависимость между дозой препарата, его концентрацией и эффектом. Если доза у каждого пациента может варьироваться, необходимо описать фактически полученные пациентом дозы и отразить в табличных данных все величины доз, назначенные в рамках исследования. Несмотря на то что в исследованиях, не направленных на изучение зависимости доза-эффект, возможность выявить зависимость между дозой и эффектом ограничена, необходимо проанализировать доступные данные на предмет наличия такой зависимости. При изучении зависимости доза-эффект рекомендуется вычислить дозу в мг/кг массы тела или мг/м2 площади поверхности тела.</w:t>
      </w:r>
    </w:p>
    <w:bookmarkEnd w:id="926"/>
    <w:bookmarkStart w:name="z798" w:id="927"/>
    <w:p>
      <w:pPr>
        <w:spacing w:after="0"/>
        <w:ind w:left="0"/>
        <w:jc w:val="both"/>
      </w:pPr>
      <w:r>
        <w:rPr>
          <w:rFonts w:ascii="Times New Roman"/>
          <w:b w:val="false"/>
          <w:i w:val="false"/>
          <w:color w:val="000000"/>
          <w:sz w:val="28"/>
        </w:rPr>
        <w:t>
      Сведения о концентрации лекарственного препарата (при наличии) необходимо отразить в табличных данных приложения 16.2.5 к отчету (согласно рубрикации разделов отчета, указанной в настоящей части документа), включая указание фармакокинетических параметров и, по возможности, во взаимосвязи с клиническим ответом.</w:t>
      </w:r>
    </w:p>
    <w:bookmarkEnd w:id="927"/>
    <w:bookmarkStart w:name="z799" w:id="928"/>
    <w:p>
      <w:pPr>
        <w:spacing w:after="0"/>
        <w:ind w:left="0"/>
        <w:jc w:val="both"/>
      </w:pPr>
      <w:r>
        <w:rPr>
          <w:rFonts w:ascii="Times New Roman"/>
          <w:b w:val="false"/>
          <w:i w:val="false"/>
          <w:color w:val="000000"/>
          <w:sz w:val="28"/>
        </w:rPr>
        <w:t>
      Более подробные принципы дизайна и анализа исследований, направленных на выявление зависимости доза-эффект или концентрации-эффект представлены в методических рекомендациях по проведению клинических исследований с целью подбора дозы лекарственных препаратов.</w:t>
      </w:r>
    </w:p>
    <w:bookmarkEnd w:id="928"/>
    <w:bookmarkStart w:name="z800" w:id="929"/>
    <w:p>
      <w:pPr>
        <w:spacing w:after="0"/>
        <w:ind w:left="0"/>
        <w:jc w:val="both"/>
      </w:pPr>
      <w:r>
        <w:rPr>
          <w:rFonts w:ascii="Times New Roman"/>
          <w:b w:val="false"/>
          <w:i w:val="false"/>
          <w:color w:val="000000"/>
          <w:sz w:val="28"/>
        </w:rPr>
        <w:t>
      11.4.5. Лекарственные взаимодействия и влияние сопутствующих заболеваний. Необходимо указать на наличие всякой предполагаемой зависимости между ответом и сопутствующей терапией или предыдущими или текущими сопутствующими заболеваниями.</w:t>
      </w:r>
    </w:p>
    <w:bookmarkEnd w:id="929"/>
    <w:bookmarkStart w:name="z801" w:id="930"/>
    <w:p>
      <w:pPr>
        <w:spacing w:after="0"/>
        <w:ind w:left="0"/>
        <w:jc w:val="both"/>
      </w:pPr>
      <w:r>
        <w:rPr>
          <w:rFonts w:ascii="Times New Roman"/>
          <w:b w:val="false"/>
          <w:i w:val="false"/>
          <w:color w:val="000000"/>
          <w:sz w:val="28"/>
        </w:rPr>
        <w:t>
      11.4.6. Представление данных по каждому пациенту. Несмотря на то что данные по каждому пациенту обычно отражаются в таблицах, в некоторых случаях рекомендуется составлять профили показателей по отдельным пациентам в других форматах, например, в виде графиков. Это помогает проанализировать значение конкретных параметров во времени, дозу лекарственного препарата за этот же период и время наступления определенных явлений (например, нежелательных явлений или смены сопутствующей терапии). Если в основном анализе использованы усредненные групповые данные, такого рода "извлечение индивидуальных данных" имеет небольшое значение. Однако если индивидуальные ответы являются важной частью анализа, такие данные могут быть полезны.</w:t>
      </w:r>
    </w:p>
    <w:bookmarkEnd w:id="930"/>
    <w:bookmarkStart w:name="z802" w:id="931"/>
    <w:p>
      <w:pPr>
        <w:spacing w:after="0"/>
        <w:ind w:left="0"/>
        <w:jc w:val="both"/>
      </w:pPr>
      <w:r>
        <w:rPr>
          <w:rFonts w:ascii="Times New Roman"/>
          <w:b w:val="false"/>
          <w:i w:val="false"/>
          <w:color w:val="000000"/>
          <w:sz w:val="28"/>
        </w:rPr>
        <w:t>
      11.4.7. Заключение об эффективности.</w:t>
      </w:r>
    </w:p>
    <w:bookmarkEnd w:id="931"/>
    <w:bookmarkStart w:name="z803" w:id="932"/>
    <w:p>
      <w:pPr>
        <w:spacing w:after="0"/>
        <w:ind w:left="0"/>
        <w:jc w:val="both"/>
      </w:pPr>
      <w:r>
        <w:rPr>
          <w:rFonts w:ascii="Times New Roman"/>
          <w:b w:val="false"/>
          <w:i w:val="false"/>
          <w:color w:val="000000"/>
          <w:sz w:val="28"/>
        </w:rPr>
        <w:t>
      Необходимо как можно полнее представить в отчете важные выводы об эффективности лекарственного препарата, включая описание первичных и вторичных конечных точек, с использованием запланированных и альтернативных статистических подходов и результатов поискового анализа.</w:t>
      </w:r>
    </w:p>
    <w:bookmarkEnd w:id="932"/>
    <w:bookmarkStart w:name="z804" w:id="933"/>
    <w:p>
      <w:pPr>
        <w:spacing w:after="0"/>
        <w:ind w:left="0"/>
        <w:jc w:val="left"/>
      </w:pPr>
      <w:r>
        <w:rPr>
          <w:rFonts w:ascii="Times New Roman"/>
          <w:b/>
          <w:i w:val="false"/>
          <w:color w:val="000000"/>
        </w:rPr>
        <w:t xml:space="preserve"> 12. Оценка безопасности</w:t>
      </w:r>
    </w:p>
    <w:bookmarkEnd w:id="933"/>
    <w:bookmarkStart w:name="z805" w:id="934"/>
    <w:p>
      <w:pPr>
        <w:spacing w:after="0"/>
        <w:ind w:left="0"/>
        <w:jc w:val="both"/>
      </w:pPr>
      <w:r>
        <w:rPr>
          <w:rFonts w:ascii="Times New Roman"/>
          <w:b w:val="false"/>
          <w:i w:val="false"/>
          <w:color w:val="000000"/>
          <w:sz w:val="28"/>
        </w:rPr>
        <w:t>
      Анализ данных безопасности следует провести в три этапа. На первом этапе в целях определения степени безопасности, которую можно оценить в рамках исследования, необходимо изучить величину экспозиции (доза, длительность, количество пациентов). На втором этапе необходимо указать нежелательные явления, изменения лабораторных и других показателей, сгруппированные по какому-либо определенному признаку, между сравниваемыми группами и проанализированные при необходимости с учетом факторов, которые могут повлиять на частоту нежелательных реакций (явлений) (таких как временна?я зависимость, зависимость от демографических характеристик, доза или концентрация лекарственного препарата и др.). Необходимо указать серьезные нежелательные явления и другие значимые нежелательные явления (обычно с тщательным обследованием пациентов) которые досрочно прекратили участие в исследовании вследствие нежелательных явлений независимо от того, были ли они обусловлены приемом лекарственного препарата или нет, или скончались.</w:t>
      </w:r>
    </w:p>
    <w:bookmarkEnd w:id="934"/>
    <w:bookmarkStart w:name="z806" w:id="935"/>
    <w:p>
      <w:pPr>
        <w:spacing w:after="0"/>
        <w:ind w:left="0"/>
        <w:jc w:val="both"/>
      </w:pPr>
      <w:r>
        <w:rPr>
          <w:rFonts w:ascii="Times New Roman"/>
          <w:b w:val="false"/>
          <w:i w:val="false"/>
          <w:color w:val="000000"/>
          <w:sz w:val="28"/>
        </w:rPr>
        <w:t>
      При этом термин "серьезные нежелательные явления" рассматривается в значении, установленном правилами, а термин "прочие значимые нежелательные явления" обозначает выраженные гематологические и другие лабораторные нарушения и всякие нежелательные явления, которые приводят к вмешательству, включая отмену лекарственной терапии, снижение дозы или назначение дополнительной терапии.</w:t>
      </w:r>
    </w:p>
    <w:bookmarkEnd w:id="935"/>
    <w:bookmarkStart w:name="z807" w:id="936"/>
    <w:p>
      <w:pPr>
        <w:spacing w:after="0"/>
        <w:ind w:left="0"/>
        <w:jc w:val="both"/>
      </w:pPr>
      <w:r>
        <w:rPr>
          <w:rFonts w:ascii="Times New Roman"/>
          <w:b w:val="false"/>
          <w:i w:val="false"/>
          <w:color w:val="000000"/>
          <w:sz w:val="28"/>
        </w:rPr>
        <w:t>
      В последующих разделах необходимо проанализировать и представить следующие сведения:</w:t>
      </w:r>
    </w:p>
    <w:bookmarkEnd w:id="936"/>
    <w:bookmarkStart w:name="z808" w:id="937"/>
    <w:p>
      <w:pPr>
        <w:spacing w:after="0"/>
        <w:ind w:left="0"/>
        <w:jc w:val="both"/>
      </w:pPr>
      <w:r>
        <w:rPr>
          <w:rFonts w:ascii="Times New Roman"/>
          <w:b w:val="false"/>
          <w:i w:val="false"/>
          <w:color w:val="000000"/>
          <w:sz w:val="28"/>
        </w:rPr>
        <w:t>
      обобщенные данные с использованием таблиц и графиков, представляемых в основной части отчета;</w:t>
      </w:r>
    </w:p>
    <w:bookmarkEnd w:id="937"/>
    <w:bookmarkStart w:name="z809" w:id="938"/>
    <w:p>
      <w:pPr>
        <w:spacing w:after="0"/>
        <w:ind w:left="0"/>
        <w:jc w:val="both"/>
      </w:pPr>
      <w:r>
        <w:rPr>
          <w:rFonts w:ascii="Times New Roman"/>
          <w:b w:val="false"/>
          <w:i w:val="false"/>
          <w:color w:val="000000"/>
          <w:sz w:val="28"/>
        </w:rPr>
        <w:t>
      перечни данных по отдельным пациентам;</w:t>
      </w:r>
    </w:p>
    <w:bookmarkEnd w:id="938"/>
    <w:bookmarkStart w:name="z810" w:id="939"/>
    <w:p>
      <w:pPr>
        <w:spacing w:after="0"/>
        <w:ind w:left="0"/>
        <w:jc w:val="both"/>
      </w:pPr>
      <w:r>
        <w:rPr>
          <w:rFonts w:ascii="Times New Roman"/>
          <w:b w:val="false"/>
          <w:i w:val="false"/>
          <w:color w:val="000000"/>
          <w:sz w:val="28"/>
        </w:rPr>
        <w:t>
      комментарии к явлениям, представляющим особый интерес для данного исследования.</w:t>
      </w:r>
    </w:p>
    <w:bookmarkEnd w:id="939"/>
    <w:bookmarkStart w:name="z811" w:id="940"/>
    <w:p>
      <w:pPr>
        <w:spacing w:after="0"/>
        <w:ind w:left="0"/>
        <w:jc w:val="both"/>
      </w:pPr>
      <w:r>
        <w:rPr>
          <w:rFonts w:ascii="Times New Roman"/>
          <w:b w:val="false"/>
          <w:i w:val="false"/>
          <w:color w:val="000000"/>
          <w:sz w:val="28"/>
        </w:rPr>
        <w:t>
      Во всех таблицах и анализах необходимо представить сведения о явлениях, обусловленных исследуемым лекарственным препаратом или контролем.</w:t>
      </w:r>
    </w:p>
    <w:bookmarkEnd w:id="940"/>
    <w:bookmarkStart w:name="z812" w:id="941"/>
    <w:p>
      <w:pPr>
        <w:spacing w:after="0"/>
        <w:ind w:left="0"/>
        <w:jc w:val="both"/>
      </w:pPr>
      <w:r>
        <w:rPr>
          <w:rFonts w:ascii="Times New Roman"/>
          <w:b w:val="false"/>
          <w:i w:val="false"/>
          <w:color w:val="000000"/>
          <w:sz w:val="28"/>
        </w:rPr>
        <w:t>
      12.1. Величина экспозиции.</w:t>
      </w:r>
    </w:p>
    <w:bookmarkEnd w:id="941"/>
    <w:bookmarkStart w:name="z813" w:id="942"/>
    <w:p>
      <w:pPr>
        <w:spacing w:after="0"/>
        <w:ind w:left="0"/>
        <w:jc w:val="both"/>
      </w:pPr>
      <w:r>
        <w:rPr>
          <w:rFonts w:ascii="Times New Roman"/>
          <w:b w:val="false"/>
          <w:i w:val="false"/>
          <w:color w:val="000000"/>
          <w:sz w:val="28"/>
        </w:rPr>
        <w:t>
      Необходимо охарактеризовать величину экспозиции исследуемого лекарственного препарата, а также активного контроля и плацебо с указанием количества пациентов, подвергшихся экспозиции, ее длительности и воздействующей дозы.</w:t>
      </w:r>
    </w:p>
    <w:bookmarkEnd w:id="942"/>
    <w:bookmarkStart w:name="z814" w:id="943"/>
    <w:p>
      <w:pPr>
        <w:spacing w:after="0"/>
        <w:ind w:left="0"/>
        <w:jc w:val="both"/>
      </w:pPr>
      <w:r>
        <w:rPr>
          <w:rFonts w:ascii="Times New Roman"/>
          <w:b w:val="false"/>
          <w:i w:val="false"/>
          <w:color w:val="000000"/>
          <w:sz w:val="28"/>
        </w:rPr>
        <w:t>
      12.1.1. Длительность. Длительность экспозиции какой-либо дозы может быть выражена медианой или средним значением, также рекомендуется указать количество пациентов, подвергшихся воздействию за определенный промежуток времени, например, 1 день и менее, от 2 дней до 1 недели, от 1 недели до 1 месяца, от 1 до 6 месяцев и др. Количество пациентов, подвергшихся экспозиции исследуемого лекарственного препарата, необходимо распределить по возрасту, полу, расовой принадлежности и другим имеющим значение параметрам, таким как заболевание (если в исследование включены пациенты с различными заболеваниями), его тяжесть, сопутствующая патология.</w:t>
      </w:r>
    </w:p>
    <w:bookmarkEnd w:id="943"/>
    <w:bookmarkStart w:name="z815" w:id="944"/>
    <w:p>
      <w:pPr>
        <w:spacing w:after="0"/>
        <w:ind w:left="0"/>
        <w:jc w:val="both"/>
      </w:pPr>
      <w:r>
        <w:rPr>
          <w:rFonts w:ascii="Times New Roman"/>
          <w:b w:val="false"/>
          <w:i w:val="false"/>
          <w:color w:val="000000"/>
          <w:sz w:val="28"/>
        </w:rPr>
        <w:t>
      12.1.2. Доза. Необходимо представить среднее значение или медиану использованной в исследовании дозы и количество пациентов, которым она была назначена, дозу, экспозиции которой пациенты подвергались наиболее длительно, или среднюю суточную дозу. Рекомендуется представлять комбинированную информацию доза-длительность, например, количество пациентов, наиболее часто подвергавшихся экспозиции используемой дозой в течение заданного периода времени, максимальной дозе, максимально рекомендуемой дозе и др. В некоторых случаях важна кумулятивная доза. Величину дозы в зависимости от обстоятельств можно выразить в виде фактической суточной дозы, в мг/кг или в мг/м2. Всех пациентов, подвергшихся экспозиции различными дозами, необходимо сгруппировать по возрасту, полу, расовой принадлежности и другим имеющим значение параметрам.</w:t>
      </w:r>
    </w:p>
    <w:bookmarkEnd w:id="944"/>
    <w:bookmarkStart w:name="z816" w:id="945"/>
    <w:p>
      <w:pPr>
        <w:spacing w:after="0"/>
        <w:ind w:left="0"/>
        <w:jc w:val="both"/>
      </w:pPr>
      <w:r>
        <w:rPr>
          <w:rFonts w:ascii="Times New Roman"/>
          <w:b w:val="false"/>
          <w:i w:val="false"/>
          <w:color w:val="000000"/>
          <w:sz w:val="28"/>
        </w:rPr>
        <w:t>
      12.1.3. Концентрация лекарственного препарата. При наличии данных о концентрации лекарственного препарата (например, концентрации во время определенного явления, максимальной плазменной концентрации, площади под кривой "концентрация-время") последняя может оказаться полезной для выявления связи между нежелательным явлением или изменением лабораторных показателей и применением исследуемого лекарственного препарата у отдельных пациентов. Данная информация представляется в приложении 16.2.5 к отчету (согласно рубрикации разделов отчета, указанной в настоящей части документа).</w:t>
      </w:r>
    </w:p>
    <w:bookmarkEnd w:id="945"/>
    <w:bookmarkStart w:name="z817" w:id="946"/>
    <w:p>
      <w:pPr>
        <w:spacing w:after="0"/>
        <w:ind w:left="0"/>
        <w:jc w:val="both"/>
      </w:pPr>
      <w:r>
        <w:rPr>
          <w:rFonts w:ascii="Times New Roman"/>
          <w:b w:val="false"/>
          <w:i w:val="false"/>
          <w:color w:val="000000"/>
          <w:sz w:val="28"/>
        </w:rPr>
        <w:t>
      Предполагается, что все пациенты, включенные в исследование и получившие хотя бы 1 дозу исследуемого препарата, будут включены в анализ безопасности. Если указанное условие не выполняется, необходимо представить соответствующие объяснения.</w:t>
      </w:r>
    </w:p>
    <w:bookmarkEnd w:id="946"/>
    <w:bookmarkStart w:name="z818" w:id="947"/>
    <w:p>
      <w:pPr>
        <w:spacing w:after="0"/>
        <w:ind w:left="0"/>
        <w:jc w:val="both"/>
      </w:pPr>
      <w:r>
        <w:rPr>
          <w:rFonts w:ascii="Times New Roman"/>
          <w:b w:val="false"/>
          <w:i w:val="false"/>
          <w:color w:val="000000"/>
          <w:sz w:val="28"/>
        </w:rPr>
        <w:t>
      12.2. Нежелательные явления.</w:t>
      </w:r>
    </w:p>
    <w:bookmarkEnd w:id="947"/>
    <w:bookmarkStart w:name="z819" w:id="948"/>
    <w:p>
      <w:pPr>
        <w:spacing w:after="0"/>
        <w:ind w:left="0"/>
        <w:jc w:val="both"/>
      </w:pPr>
      <w:r>
        <w:rPr>
          <w:rFonts w:ascii="Times New Roman"/>
          <w:b w:val="false"/>
          <w:i w:val="false"/>
          <w:color w:val="000000"/>
          <w:sz w:val="28"/>
        </w:rPr>
        <w:t>
      12.2.1. Краткое резюме по нежелательным явлениям. Необходимо представить краткое резюме всех нежелательных явлений, зарегистрированных в ходе исследования (с представлением в других разделах детализированных таблиц и анализов). В такие таблицы и анализы необходимо включить явления, обусловленные как исследуемым лекарственным препаратом, так и контролем.</w:t>
      </w:r>
    </w:p>
    <w:bookmarkEnd w:id="948"/>
    <w:bookmarkStart w:name="z820" w:id="949"/>
    <w:p>
      <w:pPr>
        <w:spacing w:after="0"/>
        <w:ind w:left="0"/>
        <w:jc w:val="both"/>
      </w:pPr>
      <w:r>
        <w:rPr>
          <w:rFonts w:ascii="Times New Roman"/>
          <w:b w:val="false"/>
          <w:i w:val="false"/>
          <w:color w:val="000000"/>
          <w:sz w:val="28"/>
        </w:rPr>
        <w:t>
      12.2.2. Представление данных о нежелательных явлениях. В сводных таблицах, приведенных в разделе 14.3.1 отчета (согласно рубрикации разделов отчета, указанной в настоящей части документа) необходимо отразить все нежелательные явления, возникшие после начала применения исследуемых лекарственных препаратов (включая явления вероятно обусловленные самим заболеванием или сопутствующей патологией, если только с уполномоченным органом заранее не было достигнуто соглашение об отнесении оговоренных явлений к обусловленным заболеванием). Таблицы должны включать в себя сведения об изменении витальных параметров и любые изменения лабораторных показателей, которые рассматриваются как серьезные нежелательные явления или прочие значимые нежелательные явления.</w:t>
      </w:r>
    </w:p>
    <w:bookmarkEnd w:id="949"/>
    <w:bookmarkStart w:name="z821" w:id="950"/>
    <w:p>
      <w:pPr>
        <w:spacing w:after="0"/>
        <w:ind w:left="0"/>
        <w:jc w:val="both"/>
      </w:pPr>
      <w:r>
        <w:rPr>
          <w:rFonts w:ascii="Times New Roman"/>
          <w:b w:val="false"/>
          <w:i w:val="false"/>
          <w:color w:val="000000"/>
          <w:sz w:val="28"/>
        </w:rPr>
        <w:t>
      В большинстве случаев в таких таблицах следует отразить признаки и симптомы, возникшие в ходе лечения (признаки и симптомы, которые не были зарегистрированы до начала исследования или усугубились в течение исследования, если они имели место до его начала).</w:t>
      </w:r>
    </w:p>
    <w:bookmarkEnd w:id="950"/>
    <w:bookmarkStart w:name="z822" w:id="951"/>
    <w:p>
      <w:pPr>
        <w:spacing w:after="0"/>
        <w:ind w:left="0"/>
        <w:jc w:val="both"/>
      </w:pPr>
      <w:r>
        <w:rPr>
          <w:rFonts w:ascii="Times New Roman"/>
          <w:b w:val="false"/>
          <w:i w:val="false"/>
          <w:color w:val="000000"/>
          <w:sz w:val="28"/>
        </w:rPr>
        <w:t>
      В таблице следует перечислить все нежелательные явления, количество пациентов в каждой группе лечения, в которой возникли нежелательные явления, и частоту их возникновения. Если лечение носит циклический характер, например, противоопухолевая химиотерапия, такие результаты следует представлять для каждого цикла отдельно. Нежелательные явления необходимо сгруппировать по системам органов. Затем, если использовалась система градации степени тяжести (например, легкая, средней степени, тяжелая), каждое явление допускается охарактеризовать с этой точки зрения. В таблицах также допускается распределить нежелательные явления по степени причинно-следственной связи, например, возможно обусловлены и не обусловлены, или использовать другую шкалу, например, не связаны или возможно, вероятно, определенно связаны. Даже при использовании оценки причинно-следственной связи в таблицы следует включить все нежелательные явления вне зависимости от степени взаимосвязи с принимаемым лекарственным препаратом, включая явления, которые считаются проявлением интеркуррентных заболеваний. Последующие анализы исследования или сводной базы данных безопасности могут помочь выявить нежелательные явления, которые обусловлены или не обусловлены исследуемым лекарственным препаратом. Поэтому для анализа и оценки данных, приведенных в таких таблицах необходимо идентифицировать каждого пациента, у которого возникло рассматриваемое нежелательное явление. Ниже представлен пример такой таблицы.</w:t>
      </w:r>
    </w:p>
    <w:bookmarkEnd w:id="951"/>
    <w:bookmarkStart w:name="z823" w:id="952"/>
    <w:p>
      <w:pPr>
        <w:spacing w:after="0"/>
        <w:ind w:left="0"/>
        <w:jc w:val="both"/>
      </w:pPr>
      <w:r>
        <w:rPr>
          <w:rFonts w:ascii="Times New Roman"/>
          <w:b w:val="false"/>
          <w:i w:val="false"/>
          <w:color w:val="000000"/>
          <w:sz w:val="28"/>
        </w:rPr>
        <w:t>
      Пример таблицы</w:t>
      </w:r>
    </w:p>
    <w:bookmarkEnd w:id="952"/>
    <w:p>
      <w:pPr>
        <w:spacing w:after="0"/>
        <w:ind w:left="0"/>
        <w:jc w:val="both"/>
      </w:pPr>
      <w:r>
        <w:rPr>
          <w:rFonts w:ascii="Times New Roman"/>
          <w:b w:val="false"/>
          <w:i w:val="false"/>
          <w:color w:val="000000"/>
          <w:sz w:val="28"/>
        </w:rPr>
        <w:t>
      Нежелательные явления: количество наблюдений</w:t>
      </w:r>
    </w:p>
    <w:p>
      <w:pPr>
        <w:spacing w:after="0"/>
        <w:ind w:left="0"/>
        <w:jc w:val="both"/>
      </w:pPr>
      <w:r>
        <w:rPr>
          <w:rFonts w:ascii="Times New Roman"/>
          <w:b w:val="false"/>
          <w:i w:val="false"/>
          <w:color w:val="000000"/>
          <w:sz w:val="28"/>
        </w:rPr>
        <w:t>
      и частота, с идентификацией пациента</w:t>
      </w:r>
    </w:p>
    <w:bookmarkStart w:name="z826" w:id="953"/>
    <w:p>
      <w:pPr>
        <w:spacing w:after="0"/>
        <w:ind w:left="0"/>
        <w:jc w:val="both"/>
      </w:pPr>
      <w:r>
        <w:rPr>
          <w:rFonts w:ascii="Times New Roman"/>
          <w:b w:val="false"/>
          <w:i w:val="false"/>
          <w:color w:val="000000"/>
          <w:sz w:val="28"/>
        </w:rPr>
        <w:t>
      Группа лечения X                                     N = 50</w:t>
      </w:r>
    </w:p>
    <w:bookmarkEnd w:id="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Средней степени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органов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Явление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61</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22</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13</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33</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53</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Явление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827" w:id="954"/>
    <w:p>
      <w:pPr>
        <w:spacing w:after="0"/>
        <w:ind w:left="0"/>
        <w:jc w:val="both"/>
      </w:pPr>
      <w:r>
        <w:rPr>
          <w:rFonts w:ascii="Times New Roman"/>
          <w:b w:val="false"/>
          <w:i w:val="false"/>
          <w:color w:val="000000"/>
          <w:sz w:val="28"/>
        </w:rPr>
        <w:t>
      Примечание: * С - связаны, НС - не связаны. Градация "связаны" может быть расширена, например на "определенно", "возможно", "вероятно".</w:t>
      </w:r>
    </w:p>
    <w:bookmarkEnd w:id="954"/>
    <w:bookmarkStart w:name="z828" w:id="955"/>
    <w:p>
      <w:pPr>
        <w:spacing w:after="0"/>
        <w:ind w:left="0"/>
        <w:jc w:val="both"/>
      </w:pPr>
      <w:r>
        <w:rPr>
          <w:rFonts w:ascii="Times New Roman"/>
          <w:b w:val="false"/>
          <w:i w:val="false"/>
          <w:color w:val="000000"/>
          <w:sz w:val="28"/>
        </w:rPr>
        <w:t>
      ** Идентификационный номер пациента.</w:t>
      </w:r>
    </w:p>
    <w:bookmarkEnd w:id="955"/>
    <w:bookmarkStart w:name="z829" w:id="956"/>
    <w:p>
      <w:pPr>
        <w:spacing w:after="0"/>
        <w:ind w:left="0"/>
        <w:jc w:val="both"/>
      </w:pPr>
      <w:r>
        <w:rPr>
          <w:rFonts w:ascii="Times New Roman"/>
          <w:b w:val="false"/>
          <w:i w:val="false"/>
          <w:color w:val="000000"/>
          <w:sz w:val="28"/>
        </w:rPr>
        <w:t>
      В дополнение к таким подробным таблицам, представляемым в разделе 14.3.1 отчета (согласно рубрикации разделов отчета, указанной в настоящей части документа), в основной части отчета необходимо представить дополнительную сводную таблицу, в которой сравнивались бы исследуемая и контрольная группы без указания идентификационных номеров пациентов, ограничивающуюся частыми нежелательными явлениями (например, теми, которые возникали не менее чем у 1% пациентов группы).</w:t>
      </w:r>
    </w:p>
    <w:bookmarkEnd w:id="956"/>
    <w:bookmarkStart w:name="z830" w:id="957"/>
    <w:p>
      <w:pPr>
        <w:spacing w:after="0"/>
        <w:ind w:left="0"/>
        <w:jc w:val="both"/>
      </w:pPr>
      <w:r>
        <w:rPr>
          <w:rFonts w:ascii="Times New Roman"/>
          <w:b w:val="false"/>
          <w:i w:val="false"/>
          <w:color w:val="000000"/>
          <w:sz w:val="28"/>
        </w:rPr>
        <w:t>
      Чтобы установить истинную частоту нежелательных явлений, при их описании необходимо не только отразить оригинальное определение, данное исследователем, но и попытаться сгруппировать связанные явления (явления, которые возможно представляют собой один и тот же феномен). Одним из таких способов является использование стандартного словаря нежелательных реакций (явлений).</w:t>
      </w:r>
    </w:p>
    <w:bookmarkEnd w:id="957"/>
    <w:bookmarkStart w:name="z831" w:id="958"/>
    <w:p>
      <w:pPr>
        <w:spacing w:after="0"/>
        <w:ind w:left="0"/>
        <w:jc w:val="both"/>
      </w:pPr>
      <w:r>
        <w:rPr>
          <w:rFonts w:ascii="Times New Roman"/>
          <w:b w:val="false"/>
          <w:i w:val="false"/>
          <w:color w:val="000000"/>
          <w:sz w:val="28"/>
        </w:rPr>
        <w:t>
      12.2.3. Анализ нежелательных явлений. В целях сравнения исследуемой группы и группы контроля необходимо использовать базовые сведения о частоте нежелательных явлений, которые были проанализированы в разделе 12.2.2 отчета и сведения по которым были представлены в разделе 14.3.1 отчета (согласно рубрикации разделов отчета, указанной в настоящей части документа). Для такого анализа следует объединить все явления независимо от тяжести и причинно-следственной обусловленности с целью более простого параллельного сопоставления сравниваемых групп. Несмотря на то что обычно такой анализ проводят при целостном анализе безопасности, если позволяют размер исследования и его дизайн, рекомендуется изучить более частые нежелательные явления, которые подозреваются как обусловленные лечением, на предмет их возникновения в зависимости от дозы (в том числе в мг/кг или мг/м2), режима дозирования, длительности лечения, общей дозы, демографических характеристик, таких как возраст, пол, раса и иных исходных признаков (например, функции почек), исходов эффективности и концентрации лекарственного препарата. Также рекомендуется изучить время возникновения нежелательных явлений и их длительность. Основываясь на результатах исследований или фармакологических свойствах исследуемого лекарственного препарата, дополнительно допускается проводить ряд других анализов.</w:t>
      </w:r>
    </w:p>
    <w:bookmarkEnd w:id="958"/>
    <w:bookmarkStart w:name="z832" w:id="959"/>
    <w:p>
      <w:pPr>
        <w:spacing w:after="0"/>
        <w:ind w:left="0"/>
        <w:jc w:val="both"/>
      </w:pPr>
      <w:r>
        <w:rPr>
          <w:rFonts w:ascii="Times New Roman"/>
          <w:b w:val="false"/>
          <w:i w:val="false"/>
          <w:color w:val="000000"/>
          <w:sz w:val="28"/>
        </w:rPr>
        <w:t>
      Проведение тщательной статистической оценки каждого нежелательного явления не требуется. При первичном представлении и изучении данных можно выявить, что значительная часть явлений не обусловлена демографическими и прочими исходными параметрами. Если исследование выполнено на небольшой популяции субъектов, а количество явлений относительное небольшое, бывает достаточным ограничиться анализом сравнения групп лечения и контроля.</w:t>
      </w:r>
    </w:p>
    <w:bookmarkEnd w:id="959"/>
    <w:bookmarkStart w:name="z833" w:id="960"/>
    <w:p>
      <w:pPr>
        <w:spacing w:after="0"/>
        <w:ind w:left="0"/>
        <w:jc w:val="both"/>
      </w:pPr>
      <w:r>
        <w:rPr>
          <w:rFonts w:ascii="Times New Roman"/>
          <w:b w:val="false"/>
          <w:i w:val="false"/>
          <w:color w:val="000000"/>
          <w:sz w:val="28"/>
        </w:rPr>
        <w:t>
      При определенных обстоятельствах по сравнению с представлением общей частоты нежелательных явлений более информативным является использование таблиц смертности или других анализов подобного рода. При цикличности лечения, например, при противоопухолевой химиотерапии, рекомендуется провести анализ результатов в рамках каждого отдельного цикла.</w:t>
      </w:r>
    </w:p>
    <w:bookmarkEnd w:id="960"/>
    <w:bookmarkStart w:name="z834" w:id="961"/>
    <w:p>
      <w:pPr>
        <w:spacing w:after="0"/>
        <w:ind w:left="0"/>
        <w:jc w:val="both"/>
      </w:pPr>
      <w:r>
        <w:rPr>
          <w:rFonts w:ascii="Times New Roman"/>
          <w:b w:val="false"/>
          <w:i w:val="false"/>
          <w:color w:val="000000"/>
          <w:sz w:val="28"/>
        </w:rPr>
        <w:t>
      12.2.4. Перечень нежелательных явлений по каждому пациенту. В приложении 16.2.7 к отчету (согласно рубрикации разделов отчета, указанной в настоящей части документа) необходимо перечислить все нежелательные явления по каждому пациенту, включая одно и то же явление, возникшее несколько раз, с указанием как стандартного принятого термина, так и использованного исследователем оригинального термина. Перечень составляется по каждому исследователю и изучаемой группе лечения и должен включать в себя следующие сведения:</w:t>
      </w:r>
    </w:p>
    <w:bookmarkEnd w:id="961"/>
    <w:bookmarkStart w:name="z835" w:id="962"/>
    <w:p>
      <w:pPr>
        <w:spacing w:after="0"/>
        <w:ind w:left="0"/>
        <w:jc w:val="both"/>
      </w:pPr>
      <w:r>
        <w:rPr>
          <w:rFonts w:ascii="Times New Roman"/>
          <w:b w:val="false"/>
          <w:i w:val="false"/>
          <w:color w:val="000000"/>
          <w:sz w:val="28"/>
        </w:rPr>
        <w:t>
      идентификатор пациента;</w:t>
      </w:r>
    </w:p>
    <w:bookmarkEnd w:id="962"/>
    <w:bookmarkStart w:name="z836" w:id="963"/>
    <w:p>
      <w:pPr>
        <w:spacing w:after="0"/>
        <w:ind w:left="0"/>
        <w:jc w:val="both"/>
      </w:pPr>
      <w:r>
        <w:rPr>
          <w:rFonts w:ascii="Times New Roman"/>
          <w:b w:val="false"/>
          <w:i w:val="false"/>
          <w:color w:val="000000"/>
          <w:sz w:val="28"/>
        </w:rPr>
        <w:t>
      возраст, раса, пол, масса тела (рост - если имеет значение);</w:t>
      </w:r>
    </w:p>
    <w:bookmarkEnd w:id="963"/>
    <w:bookmarkStart w:name="z837" w:id="964"/>
    <w:p>
      <w:pPr>
        <w:spacing w:after="0"/>
        <w:ind w:left="0"/>
        <w:jc w:val="both"/>
      </w:pPr>
      <w:r>
        <w:rPr>
          <w:rFonts w:ascii="Times New Roman"/>
          <w:b w:val="false"/>
          <w:i w:val="false"/>
          <w:color w:val="000000"/>
          <w:sz w:val="28"/>
        </w:rPr>
        <w:t>
      расположение ИРК в отчете (при наличии);</w:t>
      </w:r>
    </w:p>
    <w:bookmarkEnd w:id="964"/>
    <w:bookmarkStart w:name="z838" w:id="965"/>
    <w:p>
      <w:pPr>
        <w:spacing w:after="0"/>
        <w:ind w:left="0"/>
        <w:jc w:val="both"/>
      </w:pPr>
      <w:r>
        <w:rPr>
          <w:rFonts w:ascii="Times New Roman"/>
          <w:b w:val="false"/>
          <w:i w:val="false"/>
          <w:color w:val="000000"/>
          <w:sz w:val="28"/>
        </w:rPr>
        <w:t>
      нежелательное явление (стандартный принятый термин, оригинальный термин);</w:t>
      </w:r>
    </w:p>
    <w:bookmarkEnd w:id="965"/>
    <w:bookmarkStart w:name="z839" w:id="966"/>
    <w:p>
      <w:pPr>
        <w:spacing w:after="0"/>
        <w:ind w:left="0"/>
        <w:jc w:val="both"/>
      </w:pPr>
      <w:r>
        <w:rPr>
          <w:rFonts w:ascii="Times New Roman"/>
          <w:b w:val="false"/>
          <w:i w:val="false"/>
          <w:color w:val="000000"/>
          <w:sz w:val="28"/>
        </w:rPr>
        <w:t>
      длительность нежелательного явления;</w:t>
      </w:r>
    </w:p>
    <w:bookmarkEnd w:id="966"/>
    <w:bookmarkStart w:name="z840" w:id="967"/>
    <w:p>
      <w:pPr>
        <w:spacing w:after="0"/>
        <w:ind w:left="0"/>
        <w:jc w:val="both"/>
      </w:pPr>
      <w:r>
        <w:rPr>
          <w:rFonts w:ascii="Times New Roman"/>
          <w:b w:val="false"/>
          <w:i w:val="false"/>
          <w:color w:val="000000"/>
          <w:sz w:val="28"/>
        </w:rPr>
        <w:t>
      тяжесть (например, легкая, средней степени, тяжелая);</w:t>
      </w:r>
    </w:p>
    <w:bookmarkEnd w:id="967"/>
    <w:bookmarkStart w:name="z841" w:id="968"/>
    <w:p>
      <w:pPr>
        <w:spacing w:after="0"/>
        <w:ind w:left="0"/>
        <w:jc w:val="both"/>
      </w:pPr>
      <w:r>
        <w:rPr>
          <w:rFonts w:ascii="Times New Roman"/>
          <w:b w:val="false"/>
          <w:i w:val="false"/>
          <w:color w:val="000000"/>
          <w:sz w:val="28"/>
        </w:rPr>
        <w:t>
      серьезность (серьезное или несерьезное);</w:t>
      </w:r>
    </w:p>
    <w:bookmarkEnd w:id="968"/>
    <w:bookmarkStart w:name="z842" w:id="969"/>
    <w:p>
      <w:pPr>
        <w:spacing w:after="0"/>
        <w:ind w:left="0"/>
        <w:jc w:val="both"/>
      </w:pPr>
      <w:r>
        <w:rPr>
          <w:rFonts w:ascii="Times New Roman"/>
          <w:b w:val="false"/>
          <w:i w:val="false"/>
          <w:color w:val="000000"/>
          <w:sz w:val="28"/>
        </w:rPr>
        <w:t>
      предпринятые меры (без вмешательства, снижение дозы, прекращение лечения, назначение дополнительной терапии и др.);</w:t>
      </w:r>
    </w:p>
    <w:bookmarkEnd w:id="969"/>
    <w:bookmarkStart w:name="z843" w:id="970"/>
    <w:p>
      <w:pPr>
        <w:spacing w:after="0"/>
        <w:ind w:left="0"/>
        <w:jc w:val="both"/>
      </w:pPr>
      <w:r>
        <w:rPr>
          <w:rFonts w:ascii="Times New Roman"/>
          <w:b w:val="false"/>
          <w:i w:val="false"/>
          <w:color w:val="000000"/>
          <w:sz w:val="28"/>
        </w:rPr>
        <w:t>
      исходы (например, в формате CIOMS);</w:t>
      </w:r>
    </w:p>
    <w:bookmarkEnd w:id="970"/>
    <w:bookmarkStart w:name="z844" w:id="971"/>
    <w:p>
      <w:pPr>
        <w:spacing w:after="0"/>
        <w:ind w:left="0"/>
        <w:jc w:val="both"/>
      </w:pPr>
      <w:r>
        <w:rPr>
          <w:rFonts w:ascii="Times New Roman"/>
          <w:b w:val="false"/>
          <w:i w:val="false"/>
          <w:color w:val="000000"/>
          <w:sz w:val="28"/>
        </w:rPr>
        <w:t>
      оценка причинно-следственной связи (например, связана или не связана). Используя табличный формат или другим образом необходимо описать алгоритм ее проведения;</w:t>
      </w:r>
    </w:p>
    <w:bookmarkEnd w:id="971"/>
    <w:bookmarkStart w:name="z845" w:id="972"/>
    <w:p>
      <w:pPr>
        <w:spacing w:after="0"/>
        <w:ind w:left="0"/>
        <w:jc w:val="both"/>
      </w:pPr>
      <w:r>
        <w:rPr>
          <w:rFonts w:ascii="Times New Roman"/>
          <w:b w:val="false"/>
          <w:i w:val="false"/>
          <w:color w:val="000000"/>
          <w:sz w:val="28"/>
        </w:rPr>
        <w:t>
      дата возникновения или дата визита, на котором было выявлено нежелательное явление;</w:t>
      </w:r>
    </w:p>
    <w:bookmarkEnd w:id="972"/>
    <w:bookmarkStart w:name="z846" w:id="973"/>
    <w:p>
      <w:pPr>
        <w:spacing w:after="0"/>
        <w:ind w:left="0"/>
        <w:jc w:val="both"/>
      </w:pPr>
      <w:r>
        <w:rPr>
          <w:rFonts w:ascii="Times New Roman"/>
          <w:b w:val="false"/>
          <w:i w:val="false"/>
          <w:color w:val="000000"/>
          <w:sz w:val="28"/>
        </w:rPr>
        <w:t>
      время возникновения нежелательного явления по отношению к последней принятой дозе исследуемого лекарственного препарата (если применимо);</w:t>
      </w:r>
    </w:p>
    <w:bookmarkEnd w:id="973"/>
    <w:bookmarkStart w:name="z847" w:id="974"/>
    <w:p>
      <w:pPr>
        <w:spacing w:after="0"/>
        <w:ind w:left="0"/>
        <w:jc w:val="both"/>
      </w:pPr>
      <w:r>
        <w:rPr>
          <w:rFonts w:ascii="Times New Roman"/>
          <w:b w:val="false"/>
          <w:i w:val="false"/>
          <w:color w:val="000000"/>
          <w:sz w:val="28"/>
        </w:rPr>
        <w:t>
      терапия на момент возникновения или недавно проведенную терапию;</w:t>
      </w:r>
    </w:p>
    <w:bookmarkEnd w:id="974"/>
    <w:bookmarkStart w:name="z848" w:id="975"/>
    <w:p>
      <w:pPr>
        <w:spacing w:after="0"/>
        <w:ind w:left="0"/>
        <w:jc w:val="both"/>
      </w:pPr>
      <w:r>
        <w:rPr>
          <w:rFonts w:ascii="Times New Roman"/>
          <w:b w:val="false"/>
          <w:i w:val="false"/>
          <w:color w:val="000000"/>
          <w:sz w:val="28"/>
        </w:rPr>
        <w:t>
      величина дозы исследуемого лекарственного препарата в абсолютном выражении, в мг/кг или мг/м</w:t>
      </w:r>
      <w:r>
        <w:rPr>
          <w:rFonts w:ascii="Times New Roman"/>
          <w:b w:val="false"/>
          <w:i w:val="false"/>
          <w:color w:val="000000"/>
          <w:vertAlign w:val="superscript"/>
        </w:rPr>
        <w:t>2</w:t>
      </w:r>
      <w:r>
        <w:rPr>
          <w:rFonts w:ascii="Times New Roman"/>
          <w:b w:val="false"/>
          <w:i w:val="false"/>
          <w:color w:val="000000"/>
          <w:sz w:val="28"/>
        </w:rPr>
        <w:t xml:space="preserve"> в момент возникновения явления;</w:t>
      </w:r>
    </w:p>
    <w:bookmarkEnd w:id="975"/>
    <w:bookmarkStart w:name="z849" w:id="976"/>
    <w:p>
      <w:pPr>
        <w:spacing w:after="0"/>
        <w:ind w:left="0"/>
        <w:jc w:val="both"/>
      </w:pPr>
      <w:r>
        <w:rPr>
          <w:rFonts w:ascii="Times New Roman"/>
          <w:b w:val="false"/>
          <w:i w:val="false"/>
          <w:color w:val="000000"/>
          <w:sz w:val="28"/>
        </w:rPr>
        <w:t>
      концентрация лекарственного препарата (если известна);</w:t>
      </w:r>
    </w:p>
    <w:bookmarkEnd w:id="976"/>
    <w:bookmarkStart w:name="z850" w:id="977"/>
    <w:p>
      <w:pPr>
        <w:spacing w:after="0"/>
        <w:ind w:left="0"/>
        <w:jc w:val="both"/>
      </w:pPr>
      <w:r>
        <w:rPr>
          <w:rFonts w:ascii="Times New Roman"/>
          <w:b w:val="false"/>
          <w:i w:val="false"/>
          <w:color w:val="000000"/>
          <w:sz w:val="28"/>
        </w:rPr>
        <w:t>
      длительность лечения исследуемым лекарственным препаратом;</w:t>
      </w:r>
    </w:p>
    <w:bookmarkEnd w:id="977"/>
    <w:bookmarkStart w:name="z851" w:id="978"/>
    <w:p>
      <w:pPr>
        <w:spacing w:after="0"/>
        <w:ind w:left="0"/>
        <w:jc w:val="both"/>
      </w:pPr>
      <w:r>
        <w:rPr>
          <w:rFonts w:ascii="Times New Roman"/>
          <w:b w:val="false"/>
          <w:i w:val="false"/>
          <w:color w:val="000000"/>
          <w:sz w:val="28"/>
        </w:rPr>
        <w:t>
      сопутствующая терапию во время исследования.</w:t>
      </w:r>
    </w:p>
    <w:bookmarkEnd w:id="978"/>
    <w:bookmarkStart w:name="z852" w:id="979"/>
    <w:p>
      <w:pPr>
        <w:spacing w:after="0"/>
        <w:ind w:left="0"/>
        <w:jc w:val="both"/>
      </w:pPr>
      <w:r>
        <w:rPr>
          <w:rFonts w:ascii="Times New Roman"/>
          <w:b w:val="false"/>
          <w:i w:val="false"/>
          <w:color w:val="000000"/>
          <w:sz w:val="28"/>
        </w:rPr>
        <w:t>
      В начале перечня или на каждой странице (более предпочтительный вариант) необходимо расшифровать все аббревиатуры и условные сокращения.</w:t>
      </w:r>
    </w:p>
    <w:bookmarkEnd w:id="979"/>
    <w:bookmarkStart w:name="z853" w:id="980"/>
    <w:p>
      <w:pPr>
        <w:spacing w:after="0"/>
        <w:ind w:left="0"/>
        <w:jc w:val="both"/>
      </w:pPr>
      <w:r>
        <w:rPr>
          <w:rFonts w:ascii="Times New Roman"/>
          <w:b w:val="false"/>
          <w:i w:val="false"/>
          <w:color w:val="000000"/>
          <w:sz w:val="28"/>
        </w:rPr>
        <w:t>
      12.3. Летальные исходы, прочие серьезные нежелательные явления и другие значимые нежелательные явления.</w:t>
      </w:r>
    </w:p>
    <w:bookmarkEnd w:id="980"/>
    <w:bookmarkStart w:name="z854" w:id="981"/>
    <w:p>
      <w:pPr>
        <w:spacing w:after="0"/>
        <w:ind w:left="0"/>
        <w:jc w:val="both"/>
      </w:pPr>
      <w:r>
        <w:rPr>
          <w:rFonts w:ascii="Times New Roman"/>
          <w:b w:val="false"/>
          <w:i w:val="false"/>
          <w:color w:val="000000"/>
          <w:sz w:val="28"/>
        </w:rPr>
        <w:t>
      Необходимо уделить особое внимание летальным исходам, прочим серьезным нежелательным явлениям и другим значимым нежелательным явлениям.</w:t>
      </w:r>
    </w:p>
    <w:bookmarkEnd w:id="981"/>
    <w:bookmarkStart w:name="z855" w:id="982"/>
    <w:p>
      <w:pPr>
        <w:spacing w:after="0"/>
        <w:ind w:left="0"/>
        <w:jc w:val="both"/>
      </w:pPr>
      <w:r>
        <w:rPr>
          <w:rFonts w:ascii="Times New Roman"/>
          <w:b w:val="false"/>
          <w:i w:val="false"/>
          <w:color w:val="000000"/>
          <w:sz w:val="28"/>
        </w:rPr>
        <w:t>
      12.3.1. Перечень летальных исходов, прочих серьезных нежелательных явлений и других значимых нежелательных явлений. В отношении нижеуказанных явлений необходимо представить перечни, содержащие информацию, описанную в разделе 12.2.4 отчета (согласно рубрикации разделов отчета, указанной в настоящей части документа).</w:t>
      </w:r>
    </w:p>
    <w:bookmarkEnd w:id="982"/>
    <w:bookmarkStart w:name="z856" w:id="983"/>
    <w:p>
      <w:pPr>
        <w:spacing w:after="0"/>
        <w:ind w:left="0"/>
        <w:jc w:val="both"/>
      </w:pPr>
      <w:r>
        <w:rPr>
          <w:rFonts w:ascii="Times New Roman"/>
          <w:b w:val="false"/>
          <w:i w:val="false"/>
          <w:color w:val="000000"/>
          <w:sz w:val="28"/>
        </w:rPr>
        <w:t>
      12.3.1.1. Летальные исходы. В разделе 14.3.2 отчета по каждому пациенту необходимо перечислить все летальные исходы, зарегистрированные в ходе исследования, включая период наблюдения по завершении терапии, а также летальные исходы, возникшие вследствие процесса, начатого во время исследования.</w:t>
      </w:r>
    </w:p>
    <w:bookmarkEnd w:id="983"/>
    <w:bookmarkStart w:name="z857" w:id="984"/>
    <w:p>
      <w:pPr>
        <w:spacing w:after="0"/>
        <w:ind w:left="0"/>
        <w:jc w:val="both"/>
      </w:pPr>
      <w:r>
        <w:rPr>
          <w:rFonts w:ascii="Times New Roman"/>
          <w:b w:val="false"/>
          <w:i w:val="false"/>
          <w:color w:val="000000"/>
          <w:sz w:val="28"/>
        </w:rPr>
        <w:t>
      12.3.1.2. Прочие серьезные нежелательные явления. В разделе 14.3.2 отчета (согласно рубрикации разделов отчета, указанной в настоящей части документа) необходимо представить все серьезные нежелательные явления (помимо летальных исходов, но включая серьезные нежелательные явления, связанные во времени или предшествующие смерти). В перечень необходимо включить лабораторные нарушения, патологически измененные жизненно важные показатели и патологические данные осмотра, расцененные как серьезные нежелательные явления.</w:t>
      </w:r>
    </w:p>
    <w:bookmarkEnd w:id="984"/>
    <w:bookmarkStart w:name="z858" w:id="985"/>
    <w:p>
      <w:pPr>
        <w:spacing w:after="0"/>
        <w:ind w:left="0"/>
        <w:jc w:val="both"/>
      </w:pPr>
      <w:r>
        <w:rPr>
          <w:rFonts w:ascii="Times New Roman"/>
          <w:b w:val="false"/>
          <w:i w:val="false"/>
          <w:color w:val="000000"/>
          <w:sz w:val="28"/>
        </w:rPr>
        <w:t>
      12.3.1.3. Другие значимые нежелательные явления. В разделе 14.3.2 отчета (согласно рубрикации разделов отчета, указанной в настоящей части документа) необходимо представить выраженные гематологические и прочие лабораторные нарушения (помимо явлений, подпадающих под определение серьезных нежелательных явлений) и другие события, которые привели к вмешательству, включая отмену терапии исследуемым лекарственным препаратом, снижению дозы или значительной дополнительной сопутствующей терапии, которые не подпадают под определение серьезных нежелательных явлений.</w:t>
      </w:r>
    </w:p>
    <w:bookmarkEnd w:id="985"/>
    <w:bookmarkStart w:name="z859" w:id="986"/>
    <w:p>
      <w:pPr>
        <w:spacing w:after="0"/>
        <w:ind w:left="0"/>
        <w:jc w:val="both"/>
      </w:pPr>
      <w:r>
        <w:rPr>
          <w:rFonts w:ascii="Times New Roman"/>
          <w:b w:val="false"/>
          <w:i w:val="false"/>
          <w:color w:val="000000"/>
          <w:sz w:val="28"/>
        </w:rPr>
        <w:t>
      12.3.2. Описание летальных исходов, прочих серьезных нежелательных явлений и других значимых нежелательных явлений. Необходимо представить краткое описание каждого летального исхода, каждого прочего серьезного нежелательного явления, а также других значимых нежелательных явлений, которые расценены как имеющие особый интерес вследствие их клинической значимости. В зависимости от количества такие описания необходимо представить либо в основной части отчета, либо в разделе 14.3.3 отчета (согласно рубрикации разделов отчета, указанной в настоящей части документа). Явления, которые однозначно не связаны с исследуемым лекарственным препаратом, допускается не описывать или описать очень кратко. Как правило, описание должно содержать следующие сведения:</w:t>
      </w:r>
    </w:p>
    <w:bookmarkEnd w:id="986"/>
    <w:bookmarkStart w:name="z860" w:id="987"/>
    <w:p>
      <w:pPr>
        <w:spacing w:after="0"/>
        <w:ind w:left="0"/>
        <w:jc w:val="both"/>
      </w:pPr>
      <w:r>
        <w:rPr>
          <w:rFonts w:ascii="Times New Roman"/>
          <w:b w:val="false"/>
          <w:i w:val="false"/>
          <w:color w:val="000000"/>
          <w:sz w:val="28"/>
        </w:rPr>
        <w:t>
      характер и выраженность явления;</w:t>
      </w:r>
    </w:p>
    <w:bookmarkEnd w:id="987"/>
    <w:bookmarkStart w:name="z861" w:id="988"/>
    <w:p>
      <w:pPr>
        <w:spacing w:after="0"/>
        <w:ind w:left="0"/>
        <w:jc w:val="both"/>
      </w:pPr>
      <w:r>
        <w:rPr>
          <w:rFonts w:ascii="Times New Roman"/>
          <w:b w:val="false"/>
          <w:i w:val="false"/>
          <w:color w:val="000000"/>
          <w:sz w:val="28"/>
        </w:rPr>
        <w:t>
      течение заболевания, приведшее к явлению, с указанием времени введения исследуемого лекарственного препарата;</w:t>
      </w:r>
    </w:p>
    <w:bookmarkEnd w:id="988"/>
    <w:bookmarkStart w:name="z862" w:id="989"/>
    <w:p>
      <w:pPr>
        <w:spacing w:after="0"/>
        <w:ind w:left="0"/>
        <w:jc w:val="both"/>
      </w:pPr>
      <w:r>
        <w:rPr>
          <w:rFonts w:ascii="Times New Roman"/>
          <w:b w:val="false"/>
          <w:i w:val="false"/>
          <w:color w:val="000000"/>
          <w:sz w:val="28"/>
        </w:rPr>
        <w:t>
      значимые лабораторные показатели;</w:t>
      </w:r>
    </w:p>
    <w:bookmarkEnd w:id="989"/>
    <w:bookmarkStart w:name="z863" w:id="990"/>
    <w:p>
      <w:pPr>
        <w:spacing w:after="0"/>
        <w:ind w:left="0"/>
        <w:jc w:val="both"/>
      </w:pPr>
      <w:r>
        <w:rPr>
          <w:rFonts w:ascii="Times New Roman"/>
          <w:b w:val="false"/>
          <w:i w:val="false"/>
          <w:color w:val="000000"/>
          <w:sz w:val="28"/>
        </w:rPr>
        <w:t>
      отменялся ли лекарственный препарат и когда;</w:t>
      </w:r>
    </w:p>
    <w:bookmarkEnd w:id="990"/>
    <w:bookmarkStart w:name="z864" w:id="991"/>
    <w:p>
      <w:pPr>
        <w:spacing w:after="0"/>
        <w:ind w:left="0"/>
        <w:jc w:val="both"/>
      </w:pPr>
      <w:r>
        <w:rPr>
          <w:rFonts w:ascii="Times New Roman"/>
          <w:b w:val="false"/>
          <w:i w:val="false"/>
          <w:color w:val="000000"/>
          <w:sz w:val="28"/>
        </w:rPr>
        <w:t>
      контрмеры;</w:t>
      </w:r>
    </w:p>
    <w:bookmarkEnd w:id="991"/>
    <w:bookmarkStart w:name="z865" w:id="992"/>
    <w:p>
      <w:pPr>
        <w:spacing w:after="0"/>
        <w:ind w:left="0"/>
        <w:jc w:val="both"/>
      </w:pPr>
      <w:r>
        <w:rPr>
          <w:rFonts w:ascii="Times New Roman"/>
          <w:b w:val="false"/>
          <w:i w:val="false"/>
          <w:color w:val="000000"/>
          <w:sz w:val="28"/>
        </w:rPr>
        <w:t>
      находки на вскрытии;</w:t>
      </w:r>
    </w:p>
    <w:bookmarkEnd w:id="992"/>
    <w:bookmarkStart w:name="z866" w:id="993"/>
    <w:p>
      <w:pPr>
        <w:spacing w:after="0"/>
        <w:ind w:left="0"/>
        <w:jc w:val="both"/>
      </w:pPr>
      <w:r>
        <w:rPr>
          <w:rFonts w:ascii="Times New Roman"/>
          <w:b w:val="false"/>
          <w:i w:val="false"/>
          <w:color w:val="000000"/>
          <w:sz w:val="28"/>
        </w:rPr>
        <w:t>
      мнение исследователя и спонсора (при необходимости) в отношении причинно-следственной связи.</w:t>
      </w:r>
    </w:p>
    <w:bookmarkEnd w:id="993"/>
    <w:bookmarkStart w:name="z867" w:id="994"/>
    <w:p>
      <w:pPr>
        <w:spacing w:after="0"/>
        <w:ind w:left="0"/>
        <w:jc w:val="both"/>
      </w:pPr>
      <w:r>
        <w:rPr>
          <w:rFonts w:ascii="Times New Roman"/>
          <w:b w:val="false"/>
          <w:i w:val="false"/>
          <w:color w:val="000000"/>
          <w:sz w:val="28"/>
        </w:rPr>
        <w:t>
      Дополнительно необходимо представить следующие сведения:</w:t>
      </w:r>
    </w:p>
    <w:bookmarkEnd w:id="994"/>
    <w:bookmarkStart w:name="z868" w:id="995"/>
    <w:p>
      <w:pPr>
        <w:spacing w:after="0"/>
        <w:ind w:left="0"/>
        <w:jc w:val="both"/>
      </w:pPr>
      <w:r>
        <w:rPr>
          <w:rFonts w:ascii="Times New Roman"/>
          <w:b w:val="false"/>
          <w:i w:val="false"/>
          <w:color w:val="000000"/>
          <w:sz w:val="28"/>
        </w:rPr>
        <w:t>
      идентификатор пациента;</w:t>
      </w:r>
    </w:p>
    <w:bookmarkEnd w:id="995"/>
    <w:bookmarkStart w:name="z869" w:id="996"/>
    <w:p>
      <w:pPr>
        <w:spacing w:after="0"/>
        <w:ind w:left="0"/>
        <w:jc w:val="both"/>
      </w:pPr>
      <w:r>
        <w:rPr>
          <w:rFonts w:ascii="Times New Roman"/>
          <w:b w:val="false"/>
          <w:i w:val="false"/>
          <w:color w:val="000000"/>
          <w:sz w:val="28"/>
        </w:rPr>
        <w:t>
      возраст и пол пациента;</w:t>
      </w:r>
    </w:p>
    <w:bookmarkEnd w:id="996"/>
    <w:bookmarkStart w:name="z870" w:id="997"/>
    <w:p>
      <w:pPr>
        <w:spacing w:after="0"/>
        <w:ind w:left="0"/>
        <w:jc w:val="both"/>
      </w:pPr>
      <w:r>
        <w:rPr>
          <w:rFonts w:ascii="Times New Roman"/>
          <w:b w:val="false"/>
          <w:i w:val="false"/>
          <w:color w:val="000000"/>
          <w:sz w:val="28"/>
        </w:rPr>
        <w:t>
      общее клиническое состояние пациента (при необходимости);</w:t>
      </w:r>
    </w:p>
    <w:bookmarkEnd w:id="997"/>
    <w:bookmarkStart w:name="z871" w:id="998"/>
    <w:p>
      <w:pPr>
        <w:spacing w:after="0"/>
        <w:ind w:left="0"/>
        <w:jc w:val="both"/>
      </w:pPr>
      <w:r>
        <w:rPr>
          <w:rFonts w:ascii="Times New Roman"/>
          <w:b w:val="false"/>
          <w:i w:val="false"/>
          <w:color w:val="000000"/>
          <w:sz w:val="28"/>
        </w:rPr>
        <w:t>
      заболевание, на основании которого пациент был включен в исследование (если для всех пациентов оно совпадает, его не указывают), с указанием его длительности (текущего эпизода);</w:t>
      </w:r>
    </w:p>
    <w:bookmarkEnd w:id="998"/>
    <w:bookmarkStart w:name="z872" w:id="999"/>
    <w:p>
      <w:pPr>
        <w:spacing w:after="0"/>
        <w:ind w:left="0"/>
        <w:jc w:val="both"/>
      </w:pPr>
      <w:r>
        <w:rPr>
          <w:rFonts w:ascii="Times New Roman"/>
          <w:b w:val="false"/>
          <w:i w:val="false"/>
          <w:color w:val="000000"/>
          <w:sz w:val="28"/>
        </w:rPr>
        <w:t>
      значимые сопутствующие и (или) перенесенные заболевания с указанием времени их возникновения и длительности;</w:t>
      </w:r>
    </w:p>
    <w:bookmarkEnd w:id="999"/>
    <w:bookmarkStart w:name="z873" w:id="1000"/>
    <w:p>
      <w:pPr>
        <w:spacing w:after="0"/>
        <w:ind w:left="0"/>
        <w:jc w:val="both"/>
      </w:pPr>
      <w:r>
        <w:rPr>
          <w:rFonts w:ascii="Times New Roman"/>
          <w:b w:val="false"/>
          <w:i w:val="false"/>
          <w:color w:val="000000"/>
          <w:sz w:val="28"/>
        </w:rPr>
        <w:t>
      значимая сопутствующая и (или) предшествующая медикаментозная терапия с указанием режимов дозирования;</w:t>
      </w:r>
    </w:p>
    <w:bookmarkEnd w:id="1000"/>
    <w:bookmarkStart w:name="z874" w:id="1001"/>
    <w:p>
      <w:pPr>
        <w:spacing w:after="0"/>
        <w:ind w:left="0"/>
        <w:jc w:val="both"/>
      </w:pPr>
      <w:r>
        <w:rPr>
          <w:rFonts w:ascii="Times New Roman"/>
          <w:b w:val="false"/>
          <w:i w:val="false"/>
          <w:color w:val="000000"/>
          <w:sz w:val="28"/>
        </w:rPr>
        <w:t>
      назначенный исследуемый лекарственный препарат, доза (если она отличалась от пациента к пациенту) и длительность его применения.</w:t>
      </w:r>
    </w:p>
    <w:bookmarkEnd w:id="1001"/>
    <w:bookmarkStart w:name="z875" w:id="1002"/>
    <w:p>
      <w:pPr>
        <w:spacing w:after="0"/>
        <w:ind w:left="0"/>
        <w:jc w:val="both"/>
      </w:pPr>
      <w:r>
        <w:rPr>
          <w:rFonts w:ascii="Times New Roman"/>
          <w:b w:val="false"/>
          <w:i w:val="false"/>
          <w:color w:val="000000"/>
          <w:sz w:val="28"/>
        </w:rPr>
        <w:t>
      12.3.3. Анализ и обсуждение летальных исходов, прочих серьезных нежелательных явлений и других значимых нежелательных явлений. Необходимо во взаимосвязи с безопасностью исследуемого лекарственного препарата оценить значимость летальных исходов, прочих серьезных нежелательных явлений и других значимых нежелательных явлений, приведших к отмене исследуемого лекарственного препарата, снижению его дозы или применению вспомогательной терапии. Необходимо особо проанализировать, не является ли какое-либо из этих явлений ранее непредвиденным важным нежелательным явлением исследуемого лекарственного препарата.</w:t>
      </w:r>
    </w:p>
    <w:bookmarkEnd w:id="1002"/>
    <w:bookmarkStart w:name="z876" w:id="1003"/>
    <w:p>
      <w:pPr>
        <w:spacing w:after="0"/>
        <w:ind w:left="0"/>
        <w:jc w:val="both"/>
      </w:pPr>
      <w:r>
        <w:rPr>
          <w:rFonts w:ascii="Times New Roman"/>
          <w:b w:val="false"/>
          <w:i w:val="false"/>
          <w:color w:val="000000"/>
          <w:sz w:val="28"/>
        </w:rPr>
        <w:t>
      В отношении серьезных нежелательных явлений это обстоятельство играет особо важную роль. В целях выявления зависимости явлений от времени применения исследуемого лекарственного препарата и оценки риска во времени рекомендуется использовать таблицы смертности или подобные анализы.</w:t>
      </w:r>
    </w:p>
    <w:bookmarkEnd w:id="1003"/>
    <w:bookmarkStart w:name="z877" w:id="1004"/>
    <w:p>
      <w:pPr>
        <w:spacing w:after="0"/>
        <w:ind w:left="0"/>
        <w:jc w:val="both"/>
      </w:pPr>
      <w:r>
        <w:rPr>
          <w:rFonts w:ascii="Times New Roman"/>
          <w:b w:val="false"/>
          <w:i w:val="false"/>
          <w:color w:val="000000"/>
          <w:sz w:val="28"/>
        </w:rPr>
        <w:t>
      12.4. Оценка лабораторных показателей.</w:t>
      </w:r>
    </w:p>
    <w:bookmarkEnd w:id="1004"/>
    <w:bookmarkStart w:name="z878" w:id="1005"/>
    <w:p>
      <w:pPr>
        <w:spacing w:after="0"/>
        <w:ind w:left="0"/>
        <w:jc w:val="both"/>
      </w:pPr>
      <w:r>
        <w:rPr>
          <w:rFonts w:ascii="Times New Roman"/>
          <w:b w:val="false"/>
          <w:i w:val="false"/>
          <w:color w:val="000000"/>
          <w:sz w:val="28"/>
        </w:rPr>
        <w:t>
      12.4.1. Перечень индивидуальных лабораторных данных по каждому пациенту (представленный в разделе 16.2.8 отчета) и отклонений лабораторных данных от нормы (представленный в разделе 14.3.4 отчета). По требованию уполномоченных органов результаты всех имеющих отношение к безопасности лабораторных исследований должны быть доступны в виде табличных перечней в следующем формате: каждый ряд данных относится к визиту пациента, в течение которого осуществлялись лабораторные исследования, в котором пациенты сгруппированы по исследователю (в случае если в исследовании было несколько исследователей) и группе лечения; каждый столбец включает в себя важные демографические данные, сведения о дозе лекарственного препарата и результаты лабораторных исследований. Поскольку не все исследования могут уместиться в 1 таблице, их необходимо логически сгруппировать (гематологические исследования, биохимия печени, электролиты, анализы мочи и др.). Необходимо с помощью подчеркивания, заключения в скобки или иным образом выделить все отклоняющиеся от нормы значения. Если того требует уполномоченный орган, перечень необходимо представлять не в отчете, а как отдельную часть регистрационного досье лекарственного препарата, либо этот перечень должен быть наготове в случае запроса.</w:t>
      </w:r>
    </w:p>
    <w:bookmarkEnd w:id="1005"/>
    <w:bookmarkStart w:name="z879" w:id="1006"/>
    <w:p>
      <w:pPr>
        <w:spacing w:after="0"/>
        <w:ind w:left="0"/>
        <w:jc w:val="both"/>
      </w:pPr>
      <w:r>
        <w:rPr>
          <w:rFonts w:ascii="Times New Roman"/>
          <w:b w:val="false"/>
          <w:i w:val="false"/>
          <w:color w:val="000000"/>
          <w:sz w:val="28"/>
        </w:rPr>
        <w:t>
      Пример таблицы</w:t>
      </w:r>
    </w:p>
    <w:bookmarkEnd w:id="1006"/>
    <w:bookmarkStart w:name="z880" w:id="1007"/>
    <w:p>
      <w:pPr>
        <w:spacing w:after="0"/>
        <w:ind w:left="0"/>
        <w:jc w:val="both"/>
      </w:pPr>
      <w:r>
        <w:rPr>
          <w:rFonts w:ascii="Times New Roman"/>
          <w:b w:val="false"/>
          <w:i w:val="false"/>
          <w:color w:val="000000"/>
          <w:sz w:val="28"/>
        </w:rPr>
        <w:t>
      Перечень лабораторных измерений</w:t>
      </w:r>
    </w:p>
    <w:bookmarkEnd w:id="1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тела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тесты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ЩФ</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0</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2</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3</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10</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21</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кг</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300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1</w:t>
            </w:r>
            <w:r>
              <w:rPr>
                <w:rFonts w:ascii="Times New Roman"/>
                <w:b w:val="false"/>
                <w:i w:val="false"/>
                <w:color w:val="000000"/>
                <w:sz w:val="20"/>
              </w:rPr>
              <w:t>*</w:t>
            </w:r>
          </w:p>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2</w:t>
            </w:r>
          </w:p>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3</w:t>
            </w:r>
          </w:p>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4</w:t>
            </w:r>
          </w:p>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13</w:t>
            </w:r>
          </w:p>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14</w:t>
            </w:r>
          </w:p>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5</w:t>
            </w:r>
          </w:p>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6</w:t>
            </w:r>
          </w:p>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7</w:t>
            </w:r>
          </w:p>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8</w:t>
            </w:r>
          </w:p>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16</w:t>
            </w:r>
          </w:p>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17</w:t>
            </w:r>
          </w:p>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9</w:t>
            </w:r>
          </w:p>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10</w:t>
            </w:r>
          </w:p>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11</w:t>
            </w:r>
          </w:p>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12</w:t>
            </w:r>
          </w:p>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19</w:t>
            </w:r>
          </w:p>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20</w:t>
            </w:r>
          </w:p>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21</w:t>
            </w:r>
          </w:p>
        </w:tc>
      </w:tr>
    </w:tbl>
    <w:p>
      <w:pPr>
        <w:spacing w:after="0"/>
        <w:ind w:left="0"/>
        <w:jc w:val="left"/>
      </w:pPr>
      <w:r>
        <w:br/>
      </w:r>
      <w:r>
        <w:rPr>
          <w:rFonts w:ascii="Times New Roman"/>
          <w:b w:val="false"/>
          <w:i w:val="false"/>
          <w:color w:val="000000"/>
          <w:sz w:val="28"/>
        </w:rPr>
        <w:t>
</w:t>
      </w:r>
    </w:p>
    <w:bookmarkStart w:name="z881" w:id="1008"/>
    <w:p>
      <w:pPr>
        <w:spacing w:after="0"/>
        <w:ind w:left="0"/>
        <w:jc w:val="both"/>
      </w:pPr>
      <w:r>
        <w:rPr>
          <w:rFonts w:ascii="Times New Roman"/>
          <w:b w:val="false"/>
          <w:i w:val="false"/>
          <w:color w:val="000000"/>
          <w:sz w:val="28"/>
        </w:rPr>
        <w:t>
      Примечание: * V</w:t>
      </w:r>
      <w:r>
        <w:rPr>
          <w:rFonts w:ascii="Times New Roman"/>
          <w:b w:val="false"/>
          <w:i w:val="false"/>
          <w:color w:val="000000"/>
          <w:vertAlign w:val="subscript"/>
        </w:rPr>
        <w:t>n</w:t>
      </w:r>
      <w:r>
        <w:rPr>
          <w:rFonts w:ascii="Times New Roman"/>
          <w:b w:val="false"/>
          <w:i w:val="false"/>
          <w:color w:val="000000"/>
          <w:sz w:val="28"/>
        </w:rPr>
        <w:t xml:space="preserve"> - значение лабораторного параметра.</w:t>
      </w:r>
    </w:p>
    <w:bookmarkEnd w:id="1008"/>
    <w:bookmarkStart w:name="z882" w:id="1009"/>
    <w:p>
      <w:pPr>
        <w:spacing w:after="0"/>
        <w:ind w:left="0"/>
        <w:jc w:val="both"/>
      </w:pPr>
      <w:r>
        <w:rPr>
          <w:rFonts w:ascii="Times New Roman"/>
          <w:b w:val="false"/>
          <w:i w:val="false"/>
          <w:color w:val="000000"/>
          <w:sz w:val="28"/>
        </w:rPr>
        <w:t>
      Для уполномоченных органов в разделе 14.3.4 отчета (согласно рубрикации разделов отчета, указанной в настоящей части документа), используя вышеописанный формат, необходимо представить перечень всех лабораторных отклонений по каждому пациенту. По лабораторным отклонениям, имеющим особую значимость (лабораторные отклонения, имеющие потенциальную клиническую значимость), следует представлять дополнительные сведения, например, нормальные значения до и после отклонений, значения, взаимосвязанных лабораторных показателей. В некоторых случаях желательно исключить определенные лабораторные отклонения из последующего анализа. Например, изолированные не повторяющиеся небольшие отклонения некоторых лабораторных параметров (например, концентрация мочевой кислоты или электролитов) или случайные низкие значения некоторых лабораторных исследований (например, активности трансаминаз, щелочной фосфатазы, содержания азота мочевины крови и др.) можно расценить как вероятно клинически незначимые и исключить. Однако любые подобные решения необходимо четко обосновать, а в представленном (доступном для представления по запросу уполномоченного органа) полном перечне значений необходимо указать каждое лабораторное отклонение.</w:t>
      </w:r>
    </w:p>
    <w:bookmarkEnd w:id="1009"/>
    <w:bookmarkStart w:name="z883" w:id="1010"/>
    <w:p>
      <w:pPr>
        <w:spacing w:after="0"/>
        <w:ind w:left="0"/>
        <w:jc w:val="both"/>
      </w:pPr>
      <w:r>
        <w:rPr>
          <w:rFonts w:ascii="Times New Roman"/>
          <w:b w:val="false"/>
          <w:i w:val="false"/>
          <w:color w:val="000000"/>
          <w:sz w:val="28"/>
        </w:rPr>
        <w:t>
      12.4.2. Оценка каждого лабораторного показателя. Необходимая оценка лабораторных значений должна определяться полученными результатами, однако, в целом, в отчете необходимо представить результаты проведения нижеописанного анализа. В отношении каждого лабораторного исследования необходимо провести сравнение между исследуемой и контрольной группами (если это применимо и позволяет размер исследования). В дополнение в анализе необходимо указать диапазон нормальных значений каждого лабораторного показателя.</w:t>
      </w:r>
    </w:p>
    <w:bookmarkEnd w:id="1010"/>
    <w:bookmarkStart w:name="z884" w:id="1011"/>
    <w:p>
      <w:pPr>
        <w:spacing w:after="0"/>
        <w:ind w:left="0"/>
        <w:jc w:val="both"/>
      </w:pPr>
      <w:r>
        <w:rPr>
          <w:rFonts w:ascii="Times New Roman"/>
          <w:b w:val="false"/>
          <w:i w:val="false"/>
          <w:color w:val="000000"/>
          <w:sz w:val="28"/>
        </w:rPr>
        <w:t>
      12.4.2.1. Динамика лабораторных показателей во времени. По каждому параметру в каждый период времени на протяжении всего исследования (например, при каждом визите) необходимо указать в отчете следующие данные: значения группового среднего или медианы, размах значений, количество пациентов с отклоняющимися от нормы значениями или с отклоняющимися на определенную величину значениями (например, 2-кратно превышающими верхнюю границу нормы, в 5 раз выше границы нормы, при этом необходимо обосновать такой выбор). Допускается использовать графики.</w:t>
      </w:r>
    </w:p>
    <w:bookmarkEnd w:id="1011"/>
    <w:bookmarkStart w:name="z885" w:id="1012"/>
    <w:p>
      <w:pPr>
        <w:spacing w:after="0"/>
        <w:ind w:left="0"/>
        <w:jc w:val="both"/>
      </w:pPr>
      <w:r>
        <w:rPr>
          <w:rFonts w:ascii="Times New Roman"/>
          <w:b w:val="false"/>
          <w:i w:val="false"/>
          <w:color w:val="000000"/>
          <w:sz w:val="28"/>
        </w:rPr>
        <w:t>
      12.4.2.2. Индивидуальные изменения. Необходимо представить анализ индивидуальных лабораторных изменений по каждой исследуемой группе. Для этого допускается использовать разные подходы, включая:</w:t>
      </w:r>
    </w:p>
    <w:bookmarkEnd w:id="1012"/>
    <w:bookmarkStart w:name="z886" w:id="1013"/>
    <w:p>
      <w:pPr>
        <w:spacing w:after="0"/>
        <w:ind w:left="0"/>
        <w:jc w:val="both"/>
      </w:pPr>
      <w:r>
        <w:rPr>
          <w:rFonts w:ascii="Times New Roman"/>
          <w:b w:val="false"/>
          <w:i w:val="false"/>
          <w:color w:val="000000"/>
          <w:sz w:val="28"/>
        </w:rPr>
        <w:t>
      таблицы сдвигов - таблицы, отражающие количество пациентов, находящихся ниже, в пределах или выше нормальных значений показателя через определенные промежутки времени;</w:t>
      </w:r>
    </w:p>
    <w:bookmarkEnd w:id="1013"/>
    <w:bookmarkStart w:name="z887" w:id="1014"/>
    <w:p>
      <w:pPr>
        <w:spacing w:after="0"/>
        <w:ind w:left="0"/>
        <w:jc w:val="both"/>
      </w:pPr>
      <w:r>
        <w:rPr>
          <w:rFonts w:ascii="Times New Roman"/>
          <w:b w:val="false"/>
          <w:i w:val="false"/>
          <w:color w:val="000000"/>
          <w:sz w:val="28"/>
        </w:rPr>
        <w:t>
      таблицы, содержащие информацию о количестве или доле пациентов с изменением лабораторного показателя на заранее установленную величину через определенные промежутки времени. Например, для азота мочевины крови могло быть принято решение о необходимости его описания, если изменение превышает 10 мг/дл. По этому параметру необходимо было бы представить количество пациентов с изменением, не превышающим или превышающим данную границу, на одном визите или более, обычно пациентов группируют отдельно в зависимости от исходного значения азота мочевины крови (нормального или повышенного). Возможным преимуществом такого способа представления по сравнению с таблицами сдвигов является способность выявить изменения определенной величины, даже если конечное значение является нормальным;</w:t>
      </w:r>
    </w:p>
    <w:bookmarkEnd w:id="1014"/>
    <w:bookmarkStart w:name="z888" w:id="1015"/>
    <w:p>
      <w:pPr>
        <w:spacing w:after="0"/>
        <w:ind w:left="0"/>
        <w:jc w:val="both"/>
      </w:pPr>
      <w:r>
        <w:rPr>
          <w:rFonts w:ascii="Times New Roman"/>
          <w:b w:val="false"/>
          <w:i w:val="false"/>
          <w:color w:val="000000"/>
          <w:sz w:val="28"/>
        </w:rPr>
        <w:t>
      график, сопоставляющий исходное значение и значения лабораторных параметров, наблюдаемых в ходе лечения по каждому пациенту, в виде точки, характеризующейся 2 координатами: по оси абсцисс - исходные значения лабораторных показателей, а по оси ординат - значения этих же показателей во времени (после курса лечения). Если изменений не происходит, точка, представляющая каждого пациента, будет находиться на линии 45 градусов. Общий сдвиг графика в сторону высоких значений проявится в виде скопления точек (кластера) над линией 45 градусов. Поскольку такой способ представления обычно отражает только 1 временную точку для 1 группы, с целью интерпретации данных потребуются серии таких графиков во времени для исследуемой и контрольной групп. С другой стороны, указанный способ представления позволяет отразить исходное и наиболее отклоняющееся значения. Он легко выявляет резко отклоняющиеся значения (для таких значений рекомендуется указывать идентификаторы пациентов).</w:t>
      </w:r>
    </w:p>
    <w:bookmarkEnd w:id="1015"/>
    <w:bookmarkStart w:name="z889" w:id="1016"/>
    <w:p>
      <w:pPr>
        <w:spacing w:after="0"/>
        <w:ind w:left="0"/>
        <w:jc w:val="both"/>
      </w:pPr>
      <w:r>
        <w:rPr>
          <w:rFonts w:ascii="Times New Roman"/>
          <w:b w:val="false"/>
          <w:i w:val="false"/>
          <w:color w:val="000000"/>
          <w:sz w:val="28"/>
        </w:rPr>
        <w:t>
      12.4.2.3. Клинически значимые индивидуальные отклонения. Необходимо проанализировать клинически изменения, определенные заявителем как значимые. В разделах 12.3.2 и 14.3.3 отчета (согласно рубрикации разделов отчета, указанной в настоящей части документа) необходимо представить описание каждого пациента, чьи лабораторные отклонения были расценены как серьезное нежелательное явление и в некоторых случаях - как прочее значимое нежелательное явление.</w:t>
      </w:r>
    </w:p>
    <w:bookmarkEnd w:id="1016"/>
    <w:bookmarkStart w:name="z890" w:id="1017"/>
    <w:p>
      <w:pPr>
        <w:spacing w:after="0"/>
        <w:ind w:left="0"/>
        <w:jc w:val="both"/>
      </w:pPr>
      <w:r>
        <w:rPr>
          <w:rFonts w:ascii="Times New Roman"/>
          <w:b w:val="false"/>
          <w:i w:val="false"/>
          <w:color w:val="000000"/>
          <w:sz w:val="28"/>
        </w:rPr>
        <w:t>
      При использовании шкалы степени токсичности (например, ВОЗ, шкала Национального института рака США) необходимо независимо от степени тяжести охарактеризовать изменения, квалифицированные как тяжелые. По каждому параметру необходимо представить анализ клинически значимых изменений и краткое описание отмены терапии по результатам лабораторных измерений. Необходимо оценить значимость изменений и их причинно-следственную связь с исследуемой терапией, например, с помощью анализа таких признаков, как зависимость от дозы, концентрации лекарственного препарата, исчезновение в течение терапии, положительная реакция на отмену, положительная реакция на возобновление и характер сопутствующей терапии.</w:t>
      </w:r>
    </w:p>
    <w:bookmarkEnd w:id="1017"/>
    <w:bookmarkStart w:name="z891" w:id="1018"/>
    <w:p>
      <w:pPr>
        <w:spacing w:after="0"/>
        <w:ind w:left="0"/>
        <w:jc w:val="both"/>
      </w:pPr>
      <w:r>
        <w:rPr>
          <w:rFonts w:ascii="Times New Roman"/>
          <w:b w:val="false"/>
          <w:i w:val="false"/>
          <w:color w:val="000000"/>
          <w:sz w:val="28"/>
        </w:rPr>
        <w:t>
      12.5. Жизненно важные показатели, данные объективных исследований и прочие наблюдения, затрагивающие безопасность. Подобно лабораторным параметрам необходимо проанализировать и представить сведения о жизненно важных показателях, прочих данных объективных исследований и других наблюдениях, затрагивающих безопасность. Если имеются доказательства наличия фармакологического эффекта, необходимо установить всякую зависимость от дозы или концентрации лекарственного препарата или взаимосвязь с характеристиками пациента (например, заболеванием, демографическими данными, сопутствующей терапией), а также описать клиническую значимость наблюдений. Необходимо при анализе в отчете уделить особое внимание изменениям, которые не были отнесены к переменным эффективности, и тем самым расцененным как нежелательные явления.</w:t>
      </w:r>
    </w:p>
    <w:bookmarkEnd w:id="1018"/>
    <w:bookmarkStart w:name="z892" w:id="1019"/>
    <w:p>
      <w:pPr>
        <w:spacing w:after="0"/>
        <w:ind w:left="0"/>
        <w:jc w:val="both"/>
      </w:pPr>
      <w:r>
        <w:rPr>
          <w:rFonts w:ascii="Times New Roman"/>
          <w:b w:val="false"/>
          <w:i w:val="false"/>
          <w:color w:val="000000"/>
          <w:sz w:val="28"/>
        </w:rPr>
        <w:t>
      12.6. Заключение о безопасности.</w:t>
      </w:r>
    </w:p>
    <w:bookmarkEnd w:id="1019"/>
    <w:bookmarkStart w:name="z893" w:id="1020"/>
    <w:p>
      <w:pPr>
        <w:spacing w:after="0"/>
        <w:ind w:left="0"/>
        <w:jc w:val="both"/>
      </w:pPr>
      <w:r>
        <w:rPr>
          <w:rFonts w:ascii="Times New Roman"/>
          <w:b w:val="false"/>
          <w:i w:val="false"/>
          <w:color w:val="000000"/>
          <w:sz w:val="28"/>
        </w:rPr>
        <w:t>
      Необходимо проанализировать общую безопасность исследуемого лекарственного препарата, подробно проанализировав явления, возникшие вследствие изменения дозы, необходимости сопутствующей терапии, серьезным нежелательным явлениям, явлениям, возникшим в ответ на отмену терапии, и летальным исходам. Необходимо выявить всех пациентов или их группы, подверженных повышенному риску, подробно проанализировав тех из них, которые являются потенциально уязвимыми или могут быть представлены небольшим числом субъектов (например, дети, беременные, ослабленные пожилые лица, пациенты со значительными нарушения метаболизма и выведения лекарственных препаратов и др.). Необходимо описать последствия оценки безопасности возможного применения лекарственного препарата.</w:t>
      </w:r>
    </w:p>
    <w:bookmarkEnd w:id="1020"/>
    <w:bookmarkStart w:name="z894" w:id="1021"/>
    <w:p>
      <w:pPr>
        <w:spacing w:after="0"/>
        <w:ind w:left="0"/>
        <w:jc w:val="left"/>
      </w:pPr>
      <w:r>
        <w:rPr>
          <w:rFonts w:ascii="Times New Roman"/>
          <w:b/>
          <w:i w:val="false"/>
          <w:color w:val="000000"/>
        </w:rPr>
        <w:t xml:space="preserve"> 13. Обсуждение и общее заключение</w:t>
      </w:r>
    </w:p>
    <w:bookmarkEnd w:id="1021"/>
    <w:bookmarkStart w:name="z895" w:id="1022"/>
    <w:p>
      <w:pPr>
        <w:spacing w:after="0"/>
        <w:ind w:left="0"/>
        <w:jc w:val="both"/>
      </w:pPr>
      <w:r>
        <w:rPr>
          <w:rFonts w:ascii="Times New Roman"/>
          <w:b w:val="false"/>
          <w:i w:val="false"/>
          <w:color w:val="000000"/>
          <w:sz w:val="28"/>
        </w:rPr>
        <w:t>
      Должны быть кратко изложены и обсуждены результаты оценки эффективности и безопасности, соотношения польза-риск со ссылкой на таблицы, рисунки и соответствующие разделы отчета (при необходимости). Данный раздел не должен представлять собой простое цитирование описания данных или вводить новые данные.</w:t>
      </w:r>
    </w:p>
    <w:bookmarkEnd w:id="1022"/>
    <w:bookmarkStart w:name="z896" w:id="1023"/>
    <w:p>
      <w:pPr>
        <w:spacing w:after="0"/>
        <w:ind w:left="0"/>
        <w:jc w:val="both"/>
      </w:pPr>
      <w:r>
        <w:rPr>
          <w:rFonts w:ascii="Times New Roman"/>
          <w:b w:val="false"/>
          <w:i w:val="false"/>
          <w:color w:val="000000"/>
          <w:sz w:val="28"/>
        </w:rPr>
        <w:t>
      Обсуждение и выводы должны ясно охарактеризовать все полученные в ходе исследования новые или непредвиденные данные, прокомментировать их значимость и обсудить все потенциальные проблемы, например, противоречия между взаимосвязанными тестами. Клиническая значимость и важность результатов также должны быть обсуждены исходя из других имеющихся данных. Должны быть указаны все специфические преимущества или специальные предостережения, необходимые как для отдельных пациентов, так и для групп риска, а также любые последствия для проведения будущих исследований.</w:t>
      </w:r>
    </w:p>
    <w:bookmarkEnd w:id="1023"/>
    <w:bookmarkStart w:name="z897" w:id="1024"/>
    <w:p>
      <w:pPr>
        <w:spacing w:after="0"/>
        <w:ind w:left="0"/>
        <w:jc w:val="both"/>
      </w:pPr>
      <w:r>
        <w:rPr>
          <w:rFonts w:ascii="Times New Roman"/>
          <w:b w:val="false"/>
          <w:i w:val="false"/>
          <w:color w:val="000000"/>
          <w:sz w:val="28"/>
        </w:rPr>
        <w:t>
      В качестве альтернативного варианта, результаты таких обсуждений могут быть включены в резюме по безопасности и эффективности в состав регистрационного досье (интегрированное резюме).</w:t>
      </w:r>
    </w:p>
    <w:bookmarkEnd w:id="1024"/>
    <w:bookmarkStart w:name="z898" w:id="1025"/>
    <w:p>
      <w:pPr>
        <w:spacing w:after="0"/>
        <w:ind w:left="0"/>
        <w:jc w:val="left"/>
      </w:pPr>
      <w:r>
        <w:rPr>
          <w:rFonts w:ascii="Times New Roman"/>
          <w:b/>
          <w:i w:val="false"/>
          <w:color w:val="000000"/>
        </w:rPr>
        <w:t xml:space="preserve"> 14. Таблицы, рисунки, графики, на которые даны ссылки, но</w:t>
      </w:r>
      <w:r>
        <w:br/>
      </w:r>
      <w:r>
        <w:rPr>
          <w:rFonts w:ascii="Times New Roman"/>
          <w:b/>
          <w:i w:val="false"/>
          <w:color w:val="000000"/>
        </w:rPr>
        <w:t>которые не вошли в текст отчета</w:t>
      </w:r>
    </w:p>
    <w:bookmarkEnd w:id="1025"/>
    <w:bookmarkStart w:name="z900" w:id="1026"/>
    <w:p>
      <w:pPr>
        <w:spacing w:after="0"/>
        <w:ind w:left="0"/>
        <w:jc w:val="both"/>
      </w:pPr>
      <w:r>
        <w:rPr>
          <w:rFonts w:ascii="Times New Roman"/>
          <w:b w:val="false"/>
          <w:i w:val="false"/>
          <w:color w:val="000000"/>
          <w:sz w:val="28"/>
        </w:rPr>
        <w:t>
      Рисунки должны использоваться для графического отображения важных результатов или для пояснения результатов, которые сложны для восприятия в форме таблиц.</w:t>
      </w:r>
    </w:p>
    <w:bookmarkEnd w:id="1026"/>
    <w:bookmarkStart w:name="z901" w:id="1027"/>
    <w:p>
      <w:pPr>
        <w:spacing w:after="0"/>
        <w:ind w:left="0"/>
        <w:jc w:val="both"/>
      </w:pPr>
      <w:r>
        <w:rPr>
          <w:rFonts w:ascii="Times New Roman"/>
          <w:b w:val="false"/>
          <w:i w:val="false"/>
          <w:color w:val="000000"/>
          <w:sz w:val="28"/>
        </w:rPr>
        <w:t>
      Важные демографические данные, а также данные по эффективности и безопасности должны быть представлены в сводных рисунках и таблицах в тексте отчета. Если это невозможно сделать по каким-либо причинами, например, из-за размеров или их количества, их необходимо представить в данном разделе отчета с указанием перекрестных ссылок на текст, а также вспомогательные или дополнительные рисунки, таблицы или перечни.</w:t>
      </w:r>
    </w:p>
    <w:bookmarkEnd w:id="1027"/>
    <w:bookmarkStart w:name="z902" w:id="1028"/>
    <w:p>
      <w:pPr>
        <w:spacing w:after="0"/>
        <w:ind w:left="0"/>
        <w:jc w:val="both"/>
      </w:pPr>
      <w:r>
        <w:rPr>
          <w:rFonts w:ascii="Times New Roman"/>
          <w:b w:val="false"/>
          <w:i w:val="false"/>
          <w:color w:val="000000"/>
          <w:sz w:val="28"/>
        </w:rPr>
        <w:t>
      В данном разделе отчета о клиническом исследовании может быть представлена следующая информация:</w:t>
      </w:r>
    </w:p>
    <w:bookmarkEnd w:id="1028"/>
    <w:bookmarkStart w:name="z903" w:id="1029"/>
    <w:p>
      <w:pPr>
        <w:spacing w:after="0"/>
        <w:ind w:left="0"/>
        <w:jc w:val="both"/>
      </w:pPr>
      <w:r>
        <w:rPr>
          <w:rFonts w:ascii="Times New Roman"/>
          <w:b w:val="false"/>
          <w:i w:val="false"/>
          <w:color w:val="000000"/>
          <w:sz w:val="28"/>
        </w:rPr>
        <w:t>
      14.1. Демографические данные (сводные рисунки, таблицы).</w:t>
      </w:r>
    </w:p>
    <w:bookmarkEnd w:id="1029"/>
    <w:bookmarkStart w:name="z904" w:id="1030"/>
    <w:p>
      <w:pPr>
        <w:spacing w:after="0"/>
        <w:ind w:left="0"/>
        <w:jc w:val="both"/>
      </w:pPr>
      <w:r>
        <w:rPr>
          <w:rFonts w:ascii="Times New Roman"/>
          <w:b w:val="false"/>
          <w:i w:val="false"/>
          <w:color w:val="000000"/>
          <w:sz w:val="28"/>
        </w:rPr>
        <w:t>
      14.2. Данные по эффективности (сводные рисунки, таблицы).</w:t>
      </w:r>
    </w:p>
    <w:bookmarkEnd w:id="1030"/>
    <w:bookmarkStart w:name="z905" w:id="1031"/>
    <w:p>
      <w:pPr>
        <w:spacing w:after="0"/>
        <w:ind w:left="0"/>
        <w:jc w:val="both"/>
      </w:pPr>
      <w:r>
        <w:rPr>
          <w:rFonts w:ascii="Times New Roman"/>
          <w:b w:val="false"/>
          <w:i w:val="false"/>
          <w:color w:val="000000"/>
          <w:sz w:val="28"/>
        </w:rPr>
        <w:t>
      14.3. Данные по безопасности (сводные рисунки, таблицы):</w:t>
      </w:r>
    </w:p>
    <w:bookmarkEnd w:id="1031"/>
    <w:bookmarkStart w:name="z906" w:id="1032"/>
    <w:p>
      <w:pPr>
        <w:spacing w:after="0"/>
        <w:ind w:left="0"/>
        <w:jc w:val="both"/>
      </w:pPr>
      <w:r>
        <w:rPr>
          <w:rFonts w:ascii="Times New Roman"/>
          <w:b w:val="false"/>
          <w:i w:val="false"/>
          <w:color w:val="000000"/>
          <w:sz w:val="28"/>
        </w:rPr>
        <w:t>
      предоставление данных о нежелательных явлениях;</w:t>
      </w:r>
    </w:p>
    <w:bookmarkEnd w:id="1032"/>
    <w:bookmarkStart w:name="z907" w:id="1033"/>
    <w:p>
      <w:pPr>
        <w:spacing w:after="0"/>
        <w:ind w:left="0"/>
        <w:jc w:val="both"/>
      </w:pPr>
      <w:r>
        <w:rPr>
          <w:rFonts w:ascii="Times New Roman"/>
          <w:b w:val="false"/>
          <w:i w:val="false"/>
          <w:color w:val="000000"/>
          <w:sz w:val="28"/>
        </w:rPr>
        <w:t>
      перечень случаев смерти, других серьезных и значимых нежелательных явлений;</w:t>
      </w:r>
    </w:p>
    <w:bookmarkEnd w:id="1033"/>
    <w:bookmarkStart w:name="z908" w:id="1034"/>
    <w:p>
      <w:pPr>
        <w:spacing w:after="0"/>
        <w:ind w:left="0"/>
        <w:jc w:val="both"/>
      </w:pPr>
      <w:r>
        <w:rPr>
          <w:rFonts w:ascii="Times New Roman"/>
          <w:b w:val="false"/>
          <w:i w:val="false"/>
          <w:color w:val="000000"/>
          <w:sz w:val="28"/>
        </w:rPr>
        <w:t>
      описание случаев смерти, других серьезных и некоторых других значимых нежелательных явлений;</w:t>
      </w:r>
    </w:p>
    <w:bookmarkEnd w:id="1034"/>
    <w:bookmarkStart w:name="z909" w:id="1035"/>
    <w:p>
      <w:pPr>
        <w:spacing w:after="0"/>
        <w:ind w:left="0"/>
        <w:jc w:val="both"/>
      </w:pPr>
      <w:r>
        <w:rPr>
          <w:rFonts w:ascii="Times New Roman"/>
          <w:b w:val="false"/>
          <w:i w:val="false"/>
          <w:color w:val="000000"/>
          <w:sz w:val="28"/>
        </w:rPr>
        <w:t>
      перечень отклоняющихся от нормы показателей лабораторных исследований (по каждому пациенту).</w:t>
      </w:r>
    </w:p>
    <w:bookmarkEnd w:id="1035"/>
    <w:bookmarkStart w:name="z910" w:id="1036"/>
    <w:p>
      <w:pPr>
        <w:spacing w:after="0"/>
        <w:ind w:left="0"/>
        <w:jc w:val="left"/>
      </w:pPr>
      <w:r>
        <w:rPr>
          <w:rFonts w:ascii="Times New Roman"/>
          <w:b/>
          <w:i w:val="false"/>
          <w:color w:val="000000"/>
        </w:rPr>
        <w:t xml:space="preserve"> 15. Список литературы</w:t>
      </w:r>
    </w:p>
    <w:bookmarkEnd w:id="1036"/>
    <w:bookmarkStart w:name="z911" w:id="1037"/>
    <w:p>
      <w:pPr>
        <w:spacing w:after="0"/>
        <w:ind w:left="0"/>
        <w:jc w:val="both"/>
      </w:pPr>
      <w:r>
        <w:rPr>
          <w:rFonts w:ascii="Times New Roman"/>
          <w:b w:val="false"/>
          <w:i w:val="false"/>
          <w:color w:val="000000"/>
          <w:sz w:val="28"/>
        </w:rPr>
        <w:t>
      Должен быть предоставлен список научных статей из литературы, имеющей отношение к оценке результатов исследования. Копии важных публикаций должны быть представлены в приложениях 16.1.11 и 16.1.12 к отчету (согласно рубрикации разделов отчета, указанной в настоящей части документа). Ссылки на литературу должны быть предоставлены в соответствии с международными стандартами (Ванкуверская декларация 1979 г. "Единые требованиям к рукописям, представляемым в биомедицинские журналы"), межгосударственным стандартом ГОСТ 7.1-2003 ("Библиографическая запись. Библиографическое описание. Общие требования и правила составления") или системой, применяемой в реферативном журнале "Chemical Abstracts".</w:t>
      </w:r>
    </w:p>
    <w:bookmarkEnd w:id="1037"/>
    <w:bookmarkStart w:name="z912" w:id="1038"/>
    <w:p>
      <w:pPr>
        <w:spacing w:after="0"/>
        <w:ind w:left="0"/>
        <w:jc w:val="left"/>
      </w:pPr>
      <w:r>
        <w:rPr>
          <w:rFonts w:ascii="Times New Roman"/>
          <w:b/>
          <w:i w:val="false"/>
          <w:color w:val="000000"/>
        </w:rPr>
        <w:t xml:space="preserve"> 16. Приложения</w:t>
      </w:r>
    </w:p>
    <w:bookmarkEnd w:id="1038"/>
    <w:bookmarkStart w:name="z913" w:id="1039"/>
    <w:p>
      <w:pPr>
        <w:spacing w:after="0"/>
        <w:ind w:left="0"/>
        <w:jc w:val="both"/>
      </w:pPr>
      <w:r>
        <w:rPr>
          <w:rFonts w:ascii="Times New Roman"/>
          <w:b w:val="false"/>
          <w:i w:val="false"/>
          <w:color w:val="000000"/>
          <w:sz w:val="28"/>
        </w:rPr>
        <w:t>
      В данном разделе должен быть представлен перечень всех приложений, представленных в отчете по исследованию. В случае получения разрешения со стороны уполномоченного органа нет необходимости предоставлять некоторые приложения в отчете, но они должны быть готовы к предоставлению по требованию. Заявитель должен ясно обозначить приложения, которые будут представлены с отчетом. Для того, чтобы приложения были доступны по требованию, следует обеспечить их окончательное утверждение ко времени предоставления отчета в уполномоченный орган.</w:t>
      </w:r>
    </w:p>
    <w:bookmarkEnd w:id="1039"/>
    <w:bookmarkStart w:name="z914" w:id="1040"/>
    <w:p>
      <w:pPr>
        <w:spacing w:after="0"/>
        <w:ind w:left="0"/>
        <w:jc w:val="both"/>
      </w:pPr>
      <w:r>
        <w:rPr>
          <w:rFonts w:ascii="Times New Roman"/>
          <w:b w:val="false"/>
          <w:i w:val="false"/>
          <w:color w:val="000000"/>
          <w:sz w:val="28"/>
        </w:rPr>
        <w:t>
      Приложения к отчету располагаются в следующем порядке и нумеруются по следующей рубрикации:</w:t>
      </w:r>
    </w:p>
    <w:bookmarkEnd w:id="1040"/>
    <w:bookmarkStart w:name="z915" w:id="1041"/>
    <w:p>
      <w:pPr>
        <w:spacing w:after="0"/>
        <w:ind w:left="0"/>
        <w:jc w:val="both"/>
      </w:pPr>
      <w:r>
        <w:rPr>
          <w:rFonts w:ascii="Times New Roman"/>
          <w:b w:val="false"/>
          <w:i w:val="false"/>
          <w:color w:val="000000"/>
          <w:sz w:val="28"/>
        </w:rPr>
        <w:t>
      16.1. Информация об исследовании:</w:t>
      </w:r>
    </w:p>
    <w:bookmarkEnd w:id="1041"/>
    <w:bookmarkStart w:name="z916" w:id="1042"/>
    <w:p>
      <w:pPr>
        <w:spacing w:after="0"/>
        <w:ind w:left="0"/>
        <w:jc w:val="both"/>
      </w:pPr>
      <w:r>
        <w:rPr>
          <w:rFonts w:ascii="Times New Roman"/>
          <w:b w:val="false"/>
          <w:i w:val="false"/>
          <w:color w:val="000000"/>
          <w:sz w:val="28"/>
        </w:rPr>
        <w:t>
      16.1.1. протокол и поправки к протоколу;</w:t>
      </w:r>
    </w:p>
    <w:bookmarkEnd w:id="1042"/>
    <w:bookmarkStart w:name="z917" w:id="1043"/>
    <w:p>
      <w:pPr>
        <w:spacing w:after="0"/>
        <w:ind w:left="0"/>
        <w:jc w:val="both"/>
      </w:pPr>
      <w:r>
        <w:rPr>
          <w:rFonts w:ascii="Times New Roman"/>
          <w:b w:val="false"/>
          <w:i w:val="false"/>
          <w:color w:val="000000"/>
          <w:sz w:val="28"/>
        </w:rPr>
        <w:t>
      16.1.2. образец индивидуальной регистрационной карты;</w:t>
      </w:r>
    </w:p>
    <w:bookmarkEnd w:id="1043"/>
    <w:bookmarkStart w:name="z918" w:id="1044"/>
    <w:p>
      <w:pPr>
        <w:spacing w:after="0"/>
        <w:ind w:left="0"/>
        <w:jc w:val="both"/>
      </w:pPr>
      <w:r>
        <w:rPr>
          <w:rFonts w:ascii="Times New Roman"/>
          <w:b w:val="false"/>
          <w:i w:val="false"/>
          <w:color w:val="000000"/>
          <w:sz w:val="28"/>
        </w:rPr>
        <w:t>
      16.1.3. перечень ЭСО (НЭК), образцы письменной информации для пациентов и формы информированного согласия;</w:t>
      </w:r>
    </w:p>
    <w:bookmarkEnd w:id="1044"/>
    <w:bookmarkStart w:name="z919" w:id="1045"/>
    <w:p>
      <w:pPr>
        <w:spacing w:after="0"/>
        <w:ind w:left="0"/>
        <w:jc w:val="both"/>
      </w:pPr>
      <w:r>
        <w:rPr>
          <w:rFonts w:ascii="Times New Roman"/>
          <w:b w:val="false"/>
          <w:i w:val="false"/>
          <w:color w:val="000000"/>
          <w:sz w:val="28"/>
        </w:rPr>
        <w:t>
      16.1.4. перечень и характеристики исследователей, а также других ответственных лиц исследования, включая краткое резюме (1 страница) либо эквивалентное описание обучения и опыта работы, имеющего отношение к проведению клинического исследования;</w:t>
      </w:r>
    </w:p>
    <w:bookmarkEnd w:id="1045"/>
    <w:bookmarkStart w:name="z920" w:id="1046"/>
    <w:p>
      <w:pPr>
        <w:spacing w:after="0"/>
        <w:ind w:left="0"/>
        <w:jc w:val="both"/>
      </w:pPr>
      <w:r>
        <w:rPr>
          <w:rFonts w:ascii="Times New Roman"/>
          <w:b w:val="false"/>
          <w:i w:val="false"/>
          <w:color w:val="000000"/>
          <w:sz w:val="28"/>
        </w:rPr>
        <w:t>
      16.1.5. подписи главных исследователей, исследователей координаторов или ответственного представителя спонсора - в зависимости от требований уполномоченного органа;</w:t>
      </w:r>
    </w:p>
    <w:bookmarkEnd w:id="1046"/>
    <w:bookmarkStart w:name="z921" w:id="1047"/>
    <w:p>
      <w:pPr>
        <w:spacing w:after="0"/>
        <w:ind w:left="0"/>
        <w:jc w:val="both"/>
      </w:pPr>
      <w:r>
        <w:rPr>
          <w:rFonts w:ascii="Times New Roman"/>
          <w:b w:val="false"/>
          <w:i w:val="false"/>
          <w:color w:val="000000"/>
          <w:sz w:val="28"/>
        </w:rPr>
        <w:t>
      16.1.6. в случае использования в исследовании более 1 серии исследуемого препарата - перечни кодов пациентов, получавших препараты разных серий;</w:t>
      </w:r>
    </w:p>
    <w:bookmarkEnd w:id="1047"/>
    <w:bookmarkStart w:name="z922" w:id="1048"/>
    <w:p>
      <w:pPr>
        <w:spacing w:after="0"/>
        <w:ind w:left="0"/>
        <w:jc w:val="both"/>
      </w:pPr>
      <w:r>
        <w:rPr>
          <w:rFonts w:ascii="Times New Roman"/>
          <w:b w:val="false"/>
          <w:i w:val="false"/>
          <w:color w:val="000000"/>
          <w:sz w:val="28"/>
        </w:rPr>
        <w:t>
      16.1.7. схема рандомизации и коды (идентификация пациентов и назначенное лечение);</w:t>
      </w:r>
    </w:p>
    <w:bookmarkEnd w:id="1048"/>
    <w:bookmarkStart w:name="z923" w:id="1049"/>
    <w:p>
      <w:pPr>
        <w:spacing w:after="0"/>
        <w:ind w:left="0"/>
        <w:jc w:val="both"/>
      </w:pPr>
      <w:r>
        <w:rPr>
          <w:rFonts w:ascii="Times New Roman"/>
          <w:b w:val="false"/>
          <w:i w:val="false"/>
          <w:color w:val="000000"/>
          <w:sz w:val="28"/>
        </w:rPr>
        <w:t>
      16.1.8. сертификаты аудита (если проводились);</w:t>
      </w:r>
    </w:p>
    <w:bookmarkEnd w:id="1049"/>
    <w:bookmarkStart w:name="z924" w:id="1050"/>
    <w:p>
      <w:pPr>
        <w:spacing w:after="0"/>
        <w:ind w:left="0"/>
        <w:jc w:val="both"/>
      </w:pPr>
      <w:r>
        <w:rPr>
          <w:rFonts w:ascii="Times New Roman"/>
          <w:b w:val="false"/>
          <w:i w:val="false"/>
          <w:color w:val="000000"/>
          <w:sz w:val="28"/>
        </w:rPr>
        <w:t>
      16.1.9. документация по статистическим методам;</w:t>
      </w:r>
    </w:p>
    <w:bookmarkEnd w:id="1050"/>
    <w:bookmarkStart w:name="z925" w:id="1051"/>
    <w:p>
      <w:pPr>
        <w:spacing w:after="0"/>
        <w:ind w:left="0"/>
        <w:jc w:val="both"/>
      </w:pPr>
      <w:r>
        <w:rPr>
          <w:rFonts w:ascii="Times New Roman"/>
          <w:b w:val="false"/>
          <w:i w:val="false"/>
          <w:color w:val="000000"/>
          <w:sz w:val="28"/>
        </w:rPr>
        <w:t>
      16.1.10. документация по методикам внутренней лабораторной стандартизации и процедурам обеспечения качества (если применялись);</w:t>
      </w:r>
    </w:p>
    <w:bookmarkEnd w:id="1051"/>
    <w:bookmarkStart w:name="z926" w:id="1052"/>
    <w:p>
      <w:pPr>
        <w:spacing w:after="0"/>
        <w:ind w:left="0"/>
        <w:jc w:val="both"/>
      </w:pPr>
      <w:r>
        <w:rPr>
          <w:rFonts w:ascii="Times New Roman"/>
          <w:b w:val="false"/>
          <w:i w:val="false"/>
          <w:color w:val="000000"/>
          <w:sz w:val="28"/>
        </w:rPr>
        <w:t>
      16.1.11. публикации, базирующиеся на данном исследовании;</w:t>
      </w:r>
    </w:p>
    <w:bookmarkEnd w:id="1052"/>
    <w:bookmarkStart w:name="z927" w:id="1053"/>
    <w:p>
      <w:pPr>
        <w:spacing w:after="0"/>
        <w:ind w:left="0"/>
        <w:jc w:val="both"/>
      </w:pPr>
      <w:r>
        <w:rPr>
          <w:rFonts w:ascii="Times New Roman"/>
          <w:b w:val="false"/>
          <w:i w:val="false"/>
          <w:color w:val="000000"/>
          <w:sz w:val="28"/>
        </w:rPr>
        <w:t>
      16.1.12. важные публикации, на которые ссылаются в данном отчете.</w:t>
      </w:r>
    </w:p>
    <w:bookmarkEnd w:id="1053"/>
    <w:bookmarkStart w:name="z928" w:id="1054"/>
    <w:p>
      <w:pPr>
        <w:spacing w:after="0"/>
        <w:ind w:left="0"/>
        <w:jc w:val="both"/>
      </w:pPr>
      <w:r>
        <w:rPr>
          <w:rFonts w:ascii="Times New Roman"/>
          <w:b w:val="false"/>
          <w:i w:val="false"/>
          <w:color w:val="000000"/>
          <w:sz w:val="28"/>
        </w:rPr>
        <w:t>
      16.2. Перечень данных по субъектам исследования:</w:t>
      </w:r>
    </w:p>
    <w:bookmarkEnd w:id="1054"/>
    <w:bookmarkStart w:name="z929" w:id="1055"/>
    <w:p>
      <w:pPr>
        <w:spacing w:after="0"/>
        <w:ind w:left="0"/>
        <w:jc w:val="both"/>
      </w:pPr>
      <w:r>
        <w:rPr>
          <w:rFonts w:ascii="Times New Roman"/>
          <w:b w:val="false"/>
          <w:i w:val="false"/>
          <w:color w:val="000000"/>
          <w:sz w:val="28"/>
        </w:rPr>
        <w:t>
      16.2.1. перечень субъектов, которые досрочно выбыли из исследования;</w:t>
      </w:r>
    </w:p>
    <w:bookmarkEnd w:id="1055"/>
    <w:bookmarkStart w:name="z930" w:id="1056"/>
    <w:p>
      <w:pPr>
        <w:spacing w:after="0"/>
        <w:ind w:left="0"/>
        <w:jc w:val="both"/>
      </w:pPr>
      <w:r>
        <w:rPr>
          <w:rFonts w:ascii="Times New Roman"/>
          <w:b w:val="false"/>
          <w:i w:val="false"/>
          <w:color w:val="000000"/>
          <w:sz w:val="28"/>
        </w:rPr>
        <w:t>
      16.2.2. отклонения от протокола;</w:t>
      </w:r>
    </w:p>
    <w:bookmarkEnd w:id="1056"/>
    <w:bookmarkStart w:name="z931" w:id="1057"/>
    <w:p>
      <w:pPr>
        <w:spacing w:after="0"/>
        <w:ind w:left="0"/>
        <w:jc w:val="both"/>
      </w:pPr>
      <w:r>
        <w:rPr>
          <w:rFonts w:ascii="Times New Roman"/>
          <w:b w:val="false"/>
          <w:i w:val="false"/>
          <w:color w:val="000000"/>
          <w:sz w:val="28"/>
        </w:rPr>
        <w:t>
      16.2.3. пациенты, которых исключили из анализа эффективности;</w:t>
      </w:r>
    </w:p>
    <w:bookmarkEnd w:id="1057"/>
    <w:bookmarkStart w:name="z932" w:id="1058"/>
    <w:p>
      <w:pPr>
        <w:spacing w:after="0"/>
        <w:ind w:left="0"/>
        <w:jc w:val="both"/>
      </w:pPr>
      <w:r>
        <w:rPr>
          <w:rFonts w:ascii="Times New Roman"/>
          <w:b w:val="false"/>
          <w:i w:val="false"/>
          <w:color w:val="000000"/>
          <w:sz w:val="28"/>
        </w:rPr>
        <w:t>
      16.2.4. демографические данные;</w:t>
      </w:r>
    </w:p>
    <w:bookmarkEnd w:id="1058"/>
    <w:bookmarkStart w:name="z933" w:id="1059"/>
    <w:p>
      <w:pPr>
        <w:spacing w:after="0"/>
        <w:ind w:left="0"/>
        <w:jc w:val="both"/>
      </w:pPr>
      <w:r>
        <w:rPr>
          <w:rFonts w:ascii="Times New Roman"/>
          <w:b w:val="false"/>
          <w:i w:val="false"/>
          <w:color w:val="000000"/>
          <w:sz w:val="28"/>
        </w:rPr>
        <w:t>
      16.2.5. соблюдение режима лечения ("комплайенс") и (или) данные о концентрации лекарственного средства (при наличии);</w:t>
      </w:r>
    </w:p>
    <w:bookmarkEnd w:id="1059"/>
    <w:bookmarkStart w:name="z934" w:id="1060"/>
    <w:p>
      <w:pPr>
        <w:spacing w:after="0"/>
        <w:ind w:left="0"/>
        <w:jc w:val="both"/>
      </w:pPr>
      <w:r>
        <w:rPr>
          <w:rFonts w:ascii="Times New Roman"/>
          <w:b w:val="false"/>
          <w:i w:val="false"/>
          <w:color w:val="000000"/>
          <w:sz w:val="28"/>
        </w:rPr>
        <w:t>
      16.2.6. индивидуальные данные относительно эффективности;</w:t>
      </w:r>
    </w:p>
    <w:bookmarkEnd w:id="1060"/>
    <w:bookmarkStart w:name="z935" w:id="1061"/>
    <w:p>
      <w:pPr>
        <w:spacing w:after="0"/>
        <w:ind w:left="0"/>
        <w:jc w:val="both"/>
      </w:pPr>
      <w:r>
        <w:rPr>
          <w:rFonts w:ascii="Times New Roman"/>
          <w:b w:val="false"/>
          <w:i w:val="false"/>
          <w:color w:val="000000"/>
          <w:sz w:val="28"/>
        </w:rPr>
        <w:t>
      16.2.7. перечень нежелательных явлений (по каждому субъекту);</w:t>
      </w:r>
    </w:p>
    <w:bookmarkEnd w:id="1061"/>
    <w:bookmarkStart w:name="z936" w:id="1062"/>
    <w:p>
      <w:pPr>
        <w:spacing w:after="0"/>
        <w:ind w:left="0"/>
        <w:jc w:val="both"/>
      </w:pPr>
      <w:r>
        <w:rPr>
          <w:rFonts w:ascii="Times New Roman"/>
          <w:b w:val="false"/>
          <w:i w:val="false"/>
          <w:color w:val="000000"/>
          <w:sz w:val="28"/>
        </w:rPr>
        <w:t>
      16.2.8. перечень индивидуальных показателей лабораторных исследований пациентов, если требуется уполномоченным органом.</w:t>
      </w:r>
    </w:p>
    <w:bookmarkEnd w:id="1062"/>
    <w:bookmarkStart w:name="z937" w:id="1063"/>
    <w:p>
      <w:pPr>
        <w:spacing w:after="0"/>
        <w:ind w:left="0"/>
        <w:jc w:val="both"/>
      </w:pPr>
      <w:r>
        <w:rPr>
          <w:rFonts w:ascii="Times New Roman"/>
          <w:b w:val="false"/>
          <w:i w:val="false"/>
          <w:color w:val="000000"/>
          <w:sz w:val="28"/>
        </w:rPr>
        <w:t>
      16.3. Индивидуальные регистрационные карты (ИРК).</w:t>
      </w:r>
    </w:p>
    <w:bookmarkEnd w:id="1063"/>
    <w:bookmarkStart w:name="z938" w:id="1064"/>
    <w:p>
      <w:pPr>
        <w:spacing w:after="0"/>
        <w:ind w:left="0"/>
        <w:jc w:val="both"/>
      </w:pPr>
      <w:r>
        <w:rPr>
          <w:rFonts w:ascii="Times New Roman"/>
          <w:b w:val="false"/>
          <w:i w:val="false"/>
          <w:color w:val="000000"/>
          <w:sz w:val="28"/>
        </w:rPr>
        <w:t>
      16.3.1. ИРК по случаям смерти, другим серьезным нежелательным явлениям и случаям выведения из исследования в связи с развитием нежелательных явлений;</w:t>
      </w:r>
    </w:p>
    <w:bookmarkEnd w:id="1064"/>
    <w:bookmarkStart w:name="z939" w:id="1065"/>
    <w:p>
      <w:pPr>
        <w:spacing w:after="0"/>
        <w:ind w:left="0"/>
        <w:jc w:val="both"/>
      </w:pPr>
      <w:r>
        <w:rPr>
          <w:rFonts w:ascii="Times New Roman"/>
          <w:b w:val="false"/>
          <w:i w:val="false"/>
          <w:color w:val="000000"/>
          <w:sz w:val="28"/>
        </w:rPr>
        <w:t>
      16.3.2. другие ИРК, представленные на рассмотрение.</w:t>
      </w:r>
    </w:p>
    <w:bookmarkEnd w:id="1065"/>
    <w:bookmarkStart w:name="z940" w:id="1066"/>
    <w:p>
      <w:pPr>
        <w:spacing w:after="0"/>
        <w:ind w:left="0"/>
        <w:jc w:val="both"/>
      </w:pPr>
      <w:r>
        <w:rPr>
          <w:rFonts w:ascii="Times New Roman"/>
          <w:b w:val="false"/>
          <w:i w:val="false"/>
          <w:color w:val="000000"/>
          <w:sz w:val="28"/>
        </w:rPr>
        <w:t>
      16.4. Перечень данных по каждому субъекту исследования.</w:t>
      </w:r>
    </w:p>
    <w:bookmarkEnd w:id="10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Правилам надлежаще</w:t>
            </w:r>
            <w:r>
              <w:br/>
            </w:r>
            <w:r>
              <w:rPr>
                <w:rFonts w:ascii="Times New Roman"/>
                <w:b w:val="false"/>
                <w:i w:val="false"/>
                <w:color w:val="000000"/>
                <w:sz w:val="20"/>
              </w:rPr>
              <w:t>клинической практики Евразийского</w:t>
            </w:r>
            <w:r>
              <w:br/>
            </w:r>
            <w:r>
              <w:rPr>
                <w:rFonts w:ascii="Times New Roman"/>
                <w:b w:val="false"/>
                <w:i w:val="false"/>
                <w:color w:val="000000"/>
                <w:sz w:val="20"/>
              </w:rPr>
              <w:t>экономического союза</w:t>
            </w:r>
          </w:p>
        </w:tc>
      </w:tr>
    </w:tbl>
    <w:bookmarkStart w:name="z945" w:id="1067"/>
    <w:p>
      <w:pPr>
        <w:spacing w:after="0"/>
        <w:ind w:left="0"/>
        <w:jc w:val="left"/>
      </w:pPr>
      <w:r>
        <w:rPr>
          <w:rFonts w:ascii="Times New Roman"/>
          <w:b/>
          <w:i w:val="false"/>
          <w:color w:val="000000"/>
        </w:rPr>
        <w:t xml:space="preserve"> ФОРМА</w:t>
      </w:r>
      <w:r>
        <w:br/>
      </w:r>
      <w:r>
        <w:rPr>
          <w:rFonts w:ascii="Times New Roman"/>
          <w:b/>
          <w:i w:val="false"/>
          <w:color w:val="000000"/>
        </w:rPr>
        <w:t>синопсиса (краткого описания клинического исследования)</w:t>
      </w:r>
    </w:p>
    <w:bookmarkEnd w:id="10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спонсора (компании):</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Отдельная таблица исследования, относящаяся к части досье</w:t>
            </w:r>
          </w:p>
          <w:p>
            <w:pPr>
              <w:spacing w:after="20"/>
              <w:ind w:left="20"/>
              <w:jc w:val="both"/>
            </w:pPr>
            <w:r>
              <w:rPr>
                <w:rFonts w:ascii="Times New Roman"/>
                <w:b w:val="false"/>
                <w:i w:val="false"/>
                <w:color w:val="000000"/>
                <w:sz w:val="20"/>
              </w:rPr>
              <w:t>
Том:</w:t>
            </w:r>
          </w:p>
          <w:p>
            <w:pPr>
              <w:spacing w:after="20"/>
              <w:ind w:left="20"/>
              <w:jc w:val="both"/>
            </w:pPr>
            <w:r>
              <w:rPr>
                <w:rFonts w:ascii="Times New Roman"/>
                <w:b w:val="false"/>
                <w:i w:val="false"/>
                <w:color w:val="000000"/>
                <w:sz w:val="20"/>
              </w:rPr>
              <w:t>
Страница: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используется только национальными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готового препарата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активного ингредиента: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исследования: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Исследовательский центр: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(ссылка):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период (года): (дата начала набора) (дата последнего визита)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 разработки препарата: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пациентов (запланированное и проанализированное):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и основные критерии для включения: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препарат, доза и способ применения, номер серии: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лечения: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сравнения, доза и способ применения, номер серии: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p>
            <w:pPr>
              <w:spacing w:after="20"/>
              <w:ind w:left="20"/>
              <w:jc w:val="both"/>
            </w:pPr>
            <w:r>
              <w:rPr>
                <w:rFonts w:ascii="Times New Roman"/>
                <w:b w:val="false"/>
                <w:i w:val="false"/>
                <w:color w:val="000000"/>
                <w:sz w:val="20"/>
              </w:rPr>
              <w:t>
Эффективность:</w:t>
            </w:r>
          </w:p>
          <w:p>
            <w:pPr>
              <w:spacing w:after="20"/>
              <w:ind w:left="20"/>
              <w:jc w:val="both"/>
            </w:pPr>
            <w:r>
              <w:rPr>
                <w:rFonts w:ascii="Times New Roman"/>
                <w:b w:val="false"/>
                <w:i w:val="false"/>
                <w:color w:val="000000"/>
                <w:sz w:val="20"/>
              </w:rPr>
              <w:t>
Безопасность:</w:t>
            </w: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методы:</w:t>
            </w: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КРАТКИЙ ОБЗОР – ВЫВОДЫ</w:t>
            </w:r>
          </w:p>
          <w:p>
            <w:pPr>
              <w:spacing w:after="20"/>
              <w:ind w:left="20"/>
              <w:jc w:val="both"/>
            </w:pPr>
            <w:r>
              <w:rPr>
                <w:rFonts w:ascii="Times New Roman"/>
                <w:b w:val="false"/>
                <w:i w:val="false"/>
                <w:color w:val="000000"/>
                <w:sz w:val="20"/>
              </w:rPr>
              <w:t>
РЕЗУЛЬТАТЫ ОЦЕНКИ ЭФФЕКТИВНОСТИ:</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РЕЗУЛЬТАТЫ ОЦЕНКИ БЕЗОПАСНОСТИ:</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Дата отчета:</w:t>
            </w:r>
          </w:p>
          <w:p>
            <w:pPr>
              <w:spacing w:after="20"/>
              <w:ind w:left="20"/>
              <w:jc w:val="both"/>
            </w:pP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Правилам надлежащей</w:t>
            </w:r>
            <w:r>
              <w:br/>
            </w:r>
            <w:r>
              <w:rPr>
                <w:rFonts w:ascii="Times New Roman"/>
                <w:b w:val="false"/>
                <w:i w:val="false"/>
                <w:color w:val="000000"/>
                <w:sz w:val="20"/>
              </w:rPr>
              <w:t>клинической практики Евразийского</w:t>
            </w:r>
            <w:r>
              <w:br/>
            </w:r>
            <w:r>
              <w:rPr>
                <w:rFonts w:ascii="Times New Roman"/>
                <w:b w:val="false"/>
                <w:i w:val="false"/>
                <w:color w:val="000000"/>
                <w:sz w:val="20"/>
              </w:rPr>
              <w:t>экономического союза</w:t>
            </w:r>
          </w:p>
        </w:tc>
      </w:tr>
    </w:tbl>
    <w:bookmarkStart w:name="z952" w:id="1068"/>
    <w:p>
      <w:pPr>
        <w:spacing w:after="0"/>
        <w:ind w:left="0"/>
        <w:jc w:val="left"/>
      </w:pPr>
      <w:r>
        <w:rPr>
          <w:rFonts w:ascii="Times New Roman"/>
          <w:b/>
          <w:i w:val="false"/>
          <w:color w:val="000000"/>
        </w:rPr>
        <w:t xml:space="preserve"> ФОРМА</w:t>
      </w:r>
      <w:r>
        <w:br/>
      </w:r>
      <w:r>
        <w:rPr>
          <w:rFonts w:ascii="Times New Roman"/>
          <w:b/>
          <w:i w:val="false"/>
          <w:color w:val="000000"/>
        </w:rPr>
        <w:t>страницы подписи главного исследователя или</w:t>
      </w:r>
      <w:r>
        <w:br/>
      </w:r>
      <w:r>
        <w:rPr>
          <w:rFonts w:ascii="Times New Roman"/>
          <w:b/>
          <w:i w:val="false"/>
          <w:color w:val="000000"/>
        </w:rPr>
        <w:t>исследователя-координатора</w:t>
      </w:r>
    </w:p>
    <w:bookmarkEnd w:id="10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ГЛАВНОГО ИССЛЕДОВАТЕЛЯ</w:t>
            </w:r>
          </w:p>
          <w:p>
            <w:pPr>
              <w:spacing w:after="20"/>
              <w:ind w:left="20"/>
              <w:jc w:val="both"/>
            </w:pPr>
            <w:r>
              <w:rPr>
                <w:rFonts w:ascii="Times New Roman"/>
                <w:b w:val="false"/>
                <w:i w:val="false"/>
                <w:color w:val="000000"/>
                <w:sz w:val="20"/>
              </w:rPr>
              <w:t>
ИЛИ ИССЛЕДОВАТЕЛЯ-КООРДИНАТОРА</w:t>
            </w:r>
          </w:p>
          <w:p>
            <w:pPr>
              <w:spacing w:after="20"/>
              <w:ind w:left="20"/>
              <w:jc w:val="both"/>
            </w:pPr>
            <w:r>
              <w:rPr>
                <w:rFonts w:ascii="Times New Roman"/>
                <w:b w:val="false"/>
                <w:i w:val="false"/>
                <w:color w:val="000000"/>
                <w:sz w:val="20"/>
              </w:rPr>
              <w:t>
ИЛИ ОТВЕТСТВЕННОГО МЕДИЦИНСКОГО</w:t>
            </w:r>
          </w:p>
          <w:p>
            <w:pPr>
              <w:spacing w:after="20"/>
              <w:ind w:left="20"/>
              <w:jc w:val="both"/>
            </w:pPr>
            <w:r>
              <w:rPr>
                <w:rFonts w:ascii="Times New Roman"/>
                <w:b w:val="false"/>
                <w:i w:val="false"/>
                <w:color w:val="000000"/>
                <w:sz w:val="20"/>
              </w:rPr>
              <w:t>
СПЕЦИАЛИСТА СПОНСОРА</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НАЗВАНИЕ ИССЛЕДОВАНИЯ: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ИСПОЛНИТЕЛЬ ИССЛЕДОВАНИЯ: ………………………………………</w:t>
            </w:r>
          </w:p>
          <w:p>
            <w:pPr>
              <w:spacing w:after="20"/>
              <w:ind w:left="20"/>
              <w:jc w:val="both"/>
            </w:pPr>
            <w:r>
              <w:rPr>
                <w:rFonts w:ascii="Times New Roman"/>
                <w:b w:val="false"/>
                <w:i w:val="false"/>
                <w:color w:val="000000"/>
                <w:sz w:val="20"/>
              </w:rPr>
              <w:t>
Я прочитал настоящий отчет и, основываясь на моем знании данного исследования, настоящим подтверждаю, что в нем правильно изложены процедуры проведения исследования и его результаты.</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ИССЛЕДОВАТЕЛЬ: ________________ ПОДПИСЬ ___________________</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ИЛИ ОТВЕТСТВЕННЫЙ</w:t>
            </w:r>
          </w:p>
          <w:p>
            <w:pPr>
              <w:spacing w:after="20"/>
              <w:ind w:left="20"/>
              <w:jc w:val="both"/>
            </w:pPr>
            <w:r>
              <w:rPr>
                <w:rFonts w:ascii="Times New Roman"/>
                <w:b w:val="false"/>
                <w:i w:val="false"/>
                <w:color w:val="000000"/>
                <w:sz w:val="20"/>
              </w:rPr>
              <w:t>
МЕДИЦИНСКИЙ СПЕЦИАЛИСТ</w:t>
            </w:r>
          </w:p>
          <w:p>
            <w:pPr>
              <w:spacing w:after="20"/>
              <w:ind w:left="20"/>
              <w:jc w:val="both"/>
            </w:pPr>
            <w:r>
              <w:rPr>
                <w:rFonts w:ascii="Times New Roman"/>
                <w:b w:val="false"/>
                <w:i w:val="false"/>
                <w:color w:val="000000"/>
                <w:sz w:val="20"/>
              </w:rPr>
              <w:t>
СПОНСОРА</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ВЛАДЕЛЕЦ ОТЧЕТА: ____________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ДАТА:           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Правилам надлежащей</w:t>
            </w:r>
            <w:r>
              <w:br/>
            </w:r>
            <w:r>
              <w:rPr>
                <w:rFonts w:ascii="Times New Roman"/>
                <w:b w:val="false"/>
                <w:i w:val="false"/>
                <w:color w:val="000000"/>
                <w:sz w:val="20"/>
              </w:rPr>
              <w:t>клинической практики Евразийского</w:t>
            </w:r>
            <w:r>
              <w:br/>
            </w:r>
            <w:r>
              <w:rPr>
                <w:rFonts w:ascii="Times New Roman"/>
                <w:b w:val="false"/>
                <w:i w:val="false"/>
                <w:color w:val="000000"/>
                <w:sz w:val="20"/>
              </w:rPr>
              <w:t>экономического союза</w:t>
            </w:r>
          </w:p>
        </w:tc>
      </w:tr>
    </w:tbl>
    <w:bookmarkStart w:name="z961" w:id="1069"/>
    <w:p>
      <w:pPr>
        <w:spacing w:after="0"/>
        <w:ind w:left="0"/>
        <w:jc w:val="left"/>
      </w:pPr>
      <w:r>
        <w:rPr>
          <w:rFonts w:ascii="Times New Roman"/>
          <w:b/>
          <w:i w:val="false"/>
          <w:color w:val="000000"/>
        </w:rPr>
        <w:t xml:space="preserve"> ФОРМЫ</w:t>
      </w:r>
      <w:r>
        <w:br/>
      </w:r>
      <w:r>
        <w:rPr>
          <w:rFonts w:ascii="Times New Roman"/>
          <w:b/>
          <w:i w:val="false"/>
          <w:color w:val="000000"/>
        </w:rPr>
        <w:t>плана и дизайна клинического исследования</w:t>
      </w:r>
      <w:r>
        <w:br/>
      </w:r>
      <w:r>
        <w:rPr>
          <w:rFonts w:ascii="Times New Roman"/>
          <w:b/>
          <w:i w:val="false"/>
          <w:color w:val="000000"/>
        </w:rPr>
        <w:t xml:space="preserve">I. План клинического исследования и график его оценки  </w:t>
      </w:r>
    </w:p>
    <w:bookmarkEnd w:id="1069"/>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63900"/>
                    </a:xfrm>
                    <a:prstGeom prst="rect">
                      <a:avLst/>
                    </a:prstGeom>
                  </pic:spPr>
                </pic:pic>
              </a:graphicData>
            </a:graphic>
          </wp:inline>
        </w:drawing>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Недели</w:t>
            </w:r>
          </w:p>
          <w:p>
            <w:pPr>
              <w:spacing w:after="20"/>
              <w:ind w:left="20"/>
              <w:jc w:val="both"/>
            </w:pPr>
            <w:r>
              <w:rPr>
                <w:rFonts w:ascii="Times New Roman"/>
                <w:b w:val="false"/>
                <w:i w:val="false"/>
                <w:color w:val="000000"/>
                <w:sz w:val="20"/>
              </w:rPr>
              <w:t>
Визит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 физической нагрузкой 24 ч</w:t>
            </w:r>
          </w:p>
          <w:p>
            <w:pPr>
              <w:spacing w:after="20"/>
              <w:ind w:left="20"/>
              <w:jc w:val="both"/>
            </w:pPr>
            <w:r>
              <w:rPr>
                <w:rFonts w:ascii="Times New Roman"/>
                <w:b w:val="false"/>
                <w:i w:val="false"/>
                <w:color w:val="000000"/>
                <w:sz w:val="20"/>
              </w:rPr>
              <w:t>
Медицинский анамнез</w:t>
            </w:r>
          </w:p>
          <w:p>
            <w:pPr>
              <w:spacing w:after="20"/>
              <w:ind w:left="20"/>
              <w:jc w:val="both"/>
            </w:pPr>
            <w:r>
              <w:rPr>
                <w:rFonts w:ascii="Times New Roman"/>
                <w:b w:val="false"/>
                <w:i w:val="false"/>
                <w:color w:val="000000"/>
                <w:sz w:val="20"/>
              </w:rPr>
              <w:t>
Физикальное обследование</w:t>
            </w:r>
          </w:p>
          <w:p>
            <w:pPr>
              <w:spacing w:after="20"/>
              <w:ind w:left="20"/>
              <w:jc w:val="both"/>
            </w:pPr>
            <w:r>
              <w:rPr>
                <w:rFonts w:ascii="Times New Roman"/>
                <w:b w:val="false"/>
                <w:i w:val="false"/>
                <w:color w:val="000000"/>
                <w:sz w:val="20"/>
              </w:rPr>
              <w:t>
ЭКГ</w:t>
            </w:r>
          </w:p>
          <w:p>
            <w:pPr>
              <w:spacing w:after="20"/>
              <w:ind w:left="20"/>
              <w:jc w:val="both"/>
            </w:pPr>
            <w:r>
              <w:rPr>
                <w:rFonts w:ascii="Times New Roman"/>
                <w:b w:val="false"/>
                <w:i w:val="false"/>
                <w:color w:val="000000"/>
                <w:sz w:val="20"/>
              </w:rPr>
              <w:t>
Лабораторные исследования</w:t>
            </w:r>
          </w:p>
          <w:p>
            <w:pPr>
              <w:spacing w:after="20"/>
              <w:ind w:left="20"/>
              <w:jc w:val="both"/>
            </w:pPr>
            <w:r>
              <w:rPr>
                <w:rFonts w:ascii="Times New Roman"/>
                <w:b w:val="false"/>
                <w:i w:val="false"/>
                <w:color w:val="000000"/>
                <w:sz w:val="20"/>
              </w:rPr>
              <w:t>
Нежелательные явления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Х2</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tc>
      </w:tr>
    </w:tbl>
    <w:bookmarkStart w:name="z965" w:id="1070"/>
    <w:p>
      <w:pPr>
        <w:spacing w:after="0"/>
        <w:ind w:left="0"/>
        <w:jc w:val="both"/>
      </w:pPr>
      <w:r>
        <w:rPr>
          <w:rFonts w:ascii="Times New Roman"/>
          <w:b w:val="false"/>
          <w:i w:val="false"/>
          <w:color w:val="000000"/>
          <w:sz w:val="28"/>
        </w:rPr>
        <w:t>
      1 14-20 дней после визита 1.</w:t>
      </w:r>
    </w:p>
    <w:bookmarkEnd w:id="1070"/>
    <w:bookmarkStart w:name="z966" w:id="1071"/>
    <w:p>
      <w:pPr>
        <w:spacing w:after="0"/>
        <w:ind w:left="0"/>
        <w:jc w:val="both"/>
      </w:pPr>
      <w:r>
        <w:rPr>
          <w:rFonts w:ascii="Times New Roman"/>
          <w:b w:val="false"/>
          <w:i w:val="false"/>
          <w:color w:val="000000"/>
          <w:sz w:val="28"/>
        </w:rPr>
        <w:t>
      2 1-7 дней после первого дня теста с физической нагрузкой.</w:t>
      </w:r>
    </w:p>
    <w:bookmarkEnd w:id="1071"/>
    <w:bookmarkStart w:name="z967" w:id="1072"/>
    <w:p>
      <w:pPr>
        <w:spacing w:after="0"/>
        <w:ind w:left="0"/>
        <w:jc w:val="left"/>
      </w:pPr>
      <w:r>
        <w:rPr>
          <w:rFonts w:ascii="Times New Roman"/>
          <w:b/>
          <w:i w:val="false"/>
          <w:color w:val="000000"/>
        </w:rPr>
        <w:t xml:space="preserve"> II. Дизайн клинического исследования и график его оценки</w:t>
      </w:r>
    </w:p>
    <w:bookmarkEnd w:id="1072"/>
    <w:bookmarkStart w:name="z968" w:id="1073"/>
    <w:p>
      <w:pPr>
        <w:spacing w:after="0"/>
        <w:ind w:left="0"/>
        <w:jc w:val="both"/>
      </w:pPr>
      <w:r>
        <w:rPr>
          <w:rFonts w:ascii="Times New Roman"/>
          <w:b w:val="false"/>
          <w:i w:val="false"/>
          <w:color w:val="000000"/>
          <w:sz w:val="28"/>
        </w:rPr>
        <w:t>
      (форма)</w:t>
      </w:r>
    </w:p>
    <w:bookmarkEnd w:id="10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Информированное согласие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Физикальное обследование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переменная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переменные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Нежелательные явления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тесты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тела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Правилам надлежащей</w:t>
            </w:r>
            <w:r>
              <w:br/>
            </w:r>
            <w:r>
              <w:rPr>
                <w:rFonts w:ascii="Times New Roman"/>
                <w:b w:val="false"/>
                <w:i w:val="false"/>
                <w:color w:val="000000"/>
                <w:sz w:val="20"/>
              </w:rPr>
              <w:t>клинической практики Евразийского</w:t>
            </w:r>
            <w:r>
              <w:br/>
            </w:r>
            <w:r>
              <w:rPr>
                <w:rFonts w:ascii="Times New Roman"/>
                <w:b w:val="false"/>
                <w:i w:val="false"/>
                <w:color w:val="000000"/>
                <w:sz w:val="20"/>
              </w:rPr>
              <w:t>экономического союза</w:t>
            </w:r>
          </w:p>
        </w:tc>
      </w:tr>
    </w:tbl>
    <w:bookmarkStart w:name="z973" w:id="1074"/>
    <w:p>
      <w:pPr>
        <w:spacing w:after="0"/>
        <w:ind w:left="0"/>
        <w:jc w:val="left"/>
      </w:pPr>
      <w:r>
        <w:rPr>
          <w:rFonts w:ascii="Times New Roman"/>
          <w:b/>
          <w:i w:val="false"/>
          <w:color w:val="000000"/>
        </w:rPr>
        <w:t xml:space="preserve"> ФОРМЫ</w:t>
      </w:r>
      <w:r>
        <w:br/>
      </w:r>
      <w:r>
        <w:rPr>
          <w:rFonts w:ascii="Times New Roman"/>
          <w:b/>
          <w:i w:val="false"/>
          <w:color w:val="000000"/>
        </w:rPr>
        <w:t>представления распределения пациентов</w:t>
      </w:r>
    </w:p>
    <w:bookmarkEnd w:id="1074"/>
    <w:bookmarkStart w:name="z976" w:id="1075"/>
    <w:p>
      <w:pPr>
        <w:spacing w:after="0"/>
        <w:ind w:left="0"/>
        <w:jc w:val="both"/>
      </w:pPr>
      <w:r>
        <w:rPr>
          <w:rFonts w:ascii="Times New Roman"/>
          <w:b w:val="false"/>
          <w:i w:val="false"/>
          <w:color w:val="000000"/>
          <w:sz w:val="28"/>
        </w:rPr>
        <w:t>
      Пример 1</w:t>
      </w:r>
    </w:p>
    <w:bookmarkEnd w:id="1075"/>
    <w:bookmarkStart w:name="z977" w:id="1076"/>
    <w:p>
      <w:pPr>
        <w:spacing w:after="0"/>
        <w:ind w:left="0"/>
        <w:jc w:val="both"/>
      </w:pPr>
      <w:r>
        <w:rPr>
          <w:rFonts w:ascii="Times New Roman"/>
          <w:b w:val="false"/>
          <w:i w:val="false"/>
          <w:color w:val="000000"/>
          <w:sz w:val="28"/>
        </w:rPr>
        <w:t>
      Распределение пациентов</w:t>
      </w:r>
    </w:p>
    <w:bookmarkEnd w:id="10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8" w:id="1077"/>
    <w:p>
      <w:pPr>
        <w:spacing w:after="0"/>
        <w:ind w:left="0"/>
        <w:jc w:val="both"/>
      </w:pPr>
      <w:r>
        <w:rPr>
          <w:rFonts w:ascii="Times New Roman"/>
          <w:b w:val="false"/>
          <w:i w:val="false"/>
          <w:color w:val="000000"/>
          <w:sz w:val="28"/>
        </w:rPr>
        <w:t>
      N=1.361</w:t>
      </w:r>
    </w:p>
    <w:bookmarkEnd w:id="1077"/>
    <w:bookmarkStart w:name="z979" w:id="1078"/>
    <w:p>
      <w:pPr>
        <w:spacing w:after="0"/>
        <w:ind w:left="0"/>
        <w:jc w:val="both"/>
      </w:pPr>
      <w:r>
        <w:rPr>
          <w:rFonts w:ascii="Times New Roman"/>
          <w:b w:val="false"/>
          <w:i w:val="false"/>
          <w:color w:val="000000"/>
          <w:sz w:val="28"/>
        </w:rPr>
        <w:t>
      Пациенты, завершившие исследование</w:t>
      </w:r>
    </w:p>
    <w:bookmarkEnd w:id="1078"/>
    <w:bookmarkStart w:name="z980" w:id="1079"/>
    <w:p>
      <w:pPr>
        <w:spacing w:after="0"/>
        <w:ind w:left="0"/>
        <w:jc w:val="both"/>
      </w:pPr>
      <w:r>
        <w:rPr>
          <w:rFonts w:ascii="Times New Roman"/>
          <w:b w:val="false"/>
          <w:i w:val="false"/>
          <w:color w:val="000000"/>
          <w:sz w:val="28"/>
        </w:rPr>
        <w:t>
      Пример 2</w:t>
      </w:r>
    </w:p>
    <w:bookmarkEnd w:id="1079"/>
    <w:bookmarkStart w:name="z981" w:id="1080"/>
    <w:p>
      <w:pPr>
        <w:spacing w:after="0"/>
        <w:ind w:left="0"/>
        <w:jc w:val="both"/>
      </w:pPr>
      <w:r>
        <w:rPr>
          <w:rFonts w:ascii="Times New Roman"/>
          <w:b w:val="false"/>
          <w:i w:val="false"/>
          <w:color w:val="000000"/>
          <w:sz w:val="28"/>
        </w:rPr>
        <w:t>
      Распределение пациентов</w:t>
      </w:r>
    </w:p>
    <w:bookmarkEnd w:id="10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659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5659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r>
              <w:br/>
            </w:r>
            <w:r>
              <w:rPr>
                <w:rFonts w:ascii="Times New Roman"/>
                <w:b w:val="false"/>
                <w:i w:val="false"/>
                <w:color w:val="000000"/>
                <w:sz w:val="20"/>
              </w:rPr>
              <w:t>к Правилам надлежащей</w:t>
            </w:r>
            <w:r>
              <w:br/>
            </w:r>
            <w:r>
              <w:rPr>
                <w:rFonts w:ascii="Times New Roman"/>
                <w:b w:val="false"/>
                <w:i w:val="false"/>
                <w:color w:val="000000"/>
                <w:sz w:val="20"/>
              </w:rPr>
              <w:t>клинической практики Евразийского</w:t>
            </w:r>
            <w:r>
              <w:br/>
            </w:r>
            <w:r>
              <w:rPr>
                <w:rFonts w:ascii="Times New Roman"/>
                <w:b w:val="false"/>
                <w:i w:val="false"/>
                <w:color w:val="000000"/>
                <w:sz w:val="20"/>
              </w:rPr>
              <w:t>экономического союза</w:t>
            </w:r>
          </w:p>
        </w:tc>
      </w:tr>
    </w:tbl>
    <w:bookmarkStart w:name="z986" w:id="1081"/>
    <w:p>
      <w:pPr>
        <w:spacing w:after="0"/>
        <w:ind w:left="0"/>
        <w:jc w:val="left"/>
      </w:pPr>
      <w:r>
        <w:rPr>
          <w:rFonts w:ascii="Times New Roman"/>
          <w:b/>
          <w:i w:val="false"/>
          <w:color w:val="000000"/>
        </w:rPr>
        <w:t xml:space="preserve"> ФОРМА</w:t>
      </w:r>
      <w:r>
        <w:br/>
      </w:r>
      <w:r>
        <w:rPr>
          <w:rFonts w:ascii="Times New Roman"/>
          <w:b/>
          <w:i w:val="false"/>
          <w:color w:val="000000"/>
        </w:rPr>
        <w:t>представления перечня пациентов, досрочно прекративших</w:t>
      </w:r>
      <w:r>
        <w:br/>
      </w:r>
      <w:r>
        <w:rPr>
          <w:rFonts w:ascii="Times New Roman"/>
          <w:b/>
          <w:i w:val="false"/>
          <w:color w:val="000000"/>
        </w:rPr>
        <w:t>прием препарата</w:t>
      </w:r>
    </w:p>
    <w:bookmarkEnd w:id="1081"/>
    <w:bookmarkStart w:name="z991" w:id="1082"/>
    <w:p>
      <w:pPr>
        <w:spacing w:after="0"/>
        <w:ind w:left="0"/>
        <w:jc w:val="both"/>
      </w:pPr>
      <w:r>
        <w:rPr>
          <w:rFonts w:ascii="Times New Roman"/>
          <w:b w:val="false"/>
          <w:i w:val="false"/>
          <w:color w:val="000000"/>
          <w:sz w:val="28"/>
        </w:rPr>
        <w:t>
      Исследование №</w:t>
      </w:r>
    </w:p>
    <w:bookmarkEnd w:id="1082"/>
    <w:p>
      <w:pPr>
        <w:spacing w:after="0"/>
        <w:ind w:left="0"/>
        <w:jc w:val="both"/>
      </w:pPr>
      <w:r>
        <w:rPr>
          <w:rFonts w:ascii="Times New Roman"/>
          <w:b w:val="false"/>
          <w:i w:val="false"/>
          <w:color w:val="000000"/>
          <w:sz w:val="28"/>
        </w:rPr>
        <w:t>
      (Идентификация набора данных)</w:t>
      </w:r>
    </w:p>
    <w:p>
      <w:pPr>
        <w:spacing w:after="0"/>
        <w:ind w:left="0"/>
        <w:jc w:val="both"/>
      </w:pPr>
      <w:r>
        <w:rPr>
          <w:rFonts w:ascii="Times New Roman"/>
          <w:b w:val="false"/>
          <w:i w:val="false"/>
          <w:color w:val="000000"/>
          <w:sz w:val="28"/>
        </w:rPr>
        <w:t>
      Перечень пациентов, досрочно прекративших прием препарата</w:t>
      </w:r>
    </w:p>
    <w:bookmarkStart w:name="z994" w:id="1083"/>
    <w:p>
      <w:pPr>
        <w:spacing w:after="0"/>
        <w:ind w:left="0"/>
        <w:jc w:val="both"/>
      </w:pPr>
      <w:r>
        <w:rPr>
          <w:rFonts w:ascii="Times New Roman"/>
          <w:b w:val="false"/>
          <w:i w:val="false"/>
          <w:color w:val="000000"/>
          <w:sz w:val="28"/>
        </w:rPr>
        <w:t>
      Центр:</w:t>
      </w:r>
    </w:p>
    <w:bookmarkEnd w:id="10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визит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Сопутствующее лечение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прекращения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препарат (экспериментальный препарат)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Нежелательная реакция*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Неэффективность препарата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визит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Сопутствующее лечение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прекращения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сравнения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визит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Сопутствующее лечение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прекращения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Плацебо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95" w:id="1084"/>
    <w:p>
      <w:pPr>
        <w:spacing w:after="0"/>
        <w:ind w:left="0"/>
        <w:jc w:val="both"/>
      </w:pPr>
      <w:r>
        <w:rPr>
          <w:rFonts w:ascii="Times New Roman"/>
          <w:b w:val="false"/>
          <w:i w:val="false"/>
          <w:color w:val="000000"/>
          <w:sz w:val="28"/>
        </w:rPr>
        <w:t>
      (Повторить для других центров)</w:t>
      </w:r>
    </w:p>
    <w:bookmarkEnd w:id="1084"/>
    <w:bookmarkStart w:name="z996" w:id="1085"/>
    <w:p>
      <w:pPr>
        <w:spacing w:after="0"/>
        <w:ind w:left="0"/>
        <w:jc w:val="both"/>
      </w:pPr>
      <w:r>
        <w:rPr>
          <w:rFonts w:ascii="Times New Roman"/>
          <w:b w:val="false"/>
          <w:i w:val="false"/>
          <w:color w:val="000000"/>
          <w:sz w:val="28"/>
        </w:rPr>
        <w:t>
      Примечание: * Специфическая реакция, явившаяся причиной прекращения</w:t>
      </w:r>
    </w:p>
    <w:bookmarkEnd w:id="1085"/>
    <w:bookmarkStart w:name="z997" w:id="1086"/>
    <w:p>
      <w:pPr>
        <w:spacing w:after="0"/>
        <w:ind w:left="0"/>
        <w:jc w:val="both"/>
      </w:pPr>
      <w:r>
        <w:rPr>
          <w:rFonts w:ascii="Times New Roman"/>
          <w:b w:val="false"/>
          <w:i w:val="false"/>
          <w:color w:val="000000"/>
          <w:sz w:val="28"/>
        </w:rPr>
        <w:t>
      приема</w:t>
      </w:r>
    </w:p>
    <w:bookmarkEnd w:id="10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к Правилам надлежащей</w:t>
            </w:r>
            <w:r>
              <w:br/>
            </w:r>
            <w:r>
              <w:rPr>
                <w:rFonts w:ascii="Times New Roman"/>
                <w:b w:val="false"/>
                <w:i w:val="false"/>
                <w:color w:val="000000"/>
                <w:sz w:val="20"/>
              </w:rPr>
              <w:t>клинической практики Евразийского</w:t>
            </w:r>
            <w:r>
              <w:br/>
            </w:r>
            <w:r>
              <w:rPr>
                <w:rFonts w:ascii="Times New Roman"/>
                <w:b w:val="false"/>
                <w:i w:val="false"/>
                <w:color w:val="000000"/>
                <w:sz w:val="20"/>
              </w:rPr>
              <w:t>экономического союза</w:t>
            </w:r>
          </w:p>
        </w:tc>
      </w:tr>
    </w:tbl>
    <w:bookmarkStart w:name="z1002" w:id="1087"/>
    <w:p>
      <w:pPr>
        <w:spacing w:after="0"/>
        <w:ind w:left="0"/>
        <w:jc w:val="left"/>
      </w:pPr>
      <w:r>
        <w:rPr>
          <w:rFonts w:ascii="Times New Roman"/>
          <w:b/>
          <w:i w:val="false"/>
          <w:color w:val="000000"/>
        </w:rPr>
        <w:t xml:space="preserve"> ФОРМА</w:t>
      </w:r>
      <w:r>
        <w:br/>
      </w:r>
      <w:r>
        <w:rPr>
          <w:rFonts w:ascii="Times New Roman"/>
          <w:b/>
          <w:i w:val="false"/>
          <w:color w:val="000000"/>
        </w:rPr>
        <w:t>перечня пациентов и наблюдений,</w:t>
      </w:r>
      <w:r>
        <w:br/>
      </w:r>
      <w:r>
        <w:rPr>
          <w:rFonts w:ascii="Times New Roman"/>
          <w:b/>
          <w:i w:val="false"/>
          <w:color w:val="000000"/>
        </w:rPr>
        <w:t>исключенных из анализа эффективности</w:t>
      </w:r>
    </w:p>
    <w:bookmarkEnd w:id="1087"/>
    <w:bookmarkStart w:name="z1005" w:id="1088"/>
    <w:p>
      <w:pPr>
        <w:spacing w:after="0"/>
        <w:ind w:left="0"/>
        <w:jc w:val="both"/>
      </w:pPr>
      <w:r>
        <w:rPr>
          <w:rFonts w:ascii="Times New Roman"/>
          <w:b w:val="false"/>
          <w:i w:val="false"/>
          <w:color w:val="000000"/>
          <w:sz w:val="28"/>
        </w:rPr>
        <w:t>
      Исследование № (Идентификация набора данных)</w:t>
      </w:r>
    </w:p>
    <w:bookmarkEnd w:id="1088"/>
    <w:p>
      <w:pPr>
        <w:spacing w:after="0"/>
        <w:ind w:left="0"/>
        <w:jc w:val="both"/>
      </w:pPr>
      <w:r>
        <w:rPr>
          <w:rFonts w:ascii="Times New Roman"/>
          <w:b w:val="false"/>
          <w:i w:val="false"/>
          <w:color w:val="000000"/>
          <w:sz w:val="28"/>
        </w:rPr>
        <w:t>
      Перечень пациентов и наблюдений, исключенных из анализа</w:t>
      </w:r>
    </w:p>
    <w:p>
      <w:pPr>
        <w:spacing w:after="0"/>
        <w:ind w:left="0"/>
        <w:jc w:val="both"/>
      </w:pPr>
      <w:r>
        <w:rPr>
          <w:rFonts w:ascii="Times New Roman"/>
          <w:b w:val="false"/>
          <w:i w:val="false"/>
          <w:color w:val="000000"/>
          <w:sz w:val="28"/>
        </w:rPr>
        <w:t>
      эффективности</w:t>
      </w:r>
    </w:p>
    <w:bookmarkStart w:name="z1009" w:id="1089"/>
    <w:p>
      <w:pPr>
        <w:spacing w:after="0"/>
        <w:ind w:left="0"/>
        <w:jc w:val="both"/>
      </w:pPr>
      <w:r>
        <w:rPr>
          <w:rFonts w:ascii="Times New Roman"/>
          <w:b w:val="false"/>
          <w:i w:val="false"/>
          <w:color w:val="000000"/>
          <w:sz w:val="28"/>
        </w:rPr>
        <w:t>
      Центр:</w:t>
      </w:r>
    </w:p>
    <w:bookmarkEnd w:id="10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 из</w:t>
            </w:r>
          </w:p>
          <w:p>
            <w:pPr>
              <w:spacing w:after="20"/>
              <w:ind w:left="20"/>
              <w:jc w:val="both"/>
            </w:pPr>
            <w:r>
              <w:rPr>
                <w:rFonts w:ascii="Times New Roman"/>
                <w:b w:val="false"/>
                <w:i w:val="false"/>
                <w:color w:val="000000"/>
                <w:sz w:val="20"/>
              </w:rPr>
              <w:t>
наблюдения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прекращения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препарат (экспериментальный препарат)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 из наблюдения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прекращения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сравнения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 из наблюдения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прекращения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Плацебо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010" w:id="1090"/>
    <w:p>
      <w:pPr>
        <w:spacing w:after="0"/>
        <w:ind w:left="0"/>
        <w:jc w:val="both"/>
      </w:pPr>
      <w:r>
        <w:rPr>
          <w:rFonts w:ascii="Times New Roman"/>
          <w:b w:val="false"/>
          <w:i w:val="false"/>
          <w:color w:val="000000"/>
          <w:sz w:val="28"/>
        </w:rPr>
        <w:t>
      (Повторить для других центров)</w:t>
      </w:r>
    </w:p>
    <w:bookmarkEnd w:id="1090"/>
    <w:bookmarkStart w:name="z1011" w:id="1091"/>
    <w:p>
      <w:pPr>
        <w:spacing w:after="0"/>
        <w:ind w:left="0"/>
        <w:jc w:val="both"/>
      </w:pPr>
      <w:r>
        <w:rPr>
          <w:rFonts w:ascii="Times New Roman"/>
          <w:b w:val="false"/>
          <w:i w:val="false"/>
          <w:color w:val="000000"/>
          <w:sz w:val="28"/>
        </w:rPr>
        <w:t>
      Справочные таблицы</w:t>
      </w:r>
    </w:p>
    <w:bookmarkEnd w:id="1091"/>
    <w:bookmarkStart w:name="z1012" w:id="1092"/>
    <w:p>
      <w:pPr>
        <w:spacing w:after="0"/>
        <w:ind w:left="0"/>
        <w:jc w:val="both"/>
      </w:pPr>
      <w:r>
        <w:rPr>
          <w:rFonts w:ascii="Times New Roman"/>
          <w:b w:val="false"/>
          <w:i w:val="false"/>
          <w:color w:val="000000"/>
          <w:sz w:val="28"/>
        </w:rPr>
        <w:t>
      Краткое обобщение:</w:t>
      </w:r>
    </w:p>
    <w:bookmarkEnd w:id="1092"/>
    <w:bookmarkStart w:name="z1013" w:id="1093"/>
    <w:p>
      <w:pPr>
        <w:spacing w:after="0"/>
        <w:ind w:left="0"/>
        <w:jc w:val="both"/>
      </w:pPr>
      <w:r>
        <w:rPr>
          <w:rFonts w:ascii="Times New Roman"/>
          <w:b w:val="false"/>
          <w:i w:val="false"/>
          <w:color w:val="000000"/>
          <w:sz w:val="28"/>
        </w:rPr>
        <w:t>
      ПРИЛОЖЕНИЕ № 8</w:t>
      </w:r>
    </w:p>
    <w:bookmarkEnd w:id="1093"/>
    <w:bookmarkStart w:name="z1014" w:id="1094"/>
    <w:p>
      <w:pPr>
        <w:spacing w:after="0"/>
        <w:ind w:left="0"/>
        <w:jc w:val="both"/>
      </w:pPr>
      <w:r>
        <w:rPr>
          <w:rFonts w:ascii="Times New Roman"/>
          <w:b w:val="false"/>
          <w:i w:val="false"/>
          <w:color w:val="000000"/>
          <w:sz w:val="28"/>
        </w:rPr>
        <w:t>
      к Правилам надлежащей</w:t>
      </w:r>
    </w:p>
    <w:bookmarkEnd w:id="1094"/>
    <w:bookmarkStart w:name="z1015" w:id="1095"/>
    <w:p>
      <w:pPr>
        <w:spacing w:after="0"/>
        <w:ind w:left="0"/>
        <w:jc w:val="both"/>
      </w:pPr>
      <w:r>
        <w:rPr>
          <w:rFonts w:ascii="Times New Roman"/>
          <w:b w:val="false"/>
          <w:i w:val="false"/>
          <w:color w:val="000000"/>
          <w:sz w:val="28"/>
        </w:rPr>
        <w:t>
      клинической практики Евразийского</w:t>
      </w:r>
    </w:p>
    <w:bookmarkEnd w:id="1095"/>
    <w:bookmarkStart w:name="z1016" w:id="1096"/>
    <w:p>
      <w:pPr>
        <w:spacing w:after="0"/>
        <w:ind w:left="0"/>
        <w:jc w:val="both"/>
      </w:pPr>
      <w:r>
        <w:rPr>
          <w:rFonts w:ascii="Times New Roman"/>
          <w:b w:val="false"/>
          <w:i w:val="false"/>
          <w:color w:val="000000"/>
          <w:sz w:val="28"/>
        </w:rPr>
        <w:t>
      экономического союза</w:t>
      </w:r>
    </w:p>
    <w:bookmarkEnd w:id="1096"/>
    <w:bookmarkStart w:name="z1017" w:id="1097"/>
    <w:p>
      <w:pPr>
        <w:spacing w:after="0"/>
        <w:ind w:left="0"/>
        <w:jc w:val="left"/>
      </w:pPr>
      <w:r>
        <w:rPr>
          <w:rFonts w:ascii="Times New Roman"/>
          <w:b/>
          <w:i w:val="false"/>
          <w:color w:val="000000"/>
        </w:rPr>
        <w:t xml:space="preserve"> ФОРМА</w:t>
      </w:r>
      <w:r>
        <w:br/>
      </w:r>
      <w:r>
        <w:rPr>
          <w:rFonts w:ascii="Times New Roman"/>
          <w:b/>
          <w:i w:val="false"/>
          <w:color w:val="000000"/>
        </w:rPr>
        <w:t>учета числа пациентов и наблюдений,</w:t>
      </w:r>
      <w:r>
        <w:br/>
      </w:r>
      <w:r>
        <w:rPr>
          <w:rFonts w:ascii="Times New Roman"/>
          <w:b/>
          <w:i w:val="false"/>
          <w:color w:val="000000"/>
        </w:rPr>
        <w:t>исключенных из анализа эффективности</w:t>
      </w:r>
    </w:p>
    <w:bookmarkEnd w:id="1097"/>
    <w:bookmarkStart w:name="z1020" w:id="1098"/>
    <w:p>
      <w:pPr>
        <w:spacing w:after="0"/>
        <w:ind w:left="0"/>
        <w:jc w:val="both"/>
      </w:pPr>
      <w:r>
        <w:rPr>
          <w:rFonts w:ascii="Times New Roman"/>
          <w:b w:val="false"/>
          <w:i w:val="false"/>
          <w:color w:val="000000"/>
          <w:sz w:val="28"/>
        </w:rPr>
        <w:t>
      Исследование №</w:t>
      </w:r>
    </w:p>
    <w:bookmarkEnd w:id="1098"/>
    <w:p>
      <w:pPr>
        <w:spacing w:after="0"/>
        <w:ind w:left="0"/>
        <w:jc w:val="both"/>
      </w:pPr>
      <w:r>
        <w:rPr>
          <w:rFonts w:ascii="Times New Roman"/>
          <w:b w:val="false"/>
          <w:i w:val="false"/>
          <w:color w:val="000000"/>
          <w:sz w:val="28"/>
        </w:rPr>
        <w:t>
      (Идентификация набора данных)</w:t>
      </w:r>
    </w:p>
    <w:p>
      <w:pPr>
        <w:spacing w:after="0"/>
        <w:ind w:left="0"/>
        <w:jc w:val="both"/>
      </w:pPr>
      <w:r>
        <w:rPr>
          <w:rFonts w:ascii="Times New Roman"/>
          <w:b w:val="false"/>
          <w:i w:val="false"/>
          <w:color w:val="000000"/>
          <w:sz w:val="28"/>
        </w:rPr>
        <w:t>
      Число пациентов и наблюдений,</w:t>
      </w:r>
    </w:p>
    <w:p>
      <w:pPr>
        <w:spacing w:after="0"/>
        <w:ind w:left="0"/>
        <w:jc w:val="both"/>
      </w:pPr>
      <w:r>
        <w:rPr>
          <w:rFonts w:ascii="Times New Roman"/>
          <w:b w:val="false"/>
          <w:i w:val="false"/>
          <w:color w:val="000000"/>
          <w:sz w:val="28"/>
        </w:rPr>
        <w:t>
      исключенных из анализа эффективности</w:t>
      </w:r>
    </w:p>
    <w:bookmarkStart w:name="z1024" w:id="1099"/>
    <w:p>
      <w:pPr>
        <w:spacing w:after="0"/>
        <w:ind w:left="0"/>
        <w:jc w:val="both"/>
      </w:pPr>
      <w:r>
        <w:rPr>
          <w:rFonts w:ascii="Times New Roman"/>
          <w:b w:val="false"/>
          <w:i w:val="false"/>
          <w:color w:val="000000"/>
          <w:sz w:val="28"/>
        </w:rPr>
        <w:t>
      Исследуемый препарат (экспериментальный препарат) N =</w:t>
      </w:r>
    </w:p>
    <w:bookmarkEnd w:id="1099"/>
    <w:bookmarkStart w:name="z1025" w:id="1100"/>
    <w:p>
      <w:pPr>
        <w:spacing w:after="0"/>
        <w:ind w:left="0"/>
        <w:jc w:val="both"/>
      </w:pPr>
      <w:r>
        <w:rPr>
          <w:rFonts w:ascii="Times New Roman"/>
          <w:b w:val="false"/>
          <w:i w:val="false"/>
          <w:color w:val="000000"/>
          <w:sz w:val="28"/>
        </w:rPr>
        <w:t>
      Неделя</w:t>
      </w:r>
    </w:p>
    <w:bookmarkEnd w:id="11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278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278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6" w:id="1101"/>
    <w:p>
      <w:pPr>
        <w:spacing w:after="0"/>
        <w:ind w:left="0"/>
        <w:jc w:val="both"/>
      </w:pPr>
      <w:r>
        <w:rPr>
          <w:rFonts w:ascii="Times New Roman"/>
          <w:b w:val="false"/>
          <w:i w:val="false"/>
          <w:color w:val="000000"/>
          <w:sz w:val="28"/>
        </w:rPr>
        <w:t>
      Аналогичные таблицы должны быть подготовлены для других групп лечения.</w:t>
      </w:r>
    </w:p>
    <w:bookmarkEnd w:id="1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9</w:t>
            </w:r>
            <w:r>
              <w:br/>
            </w:r>
            <w:r>
              <w:rPr>
                <w:rFonts w:ascii="Times New Roman"/>
                <w:b w:val="false"/>
                <w:i w:val="false"/>
                <w:color w:val="000000"/>
                <w:sz w:val="20"/>
              </w:rPr>
              <w:t>к Правилам надлежащей</w:t>
            </w:r>
            <w:r>
              <w:br/>
            </w:r>
            <w:r>
              <w:rPr>
                <w:rFonts w:ascii="Times New Roman"/>
                <w:b w:val="false"/>
                <w:i w:val="false"/>
                <w:color w:val="000000"/>
                <w:sz w:val="20"/>
              </w:rPr>
              <w:t>клинической практики Евразийского</w:t>
            </w:r>
            <w:r>
              <w:br/>
            </w:r>
            <w:r>
              <w:rPr>
                <w:rFonts w:ascii="Times New Roman"/>
                <w:b w:val="false"/>
                <w:i w:val="false"/>
                <w:color w:val="000000"/>
                <w:sz w:val="20"/>
              </w:rPr>
              <w:t>экономического союза</w:t>
            </w:r>
          </w:p>
        </w:tc>
      </w:tr>
    </w:tbl>
    <w:bookmarkStart w:name="z1031" w:id="1102"/>
    <w:p>
      <w:pPr>
        <w:spacing w:after="0"/>
        <w:ind w:left="0"/>
        <w:jc w:val="left"/>
      </w:pPr>
      <w:r>
        <w:rPr>
          <w:rFonts w:ascii="Times New Roman"/>
          <w:b/>
          <w:i w:val="false"/>
          <w:color w:val="000000"/>
        </w:rPr>
        <w:t xml:space="preserve"> ТРЕБОВАНИЯ</w:t>
      </w:r>
      <w:r>
        <w:br/>
      </w:r>
      <w:r>
        <w:rPr>
          <w:rFonts w:ascii="Times New Roman"/>
          <w:b/>
          <w:i w:val="false"/>
          <w:color w:val="000000"/>
        </w:rPr>
        <w:t>к разделу 11.4.2 "статистические (аналитические) вопросы"</w:t>
      </w:r>
      <w:r>
        <w:br/>
      </w:r>
      <w:r>
        <w:rPr>
          <w:rFonts w:ascii="Times New Roman"/>
          <w:b/>
          <w:i w:val="false"/>
          <w:color w:val="000000"/>
        </w:rPr>
        <w:t>отчета о клиническом исследовании и приложения 16.1.9 к отчету</w:t>
      </w:r>
      <w:r>
        <w:br/>
      </w:r>
      <w:r>
        <w:rPr>
          <w:rFonts w:ascii="Times New Roman"/>
          <w:b/>
          <w:i w:val="false"/>
          <w:color w:val="000000"/>
        </w:rPr>
        <w:t>о клиническом исследовании</w:t>
      </w:r>
      <w:r>
        <w:br/>
      </w:r>
      <w:r>
        <w:rPr>
          <w:rFonts w:ascii="Times New Roman"/>
          <w:b/>
          <w:i w:val="false"/>
          <w:color w:val="000000"/>
        </w:rPr>
        <w:t>I. Статистический анализ</w:t>
      </w:r>
    </w:p>
    <w:bookmarkEnd w:id="1102"/>
    <w:bookmarkStart w:name="z1036" w:id="1103"/>
    <w:p>
      <w:pPr>
        <w:spacing w:after="0"/>
        <w:ind w:left="0"/>
        <w:jc w:val="both"/>
      </w:pPr>
      <w:r>
        <w:rPr>
          <w:rFonts w:ascii="Times New Roman"/>
          <w:b w:val="false"/>
          <w:i w:val="false"/>
          <w:color w:val="000000"/>
          <w:sz w:val="28"/>
        </w:rPr>
        <w:t>
      1. В приложении необходимо представить подробное описание статистического анализа каждой первичной переменной эффективности. Минимальные требования к детализированному отчету:</w:t>
      </w:r>
    </w:p>
    <w:bookmarkEnd w:id="1103"/>
    <w:bookmarkStart w:name="z1037" w:id="1104"/>
    <w:p>
      <w:pPr>
        <w:spacing w:after="0"/>
        <w:ind w:left="0"/>
        <w:jc w:val="both"/>
      </w:pPr>
      <w:r>
        <w:rPr>
          <w:rFonts w:ascii="Times New Roman"/>
          <w:b w:val="false"/>
          <w:i w:val="false"/>
          <w:color w:val="000000"/>
          <w:sz w:val="28"/>
        </w:rPr>
        <w:t>
      а) статистическая модель, лежащая в основе анализа. Она подлежит точному и полному описанию, при необходимости со ссылками на литературу;</w:t>
      </w:r>
    </w:p>
    <w:bookmarkEnd w:id="1104"/>
    <w:bookmarkStart w:name="z1038" w:id="1105"/>
    <w:p>
      <w:pPr>
        <w:spacing w:after="0"/>
        <w:ind w:left="0"/>
        <w:jc w:val="both"/>
      </w:pPr>
      <w:r>
        <w:rPr>
          <w:rFonts w:ascii="Times New Roman"/>
          <w:b w:val="false"/>
          <w:i w:val="false"/>
          <w:color w:val="000000"/>
          <w:sz w:val="28"/>
        </w:rPr>
        <w:t>
      б) формулировка исследуемого клинического предположения, выраженная в конкретных статистических терминах, например, в форме нулевой и альтернативной гипотез;</w:t>
      </w:r>
    </w:p>
    <w:bookmarkEnd w:id="1105"/>
    <w:bookmarkStart w:name="z1039" w:id="1106"/>
    <w:p>
      <w:pPr>
        <w:spacing w:after="0"/>
        <w:ind w:left="0"/>
        <w:jc w:val="both"/>
      </w:pPr>
      <w:r>
        <w:rPr>
          <w:rFonts w:ascii="Times New Roman"/>
          <w:b w:val="false"/>
          <w:i w:val="false"/>
          <w:color w:val="000000"/>
          <w:sz w:val="28"/>
        </w:rPr>
        <w:t>
      в) статистические методы, использованные для оценки эффекта, построения доверительных интервалов и др. В соответствующих случаях необходимо указывать ссылки на литературу;</w:t>
      </w:r>
    </w:p>
    <w:bookmarkEnd w:id="1106"/>
    <w:bookmarkStart w:name="z1040" w:id="1107"/>
    <w:p>
      <w:pPr>
        <w:spacing w:after="0"/>
        <w:ind w:left="0"/>
        <w:jc w:val="both"/>
      </w:pPr>
      <w:r>
        <w:rPr>
          <w:rFonts w:ascii="Times New Roman"/>
          <w:b w:val="false"/>
          <w:i w:val="false"/>
          <w:color w:val="000000"/>
          <w:sz w:val="28"/>
        </w:rPr>
        <w:t>
      г) допущения, лежащие в основе статистических методов. Необходимо, насколько это позволяют статистические выкладки, показать, что данные удовлетворяют ключевым допущениям, особенно при необходимости подтверждения обоснованности заключений. Если заявителем проведены обширные статистические анализы, необходимо рассмотреть степень их соответствия запланированным до получения результатов исследования, и, если они не соответствуют друг другу, необходимо описать, каким образом при построении выводов в целях исключения субъективной ошибки (субъективности) были выбраны конкретные виды анализа. Это особенно важно для анализов подгрупп, поскольку если они не были запланированы, подобные анализы, как правило, не обеспечивают надежных оснований для однозначных выводов. При этом:</w:t>
      </w:r>
    </w:p>
    <w:bookmarkEnd w:id="1107"/>
    <w:bookmarkStart w:name="z1041" w:id="1108"/>
    <w:p>
      <w:pPr>
        <w:spacing w:after="0"/>
        <w:ind w:left="0"/>
        <w:jc w:val="both"/>
      </w:pPr>
      <w:r>
        <w:rPr>
          <w:rFonts w:ascii="Times New Roman"/>
          <w:b w:val="false"/>
          <w:i w:val="false"/>
          <w:color w:val="000000"/>
          <w:sz w:val="28"/>
        </w:rPr>
        <w:t>
      если данные о событиях подвергались преобразованию, следует представить обоснование необходимости преобразования данных, а также интерпретацию оценок эффектов лечения, основанных на преобразованных данных;</w:t>
      </w:r>
    </w:p>
    <w:bookmarkEnd w:id="1108"/>
    <w:bookmarkStart w:name="z1042" w:id="1109"/>
    <w:p>
      <w:pPr>
        <w:spacing w:after="0"/>
        <w:ind w:left="0"/>
        <w:jc w:val="both"/>
      </w:pPr>
      <w:r>
        <w:rPr>
          <w:rFonts w:ascii="Times New Roman"/>
          <w:b w:val="false"/>
          <w:i w:val="false"/>
          <w:color w:val="000000"/>
          <w:sz w:val="28"/>
        </w:rPr>
        <w:t>
      обсуждение правильности выбора статистических процедур и обоснованность статистических заключений будут являться отправной точкой для статистика уполномоченного органа при определении необходимости повторного анализа данных;</w:t>
      </w:r>
    </w:p>
    <w:bookmarkEnd w:id="1109"/>
    <w:bookmarkStart w:name="z1043" w:id="1110"/>
    <w:p>
      <w:pPr>
        <w:spacing w:after="0"/>
        <w:ind w:left="0"/>
        <w:jc w:val="both"/>
      </w:pPr>
      <w:r>
        <w:rPr>
          <w:rFonts w:ascii="Times New Roman"/>
          <w:b w:val="false"/>
          <w:i w:val="false"/>
          <w:color w:val="000000"/>
          <w:sz w:val="28"/>
        </w:rPr>
        <w:t>
      д) критерий значимости, выборочное распределение критерия значимости при справедливости нулевой гипотезы, значения критерия значимости, уровень значимости (т.е. p-значение) и промежуточные сводные данные в формате, позволяющем статистику уполномоченного органа быстро и легко верифицировать результаты анализа. Необходимо указать, являются ли p-значения одно- или двусторонними. Необходимо представить обоснования использования односторонних критериев;</w:t>
      </w:r>
    </w:p>
    <w:bookmarkEnd w:id="1110"/>
    <w:bookmarkStart w:name="z1044" w:id="1111"/>
    <w:p>
      <w:pPr>
        <w:spacing w:after="0"/>
        <w:ind w:left="0"/>
        <w:jc w:val="both"/>
      </w:pPr>
      <w:r>
        <w:rPr>
          <w:rFonts w:ascii="Times New Roman"/>
          <w:b w:val="false"/>
          <w:i w:val="false"/>
          <w:color w:val="000000"/>
          <w:sz w:val="28"/>
        </w:rPr>
        <w:t>
      е) анализ, основанный на применении критерия Стьюдента (t-критерий) должен содержать значения t-статистики, связанные с ней степени свободы, p-значение, величины двух выборок (групп), среднее и дисперсию каждой из выборок, объединенную оценку дисперсии. Документация многоцентровых исследований, проанализированная с помощью дисперсионного анализа должна включать следующие минимальные сведения: таблицу дисперсионного анализа с выделением центров, лекарственных препаратов, эффекта взаимодействия этих факторов, остаточную и общую дисперсии. Для исследований с перекрестным дизайном документация должна включать сведения о последовательностях включения пациентов, пациентах внутри последовательностей, исходных значениях в начале каждого периода, отмывке и длительности отмывки, выпадениях в течение каждого периода, лекарственных препаратах, периодах, дисперсии, обусловленной взаимодействием этих факторов (лекарственных препаратов и периодов), остаточной и общей дисперсиях. Для каждого источника изменчивости, исключая общую дисперсию, в таблице необходимо указать степени свободы, сумму квадратов, среднее квадратичное, соответствующий критерий F, p-значение и среднее значение суммы квадратов;</w:t>
      </w:r>
    </w:p>
    <w:bookmarkEnd w:id="1111"/>
    <w:bookmarkStart w:name="z1045" w:id="1112"/>
    <w:p>
      <w:pPr>
        <w:spacing w:after="0"/>
        <w:ind w:left="0"/>
        <w:jc w:val="both"/>
      </w:pPr>
      <w:r>
        <w:rPr>
          <w:rFonts w:ascii="Times New Roman"/>
          <w:b w:val="false"/>
          <w:i w:val="false"/>
          <w:color w:val="000000"/>
          <w:sz w:val="28"/>
        </w:rPr>
        <w:t>
      ж) в каждый момент наблюдений промежуточные сводные данные должны отражать демографические характеристики и данные, содержащие ответы на лечение (усредненные или сгруппированные иным образом) по каждой комбинации "центр-вид лечения" (или другому элементу дизайна, например, последовательности).</w:t>
      </w:r>
    </w:p>
    <w:bookmarkEnd w:id="1112"/>
    <w:bookmarkStart w:name="z1046" w:id="1113"/>
    <w:p>
      <w:pPr>
        <w:spacing w:after="0"/>
        <w:ind w:left="0"/>
        <w:jc w:val="left"/>
      </w:pPr>
      <w:r>
        <w:rPr>
          <w:rFonts w:ascii="Times New Roman"/>
          <w:b/>
          <w:i w:val="false"/>
          <w:color w:val="000000"/>
        </w:rPr>
        <w:t xml:space="preserve"> II. Формат и содержание требуемой информации, подаваемой по</w:t>
      </w:r>
      <w:r>
        <w:br/>
      </w:r>
      <w:r>
        <w:rPr>
          <w:rFonts w:ascii="Times New Roman"/>
          <w:b/>
          <w:i w:val="false"/>
          <w:color w:val="000000"/>
        </w:rPr>
        <w:t>запросу эксперта-статистика уполномоченного органа.</w:t>
      </w:r>
    </w:p>
    <w:bookmarkEnd w:id="1113"/>
    <w:bookmarkStart w:name="z1048" w:id="1114"/>
    <w:p>
      <w:pPr>
        <w:spacing w:after="0"/>
        <w:ind w:left="0"/>
        <w:jc w:val="both"/>
      </w:pPr>
      <w:r>
        <w:rPr>
          <w:rFonts w:ascii="Times New Roman"/>
          <w:b w:val="false"/>
          <w:i w:val="false"/>
          <w:color w:val="000000"/>
          <w:sz w:val="28"/>
        </w:rPr>
        <w:t>
      2. В отчете каждого контролируемого клинического исследования необходимо указывать перечни данных (табличные) о пациентах, использованных спонсором в статистических анализах, и таблицы, подтверждающие выводы и основные находки. Эти перечни данных требуются статистику уполномоченного органа, поэтому уполномоченные органы вправе запросить у спонсора представить эти перечни в электронном виде.</w:t>
      </w:r>
    </w:p>
    <w:bookmarkEnd w:id="1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10</w:t>
            </w:r>
            <w:r>
              <w:br/>
            </w:r>
            <w:r>
              <w:rPr>
                <w:rFonts w:ascii="Times New Roman"/>
                <w:b w:val="false"/>
                <w:i w:val="false"/>
                <w:color w:val="000000"/>
                <w:sz w:val="20"/>
              </w:rPr>
              <w:t>к Правилам надлежащей</w:t>
            </w:r>
            <w:r>
              <w:br/>
            </w:r>
            <w:r>
              <w:rPr>
                <w:rFonts w:ascii="Times New Roman"/>
                <w:b w:val="false"/>
                <w:i w:val="false"/>
                <w:color w:val="000000"/>
                <w:sz w:val="20"/>
              </w:rPr>
              <w:t>клинической практики Евразийского</w:t>
            </w:r>
            <w:r>
              <w:br/>
            </w:r>
            <w:r>
              <w:rPr>
                <w:rFonts w:ascii="Times New Roman"/>
                <w:b w:val="false"/>
                <w:i w:val="false"/>
                <w:color w:val="000000"/>
                <w:sz w:val="20"/>
              </w:rPr>
              <w:t>экономического союза</w:t>
            </w:r>
          </w:p>
        </w:tc>
      </w:tr>
    </w:tbl>
    <w:bookmarkStart w:name="z1053" w:id="1115"/>
    <w:p>
      <w:pPr>
        <w:spacing w:after="0"/>
        <w:ind w:left="0"/>
        <w:jc w:val="left"/>
      </w:pPr>
      <w:r>
        <w:rPr>
          <w:rFonts w:ascii="Times New Roman"/>
          <w:b/>
          <w:i w:val="false"/>
          <w:color w:val="000000"/>
        </w:rPr>
        <w:t xml:space="preserve"> ПЕРЕЧЕНЬ</w:t>
      </w:r>
      <w:r>
        <w:br/>
      </w:r>
      <w:r>
        <w:rPr>
          <w:rFonts w:ascii="Times New Roman"/>
          <w:b/>
          <w:i w:val="false"/>
          <w:color w:val="000000"/>
        </w:rPr>
        <w:t>поправок к разделам клинического исследования, которые</w:t>
      </w:r>
      <w:r>
        <w:br/>
      </w:r>
      <w:r>
        <w:rPr>
          <w:rFonts w:ascii="Times New Roman"/>
          <w:b/>
          <w:i w:val="false"/>
          <w:color w:val="000000"/>
        </w:rPr>
        <w:t>рассматриваются как существенные</w:t>
      </w:r>
    </w:p>
    <w:bookmarkEnd w:id="1115"/>
    <w:bookmarkStart w:name="z1056" w:id="1116"/>
    <w:p>
      <w:pPr>
        <w:spacing w:after="0"/>
        <w:ind w:left="0"/>
        <w:jc w:val="both"/>
      </w:pPr>
      <w:r>
        <w:rPr>
          <w:rFonts w:ascii="Times New Roman"/>
          <w:b w:val="false"/>
          <w:i w:val="false"/>
          <w:color w:val="000000"/>
          <w:sz w:val="28"/>
        </w:rPr>
        <w:t>
      1. В случае внесения изменений в разделы протокола клинического исследования спонсор для рассмотрения поправки в качестве существенной дает оценку значимости поправки в отношении риска и ожидаемой пользы для пациента исследования, а также научной ценности исследования.</w:t>
      </w:r>
    </w:p>
    <w:bookmarkEnd w:id="1116"/>
    <w:bookmarkStart w:name="z1057" w:id="1117"/>
    <w:p>
      <w:pPr>
        <w:spacing w:after="0"/>
        <w:ind w:left="0"/>
        <w:jc w:val="both"/>
      </w:pPr>
      <w:r>
        <w:rPr>
          <w:rFonts w:ascii="Times New Roman"/>
          <w:b w:val="false"/>
          <w:i w:val="false"/>
          <w:color w:val="000000"/>
          <w:sz w:val="28"/>
        </w:rPr>
        <w:t>
      2. Поправки к разделам клинического исследования считаются существенными, если они могут повлиять на:</w:t>
      </w:r>
    </w:p>
    <w:bookmarkEnd w:id="1117"/>
    <w:bookmarkStart w:name="z1058" w:id="1118"/>
    <w:p>
      <w:pPr>
        <w:spacing w:after="0"/>
        <w:ind w:left="0"/>
        <w:jc w:val="both"/>
      </w:pPr>
      <w:r>
        <w:rPr>
          <w:rFonts w:ascii="Times New Roman"/>
          <w:b w:val="false"/>
          <w:i w:val="false"/>
          <w:color w:val="000000"/>
          <w:sz w:val="28"/>
        </w:rPr>
        <w:t>
      а) безопасность или физическое либо психическое благополучие пациента;</w:t>
      </w:r>
    </w:p>
    <w:bookmarkEnd w:id="1118"/>
    <w:bookmarkStart w:name="z1059" w:id="1119"/>
    <w:p>
      <w:pPr>
        <w:spacing w:after="0"/>
        <w:ind w:left="0"/>
        <w:jc w:val="both"/>
      </w:pPr>
      <w:r>
        <w:rPr>
          <w:rFonts w:ascii="Times New Roman"/>
          <w:b w:val="false"/>
          <w:i w:val="false"/>
          <w:color w:val="000000"/>
          <w:sz w:val="28"/>
        </w:rPr>
        <w:t>
      б) научную ценность исследования.</w:t>
      </w:r>
    </w:p>
    <w:bookmarkEnd w:id="1119"/>
    <w:bookmarkStart w:name="z1060" w:id="1120"/>
    <w:p>
      <w:pPr>
        <w:spacing w:after="0"/>
        <w:ind w:left="0"/>
        <w:jc w:val="both"/>
      </w:pPr>
      <w:r>
        <w:rPr>
          <w:rFonts w:ascii="Times New Roman"/>
          <w:b w:val="false"/>
          <w:i w:val="false"/>
          <w:color w:val="000000"/>
          <w:sz w:val="28"/>
        </w:rPr>
        <w:t>
      3. Существенными поправками к разделам клинического исследования могут являться следующие изменения.</w:t>
      </w:r>
    </w:p>
    <w:bookmarkEnd w:id="1120"/>
    <w:bookmarkStart w:name="z1061" w:id="1121"/>
    <w:p>
      <w:pPr>
        <w:spacing w:after="0"/>
        <w:ind w:left="0"/>
        <w:jc w:val="both"/>
      </w:pPr>
      <w:r>
        <w:rPr>
          <w:rFonts w:ascii="Times New Roman"/>
          <w:b w:val="false"/>
          <w:i w:val="false"/>
          <w:color w:val="000000"/>
          <w:sz w:val="28"/>
        </w:rPr>
        <w:t>
      4. Изменения в протоколе исследования (испытания):</w:t>
      </w:r>
    </w:p>
    <w:bookmarkEnd w:id="1121"/>
    <w:bookmarkStart w:name="z1062" w:id="1122"/>
    <w:p>
      <w:pPr>
        <w:spacing w:after="0"/>
        <w:ind w:left="0"/>
        <w:jc w:val="both"/>
      </w:pPr>
      <w:r>
        <w:rPr>
          <w:rFonts w:ascii="Times New Roman"/>
          <w:b w:val="false"/>
          <w:i w:val="false"/>
          <w:color w:val="000000"/>
          <w:sz w:val="28"/>
        </w:rPr>
        <w:t>
      цель исследования;</w:t>
      </w:r>
    </w:p>
    <w:bookmarkEnd w:id="1122"/>
    <w:bookmarkStart w:name="z1063" w:id="1123"/>
    <w:p>
      <w:pPr>
        <w:spacing w:after="0"/>
        <w:ind w:left="0"/>
        <w:jc w:val="both"/>
      </w:pPr>
      <w:r>
        <w:rPr>
          <w:rFonts w:ascii="Times New Roman"/>
          <w:b w:val="false"/>
          <w:i w:val="false"/>
          <w:color w:val="000000"/>
          <w:sz w:val="28"/>
        </w:rPr>
        <w:t>
      дизайн исследования;</w:t>
      </w:r>
    </w:p>
    <w:bookmarkEnd w:id="1123"/>
    <w:bookmarkStart w:name="z1064" w:id="1124"/>
    <w:p>
      <w:pPr>
        <w:spacing w:after="0"/>
        <w:ind w:left="0"/>
        <w:jc w:val="both"/>
      </w:pPr>
      <w:r>
        <w:rPr>
          <w:rFonts w:ascii="Times New Roman"/>
          <w:b w:val="false"/>
          <w:i w:val="false"/>
          <w:color w:val="000000"/>
          <w:sz w:val="28"/>
        </w:rPr>
        <w:t>
      информированное согласие;</w:t>
      </w:r>
    </w:p>
    <w:bookmarkEnd w:id="1124"/>
    <w:bookmarkStart w:name="z1065" w:id="1125"/>
    <w:p>
      <w:pPr>
        <w:spacing w:after="0"/>
        <w:ind w:left="0"/>
        <w:jc w:val="both"/>
      </w:pPr>
      <w:r>
        <w:rPr>
          <w:rFonts w:ascii="Times New Roman"/>
          <w:b w:val="false"/>
          <w:i w:val="false"/>
          <w:color w:val="000000"/>
          <w:sz w:val="28"/>
        </w:rPr>
        <w:t>
      процедура отбора субъектов (пациентов);</w:t>
      </w:r>
    </w:p>
    <w:bookmarkEnd w:id="1125"/>
    <w:bookmarkStart w:name="z1066" w:id="1126"/>
    <w:p>
      <w:pPr>
        <w:spacing w:after="0"/>
        <w:ind w:left="0"/>
        <w:jc w:val="both"/>
      </w:pPr>
      <w:r>
        <w:rPr>
          <w:rFonts w:ascii="Times New Roman"/>
          <w:b w:val="false"/>
          <w:i w:val="false"/>
          <w:color w:val="000000"/>
          <w:sz w:val="28"/>
        </w:rPr>
        <w:t>
      показатели эффективности;</w:t>
      </w:r>
    </w:p>
    <w:bookmarkEnd w:id="1126"/>
    <w:bookmarkStart w:name="z1067" w:id="1127"/>
    <w:p>
      <w:pPr>
        <w:spacing w:after="0"/>
        <w:ind w:left="0"/>
        <w:jc w:val="both"/>
      </w:pPr>
      <w:r>
        <w:rPr>
          <w:rFonts w:ascii="Times New Roman"/>
          <w:b w:val="false"/>
          <w:i w:val="false"/>
          <w:color w:val="000000"/>
          <w:sz w:val="28"/>
        </w:rPr>
        <w:t>
      схема забора биологических образцов;</w:t>
      </w:r>
    </w:p>
    <w:bookmarkEnd w:id="1127"/>
    <w:bookmarkStart w:name="z1068" w:id="1128"/>
    <w:p>
      <w:pPr>
        <w:spacing w:after="0"/>
        <w:ind w:left="0"/>
        <w:jc w:val="both"/>
      </w:pPr>
      <w:r>
        <w:rPr>
          <w:rFonts w:ascii="Times New Roman"/>
          <w:b w:val="false"/>
          <w:i w:val="false"/>
          <w:color w:val="000000"/>
          <w:sz w:val="28"/>
        </w:rPr>
        <w:t>
      добавление или исключение тестов или показателей;</w:t>
      </w:r>
    </w:p>
    <w:bookmarkEnd w:id="1128"/>
    <w:bookmarkStart w:name="z1069" w:id="1129"/>
    <w:p>
      <w:pPr>
        <w:spacing w:after="0"/>
        <w:ind w:left="0"/>
        <w:jc w:val="both"/>
      </w:pPr>
      <w:r>
        <w:rPr>
          <w:rFonts w:ascii="Times New Roman"/>
          <w:b w:val="false"/>
          <w:i w:val="false"/>
          <w:color w:val="000000"/>
          <w:sz w:val="28"/>
        </w:rPr>
        <w:t>
      количество субъектов (пациентов);</w:t>
      </w:r>
    </w:p>
    <w:bookmarkEnd w:id="1129"/>
    <w:bookmarkStart w:name="z1070" w:id="1130"/>
    <w:p>
      <w:pPr>
        <w:spacing w:after="0"/>
        <w:ind w:left="0"/>
        <w:jc w:val="both"/>
      </w:pPr>
      <w:r>
        <w:rPr>
          <w:rFonts w:ascii="Times New Roman"/>
          <w:b w:val="false"/>
          <w:i w:val="false"/>
          <w:color w:val="000000"/>
          <w:sz w:val="28"/>
        </w:rPr>
        <w:t>
      возрастной диапазон субъектов (пациентов);</w:t>
      </w:r>
    </w:p>
    <w:bookmarkEnd w:id="1130"/>
    <w:bookmarkStart w:name="z1071" w:id="1131"/>
    <w:p>
      <w:pPr>
        <w:spacing w:after="0"/>
        <w:ind w:left="0"/>
        <w:jc w:val="both"/>
      </w:pPr>
      <w:r>
        <w:rPr>
          <w:rFonts w:ascii="Times New Roman"/>
          <w:b w:val="false"/>
          <w:i w:val="false"/>
          <w:color w:val="000000"/>
          <w:sz w:val="28"/>
        </w:rPr>
        <w:t>
      критерии включения;</w:t>
      </w:r>
    </w:p>
    <w:bookmarkEnd w:id="1131"/>
    <w:bookmarkStart w:name="z1072" w:id="1132"/>
    <w:p>
      <w:pPr>
        <w:spacing w:after="0"/>
        <w:ind w:left="0"/>
        <w:jc w:val="both"/>
      </w:pPr>
      <w:r>
        <w:rPr>
          <w:rFonts w:ascii="Times New Roman"/>
          <w:b w:val="false"/>
          <w:i w:val="false"/>
          <w:color w:val="000000"/>
          <w:sz w:val="28"/>
        </w:rPr>
        <w:t>
      критерии невключения;</w:t>
      </w:r>
    </w:p>
    <w:bookmarkEnd w:id="1132"/>
    <w:bookmarkStart w:name="z1073" w:id="1133"/>
    <w:p>
      <w:pPr>
        <w:spacing w:after="0"/>
        <w:ind w:left="0"/>
        <w:jc w:val="both"/>
      </w:pPr>
      <w:r>
        <w:rPr>
          <w:rFonts w:ascii="Times New Roman"/>
          <w:b w:val="false"/>
          <w:i w:val="false"/>
          <w:color w:val="000000"/>
          <w:sz w:val="28"/>
        </w:rPr>
        <w:t>
      мониторинг безопасности;</w:t>
      </w:r>
    </w:p>
    <w:bookmarkEnd w:id="1133"/>
    <w:bookmarkStart w:name="z1074" w:id="1134"/>
    <w:p>
      <w:pPr>
        <w:spacing w:after="0"/>
        <w:ind w:left="0"/>
        <w:jc w:val="both"/>
      </w:pPr>
      <w:r>
        <w:rPr>
          <w:rFonts w:ascii="Times New Roman"/>
          <w:b w:val="false"/>
          <w:i w:val="false"/>
          <w:color w:val="000000"/>
          <w:sz w:val="28"/>
        </w:rPr>
        <w:t>
      продолжительность применения исследуемого препарата;</w:t>
      </w:r>
    </w:p>
    <w:bookmarkEnd w:id="1134"/>
    <w:bookmarkStart w:name="z1075" w:id="1135"/>
    <w:p>
      <w:pPr>
        <w:spacing w:after="0"/>
        <w:ind w:left="0"/>
        <w:jc w:val="both"/>
      </w:pPr>
      <w:r>
        <w:rPr>
          <w:rFonts w:ascii="Times New Roman"/>
          <w:b w:val="false"/>
          <w:i w:val="false"/>
          <w:color w:val="000000"/>
          <w:sz w:val="28"/>
        </w:rPr>
        <w:t>
      изменение дозирования исследуемого препарата;</w:t>
      </w:r>
    </w:p>
    <w:bookmarkEnd w:id="1135"/>
    <w:bookmarkStart w:name="z1076" w:id="1136"/>
    <w:p>
      <w:pPr>
        <w:spacing w:after="0"/>
        <w:ind w:left="0"/>
        <w:jc w:val="both"/>
      </w:pPr>
      <w:r>
        <w:rPr>
          <w:rFonts w:ascii="Times New Roman"/>
          <w:b w:val="false"/>
          <w:i w:val="false"/>
          <w:color w:val="000000"/>
          <w:sz w:val="28"/>
        </w:rPr>
        <w:t>
      изменение препарата сравнения;</w:t>
      </w:r>
    </w:p>
    <w:bookmarkEnd w:id="1136"/>
    <w:bookmarkStart w:name="z1077" w:id="1137"/>
    <w:p>
      <w:pPr>
        <w:spacing w:after="0"/>
        <w:ind w:left="0"/>
        <w:jc w:val="both"/>
      </w:pPr>
      <w:r>
        <w:rPr>
          <w:rFonts w:ascii="Times New Roman"/>
          <w:b w:val="false"/>
          <w:i w:val="false"/>
          <w:color w:val="000000"/>
          <w:sz w:val="28"/>
        </w:rPr>
        <w:t>
      статистический анализ.</w:t>
      </w:r>
    </w:p>
    <w:bookmarkEnd w:id="1137"/>
    <w:bookmarkStart w:name="z1078" w:id="1138"/>
    <w:p>
      <w:pPr>
        <w:spacing w:after="0"/>
        <w:ind w:left="0"/>
        <w:jc w:val="both"/>
      </w:pPr>
      <w:r>
        <w:rPr>
          <w:rFonts w:ascii="Times New Roman"/>
          <w:b w:val="false"/>
          <w:i w:val="false"/>
          <w:color w:val="000000"/>
          <w:sz w:val="28"/>
        </w:rPr>
        <w:t>
      5. Изменения, связанные с организацией клинического исследования:</w:t>
      </w:r>
    </w:p>
    <w:bookmarkEnd w:id="1138"/>
    <w:bookmarkStart w:name="z1079" w:id="1139"/>
    <w:p>
      <w:pPr>
        <w:spacing w:after="0"/>
        <w:ind w:left="0"/>
        <w:jc w:val="both"/>
      </w:pPr>
      <w:r>
        <w:rPr>
          <w:rFonts w:ascii="Times New Roman"/>
          <w:b w:val="false"/>
          <w:i w:val="false"/>
          <w:color w:val="000000"/>
          <w:sz w:val="28"/>
        </w:rPr>
        <w:t>
      замена ответственного исследователя или привлечение новых ответственных исследователей;</w:t>
      </w:r>
    </w:p>
    <w:bookmarkEnd w:id="1139"/>
    <w:bookmarkStart w:name="z1080" w:id="1140"/>
    <w:p>
      <w:pPr>
        <w:spacing w:after="0"/>
        <w:ind w:left="0"/>
        <w:jc w:val="both"/>
      </w:pPr>
      <w:r>
        <w:rPr>
          <w:rFonts w:ascii="Times New Roman"/>
          <w:b w:val="false"/>
          <w:i w:val="false"/>
          <w:color w:val="000000"/>
          <w:sz w:val="28"/>
        </w:rPr>
        <w:t>
      замена исследователя-координатора;</w:t>
      </w:r>
    </w:p>
    <w:bookmarkEnd w:id="1140"/>
    <w:bookmarkStart w:name="z1081" w:id="1141"/>
    <w:p>
      <w:pPr>
        <w:spacing w:after="0"/>
        <w:ind w:left="0"/>
        <w:jc w:val="both"/>
      </w:pPr>
      <w:r>
        <w:rPr>
          <w:rFonts w:ascii="Times New Roman"/>
          <w:b w:val="false"/>
          <w:i w:val="false"/>
          <w:color w:val="000000"/>
          <w:sz w:val="28"/>
        </w:rPr>
        <w:t>
      замена исследовательского центра (медицинской организации) или добавление дополнительных исследовательских центров (медицинских организаций);</w:t>
      </w:r>
    </w:p>
    <w:bookmarkEnd w:id="1141"/>
    <w:bookmarkStart w:name="z1082" w:id="1142"/>
    <w:p>
      <w:pPr>
        <w:spacing w:after="0"/>
        <w:ind w:left="0"/>
        <w:jc w:val="both"/>
      </w:pPr>
      <w:r>
        <w:rPr>
          <w:rFonts w:ascii="Times New Roman"/>
          <w:b w:val="false"/>
          <w:i w:val="false"/>
          <w:color w:val="000000"/>
          <w:sz w:val="28"/>
        </w:rPr>
        <w:t>
      замена спонсора или официального представителя спонсора;</w:t>
      </w:r>
    </w:p>
    <w:bookmarkEnd w:id="1142"/>
    <w:bookmarkStart w:name="z1083" w:id="1143"/>
    <w:p>
      <w:pPr>
        <w:spacing w:after="0"/>
        <w:ind w:left="0"/>
        <w:jc w:val="both"/>
      </w:pPr>
      <w:r>
        <w:rPr>
          <w:rFonts w:ascii="Times New Roman"/>
          <w:b w:val="false"/>
          <w:i w:val="false"/>
          <w:color w:val="000000"/>
          <w:sz w:val="28"/>
        </w:rPr>
        <w:t>
      замена контрактной исследовательской организации, ответственной за выполнение важных задач в рамках исследования;</w:t>
      </w:r>
    </w:p>
    <w:bookmarkEnd w:id="1143"/>
    <w:bookmarkStart w:name="z1084" w:id="1144"/>
    <w:p>
      <w:pPr>
        <w:spacing w:after="0"/>
        <w:ind w:left="0"/>
        <w:jc w:val="both"/>
      </w:pPr>
      <w:r>
        <w:rPr>
          <w:rFonts w:ascii="Times New Roman"/>
          <w:b w:val="false"/>
          <w:i w:val="false"/>
          <w:color w:val="000000"/>
          <w:sz w:val="28"/>
        </w:rPr>
        <w:t>
      изменение условий завершения исследования.</w:t>
      </w:r>
    </w:p>
    <w:bookmarkEnd w:id="1144"/>
    <w:bookmarkStart w:name="z1085" w:id="1145"/>
    <w:p>
      <w:pPr>
        <w:spacing w:after="0"/>
        <w:ind w:left="0"/>
        <w:jc w:val="both"/>
      </w:pPr>
      <w:r>
        <w:rPr>
          <w:rFonts w:ascii="Times New Roman"/>
          <w:b w:val="false"/>
          <w:i w:val="false"/>
          <w:color w:val="000000"/>
          <w:sz w:val="28"/>
        </w:rPr>
        <w:t>
      6. Изменения, связанные с исследуемым препаратом:материала первичной упаковки;</w:t>
      </w:r>
    </w:p>
    <w:bookmarkEnd w:id="1145"/>
    <w:bookmarkStart w:name="z1086" w:id="1146"/>
    <w:p>
      <w:pPr>
        <w:spacing w:after="0"/>
        <w:ind w:left="0"/>
        <w:jc w:val="both"/>
      </w:pPr>
      <w:r>
        <w:rPr>
          <w:rFonts w:ascii="Times New Roman"/>
          <w:b w:val="false"/>
          <w:i w:val="false"/>
          <w:color w:val="000000"/>
          <w:sz w:val="28"/>
        </w:rPr>
        <w:t>
      производителя действующего вещества;</w:t>
      </w:r>
    </w:p>
    <w:bookmarkEnd w:id="1146"/>
    <w:bookmarkStart w:name="z1087" w:id="1147"/>
    <w:p>
      <w:pPr>
        <w:spacing w:after="0"/>
        <w:ind w:left="0"/>
        <w:jc w:val="both"/>
      </w:pPr>
      <w:r>
        <w:rPr>
          <w:rFonts w:ascii="Times New Roman"/>
          <w:b w:val="false"/>
          <w:i w:val="false"/>
          <w:color w:val="000000"/>
          <w:sz w:val="28"/>
        </w:rPr>
        <w:t>
      производственного процесса действующего вещества;</w:t>
      </w:r>
    </w:p>
    <w:bookmarkEnd w:id="1147"/>
    <w:bookmarkStart w:name="z1088" w:id="1148"/>
    <w:p>
      <w:pPr>
        <w:spacing w:after="0"/>
        <w:ind w:left="0"/>
        <w:jc w:val="both"/>
      </w:pPr>
      <w:r>
        <w:rPr>
          <w:rFonts w:ascii="Times New Roman"/>
          <w:b w:val="false"/>
          <w:i w:val="false"/>
          <w:color w:val="000000"/>
          <w:sz w:val="28"/>
        </w:rPr>
        <w:t>
      спецификаций действующего вещества;</w:t>
      </w:r>
    </w:p>
    <w:bookmarkEnd w:id="1148"/>
    <w:bookmarkStart w:name="z1089" w:id="1149"/>
    <w:p>
      <w:pPr>
        <w:spacing w:after="0"/>
        <w:ind w:left="0"/>
        <w:jc w:val="both"/>
      </w:pPr>
      <w:r>
        <w:rPr>
          <w:rFonts w:ascii="Times New Roman"/>
          <w:b w:val="false"/>
          <w:i w:val="false"/>
          <w:color w:val="000000"/>
          <w:sz w:val="28"/>
        </w:rPr>
        <w:t>
      производства исследуемого препарата;</w:t>
      </w:r>
    </w:p>
    <w:bookmarkEnd w:id="1149"/>
    <w:bookmarkStart w:name="z1090" w:id="1150"/>
    <w:p>
      <w:pPr>
        <w:spacing w:after="0"/>
        <w:ind w:left="0"/>
        <w:jc w:val="both"/>
      </w:pPr>
      <w:r>
        <w:rPr>
          <w:rFonts w:ascii="Times New Roman"/>
          <w:b w:val="false"/>
          <w:i w:val="false"/>
          <w:color w:val="000000"/>
          <w:sz w:val="28"/>
        </w:rPr>
        <w:t>
      спецификации исследуемого препарата;</w:t>
      </w:r>
    </w:p>
    <w:bookmarkEnd w:id="1150"/>
    <w:bookmarkStart w:name="z1091" w:id="1151"/>
    <w:p>
      <w:pPr>
        <w:spacing w:after="0"/>
        <w:ind w:left="0"/>
        <w:jc w:val="both"/>
      </w:pPr>
      <w:r>
        <w:rPr>
          <w:rFonts w:ascii="Times New Roman"/>
          <w:b w:val="false"/>
          <w:i w:val="false"/>
          <w:color w:val="000000"/>
          <w:sz w:val="28"/>
        </w:rPr>
        <w:t>
      спецификаций вспомогательных веществ, которые способны повлиять на действие лекарственного препарата;</w:t>
      </w:r>
    </w:p>
    <w:bookmarkEnd w:id="1151"/>
    <w:bookmarkStart w:name="z1092" w:id="1152"/>
    <w:p>
      <w:pPr>
        <w:spacing w:after="0"/>
        <w:ind w:left="0"/>
        <w:jc w:val="both"/>
      </w:pPr>
      <w:r>
        <w:rPr>
          <w:rFonts w:ascii="Times New Roman"/>
          <w:b w:val="false"/>
          <w:i w:val="false"/>
          <w:color w:val="000000"/>
          <w:sz w:val="28"/>
        </w:rPr>
        <w:t>
      срока хранения, включая период применения после первого вскрытия и (или) разведения;</w:t>
      </w:r>
    </w:p>
    <w:bookmarkEnd w:id="1152"/>
    <w:bookmarkStart w:name="z1093" w:id="1153"/>
    <w:p>
      <w:pPr>
        <w:spacing w:after="0"/>
        <w:ind w:left="0"/>
        <w:jc w:val="both"/>
      </w:pPr>
      <w:r>
        <w:rPr>
          <w:rFonts w:ascii="Times New Roman"/>
          <w:b w:val="false"/>
          <w:i w:val="false"/>
          <w:color w:val="000000"/>
          <w:sz w:val="28"/>
        </w:rPr>
        <w:t>
      существенных изменений состава исследуемого препарата;</w:t>
      </w:r>
    </w:p>
    <w:bookmarkEnd w:id="1153"/>
    <w:bookmarkStart w:name="z1094" w:id="1154"/>
    <w:p>
      <w:pPr>
        <w:spacing w:after="0"/>
        <w:ind w:left="0"/>
        <w:jc w:val="both"/>
      </w:pPr>
      <w:r>
        <w:rPr>
          <w:rFonts w:ascii="Times New Roman"/>
          <w:b w:val="false"/>
          <w:i w:val="false"/>
          <w:color w:val="000000"/>
          <w:sz w:val="28"/>
        </w:rPr>
        <w:t>
      условий хранения;</w:t>
      </w:r>
    </w:p>
    <w:bookmarkEnd w:id="1154"/>
    <w:bookmarkStart w:name="z1095" w:id="1155"/>
    <w:p>
      <w:pPr>
        <w:spacing w:after="0"/>
        <w:ind w:left="0"/>
        <w:jc w:val="both"/>
      </w:pPr>
      <w:r>
        <w:rPr>
          <w:rFonts w:ascii="Times New Roman"/>
          <w:b w:val="false"/>
          <w:i w:val="false"/>
          <w:color w:val="000000"/>
          <w:sz w:val="28"/>
        </w:rPr>
        <w:t>
      методик исследований активной субстанции;</w:t>
      </w:r>
    </w:p>
    <w:bookmarkEnd w:id="1155"/>
    <w:bookmarkStart w:name="z1096" w:id="1156"/>
    <w:p>
      <w:pPr>
        <w:spacing w:after="0"/>
        <w:ind w:left="0"/>
        <w:jc w:val="both"/>
      </w:pPr>
      <w:r>
        <w:rPr>
          <w:rFonts w:ascii="Times New Roman"/>
          <w:b w:val="false"/>
          <w:i w:val="false"/>
          <w:color w:val="000000"/>
          <w:sz w:val="28"/>
        </w:rPr>
        <w:t>
      методик исследований исследуемого препарата;</w:t>
      </w:r>
    </w:p>
    <w:bookmarkEnd w:id="1156"/>
    <w:bookmarkStart w:name="z1097" w:id="1157"/>
    <w:p>
      <w:pPr>
        <w:spacing w:after="0"/>
        <w:ind w:left="0"/>
        <w:jc w:val="both"/>
      </w:pPr>
      <w:r>
        <w:rPr>
          <w:rFonts w:ascii="Times New Roman"/>
          <w:b w:val="false"/>
          <w:i w:val="false"/>
          <w:color w:val="000000"/>
          <w:sz w:val="28"/>
        </w:rPr>
        <w:t>
      методик исследований нефармакопейных вспомогательных веществ.</w:t>
      </w:r>
    </w:p>
    <w:bookmarkEnd w:id="1157"/>
    <w:bookmarkStart w:name="z1098" w:id="1158"/>
    <w:p>
      <w:pPr>
        <w:spacing w:after="0"/>
        <w:ind w:left="0"/>
        <w:jc w:val="both"/>
      </w:pPr>
      <w:r>
        <w:rPr>
          <w:rFonts w:ascii="Times New Roman"/>
          <w:b w:val="false"/>
          <w:i w:val="false"/>
          <w:color w:val="000000"/>
          <w:sz w:val="28"/>
        </w:rPr>
        <w:t>
      7. Изменения, связанные с данными доклинических исследований и сопровождающиеся изменением оценки соотношения польза-риск. Поправки данных доклинических фармакологических и токсикологических исследований в отношении текущих клинических исследований, которые сопровождаются изменением оценки соотношения польза-риск, в том числе в отношении:</w:t>
      </w:r>
    </w:p>
    <w:bookmarkEnd w:id="1158"/>
    <w:bookmarkStart w:name="z1099" w:id="1159"/>
    <w:p>
      <w:pPr>
        <w:spacing w:after="0"/>
        <w:ind w:left="0"/>
        <w:jc w:val="both"/>
      </w:pPr>
      <w:r>
        <w:rPr>
          <w:rFonts w:ascii="Times New Roman"/>
          <w:b w:val="false"/>
          <w:i w:val="false"/>
          <w:color w:val="000000"/>
          <w:sz w:val="28"/>
        </w:rPr>
        <w:t>
      результатов новых фармакологических исследований;</w:t>
      </w:r>
    </w:p>
    <w:bookmarkEnd w:id="1159"/>
    <w:bookmarkStart w:name="z1100" w:id="1160"/>
    <w:p>
      <w:pPr>
        <w:spacing w:after="0"/>
        <w:ind w:left="0"/>
        <w:jc w:val="both"/>
      </w:pPr>
      <w:r>
        <w:rPr>
          <w:rFonts w:ascii="Times New Roman"/>
          <w:b w:val="false"/>
          <w:i w:val="false"/>
          <w:color w:val="000000"/>
          <w:sz w:val="28"/>
        </w:rPr>
        <w:t>
      новой интерпретации существующих фармакологических исследований;</w:t>
      </w:r>
    </w:p>
    <w:bookmarkEnd w:id="1160"/>
    <w:bookmarkStart w:name="z1101" w:id="1161"/>
    <w:p>
      <w:pPr>
        <w:spacing w:after="0"/>
        <w:ind w:left="0"/>
        <w:jc w:val="both"/>
      </w:pPr>
      <w:r>
        <w:rPr>
          <w:rFonts w:ascii="Times New Roman"/>
          <w:b w:val="false"/>
          <w:i w:val="false"/>
          <w:color w:val="000000"/>
          <w:sz w:val="28"/>
        </w:rPr>
        <w:t>
      результатов новых токсикологических исследований;</w:t>
      </w:r>
    </w:p>
    <w:bookmarkEnd w:id="1161"/>
    <w:bookmarkStart w:name="z1102" w:id="1162"/>
    <w:p>
      <w:pPr>
        <w:spacing w:after="0"/>
        <w:ind w:left="0"/>
        <w:jc w:val="both"/>
      </w:pPr>
      <w:r>
        <w:rPr>
          <w:rFonts w:ascii="Times New Roman"/>
          <w:b w:val="false"/>
          <w:i w:val="false"/>
          <w:color w:val="000000"/>
          <w:sz w:val="28"/>
        </w:rPr>
        <w:t>
      новой интерпретации существующих токсикологических исследований;</w:t>
      </w:r>
    </w:p>
    <w:bookmarkEnd w:id="1162"/>
    <w:bookmarkStart w:name="z1103" w:id="1163"/>
    <w:p>
      <w:pPr>
        <w:spacing w:after="0"/>
        <w:ind w:left="0"/>
        <w:jc w:val="both"/>
      </w:pPr>
      <w:r>
        <w:rPr>
          <w:rFonts w:ascii="Times New Roman"/>
          <w:b w:val="false"/>
          <w:i w:val="false"/>
          <w:color w:val="000000"/>
          <w:sz w:val="28"/>
        </w:rPr>
        <w:t>
      результатов новых исследований лекарственных взаимодействий.</w:t>
      </w:r>
    </w:p>
    <w:bookmarkEnd w:id="1163"/>
    <w:bookmarkStart w:name="z1104" w:id="1164"/>
    <w:p>
      <w:pPr>
        <w:spacing w:after="0"/>
        <w:ind w:left="0"/>
        <w:jc w:val="both"/>
      </w:pPr>
      <w:r>
        <w:rPr>
          <w:rFonts w:ascii="Times New Roman"/>
          <w:b w:val="false"/>
          <w:i w:val="false"/>
          <w:color w:val="000000"/>
          <w:sz w:val="28"/>
        </w:rPr>
        <w:t>
      8. Изменения, связанные с данными клинических исследований и сопровождающиеся изменением оценки соотношения польза-риск. Поправки в клиническом исследовании, а также поправки данных, отображающих опыт применения препарата у человека, которые являются важными для текущих исследований и сопровождаются изменением оценки соотношения польза-риск. Например, в отношении:</w:t>
      </w:r>
    </w:p>
    <w:bookmarkEnd w:id="1164"/>
    <w:bookmarkStart w:name="z1105" w:id="1165"/>
    <w:p>
      <w:pPr>
        <w:spacing w:after="0"/>
        <w:ind w:left="0"/>
        <w:jc w:val="both"/>
      </w:pPr>
      <w:r>
        <w:rPr>
          <w:rFonts w:ascii="Times New Roman"/>
          <w:b w:val="false"/>
          <w:i w:val="false"/>
          <w:color w:val="000000"/>
          <w:sz w:val="28"/>
        </w:rPr>
        <w:t>
      безопасности, связанной с клиническим исследованием или опытом применения исследуемого лекарственного препарата у человека;</w:t>
      </w:r>
    </w:p>
    <w:bookmarkEnd w:id="1165"/>
    <w:bookmarkStart w:name="z1106" w:id="1166"/>
    <w:p>
      <w:pPr>
        <w:spacing w:after="0"/>
        <w:ind w:left="0"/>
        <w:jc w:val="both"/>
      </w:pPr>
      <w:r>
        <w:rPr>
          <w:rFonts w:ascii="Times New Roman"/>
          <w:b w:val="false"/>
          <w:i w:val="false"/>
          <w:color w:val="000000"/>
          <w:sz w:val="28"/>
        </w:rPr>
        <w:t>
      результатов новых клинических фармакологических исследований;</w:t>
      </w:r>
    </w:p>
    <w:bookmarkEnd w:id="1166"/>
    <w:bookmarkStart w:name="z1107" w:id="1167"/>
    <w:p>
      <w:pPr>
        <w:spacing w:after="0"/>
        <w:ind w:left="0"/>
        <w:jc w:val="both"/>
      </w:pPr>
      <w:r>
        <w:rPr>
          <w:rFonts w:ascii="Times New Roman"/>
          <w:b w:val="false"/>
          <w:i w:val="false"/>
          <w:color w:val="000000"/>
          <w:sz w:val="28"/>
        </w:rPr>
        <w:t>
      новой интерпретации существующих клинических фармакологических исследований;</w:t>
      </w:r>
    </w:p>
    <w:bookmarkEnd w:id="1167"/>
    <w:bookmarkStart w:name="z1108" w:id="1168"/>
    <w:p>
      <w:pPr>
        <w:spacing w:after="0"/>
        <w:ind w:left="0"/>
        <w:jc w:val="both"/>
      </w:pPr>
      <w:r>
        <w:rPr>
          <w:rFonts w:ascii="Times New Roman"/>
          <w:b w:val="false"/>
          <w:i w:val="false"/>
          <w:color w:val="000000"/>
          <w:sz w:val="28"/>
        </w:rPr>
        <w:t>
      результатов новых клинических исследований;</w:t>
      </w:r>
    </w:p>
    <w:bookmarkEnd w:id="1168"/>
    <w:bookmarkStart w:name="z1109" w:id="1169"/>
    <w:p>
      <w:pPr>
        <w:spacing w:after="0"/>
        <w:ind w:left="0"/>
        <w:jc w:val="both"/>
      </w:pPr>
      <w:r>
        <w:rPr>
          <w:rFonts w:ascii="Times New Roman"/>
          <w:b w:val="false"/>
          <w:i w:val="false"/>
          <w:color w:val="000000"/>
          <w:sz w:val="28"/>
        </w:rPr>
        <w:t>
      новой интерпретации существующих данных клинических исследований;</w:t>
      </w:r>
    </w:p>
    <w:bookmarkEnd w:id="1169"/>
    <w:bookmarkStart w:name="z1110" w:id="1170"/>
    <w:p>
      <w:pPr>
        <w:spacing w:after="0"/>
        <w:ind w:left="0"/>
        <w:jc w:val="both"/>
      </w:pPr>
      <w:r>
        <w:rPr>
          <w:rFonts w:ascii="Times New Roman"/>
          <w:b w:val="false"/>
          <w:i w:val="false"/>
          <w:color w:val="000000"/>
          <w:sz w:val="28"/>
        </w:rPr>
        <w:t>
      новых данных по опыту применения исследуемого препарата у человека;</w:t>
      </w:r>
    </w:p>
    <w:bookmarkEnd w:id="1170"/>
    <w:bookmarkStart w:name="z1111" w:id="1171"/>
    <w:p>
      <w:pPr>
        <w:spacing w:after="0"/>
        <w:ind w:left="0"/>
        <w:jc w:val="both"/>
      </w:pPr>
      <w:r>
        <w:rPr>
          <w:rFonts w:ascii="Times New Roman"/>
          <w:b w:val="false"/>
          <w:i w:val="false"/>
          <w:color w:val="000000"/>
          <w:sz w:val="28"/>
        </w:rPr>
        <w:t>
      новой интерпретации существующих данных по опыту применения исследуемого препарата у человека.</w:t>
      </w:r>
    </w:p>
    <w:bookmarkEnd w:id="1171"/>
    <w:bookmarkStart w:name="z1112" w:id="1172"/>
    <w:p>
      <w:pPr>
        <w:spacing w:after="0"/>
        <w:ind w:left="0"/>
        <w:jc w:val="both"/>
      </w:pPr>
      <w:r>
        <w:rPr>
          <w:rFonts w:ascii="Times New Roman"/>
          <w:b w:val="false"/>
          <w:i w:val="false"/>
          <w:color w:val="000000"/>
          <w:sz w:val="28"/>
        </w:rPr>
        <w:t>
      9. Порядок рассмотрения регуляторными органами поправок к разделам клинического исследования определяется требованиями в соответствии с национальным законодательством государств - членов Евразийского экономического союза.</w:t>
      </w:r>
    </w:p>
    <w:bookmarkEnd w:id="1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11</w:t>
            </w:r>
            <w:r>
              <w:br/>
            </w:r>
            <w:r>
              <w:rPr>
                <w:rFonts w:ascii="Times New Roman"/>
                <w:b w:val="false"/>
                <w:i w:val="false"/>
                <w:color w:val="000000"/>
                <w:sz w:val="20"/>
              </w:rPr>
              <w:t>к Правилам надлежащей</w:t>
            </w:r>
            <w:r>
              <w:br/>
            </w:r>
            <w:r>
              <w:rPr>
                <w:rFonts w:ascii="Times New Roman"/>
                <w:b w:val="false"/>
                <w:i w:val="false"/>
                <w:color w:val="000000"/>
                <w:sz w:val="20"/>
              </w:rPr>
              <w:t>клинической практики Евразийского</w:t>
            </w:r>
            <w:r>
              <w:br/>
            </w:r>
            <w:r>
              <w:rPr>
                <w:rFonts w:ascii="Times New Roman"/>
                <w:b w:val="false"/>
                <w:i w:val="false"/>
                <w:color w:val="000000"/>
                <w:sz w:val="20"/>
              </w:rPr>
              <w:t>экономического союза</w:t>
            </w:r>
          </w:p>
        </w:tc>
      </w:tr>
    </w:tbl>
    <w:bookmarkStart w:name="z1118" w:id="1173"/>
    <w:p>
      <w:pPr>
        <w:spacing w:after="0"/>
        <w:ind w:left="0"/>
        <w:jc w:val="left"/>
      </w:pPr>
      <w:r>
        <w:rPr>
          <w:rFonts w:ascii="Times New Roman"/>
          <w:b/>
          <w:i w:val="false"/>
          <w:color w:val="000000"/>
        </w:rPr>
        <w:t xml:space="preserve"> ПОРЯДОК</w:t>
      </w:r>
      <w:r>
        <w:br/>
      </w:r>
      <w:r>
        <w:rPr>
          <w:rFonts w:ascii="Times New Roman"/>
          <w:b/>
          <w:i w:val="false"/>
          <w:color w:val="000000"/>
        </w:rPr>
        <w:t>представления информации по безопасности в ходе проведения клинических исследований</w:t>
      </w:r>
    </w:p>
    <w:bookmarkEnd w:id="1173"/>
    <w:p>
      <w:pPr>
        <w:spacing w:after="0"/>
        <w:ind w:left="0"/>
        <w:jc w:val="both"/>
      </w:pPr>
      <w:r>
        <w:rPr>
          <w:rFonts w:ascii="Times New Roman"/>
          <w:b w:val="false"/>
          <w:i w:val="false"/>
          <w:color w:val="ff0000"/>
          <w:sz w:val="28"/>
        </w:rPr>
        <w:t xml:space="preserve">
      Сноска. Приложение 11 – в редакции решения Совета Евразийской экономической комиссии от 01.08.2025 </w:t>
      </w:r>
      <w:r>
        <w:rPr>
          <w:rFonts w:ascii="Times New Roman"/>
          <w:b w:val="false"/>
          <w:i w:val="false"/>
          <w:color w:val="ff0000"/>
          <w:sz w:val="28"/>
        </w:rPr>
        <w:t>№ 40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2607" w:id="1174"/>
    <w:p>
      <w:pPr>
        <w:spacing w:after="0"/>
        <w:ind w:left="0"/>
        <w:jc w:val="left"/>
      </w:pPr>
      <w:r>
        <w:rPr>
          <w:rFonts w:ascii="Times New Roman"/>
          <w:b/>
          <w:i w:val="false"/>
          <w:color w:val="000000"/>
        </w:rPr>
        <w:t xml:space="preserve"> 1. Обязанности спонсора по представлению информации</w:t>
      </w:r>
      <w:r>
        <w:br/>
      </w:r>
      <w:r>
        <w:rPr>
          <w:rFonts w:ascii="Times New Roman"/>
          <w:b/>
          <w:i w:val="false"/>
          <w:color w:val="000000"/>
        </w:rPr>
        <w:t>по безопасности в ходе проведения клинического исследования</w:t>
      </w:r>
    </w:p>
    <w:bookmarkEnd w:id="1174"/>
    <w:bookmarkStart w:name="z2608" w:id="1175"/>
    <w:p>
      <w:pPr>
        <w:spacing w:after="0"/>
        <w:ind w:left="0"/>
        <w:jc w:val="both"/>
      </w:pPr>
      <w:r>
        <w:rPr>
          <w:rFonts w:ascii="Times New Roman"/>
          <w:b w:val="false"/>
          <w:i w:val="false"/>
          <w:color w:val="000000"/>
          <w:sz w:val="28"/>
        </w:rPr>
        <w:t xml:space="preserve">
      1.1. Организация системы письменных стандартных процедур. </w:t>
      </w:r>
    </w:p>
    <w:bookmarkEnd w:id="1175"/>
    <w:bookmarkStart w:name="z2609" w:id="1176"/>
    <w:p>
      <w:pPr>
        <w:spacing w:after="0"/>
        <w:ind w:left="0"/>
        <w:jc w:val="both"/>
      </w:pPr>
      <w:r>
        <w:rPr>
          <w:rFonts w:ascii="Times New Roman"/>
          <w:b w:val="false"/>
          <w:i w:val="false"/>
          <w:color w:val="000000"/>
          <w:sz w:val="28"/>
        </w:rPr>
        <w:t>
      Спонсор несет ответственность за организацию системы письменных стандартных процедур в целях обеспечения требуемого уровня стандартов качества при выполнении функций документирования, сбора данных, валидации, оценки, архивирования, репортирования и представления последующей информации по выявляемым нежелательным реакциям при проведении клинических исследований.</w:t>
      </w:r>
    </w:p>
    <w:bookmarkEnd w:id="1176"/>
    <w:bookmarkStart w:name="z2610" w:id="1177"/>
    <w:p>
      <w:pPr>
        <w:spacing w:after="0"/>
        <w:ind w:left="0"/>
        <w:jc w:val="both"/>
      </w:pPr>
      <w:r>
        <w:rPr>
          <w:rFonts w:ascii="Times New Roman"/>
          <w:b w:val="false"/>
          <w:i w:val="false"/>
          <w:color w:val="000000"/>
          <w:sz w:val="28"/>
        </w:rPr>
        <w:t>
      1.2. Представление информации о серьезных непредвиденных нежелательных реакциях в уполномоченный орган государства – члена Евразийского экономического союза (далее соответственно – государства-члены, Союз).</w:t>
      </w:r>
    </w:p>
    <w:bookmarkEnd w:id="1177"/>
    <w:bookmarkStart w:name="z2611" w:id="1178"/>
    <w:p>
      <w:pPr>
        <w:spacing w:after="0"/>
        <w:ind w:left="0"/>
        <w:jc w:val="both"/>
      </w:pPr>
      <w:r>
        <w:rPr>
          <w:rFonts w:ascii="Times New Roman"/>
          <w:b w:val="false"/>
          <w:i w:val="false"/>
          <w:color w:val="000000"/>
          <w:sz w:val="28"/>
        </w:rPr>
        <w:t xml:space="preserve">
      1.2.1. Спонсор должен представлять информацию обо всех серьезных непредвиденных нежелательных реакциях на исследуемый препарат, выявленных в ходе клинических исследований, одобренных к проведению в государстве-члене, на территории которого проводится клиническое исследование: </w:t>
      </w:r>
    </w:p>
    <w:bookmarkEnd w:id="1178"/>
    <w:bookmarkStart w:name="z2612" w:id="1179"/>
    <w:p>
      <w:pPr>
        <w:spacing w:after="0"/>
        <w:ind w:left="0"/>
        <w:jc w:val="both"/>
      </w:pPr>
      <w:r>
        <w:rPr>
          <w:rFonts w:ascii="Times New Roman"/>
          <w:b w:val="false"/>
          <w:i w:val="false"/>
          <w:color w:val="000000"/>
          <w:sz w:val="28"/>
        </w:rPr>
        <w:t>
      незамедлительно, но не позднее 7 календарных дней с даты получения информации о выявлении серьезной непредвиденной нежелательной реакции, в случае если она привела к смерти или представляла угрозу для жизни;</w:t>
      </w:r>
    </w:p>
    <w:bookmarkEnd w:id="1179"/>
    <w:bookmarkStart w:name="z2613" w:id="1180"/>
    <w:p>
      <w:pPr>
        <w:spacing w:after="0"/>
        <w:ind w:left="0"/>
        <w:jc w:val="both"/>
      </w:pPr>
      <w:r>
        <w:rPr>
          <w:rFonts w:ascii="Times New Roman"/>
          <w:b w:val="false"/>
          <w:i w:val="false"/>
          <w:color w:val="000000"/>
          <w:sz w:val="28"/>
        </w:rPr>
        <w:t xml:space="preserve">
      не позднее 15 календарных дней с даты получения информации о выявлении серьезной непредвиденной нежелательной реакции для остальных серьезных непредвиденных нежелательных реакций. </w:t>
      </w:r>
    </w:p>
    <w:bookmarkEnd w:id="1180"/>
    <w:bookmarkStart w:name="z2614" w:id="1181"/>
    <w:p>
      <w:pPr>
        <w:spacing w:after="0"/>
        <w:ind w:left="0"/>
        <w:jc w:val="both"/>
      </w:pPr>
      <w:r>
        <w:rPr>
          <w:rFonts w:ascii="Times New Roman"/>
          <w:b w:val="false"/>
          <w:i w:val="false"/>
          <w:color w:val="000000"/>
          <w:sz w:val="28"/>
        </w:rPr>
        <w:t>
      Решение о целесообразности срочного информирования (экспресс-отчетности) в других ситуациях (например, в случаях важных с медицинской точки зрения событий, которые не представляют собой непосредственную угрозу для жизни пациента, не приводят к смерти или госпитализации, но подвергают пациента риску или требуют вмешательства для предотвращения одного из исходов, приведенных в определении) принимается на основе медицинской и научной оценки. Такие случаи обычно также следует считать серьезными нежелательными явлениями.</w:t>
      </w:r>
    </w:p>
    <w:bookmarkEnd w:id="1181"/>
    <w:bookmarkStart w:name="z2615" w:id="1182"/>
    <w:p>
      <w:pPr>
        <w:spacing w:after="0"/>
        <w:ind w:left="0"/>
        <w:jc w:val="both"/>
      </w:pPr>
      <w:r>
        <w:rPr>
          <w:rFonts w:ascii="Times New Roman"/>
          <w:b w:val="false"/>
          <w:i w:val="false"/>
          <w:color w:val="000000"/>
          <w:sz w:val="28"/>
        </w:rPr>
        <w:t xml:space="preserve">
      1.2.2. При отсутствии полной информации на дату представления срочного сообщения о случае смерти или развитии жизнеугрожающего состояния спонсором предпринимаются меры по представлению полной информации в форме дополнительного срочного сообщения о выявленной серьезной непредвиденной нежелательной реакции не позднее 8 календарных дней с даты представления первичного сообщения. </w:t>
      </w:r>
    </w:p>
    <w:bookmarkEnd w:id="1182"/>
    <w:bookmarkStart w:name="z2616" w:id="1183"/>
    <w:p>
      <w:pPr>
        <w:spacing w:after="0"/>
        <w:ind w:left="0"/>
        <w:jc w:val="both"/>
      </w:pPr>
      <w:r>
        <w:rPr>
          <w:rFonts w:ascii="Times New Roman"/>
          <w:b w:val="false"/>
          <w:i w:val="false"/>
          <w:color w:val="000000"/>
          <w:sz w:val="28"/>
        </w:rPr>
        <w:t>
      1.2.3. В случае получения спонсором новой значимой информации по выявленной серьезной непредвиденной нежелательной реакции данная информация должна быть представлена в форме последующего сообщения в течение 15 календарных дней с даты ее получения.</w:t>
      </w:r>
    </w:p>
    <w:bookmarkEnd w:id="1183"/>
    <w:bookmarkStart w:name="z2617" w:id="1184"/>
    <w:p>
      <w:pPr>
        <w:spacing w:after="0"/>
        <w:ind w:left="0"/>
        <w:jc w:val="both"/>
      </w:pPr>
      <w:r>
        <w:rPr>
          <w:rFonts w:ascii="Times New Roman"/>
          <w:b w:val="false"/>
          <w:i w:val="false"/>
          <w:color w:val="000000"/>
          <w:sz w:val="28"/>
        </w:rPr>
        <w:t>
      1.2.4. Требования по представлению информации о серьезных непредвиденных нежелательных реакциях распространяются на исследуемый препарат, включая препарат сравнения. Эти требования не распространяются на плацебо, за исключением случаев выявления серьезной непредвиденной нежелательной реакции, для которых установлена причинно-следственная связь с применением плацебо.</w:t>
      </w:r>
    </w:p>
    <w:bookmarkEnd w:id="1184"/>
    <w:bookmarkStart w:name="z2618" w:id="1185"/>
    <w:p>
      <w:pPr>
        <w:spacing w:after="0"/>
        <w:ind w:left="0"/>
        <w:jc w:val="both"/>
      </w:pPr>
      <w:r>
        <w:rPr>
          <w:rFonts w:ascii="Times New Roman"/>
          <w:b w:val="false"/>
          <w:i w:val="false"/>
          <w:color w:val="000000"/>
          <w:sz w:val="28"/>
        </w:rPr>
        <w:t xml:space="preserve">
      1.2.5. Период представления информации, указанной в пунктах 1.2.1 – 1.2.3 настоящего Порядка, исчисляется с даты получения разрешения на проведение клинического исследования в государстве-члене и заканчивается после даты последнего визита последнего субъекта исследования в государстве-члене, на территории которого проводится исследование исследуемого препарата. </w:t>
      </w:r>
    </w:p>
    <w:bookmarkEnd w:id="1185"/>
    <w:bookmarkStart w:name="z2619" w:id="1186"/>
    <w:p>
      <w:pPr>
        <w:spacing w:after="0"/>
        <w:ind w:left="0"/>
        <w:jc w:val="both"/>
      </w:pPr>
      <w:r>
        <w:rPr>
          <w:rFonts w:ascii="Times New Roman"/>
          <w:b w:val="false"/>
          <w:i w:val="false"/>
          <w:color w:val="000000"/>
          <w:sz w:val="28"/>
        </w:rPr>
        <w:t>
      1.3. Требования к предоставлению информации о серьезной непредвиденной нежелательной реакции.</w:t>
      </w:r>
    </w:p>
    <w:bookmarkEnd w:id="1186"/>
    <w:bookmarkStart w:name="z2620" w:id="1187"/>
    <w:p>
      <w:pPr>
        <w:spacing w:after="0"/>
        <w:ind w:left="0"/>
        <w:jc w:val="both"/>
      </w:pPr>
      <w:r>
        <w:rPr>
          <w:rFonts w:ascii="Times New Roman"/>
          <w:b w:val="false"/>
          <w:i w:val="false"/>
          <w:color w:val="000000"/>
          <w:sz w:val="28"/>
        </w:rPr>
        <w:t>
      1.3.1. Требуемая минимальная информация о серьезной непредвиденной нежелательной реакции.</w:t>
      </w:r>
    </w:p>
    <w:bookmarkEnd w:id="1187"/>
    <w:bookmarkStart w:name="z2621" w:id="1188"/>
    <w:p>
      <w:pPr>
        <w:spacing w:after="0"/>
        <w:ind w:left="0"/>
        <w:jc w:val="both"/>
      </w:pPr>
      <w:r>
        <w:rPr>
          <w:rFonts w:ascii="Times New Roman"/>
          <w:b w:val="false"/>
          <w:i w:val="false"/>
          <w:color w:val="000000"/>
          <w:sz w:val="28"/>
        </w:rPr>
        <w:t>
      Минимальная информация при представлении в установленные сроки первичного срочного сообщения о выявленной серьезной непредвиденной нежелательной реакции включает:</w:t>
      </w:r>
    </w:p>
    <w:bookmarkEnd w:id="1188"/>
    <w:bookmarkStart w:name="z2622" w:id="1189"/>
    <w:p>
      <w:pPr>
        <w:spacing w:after="0"/>
        <w:ind w:left="0"/>
        <w:jc w:val="both"/>
      </w:pPr>
      <w:r>
        <w:rPr>
          <w:rFonts w:ascii="Times New Roman"/>
          <w:b w:val="false"/>
          <w:i w:val="false"/>
          <w:color w:val="000000"/>
          <w:sz w:val="28"/>
        </w:rPr>
        <w:t>
      указание подозреваемого исследуемого препарата, идентификационный код субъекта исследования, у которого развилась нежелательная реакция;</w:t>
      </w:r>
    </w:p>
    <w:bookmarkEnd w:id="1189"/>
    <w:bookmarkStart w:name="z2623" w:id="1190"/>
    <w:p>
      <w:pPr>
        <w:spacing w:after="0"/>
        <w:ind w:left="0"/>
        <w:jc w:val="both"/>
      </w:pPr>
      <w:r>
        <w:rPr>
          <w:rFonts w:ascii="Times New Roman"/>
          <w:b w:val="false"/>
          <w:i w:val="false"/>
          <w:color w:val="000000"/>
          <w:sz w:val="28"/>
        </w:rPr>
        <w:t>
      описание нежелательной реакции или ее исхода, которые определены как серьезные и непредвиденные и для которых предполагается наличие причинно-следственной связи с приемом исследуемого препарата;</w:t>
      </w:r>
    </w:p>
    <w:bookmarkEnd w:id="1190"/>
    <w:bookmarkStart w:name="z2624" w:id="1191"/>
    <w:p>
      <w:pPr>
        <w:spacing w:after="0"/>
        <w:ind w:left="0"/>
        <w:jc w:val="both"/>
      </w:pPr>
      <w:r>
        <w:rPr>
          <w:rFonts w:ascii="Times New Roman"/>
          <w:b w:val="false"/>
          <w:i w:val="false"/>
          <w:color w:val="000000"/>
          <w:sz w:val="28"/>
        </w:rPr>
        <w:t>
      результат оценки причинно-следственной связи;</w:t>
      </w:r>
    </w:p>
    <w:bookmarkEnd w:id="1191"/>
    <w:bookmarkStart w:name="z2625" w:id="1192"/>
    <w:p>
      <w:pPr>
        <w:spacing w:after="0"/>
        <w:ind w:left="0"/>
        <w:jc w:val="both"/>
      </w:pPr>
      <w:r>
        <w:rPr>
          <w:rFonts w:ascii="Times New Roman"/>
          <w:b w:val="false"/>
          <w:i w:val="false"/>
          <w:color w:val="000000"/>
          <w:sz w:val="28"/>
        </w:rPr>
        <w:t>
      источник получения информации о нежелательной реакции, идентификационный номер сообщения о нежелательной реакции, присвоенный спонсором;</w:t>
      </w:r>
    </w:p>
    <w:bookmarkEnd w:id="1192"/>
    <w:bookmarkStart w:name="z2626" w:id="1193"/>
    <w:p>
      <w:pPr>
        <w:spacing w:after="0"/>
        <w:ind w:left="0"/>
        <w:jc w:val="both"/>
      </w:pPr>
      <w:r>
        <w:rPr>
          <w:rFonts w:ascii="Times New Roman"/>
          <w:b w:val="false"/>
          <w:i w:val="false"/>
          <w:color w:val="000000"/>
          <w:sz w:val="28"/>
        </w:rPr>
        <w:t>
      номер протокола клинического исследования.</w:t>
      </w:r>
    </w:p>
    <w:bookmarkEnd w:id="1193"/>
    <w:bookmarkStart w:name="z2627" w:id="1194"/>
    <w:p>
      <w:pPr>
        <w:spacing w:after="0"/>
        <w:ind w:left="0"/>
        <w:jc w:val="both"/>
      </w:pPr>
      <w:r>
        <w:rPr>
          <w:rFonts w:ascii="Times New Roman"/>
          <w:b w:val="false"/>
          <w:i w:val="false"/>
          <w:color w:val="000000"/>
          <w:sz w:val="28"/>
        </w:rPr>
        <w:t>
      1.3.2. Полная информация о серьезной непредвиденной нежелательной реакции.</w:t>
      </w:r>
    </w:p>
    <w:bookmarkEnd w:id="1194"/>
    <w:bookmarkStart w:name="z2628" w:id="1195"/>
    <w:p>
      <w:pPr>
        <w:spacing w:after="0"/>
        <w:ind w:left="0"/>
        <w:jc w:val="both"/>
      </w:pPr>
      <w:r>
        <w:rPr>
          <w:rFonts w:ascii="Times New Roman"/>
          <w:b w:val="false"/>
          <w:i w:val="false"/>
          <w:color w:val="000000"/>
          <w:sz w:val="28"/>
        </w:rPr>
        <w:t>
      Следует обеспечить последующие сбор и представление полной информации о случае серьезной непредвиденной нежелательной реакции, которая должна соответствовать требованиям руководства Международного Совета по гармонизации Е2В "Управление данными по безопасности: элементы данных для передачи сообщений об индивидуальных случаях нежелательных реакций".</w:t>
      </w:r>
    </w:p>
    <w:bookmarkEnd w:id="1195"/>
    <w:bookmarkStart w:name="z2629" w:id="1196"/>
    <w:p>
      <w:pPr>
        <w:spacing w:after="0"/>
        <w:ind w:left="0"/>
        <w:jc w:val="both"/>
      </w:pPr>
      <w:r>
        <w:rPr>
          <w:rFonts w:ascii="Times New Roman"/>
          <w:b w:val="false"/>
          <w:i w:val="false"/>
          <w:color w:val="000000"/>
          <w:sz w:val="28"/>
        </w:rPr>
        <w:t>
      1.4. Справочная информация по безопасности.</w:t>
      </w:r>
    </w:p>
    <w:bookmarkEnd w:id="1196"/>
    <w:bookmarkStart w:name="z2630" w:id="1197"/>
    <w:p>
      <w:pPr>
        <w:spacing w:after="0"/>
        <w:ind w:left="0"/>
        <w:jc w:val="both"/>
      </w:pPr>
      <w:r>
        <w:rPr>
          <w:rFonts w:ascii="Times New Roman"/>
          <w:b w:val="false"/>
          <w:i w:val="false"/>
          <w:color w:val="000000"/>
          <w:sz w:val="28"/>
        </w:rPr>
        <w:t>
      1.4.1. Справочная информация по безопасности незарегистрированного исследуемого препарата.</w:t>
      </w:r>
    </w:p>
    <w:bookmarkEnd w:id="1197"/>
    <w:bookmarkStart w:name="z2631" w:id="1198"/>
    <w:p>
      <w:pPr>
        <w:spacing w:after="0"/>
        <w:ind w:left="0"/>
        <w:jc w:val="both"/>
      </w:pPr>
      <w:r>
        <w:rPr>
          <w:rFonts w:ascii="Times New Roman"/>
          <w:b w:val="false"/>
          <w:i w:val="false"/>
          <w:color w:val="000000"/>
          <w:sz w:val="28"/>
        </w:rPr>
        <w:t>
      В целях определения предвиденности выявленной в ходе проведения клинического исследования серьезной нежелательной реакции на исследуемый препарат используется действующая на дату выявления серьезной нежелательной реакции версия брошюры исследователя.</w:t>
      </w:r>
    </w:p>
    <w:bookmarkEnd w:id="1198"/>
    <w:bookmarkStart w:name="z2632" w:id="1199"/>
    <w:p>
      <w:pPr>
        <w:spacing w:after="0"/>
        <w:ind w:left="0"/>
        <w:jc w:val="both"/>
      </w:pPr>
      <w:r>
        <w:rPr>
          <w:rFonts w:ascii="Times New Roman"/>
          <w:b w:val="false"/>
          <w:i w:val="false"/>
          <w:color w:val="000000"/>
          <w:sz w:val="28"/>
        </w:rPr>
        <w:t>
      1.4.2. Справочная информация по безопасности зарегистрированного исследуемого лекарственного препарата.</w:t>
      </w:r>
    </w:p>
    <w:bookmarkEnd w:id="1199"/>
    <w:bookmarkStart w:name="z2633" w:id="1200"/>
    <w:p>
      <w:pPr>
        <w:spacing w:after="0"/>
        <w:ind w:left="0"/>
        <w:jc w:val="both"/>
      </w:pPr>
      <w:r>
        <w:rPr>
          <w:rFonts w:ascii="Times New Roman"/>
          <w:b w:val="false"/>
          <w:i w:val="false"/>
          <w:color w:val="000000"/>
          <w:sz w:val="28"/>
        </w:rPr>
        <w:t>
      В целях определения предвиденности выявленной в ходе проведения клинического исследования серьезной нежелательной реакции на исследуемый препарат, который зарегистрирован на территории страны выявления серьезной нежелательной реакции, используется действующая на дату выявления серьезной нежелательной реакции версия общей характеристики лекарственного препарата или ее аналог в других государствах либо действующая на указанную дату версия брошюры исследователя.</w:t>
      </w:r>
    </w:p>
    <w:bookmarkEnd w:id="1200"/>
    <w:bookmarkStart w:name="z2634" w:id="1201"/>
    <w:p>
      <w:pPr>
        <w:spacing w:after="0"/>
        <w:ind w:left="0"/>
        <w:jc w:val="both"/>
      </w:pPr>
      <w:r>
        <w:rPr>
          <w:rFonts w:ascii="Times New Roman"/>
          <w:b w:val="false"/>
          <w:i w:val="false"/>
          <w:color w:val="000000"/>
          <w:sz w:val="28"/>
        </w:rPr>
        <w:t>
      1.5. Представление спонсором иной информации по безопасности.</w:t>
      </w:r>
    </w:p>
    <w:bookmarkEnd w:id="1201"/>
    <w:bookmarkStart w:name="z2635" w:id="1202"/>
    <w:p>
      <w:pPr>
        <w:spacing w:after="0"/>
        <w:ind w:left="0"/>
        <w:jc w:val="both"/>
      </w:pPr>
      <w:r>
        <w:rPr>
          <w:rFonts w:ascii="Times New Roman"/>
          <w:b w:val="false"/>
          <w:i w:val="false"/>
          <w:color w:val="000000"/>
          <w:sz w:val="28"/>
        </w:rPr>
        <w:t>
      Спонсор в течение 15 календарных дней с даты получения иной информации по безопасности должен представить в уполномоченный орган государства-члена, исследователям и в экспертный совет организации ЭСО (НЭК) соответствующих исследовательских центров иную информацию по безопасности, которая может изменить оценку соотношения "польза – риск" исследуемого препарата либо служить основанием для изменений в рекомендациях по его назначению, а также для пересмотра возможности дальнейшего проведения исследования:</w:t>
      </w:r>
    </w:p>
    <w:bookmarkEnd w:id="1202"/>
    <w:bookmarkStart w:name="z2636" w:id="1203"/>
    <w:p>
      <w:pPr>
        <w:spacing w:after="0"/>
        <w:ind w:left="0"/>
        <w:jc w:val="both"/>
      </w:pPr>
      <w:r>
        <w:rPr>
          <w:rFonts w:ascii="Times New Roman"/>
          <w:b w:val="false"/>
          <w:i w:val="false"/>
          <w:color w:val="000000"/>
          <w:sz w:val="28"/>
        </w:rPr>
        <w:t>
      а) о клинически значимом превышении ожидаемой частоты и изменении характера ожидаемых серьезных нежелательных реакций;</w:t>
      </w:r>
    </w:p>
    <w:bookmarkEnd w:id="1203"/>
    <w:bookmarkStart w:name="z2637" w:id="1204"/>
    <w:p>
      <w:pPr>
        <w:spacing w:after="0"/>
        <w:ind w:left="0"/>
        <w:jc w:val="both"/>
      </w:pPr>
      <w:r>
        <w:rPr>
          <w:rFonts w:ascii="Times New Roman"/>
          <w:b w:val="false"/>
          <w:i w:val="false"/>
          <w:color w:val="000000"/>
          <w:sz w:val="28"/>
        </w:rPr>
        <w:t>
      б) о серьезных непредвиденных нежелательных реакциях, развившихся у пациента после завершения его участия в клиническом исследовании;</w:t>
      </w:r>
    </w:p>
    <w:bookmarkEnd w:id="1204"/>
    <w:bookmarkStart w:name="z2638" w:id="1205"/>
    <w:p>
      <w:pPr>
        <w:spacing w:after="0"/>
        <w:ind w:left="0"/>
        <w:jc w:val="both"/>
      </w:pPr>
      <w:r>
        <w:rPr>
          <w:rFonts w:ascii="Times New Roman"/>
          <w:b w:val="false"/>
          <w:i w:val="false"/>
          <w:color w:val="000000"/>
          <w:sz w:val="28"/>
        </w:rPr>
        <w:t>
      в) о новых данных, связанных с проведением клинического исследования или с разработкой исследуемого препарата, которые могут повлиять на безопасность пациентов, включая:</w:t>
      </w:r>
    </w:p>
    <w:bookmarkEnd w:id="1205"/>
    <w:bookmarkStart w:name="z2639" w:id="1206"/>
    <w:p>
      <w:pPr>
        <w:spacing w:after="0"/>
        <w:ind w:left="0"/>
        <w:jc w:val="both"/>
      </w:pPr>
      <w:r>
        <w:rPr>
          <w:rFonts w:ascii="Times New Roman"/>
          <w:b w:val="false"/>
          <w:i w:val="false"/>
          <w:color w:val="000000"/>
          <w:sz w:val="28"/>
        </w:rPr>
        <w:t>
      серьезные нежелательные явления, связанные с процедурой проведения исследования, на основании которых требуется внесение изменений в протокол проведения исследования;</w:t>
      </w:r>
    </w:p>
    <w:bookmarkEnd w:id="1206"/>
    <w:bookmarkStart w:name="z2640" w:id="1207"/>
    <w:p>
      <w:pPr>
        <w:spacing w:after="0"/>
        <w:ind w:left="0"/>
        <w:jc w:val="both"/>
      </w:pPr>
      <w:r>
        <w:rPr>
          <w:rFonts w:ascii="Times New Roman"/>
          <w:b w:val="false"/>
          <w:i w:val="false"/>
          <w:color w:val="000000"/>
          <w:sz w:val="28"/>
        </w:rPr>
        <w:t>
      отсутствие эффективности исследуемого препарата, применяемого при патологии, представляющей угрозу для жизни;</w:t>
      </w:r>
    </w:p>
    <w:bookmarkEnd w:id="1207"/>
    <w:bookmarkStart w:name="z2641" w:id="1208"/>
    <w:p>
      <w:pPr>
        <w:spacing w:after="0"/>
        <w:ind w:left="0"/>
        <w:jc w:val="both"/>
      </w:pPr>
      <w:r>
        <w:rPr>
          <w:rFonts w:ascii="Times New Roman"/>
          <w:b w:val="false"/>
          <w:i w:val="false"/>
          <w:color w:val="000000"/>
          <w:sz w:val="28"/>
        </w:rPr>
        <w:t>
      новые важные данные по безопасности, полученные в ходе недавно завершившихся исследований на животных (выявленный канцерогенный эффект и аналогичные по тяжести и важности эффекты);</w:t>
      </w:r>
    </w:p>
    <w:bookmarkEnd w:id="1208"/>
    <w:bookmarkStart w:name="z2642" w:id="1209"/>
    <w:p>
      <w:pPr>
        <w:spacing w:after="0"/>
        <w:ind w:left="0"/>
        <w:jc w:val="both"/>
      </w:pPr>
      <w:r>
        <w:rPr>
          <w:rFonts w:ascii="Times New Roman"/>
          <w:b w:val="false"/>
          <w:i w:val="false"/>
          <w:color w:val="000000"/>
          <w:sz w:val="28"/>
        </w:rPr>
        <w:t>
      преждевременное прекращение или приостановка исследования в другом государстве (государствах), обусловленные изменением в оценке безопасности аналогичного исследуемого препарата;</w:t>
      </w:r>
    </w:p>
    <w:bookmarkEnd w:id="1209"/>
    <w:bookmarkStart w:name="z2643" w:id="1210"/>
    <w:p>
      <w:pPr>
        <w:spacing w:after="0"/>
        <w:ind w:left="0"/>
        <w:jc w:val="both"/>
      </w:pPr>
      <w:r>
        <w:rPr>
          <w:rFonts w:ascii="Times New Roman"/>
          <w:b w:val="false"/>
          <w:i w:val="false"/>
          <w:color w:val="000000"/>
          <w:sz w:val="28"/>
        </w:rPr>
        <w:t>
      иные данные по безопасности, которые изменяют соотношение "польза-риск" для субъектов исследования;</w:t>
      </w:r>
    </w:p>
    <w:bookmarkEnd w:id="1210"/>
    <w:bookmarkStart w:name="z2644" w:id="1211"/>
    <w:p>
      <w:pPr>
        <w:spacing w:after="0"/>
        <w:ind w:left="0"/>
        <w:jc w:val="both"/>
      </w:pPr>
      <w:r>
        <w:rPr>
          <w:rFonts w:ascii="Times New Roman"/>
          <w:b w:val="false"/>
          <w:i w:val="false"/>
          <w:color w:val="000000"/>
          <w:sz w:val="28"/>
        </w:rPr>
        <w:t>
      г) о рекомендациях независимого комитета по мониторингу данных в отношении оценки безопасности исследуемого препарата.</w:t>
      </w:r>
    </w:p>
    <w:bookmarkEnd w:id="1211"/>
    <w:bookmarkStart w:name="z2645" w:id="1212"/>
    <w:p>
      <w:pPr>
        <w:spacing w:after="0"/>
        <w:ind w:left="0"/>
        <w:jc w:val="both"/>
      </w:pPr>
      <w:r>
        <w:rPr>
          <w:rFonts w:ascii="Times New Roman"/>
          <w:b w:val="false"/>
          <w:i w:val="false"/>
          <w:color w:val="000000"/>
          <w:sz w:val="28"/>
        </w:rPr>
        <w:t>
      Представление иной информации по безопасности в ЭСО (НЭК) соответствующих исследовательских центров в срок, указанный в абзаце первом настоящего пункта, может осуществляться спонсором посредством обеспечения передачи данной информации исследователем в ЭСО (НЭК) соответствующего исследовательского центра.</w:t>
      </w:r>
    </w:p>
    <w:bookmarkEnd w:id="1212"/>
    <w:bookmarkStart w:name="z2646" w:id="1213"/>
    <w:p>
      <w:pPr>
        <w:spacing w:after="0"/>
        <w:ind w:left="0"/>
        <w:jc w:val="both"/>
      </w:pPr>
      <w:r>
        <w:rPr>
          <w:rFonts w:ascii="Times New Roman"/>
          <w:b w:val="false"/>
          <w:i w:val="false"/>
          <w:color w:val="000000"/>
          <w:sz w:val="28"/>
        </w:rPr>
        <w:t>
      1.6. Форма представления спонсором информации по безопасности.</w:t>
      </w:r>
    </w:p>
    <w:bookmarkEnd w:id="1213"/>
    <w:bookmarkStart w:name="z2647" w:id="1214"/>
    <w:p>
      <w:pPr>
        <w:spacing w:after="0"/>
        <w:ind w:left="0"/>
        <w:jc w:val="both"/>
      </w:pPr>
      <w:r>
        <w:rPr>
          <w:rFonts w:ascii="Times New Roman"/>
          <w:b w:val="false"/>
          <w:i w:val="false"/>
          <w:color w:val="000000"/>
          <w:sz w:val="28"/>
        </w:rPr>
        <w:t xml:space="preserve">
      1.6.1. Форма представления спонсором информации о серьезных непредвиденных нежелательных реакциях в уполномоченные органы государств-членов. </w:t>
      </w:r>
    </w:p>
    <w:bookmarkEnd w:id="1214"/>
    <w:bookmarkStart w:name="z2648" w:id="1215"/>
    <w:p>
      <w:pPr>
        <w:spacing w:after="0"/>
        <w:ind w:left="0"/>
        <w:jc w:val="both"/>
      </w:pPr>
      <w:r>
        <w:rPr>
          <w:rFonts w:ascii="Times New Roman"/>
          <w:b w:val="false"/>
          <w:i w:val="false"/>
          <w:color w:val="000000"/>
          <w:sz w:val="28"/>
        </w:rPr>
        <w:t xml:space="preserve">
      Информация о серьезных непредвиденных нежелательных реакциях в соответствии с пунктом 1.2 настоящего порядка представляется спонсором в форме сообщения о нежелательной реакции. Формат сообщений должен соответствовать руководству Международного Совета по гармонизации E2B "Управление данными по безопасности: элементы данных для передачи сообщений об индивидуальных случаях нежелательных реакций". При формировании содержания индивидуального сообщения должна использоваться терминология Медицинского словаря терминов нормативной правовой деятельности (MedDRA). При этом в сообщении должны использоваться термины нижнего уровня (LLT). </w:t>
      </w:r>
    </w:p>
    <w:bookmarkEnd w:id="1215"/>
    <w:bookmarkStart w:name="z2649" w:id="1216"/>
    <w:p>
      <w:pPr>
        <w:spacing w:after="0"/>
        <w:ind w:left="0"/>
        <w:jc w:val="both"/>
      </w:pPr>
      <w:r>
        <w:rPr>
          <w:rFonts w:ascii="Times New Roman"/>
          <w:b w:val="false"/>
          <w:i w:val="false"/>
          <w:color w:val="000000"/>
          <w:sz w:val="28"/>
        </w:rPr>
        <w:t>
      1.6.2. Форма представления спонсором информации о серьезных непредвиденных нежелательных реакциях исследователям и в ЭСО (НЭК).</w:t>
      </w:r>
    </w:p>
    <w:bookmarkEnd w:id="1216"/>
    <w:bookmarkStart w:name="z2650" w:id="1217"/>
    <w:p>
      <w:pPr>
        <w:spacing w:after="0"/>
        <w:ind w:left="0"/>
        <w:jc w:val="both"/>
      </w:pPr>
      <w:r>
        <w:rPr>
          <w:rFonts w:ascii="Times New Roman"/>
          <w:b w:val="false"/>
          <w:i w:val="false"/>
          <w:color w:val="000000"/>
          <w:sz w:val="28"/>
        </w:rPr>
        <w:t>
      1.6.2.1. Информация о серьезной непредвиденной нежелательной реакции представляется предпочтительно в обобщенном виде в форме перечня нежелательных реакций за период, продолжительность которого должна определяться профилем безопасности исследуемого препарата и количеством выявляемых серьезных непредвиденных нежелательных реакций. Данный перечень должен сопровождаться кратким заключением по текущей оценке профиля безопасности за данный период. В случаях невозможности представления информации в обобщенном виде или в случае необходимости допускается представление информации в форме срочного сообщения о серьезной непредвиденной нежелательной реакции.</w:t>
      </w:r>
    </w:p>
    <w:bookmarkEnd w:id="1217"/>
    <w:bookmarkStart w:name="z2651" w:id="1218"/>
    <w:p>
      <w:pPr>
        <w:spacing w:after="0"/>
        <w:ind w:left="0"/>
        <w:jc w:val="both"/>
      </w:pPr>
      <w:r>
        <w:rPr>
          <w:rFonts w:ascii="Times New Roman"/>
          <w:b w:val="false"/>
          <w:i w:val="false"/>
          <w:color w:val="000000"/>
          <w:sz w:val="28"/>
        </w:rPr>
        <w:t>
      1.6.2.2. Представление информации о серьезной непредвиденной нежелательной реакции в ЭСО (НЭК) соответствующих исследовательских центров может осуществляться спонсором посредством обеспечения передачи данной информации исследователем соответствующего исследовательского центра в ЭСО (НЭК) соответствующего исследовательского центра, в соответствии с пунктами 3.3.8 и 4.10.2 Правил надлежащей клинической практики Евразийского экономического союза, утвержденных Решением Совета Евразийской экономической комиссии от 3 ноября 2016 г. № 79.</w:t>
      </w:r>
    </w:p>
    <w:bookmarkEnd w:id="1218"/>
    <w:bookmarkStart w:name="z2652" w:id="1219"/>
    <w:p>
      <w:pPr>
        <w:spacing w:after="0"/>
        <w:ind w:left="0"/>
        <w:jc w:val="both"/>
      </w:pPr>
      <w:r>
        <w:rPr>
          <w:rFonts w:ascii="Times New Roman"/>
          <w:b w:val="false"/>
          <w:i w:val="false"/>
          <w:color w:val="000000"/>
          <w:sz w:val="28"/>
        </w:rPr>
        <w:t>
      1.6.2.3. Период представления информации, указанной в пунктах 1.6.2.1 – 1.6.2.2 настоящего порядка, начинается не позднее момента открытия исследовательского центра и заканчивается после последнего визита последнего субъекта исследования в исследовательском центре, в котором проводится исследование.</w:t>
      </w:r>
    </w:p>
    <w:bookmarkEnd w:id="1219"/>
    <w:bookmarkStart w:name="z2653" w:id="1220"/>
    <w:p>
      <w:pPr>
        <w:spacing w:after="0"/>
        <w:ind w:left="0"/>
        <w:jc w:val="both"/>
      </w:pPr>
      <w:r>
        <w:rPr>
          <w:rFonts w:ascii="Times New Roman"/>
          <w:b w:val="false"/>
          <w:i w:val="false"/>
          <w:color w:val="000000"/>
          <w:sz w:val="28"/>
        </w:rPr>
        <w:t>
      1.6.3. Форма представления спонсором иной информации по безопасности.</w:t>
      </w:r>
    </w:p>
    <w:bookmarkEnd w:id="1220"/>
    <w:bookmarkStart w:name="z2654" w:id="1221"/>
    <w:p>
      <w:pPr>
        <w:spacing w:after="0"/>
        <w:ind w:left="0"/>
        <w:jc w:val="both"/>
      </w:pPr>
      <w:r>
        <w:rPr>
          <w:rFonts w:ascii="Times New Roman"/>
          <w:b w:val="false"/>
          <w:i w:val="false"/>
          <w:color w:val="000000"/>
          <w:sz w:val="28"/>
        </w:rPr>
        <w:t>
      Иная информация по безопасности в соответствии с пунктом 1.5 настоящего порядка представляется спонсором в письменном виде с указанием наименования клинического исследования, номера протокола исследования и краткого описания новой информации по безопасности.</w:t>
      </w:r>
    </w:p>
    <w:bookmarkEnd w:id="1221"/>
    <w:bookmarkStart w:name="z2655" w:id="1222"/>
    <w:p>
      <w:pPr>
        <w:spacing w:after="0"/>
        <w:ind w:left="0"/>
        <w:jc w:val="both"/>
      </w:pPr>
      <w:r>
        <w:rPr>
          <w:rFonts w:ascii="Times New Roman"/>
          <w:b w:val="false"/>
          <w:i w:val="false"/>
          <w:color w:val="000000"/>
          <w:sz w:val="28"/>
        </w:rPr>
        <w:t>
      1.7. Область распространения требования по представлению серьезных непредвиденных нежелательных реакций.</w:t>
      </w:r>
    </w:p>
    <w:bookmarkEnd w:id="1222"/>
    <w:bookmarkStart w:name="z2656" w:id="1223"/>
    <w:p>
      <w:pPr>
        <w:spacing w:after="0"/>
        <w:ind w:left="0"/>
        <w:jc w:val="both"/>
      </w:pPr>
      <w:r>
        <w:rPr>
          <w:rFonts w:ascii="Times New Roman"/>
          <w:b w:val="false"/>
          <w:i w:val="false"/>
          <w:color w:val="000000"/>
          <w:sz w:val="28"/>
        </w:rPr>
        <w:t>
      Требования пунктов 1.2 – 1.4 и 1.6 настоящего порядка распространяются на все серьезные непредвиденные нежелательные реакции, выявленные в исследовательских центрах, расположенных на территории Союза и других государств, где спонсором либо его партнером проводится исследование, одобренное на территории государства-члена, а также на реакции, выявленные в клинических исследованиях с применением данного действующего вещества, не зависимо от лекарственной формы, дозировки, режима дозирования и показаний к применению, проводимых спонсором либо его партнером.</w:t>
      </w:r>
    </w:p>
    <w:bookmarkEnd w:id="1223"/>
    <w:bookmarkStart w:name="z2657" w:id="1224"/>
    <w:p>
      <w:pPr>
        <w:spacing w:after="0"/>
        <w:ind w:left="0"/>
        <w:jc w:val="both"/>
      </w:pPr>
      <w:r>
        <w:rPr>
          <w:rFonts w:ascii="Times New Roman"/>
          <w:b w:val="false"/>
          <w:i w:val="false"/>
          <w:color w:val="000000"/>
          <w:sz w:val="28"/>
        </w:rPr>
        <w:t>
      1.8. Серьезные нежелательные реакции, не связанные с исследуемым препаратом.</w:t>
      </w:r>
    </w:p>
    <w:bookmarkEnd w:id="1224"/>
    <w:bookmarkStart w:name="z2658" w:id="1225"/>
    <w:p>
      <w:pPr>
        <w:spacing w:after="0"/>
        <w:ind w:left="0"/>
        <w:jc w:val="both"/>
      </w:pPr>
      <w:r>
        <w:rPr>
          <w:rFonts w:ascii="Times New Roman"/>
          <w:b w:val="false"/>
          <w:i w:val="false"/>
          <w:color w:val="000000"/>
          <w:sz w:val="28"/>
        </w:rPr>
        <w:t xml:space="preserve">
      Информацию о серьезных нежелательных реакциях, выявленных при проведении клинического исследования, для которых определяется взаимосвязь с зарегистрированными лекарственными препаратами, не являющимися исследуемыми препаратами и назначаемыми в качестве сопутствующей терапии, при отсутствии реакции взаимодействия с исследуемым препаратом исследователю следует представлять в уполномоченные органы государств-членов </w:t>
      </w:r>
      <w:r>
        <w:rPr>
          <w:rFonts w:ascii="Times New Roman"/>
          <w:b/>
          <w:i w:val="false"/>
          <w:color w:val="000000"/>
          <w:sz w:val="28"/>
        </w:rPr>
        <w:t>или держателю регистрационного удостоверения зарегистрированного лекарственного препарата</w:t>
      </w:r>
      <w:r>
        <w:rPr>
          <w:rFonts w:ascii="Times New Roman"/>
          <w:b w:val="false"/>
          <w:i w:val="false"/>
          <w:color w:val="000000"/>
          <w:sz w:val="28"/>
        </w:rPr>
        <w:t xml:space="preserve"> в соответствии с актами органов Союза по фармаконадзору</w:t>
      </w:r>
      <w:r>
        <w:rPr>
          <w:rFonts w:ascii="Times New Roman"/>
          <w:b/>
          <w:i w:val="false"/>
          <w:color w:val="000000"/>
          <w:sz w:val="28"/>
        </w:rPr>
        <w:t>.</w:t>
      </w:r>
    </w:p>
    <w:bookmarkEnd w:id="1225"/>
    <w:bookmarkStart w:name="z2659" w:id="1226"/>
    <w:p>
      <w:pPr>
        <w:spacing w:after="0"/>
        <w:ind w:left="0"/>
        <w:jc w:val="both"/>
      </w:pPr>
      <w:r>
        <w:rPr>
          <w:rFonts w:ascii="Times New Roman"/>
          <w:b w:val="false"/>
          <w:i w:val="false"/>
          <w:color w:val="000000"/>
          <w:sz w:val="28"/>
        </w:rPr>
        <w:t>
      1.9. Раскрытие рандомизационного кода.</w:t>
      </w:r>
    </w:p>
    <w:bookmarkEnd w:id="1226"/>
    <w:bookmarkStart w:name="z2660" w:id="1227"/>
    <w:p>
      <w:pPr>
        <w:spacing w:after="0"/>
        <w:ind w:left="0"/>
        <w:jc w:val="both"/>
      </w:pPr>
      <w:r>
        <w:rPr>
          <w:rFonts w:ascii="Times New Roman"/>
          <w:b w:val="false"/>
          <w:i w:val="false"/>
          <w:color w:val="000000"/>
          <w:sz w:val="28"/>
        </w:rPr>
        <w:t>
      1.9.1. Требования по раскрытию рандомизационного кода в случае серьезной непредвиденной нежелательной реакции.</w:t>
      </w:r>
    </w:p>
    <w:bookmarkEnd w:id="1227"/>
    <w:bookmarkStart w:name="z2661" w:id="1228"/>
    <w:p>
      <w:pPr>
        <w:spacing w:after="0"/>
        <w:ind w:left="0"/>
        <w:jc w:val="both"/>
      </w:pPr>
      <w:r>
        <w:rPr>
          <w:rFonts w:ascii="Times New Roman"/>
          <w:b w:val="false"/>
          <w:i w:val="false"/>
          <w:color w:val="000000"/>
          <w:sz w:val="28"/>
        </w:rPr>
        <w:t>
      Раскрытие рандомизационного кода в случае получения сообщения о нежелательном явлении, которое оценивается как серьезная непредвиденная нежелательная реакция, выполняется только по субъекту исследования, у которого развилась данная нежелательная реакция. В соответствии с подпунктом 1.2 настоящего порядка спонсору необходимо незамедлительно представить информацию о выявленной серьезной непредвиденной нежелательной реакции в уполномоченный орган государства-члена с учетом результатов раскрытия кода рандомизации. При этом спонсором должно сохраняться ослепление в таких случаях для лиц, ответственных за дальнейшее проведение клинического исследования (таких как руководители, мониторы, исследователи), а также лиц, ответственных за анализ данных и интерпретацию результатов после завершения исследования (таких как персонал отдела биометрии). Информация по нежелательным реакциям с раскрытием рандомизационных кодов субъектов исследования может быть доступна только лицам, ответственным за выполнение требований по представлению информации о нежелательных реакциях в уполномоченные органы государств-членов, в ЭСО (НЭК) и независимые комитеты по мониторингу данных или иным лицам, ответственным за выполнение постоянной оценки безопасности в ходе проведения клинического исследования. Для исследователей раскрытие рандомизационного кода в ходе выполнения клинического исследования выполняется только в случае, если это представляется необходимым для обеспечения безопасности субъекта исследования.</w:t>
      </w:r>
    </w:p>
    <w:bookmarkEnd w:id="1228"/>
    <w:bookmarkStart w:name="z2662" w:id="1229"/>
    <w:p>
      <w:pPr>
        <w:spacing w:after="0"/>
        <w:ind w:left="0"/>
        <w:jc w:val="both"/>
      </w:pPr>
      <w:r>
        <w:rPr>
          <w:rFonts w:ascii="Times New Roman"/>
          <w:b w:val="false"/>
          <w:i w:val="false"/>
          <w:color w:val="000000"/>
          <w:sz w:val="28"/>
        </w:rPr>
        <w:t>
      1.9.2. Результаты раскрытия рандомизационного кода отражаются в базах данных спонсора и уполномоченных органов государств-членов. Актуализация информации по безопасности в брошюре исследователя выполняется на основании анализа данных с раскрытым кодом лечения.</w:t>
      </w:r>
    </w:p>
    <w:bookmarkEnd w:id="1229"/>
    <w:bookmarkStart w:name="z2663" w:id="1230"/>
    <w:p>
      <w:pPr>
        <w:spacing w:after="0"/>
        <w:ind w:left="0"/>
        <w:jc w:val="both"/>
      </w:pPr>
      <w:r>
        <w:rPr>
          <w:rFonts w:ascii="Times New Roman"/>
          <w:b w:val="false"/>
          <w:i w:val="false"/>
          <w:color w:val="000000"/>
          <w:sz w:val="28"/>
        </w:rPr>
        <w:t>
      1.9.3. Особые популяции.</w:t>
      </w:r>
    </w:p>
    <w:bookmarkEnd w:id="1230"/>
    <w:bookmarkStart w:name="z2664" w:id="1231"/>
    <w:p>
      <w:pPr>
        <w:spacing w:after="0"/>
        <w:ind w:left="0"/>
        <w:jc w:val="both"/>
      </w:pPr>
      <w:r>
        <w:rPr>
          <w:rFonts w:ascii="Times New Roman"/>
          <w:b w:val="false"/>
          <w:i w:val="false"/>
          <w:color w:val="000000"/>
          <w:sz w:val="28"/>
        </w:rPr>
        <w:t>
      При проведении клинических исследований с участием популяции, для которой характерен высокий уровень осложнений и смертности, в случае, если конечные точки по оценке эффективности могут являться одновременно серьезными непредвиденными нежелательными реакциями либо когда смерть или иной серьезный неблагоприятный исход может являться конечной точкой по оценке эффективности исследуемого препарата, достоверность результатов клинического исследования может быть нарушена при систематическом раскрытии рандомизационных кодов. В таких случаях спонсору при получении одобрения протокола клинического исследования следует по согласованию с уполномоченным органом государства-члена определить, какие серьезные нежелательные явления, обусловленные течением основного заболевания, не будут подлежать систематическому раскрытию рандомизационных кодов и срочному представлению информации в уполномоченный орган государства-члена. В этих случаях обязательным являются назначение и обеспечение функционирования независимого комитета по мониторингу данных для выполнения постоянной оценки и анализа данных по безопасности выполняемого клинического исследования и определения рекомендаций для спонсора в части возможности дальнейшего проведения клинического исследования, внесения изменений в протокол исследования или остановки клинического исследования.</w:t>
      </w:r>
    </w:p>
    <w:bookmarkEnd w:id="1231"/>
    <w:bookmarkStart w:name="z2665" w:id="1232"/>
    <w:p>
      <w:pPr>
        <w:spacing w:after="0"/>
        <w:ind w:left="0"/>
        <w:jc w:val="both"/>
      </w:pPr>
      <w:r>
        <w:rPr>
          <w:rFonts w:ascii="Times New Roman"/>
          <w:b w:val="false"/>
          <w:i w:val="false"/>
          <w:color w:val="000000"/>
          <w:sz w:val="28"/>
        </w:rPr>
        <w:t>
      1.9.4. Ежегодное представление информации по безопасности.</w:t>
      </w:r>
    </w:p>
    <w:bookmarkEnd w:id="1232"/>
    <w:bookmarkStart w:name="z2666" w:id="1233"/>
    <w:p>
      <w:pPr>
        <w:spacing w:after="0"/>
        <w:ind w:left="0"/>
        <w:jc w:val="both"/>
      </w:pPr>
      <w:r>
        <w:rPr>
          <w:rFonts w:ascii="Times New Roman"/>
          <w:b w:val="false"/>
          <w:i w:val="false"/>
          <w:color w:val="000000"/>
          <w:sz w:val="28"/>
        </w:rPr>
        <w:t>
      Спонсор в течение всего срока проведения исследования должен ежегодно представлять в уполномоченный орган государства-члена, на территории которого проводится исследование лекарственного препарата, периодический отчет (периодические отчеты) по безопасности разрабатываемого лекарственного препарата, содержание которого (которых) должно отвечать требованиям, приведенным в приложении № 12 к Правилам надлежащей клинической практики Евразийского экономического союза. Не требуется в обязательном порядке представлять периодические отчеты по безопасности разрабатываемого лекарственного препарата в клинических исследованиях, продолжительность которых составляет менее 1 года.</w:t>
      </w:r>
    </w:p>
    <w:bookmarkEnd w:id="1233"/>
    <w:bookmarkStart w:name="z2667" w:id="1234"/>
    <w:p>
      <w:pPr>
        <w:spacing w:after="0"/>
        <w:ind w:left="0"/>
        <w:jc w:val="both"/>
      </w:pPr>
      <w:r>
        <w:rPr>
          <w:rFonts w:ascii="Times New Roman"/>
          <w:b w:val="false"/>
          <w:i w:val="false"/>
          <w:color w:val="000000"/>
          <w:sz w:val="28"/>
        </w:rPr>
        <w:t>
      В ЭСО (НЭК) спонсором представляется либо периодический отчет по безопасности разрабатываемого препарата, либо краткое изложение основного содержания отчета. В последнем случае структурированный перечень серьезных нежелательных реакций согласно приложению № 12 к Правилам надлежащей клинической практики Евразийского экономического союза представляется спонсором на основании запроса ЭСО (НЭК).</w:t>
      </w:r>
    </w:p>
    <w:bookmarkEnd w:id="1234"/>
    <w:bookmarkStart w:name="z2668" w:id="1235"/>
    <w:p>
      <w:pPr>
        <w:spacing w:after="0"/>
        <w:ind w:left="0"/>
        <w:jc w:val="left"/>
      </w:pPr>
      <w:r>
        <w:rPr>
          <w:rFonts w:ascii="Times New Roman"/>
          <w:b/>
          <w:i w:val="false"/>
          <w:color w:val="000000"/>
        </w:rPr>
        <w:t xml:space="preserve"> 2. Обязанности исследователя по представлению информации о выявленных в ходе исследования нежелательных явлениях спонсору</w:t>
      </w:r>
    </w:p>
    <w:bookmarkEnd w:id="1235"/>
    <w:bookmarkStart w:name="z2669" w:id="1236"/>
    <w:p>
      <w:pPr>
        <w:spacing w:after="0"/>
        <w:ind w:left="0"/>
        <w:jc w:val="both"/>
      </w:pPr>
      <w:r>
        <w:rPr>
          <w:rFonts w:ascii="Times New Roman"/>
          <w:b w:val="false"/>
          <w:i w:val="false"/>
          <w:color w:val="000000"/>
          <w:sz w:val="28"/>
        </w:rPr>
        <w:t>
      2.1. Исследователь должен незамедлительно, в течение 24 часов с даты выявления (либо получения информации о выявлении) представить спонсору информацию в отношении серьезных нежелательных явлений, кроме тех, которые определены в протоколе или в другом документе (например, в брошюре исследователя), как не требующие немедленного уведомления.</w:t>
      </w:r>
    </w:p>
    <w:bookmarkEnd w:id="1236"/>
    <w:bookmarkStart w:name="z2670" w:id="1237"/>
    <w:p>
      <w:pPr>
        <w:spacing w:after="0"/>
        <w:ind w:left="0"/>
        <w:jc w:val="both"/>
      </w:pPr>
      <w:r>
        <w:rPr>
          <w:rFonts w:ascii="Times New Roman"/>
          <w:b w:val="false"/>
          <w:i w:val="false"/>
          <w:color w:val="000000"/>
          <w:sz w:val="28"/>
        </w:rPr>
        <w:t>
      2.2. После представления срочного сообщения о серьезном нежелательном явлении исследователь должен представить спонсору сообщение с подробной информацией о серьезном нежелательном явлении, позволяющей спонсору сделать оценку необходимости пересмотра соотношения "польза – риск" клинического исследования.</w:t>
      </w:r>
    </w:p>
    <w:bookmarkEnd w:id="1237"/>
    <w:bookmarkStart w:name="z2671" w:id="1238"/>
    <w:p>
      <w:pPr>
        <w:spacing w:after="0"/>
        <w:ind w:left="0"/>
        <w:jc w:val="both"/>
      </w:pPr>
      <w:r>
        <w:rPr>
          <w:rFonts w:ascii="Times New Roman"/>
          <w:b w:val="false"/>
          <w:i w:val="false"/>
          <w:color w:val="000000"/>
          <w:sz w:val="28"/>
        </w:rPr>
        <w:t>
      Исследователь представляет спонсору информацию о нежелательных явлениях и отклонениях лабораторных показателей, которые определены в протоколе исследования как критические, для оценки безопасности в сроки, определяемые протоколом клинического исследования.</w:t>
      </w:r>
    </w:p>
    <w:bookmarkEnd w:id="1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12</w:t>
            </w:r>
            <w:r>
              <w:br/>
            </w:r>
            <w:r>
              <w:rPr>
                <w:rFonts w:ascii="Times New Roman"/>
                <w:b w:val="false"/>
                <w:i w:val="false"/>
                <w:color w:val="000000"/>
                <w:sz w:val="20"/>
              </w:rPr>
              <w:t>к Правилам надлежащей</w:t>
            </w:r>
            <w:r>
              <w:br/>
            </w:r>
            <w:r>
              <w:rPr>
                <w:rFonts w:ascii="Times New Roman"/>
                <w:b w:val="false"/>
                <w:i w:val="false"/>
                <w:color w:val="000000"/>
                <w:sz w:val="20"/>
              </w:rPr>
              <w:t>клинической практики Евразийского</w:t>
            </w:r>
            <w:r>
              <w:br/>
            </w:r>
            <w:r>
              <w:rPr>
                <w:rFonts w:ascii="Times New Roman"/>
                <w:b w:val="false"/>
                <w:i w:val="false"/>
                <w:color w:val="000000"/>
                <w:sz w:val="20"/>
              </w:rPr>
              <w:t>экономического союза</w:t>
            </w:r>
          </w:p>
        </w:tc>
      </w:tr>
    </w:tbl>
    <w:bookmarkStart w:name="z1192" w:id="1239"/>
    <w:p>
      <w:pPr>
        <w:spacing w:after="0"/>
        <w:ind w:left="0"/>
        <w:jc w:val="left"/>
      </w:pPr>
      <w:r>
        <w:rPr>
          <w:rFonts w:ascii="Times New Roman"/>
          <w:b/>
          <w:i w:val="false"/>
          <w:color w:val="000000"/>
        </w:rPr>
        <w:t xml:space="preserve"> ТРЕБОВАНИЯ</w:t>
      </w:r>
      <w:r>
        <w:br/>
      </w:r>
      <w:r>
        <w:rPr>
          <w:rFonts w:ascii="Times New Roman"/>
          <w:b/>
          <w:i w:val="false"/>
          <w:color w:val="000000"/>
        </w:rPr>
        <w:t>к периодическому отчету по безопасности разрабатываемого</w:t>
      </w:r>
      <w:r>
        <w:br/>
      </w:r>
      <w:r>
        <w:rPr>
          <w:rFonts w:ascii="Times New Roman"/>
          <w:b/>
          <w:i w:val="false"/>
          <w:color w:val="000000"/>
        </w:rPr>
        <w:t>лекарственного препарата</w:t>
      </w:r>
    </w:p>
    <w:bookmarkEnd w:id="1239"/>
    <w:bookmarkStart w:name="z1195" w:id="1240"/>
    <w:p>
      <w:pPr>
        <w:spacing w:after="0"/>
        <w:ind w:left="0"/>
        <w:jc w:val="both"/>
      </w:pPr>
      <w:r>
        <w:rPr>
          <w:rFonts w:ascii="Times New Roman"/>
          <w:b w:val="false"/>
          <w:i w:val="false"/>
          <w:color w:val="000000"/>
          <w:sz w:val="28"/>
        </w:rPr>
        <w:t>
      1. Определения</w:t>
      </w:r>
    </w:p>
    <w:bookmarkEnd w:id="1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1 с изменениями, внесенными решением Совета Евразийской экономической комиссии от 01.08.2025 </w:t>
      </w:r>
      <w:r>
        <w:rPr>
          <w:rFonts w:ascii="Times New Roman"/>
          <w:b w:val="false"/>
          <w:i w:val="false"/>
          <w:color w:val="000000"/>
          <w:sz w:val="28"/>
        </w:rPr>
        <w:t>№ 40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196" w:id="1241"/>
    <w:p>
      <w:pPr>
        <w:spacing w:after="0"/>
        <w:ind w:left="0"/>
        <w:jc w:val="both"/>
      </w:pPr>
      <w:r>
        <w:rPr>
          <w:rFonts w:ascii="Times New Roman"/>
          <w:b w:val="false"/>
          <w:i w:val="false"/>
          <w:color w:val="000000"/>
          <w:sz w:val="28"/>
        </w:rPr>
        <w:t>
      Для целей настоящих Требований используются понятия, которые означают следующее:</w:t>
      </w:r>
    </w:p>
    <w:bookmarkEnd w:id="1241"/>
    <w:bookmarkStart w:name="z1197" w:id="1242"/>
    <w:p>
      <w:pPr>
        <w:spacing w:after="0"/>
        <w:ind w:left="0"/>
        <w:jc w:val="both"/>
      </w:pPr>
      <w:r>
        <w:rPr>
          <w:rFonts w:ascii="Times New Roman"/>
          <w:b w:val="false"/>
          <w:i w:val="false"/>
          <w:color w:val="000000"/>
          <w:sz w:val="28"/>
        </w:rPr>
        <w:t>
      "важный идентифицированный риск", "важный потенциальный риск (important identified risk and important potential risk)" - идентифицированный или потенциальный риск, который может оказать влияние на соотношение польза-риск лекарственного препарата или иметь последствия для общественного здравоохранения;</w:t>
      </w:r>
    </w:p>
    <w:bookmarkEnd w:id="1242"/>
    <w:bookmarkStart w:name="z1198" w:id="1243"/>
    <w:p>
      <w:pPr>
        <w:spacing w:after="0"/>
        <w:ind w:left="0"/>
        <w:jc w:val="both"/>
      </w:pPr>
      <w:r>
        <w:rPr>
          <w:rFonts w:ascii="Times New Roman"/>
          <w:b w:val="false"/>
          <w:i w:val="false"/>
          <w:color w:val="000000"/>
          <w:sz w:val="28"/>
        </w:rPr>
        <w:t>
      "дата окончания сбора данных (data lock point)" - дата завершения сбора данных для включения в периодический отчет по безопасности исследуемого препарата;</w:t>
      </w:r>
    </w:p>
    <w:bookmarkEnd w:id="1243"/>
    <w:bookmarkStart w:name="z1199" w:id="1244"/>
    <w:p>
      <w:pPr>
        <w:spacing w:after="0"/>
        <w:ind w:left="0"/>
        <w:jc w:val="both"/>
      </w:pPr>
      <w:r>
        <w:rPr>
          <w:rFonts w:ascii="Times New Roman"/>
          <w:b w:val="false"/>
          <w:i w:val="false"/>
          <w:color w:val="000000"/>
          <w:sz w:val="28"/>
        </w:rPr>
        <w:t>
      "завершенное клиническое исследование (completed clinical trial)" - клиническое исследование, по результатам которого составлен итоговый отчет клинического исследования;</w:t>
      </w:r>
    </w:p>
    <w:bookmarkEnd w:id="1244"/>
    <w:bookmarkStart w:name="z1200" w:id="1245"/>
    <w:p>
      <w:pPr>
        <w:spacing w:after="0"/>
        <w:ind w:left="0"/>
        <w:jc w:val="both"/>
      </w:pPr>
      <w:r>
        <w:rPr>
          <w:rFonts w:ascii="Times New Roman"/>
          <w:b w:val="false"/>
          <w:i w:val="false"/>
          <w:color w:val="000000"/>
          <w:sz w:val="28"/>
        </w:rPr>
        <w:t>
      "идентифицированный риск (identified risk)" - нежелательное последствие фармакотерапии, для которого получено адекватное доказательство наличия взаимосвязи с подозреваемым лекарственным препаратом;</w:t>
      </w:r>
    </w:p>
    <w:bookmarkEnd w:id="1245"/>
    <w:bookmarkStart w:name="z1201" w:id="1246"/>
    <w:p>
      <w:pPr>
        <w:spacing w:after="0"/>
        <w:ind w:left="0"/>
        <w:jc w:val="both"/>
      </w:pPr>
      <w:r>
        <w:rPr>
          <w:rFonts w:ascii="Times New Roman"/>
          <w:b w:val="false"/>
          <w:i w:val="false"/>
          <w:color w:val="000000"/>
          <w:sz w:val="28"/>
        </w:rPr>
        <w:t>
      "интервенционное клиническое исследование (interventional clinical trial)" - клиническое исследование, в котором субъектам исследования выполняется проспективное назначение одного или нескольких медицинских вмешательств (например, профилактическое вмешательство, назначение лекарственных препаратов, выполнение хирургических вмешательств, поведенческая терапия и т.п.) с целью оценки влияния данных вмешательств на показатели состояния здоровья;</w:t>
      </w:r>
    </w:p>
    <w:bookmarkEnd w:id="1246"/>
    <w:bookmarkStart w:name="z1202" w:id="1247"/>
    <w:p>
      <w:pPr>
        <w:spacing w:after="0"/>
        <w:ind w:left="0"/>
        <w:jc w:val="both"/>
      </w:pPr>
      <w:r>
        <w:rPr>
          <w:rFonts w:ascii="Times New Roman"/>
          <w:b w:val="false"/>
          <w:i w:val="false"/>
          <w:color w:val="000000"/>
          <w:sz w:val="28"/>
        </w:rPr>
        <w:t>
      "исследуемый препарат (investigational drug)" - препарат, находящийся в разработке фармацевтической компанией. В рамках настоящего Приложения данный термин имеет более узкое значение по сравнению с используемым в тексте Правил надлежащей клинической практики Евразийского экономического союза и не включает препараты сравнения и плацебо;</w:t>
      </w:r>
    </w:p>
    <w:bookmarkEnd w:id="1247"/>
    <w:bookmarkStart w:name="z1203" w:id="1248"/>
    <w:p>
      <w:pPr>
        <w:spacing w:after="0"/>
        <w:ind w:left="0"/>
        <w:jc w:val="both"/>
      </w:pPr>
      <w:r>
        <w:rPr>
          <w:rFonts w:ascii="Times New Roman"/>
          <w:b w:val="false"/>
          <w:i w:val="false"/>
          <w:color w:val="000000"/>
          <w:sz w:val="28"/>
        </w:rPr>
        <w:t>
      "международная дата одобрения разрабатываемого лекарственного препарата", МДОРЛП (development international birth date) - дата первого одобрения для проведения интервенционного клинического исследования в любой из стран мира;</w:t>
      </w:r>
    </w:p>
    <w:bookmarkEnd w:id="1248"/>
    <w:bookmarkStart w:name="z1204" w:id="1249"/>
    <w:p>
      <w:pPr>
        <w:spacing w:after="0"/>
        <w:ind w:left="0"/>
        <w:jc w:val="both"/>
      </w:pPr>
      <w:r>
        <w:rPr>
          <w:rFonts w:ascii="Times New Roman"/>
          <w:b w:val="false"/>
          <w:i w:val="false"/>
          <w:color w:val="000000"/>
          <w:sz w:val="28"/>
        </w:rPr>
        <w:t>
      "нежелательные явления, представляющие особый интерес (adverse event of special interest)" - нежелательное явление, имеющее особый научный и медицинский интерес применительно к исследуемому препарату или исследовательской программе спонсора, которое может потребовать непрерывного мониторинга и незамедлительного информирования спонсора со стороны исследователя. Данные нежелательные явления могут потребовать дальнейшего изучения с целью надлежащей характеристики и оценки.</w:t>
      </w:r>
    </w:p>
    <w:bookmarkEnd w:id="1249"/>
    <w:bookmarkStart w:name="z1205" w:id="1250"/>
    <w:p>
      <w:pPr>
        <w:spacing w:after="0"/>
        <w:ind w:left="0"/>
        <w:jc w:val="both"/>
      </w:pPr>
      <w:r>
        <w:rPr>
          <w:rFonts w:ascii="Times New Roman"/>
          <w:b w:val="false"/>
          <w:i w:val="false"/>
          <w:color w:val="000000"/>
          <w:sz w:val="28"/>
        </w:rPr>
        <w:t>
      В зависимости от характера нежелательного явления, представляющего особый интерес, может потребоваться срочное представление информации от спонсора третьей стороной (например, уполномоченным органам государств - членов Евразийского экономического Союза);</w:t>
      </w:r>
    </w:p>
    <w:bookmarkEnd w:id="1250"/>
    <w:bookmarkStart w:name="z1206" w:id="1251"/>
    <w:p>
      <w:pPr>
        <w:spacing w:after="0"/>
        <w:ind w:left="0"/>
        <w:jc w:val="both"/>
      </w:pPr>
      <w:r>
        <w:rPr>
          <w:rFonts w:ascii="Times New Roman"/>
          <w:b w:val="false"/>
          <w:i w:val="false"/>
          <w:color w:val="000000"/>
          <w:sz w:val="28"/>
        </w:rPr>
        <w:t>
      "неинтервенционное клиническое исследование (non-interventional clinical study)" - исследование (испытание), которое соответствует следующим требованиям:</w:t>
      </w:r>
    </w:p>
    <w:bookmarkEnd w:id="1251"/>
    <w:bookmarkStart w:name="z1207" w:id="1252"/>
    <w:p>
      <w:pPr>
        <w:spacing w:after="0"/>
        <w:ind w:left="0"/>
        <w:jc w:val="both"/>
      </w:pPr>
      <w:r>
        <w:rPr>
          <w:rFonts w:ascii="Times New Roman"/>
          <w:b w:val="false"/>
          <w:i w:val="false"/>
          <w:color w:val="000000"/>
          <w:sz w:val="28"/>
        </w:rPr>
        <w:t>
      лекарственный препарат назначается в соответствии с общей характеристикой лекарственного препарата;</w:t>
      </w:r>
    </w:p>
    <w:bookmarkEnd w:id="1252"/>
    <w:bookmarkStart w:name="z1208" w:id="1253"/>
    <w:p>
      <w:pPr>
        <w:spacing w:after="0"/>
        <w:ind w:left="0"/>
        <w:jc w:val="both"/>
      </w:pPr>
      <w:r>
        <w:rPr>
          <w:rFonts w:ascii="Times New Roman"/>
          <w:b w:val="false"/>
          <w:i w:val="false"/>
          <w:color w:val="000000"/>
          <w:sz w:val="28"/>
        </w:rPr>
        <w:t>
      решение о назначении пациенту определенного лечения не принимается заранее согласно протоколу исследования, но соответствует принятой практике, и назначение лекарственного препарата четко отделено от решения о включении пациента в исследование;</w:t>
      </w:r>
    </w:p>
    <w:bookmarkEnd w:id="1253"/>
    <w:bookmarkStart w:name="z1209" w:id="1254"/>
    <w:p>
      <w:pPr>
        <w:spacing w:after="0"/>
        <w:ind w:left="0"/>
        <w:jc w:val="both"/>
      </w:pPr>
      <w:r>
        <w:rPr>
          <w:rFonts w:ascii="Times New Roman"/>
          <w:b w:val="false"/>
          <w:i w:val="false"/>
          <w:color w:val="000000"/>
          <w:sz w:val="28"/>
        </w:rPr>
        <w:t>
      к пациентам не применяются какие-либо дополнительные диагностические или контрольные процедуры, а для анализа полученных данных используются эпидемиологические методы;</w:t>
      </w:r>
    </w:p>
    <w:bookmarkEnd w:id="1254"/>
    <w:bookmarkStart w:name="z1210" w:id="1255"/>
    <w:p>
      <w:pPr>
        <w:spacing w:after="0"/>
        <w:ind w:left="0"/>
        <w:jc w:val="both"/>
      </w:pPr>
      <w:r>
        <w:rPr>
          <w:rFonts w:ascii="Times New Roman"/>
          <w:b w:val="false"/>
          <w:i w:val="false"/>
          <w:color w:val="000000"/>
          <w:sz w:val="28"/>
        </w:rPr>
        <w:t>
      "ожидаемая эффективность (польза)" (anticipated efficacy (benefit)) - эффективность (польза), которая еще не была установлена для исследуемого продукта, но ожидается исходя из имеющихся знаний об эффективности (пользе) данного класса лекарственных препаратов либо данных предшествующих клинических или доклинических исследований;</w:t>
      </w:r>
    </w:p>
    <w:bookmarkEnd w:id="1255"/>
    <w:bookmarkStart w:name="z1211" w:id="1256"/>
    <w:p>
      <w:pPr>
        <w:spacing w:after="0"/>
        <w:ind w:left="0"/>
        <w:jc w:val="both"/>
      </w:pPr>
      <w:r>
        <w:rPr>
          <w:rFonts w:ascii="Times New Roman"/>
          <w:b w:val="false"/>
          <w:i w:val="false"/>
          <w:color w:val="000000"/>
          <w:sz w:val="28"/>
        </w:rPr>
        <w:t>
      "программа клинической разработки (clinical development programme)" - совокупность клинических исследований одного и того же исследуемого препарата, вне зависимости от показаний к назначению и лекарственной формы;</w:t>
      </w:r>
    </w:p>
    <w:bookmarkEnd w:id="1256"/>
    <w:bookmarkStart w:name="z1212" w:id="1257"/>
    <w:p>
      <w:pPr>
        <w:spacing w:after="0"/>
        <w:ind w:left="0"/>
        <w:jc w:val="both"/>
      </w:pPr>
      <w:r>
        <w:rPr>
          <w:rFonts w:ascii="Times New Roman"/>
          <w:b w:val="false"/>
          <w:i w:val="false"/>
          <w:color w:val="000000"/>
          <w:sz w:val="28"/>
        </w:rPr>
        <w:t>
      "продолжающееся клиническое исследование (ongoing clinical trial)" - клиническое исследование с начавшимся включением субъектов исследования, вне зависимости от его приостановки или завершения анализа, по результатам которого не подготовлен заключительный отчет;</w:t>
      </w:r>
    </w:p>
    <w:bookmarkEnd w:id="1257"/>
    <w:bookmarkStart w:name="z1213" w:id="1258"/>
    <w:p>
      <w:pPr>
        <w:spacing w:after="0"/>
        <w:ind w:left="0"/>
        <w:jc w:val="both"/>
      </w:pPr>
      <w:r>
        <w:rPr>
          <w:rFonts w:ascii="Times New Roman"/>
          <w:b w:val="false"/>
          <w:i w:val="false"/>
          <w:color w:val="000000"/>
          <w:sz w:val="28"/>
        </w:rPr>
        <w:t>
      "потенциальный риск (potential risk)" - нежелательное последствие фармакотерапии, в отношении которого имеются основания для подозрений по наличию взаимосвязи с лекарственным препаратом, однако данная взаимосвязь надлежащим образом не была подтверждена;</w:t>
      </w:r>
    </w:p>
    <w:bookmarkEnd w:id="1258"/>
    <w:bookmarkStart w:name="z1214" w:id="1259"/>
    <w:p>
      <w:pPr>
        <w:spacing w:after="0"/>
        <w:ind w:left="0"/>
        <w:jc w:val="both"/>
      </w:pPr>
      <w:r>
        <w:rPr>
          <w:rFonts w:ascii="Times New Roman"/>
          <w:b w:val="false"/>
          <w:i w:val="false"/>
          <w:color w:val="000000"/>
          <w:sz w:val="28"/>
        </w:rPr>
        <w:t>
      "регистр (registry)" - совокупность данных по пациентам, характеризующимся каким-либо одинаковым признаком (признаками). Данный признак может представлять собой заболевание (регистр по заболеванию) или специфическое воздействие лекарственного препарата (лекарственный регистр). Регистр направлен на проспективный сбор определенной совокупности данных по пациентам с использованием стандартизованного опросника. (Лекарственные регистры направлены на сбор данных на протяжении определенного времени по популяции, подвергающейся воздействию изучаемого лекарственного препарата, и (или) по определенной популяции. Пациенты могут быть включены в когортное исследование для сбора данных о нежелательных явлениях с применением стандартизированного опросника (стандартизированных опросников). Регистры могут быть полезными для усиления сигнала, особенно для редких нежелательных реакций);</w:t>
      </w:r>
    </w:p>
    <w:bookmarkEnd w:id="1259"/>
    <w:bookmarkStart w:name="z1215" w:id="1260"/>
    <w:p>
      <w:pPr>
        <w:spacing w:after="0"/>
        <w:ind w:left="0"/>
        <w:jc w:val="both"/>
      </w:pPr>
      <w:r>
        <w:rPr>
          <w:rFonts w:ascii="Times New Roman"/>
          <w:b w:val="false"/>
          <w:i w:val="false"/>
          <w:color w:val="000000"/>
          <w:sz w:val="28"/>
        </w:rPr>
        <w:t>
      "сигнал (signal)" - информация, поступающая от одного или нескольких источников, которая предполагает наличие новой потенциальной причинно-следственной связи или нового аспекта известной взаимосвязи между воздействием лекарственного препарата и нежелательным явлением или совокупностью взаимосвязанных нежелательных явлений, оцениваемая как достаточная для дальнейших действий по верификации сигнала;</w:t>
      </w:r>
    </w:p>
    <w:bookmarkEnd w:id="1260"/>
    <w:bookmarkStart w:name="z1216" w:id="1261"/>
    <w:p>
      <w:pPr>
        <w:spacing w:after="0"/>
        <w:ind w:left="0"/>
        <w:jc w:val="both"/>
      </w:pPr>
      <w:r>
        <w:rPr>
          <w:rFonts w:ascii="Times New Roman"/>
          <w:b w:val="false"/>
          <w:i w:val="false"/>
          <w:color w:val="000000"/>
          <w:sz w:val="28"/>
        </w:rPr>
        <w:t>
      "спонсор-исследователь (sponsor-investigator)" - физическое лицо, которое инициирует и выполняет клиническое исследование самостоятельно либо с иными исследователями и под непосредственным руководством которого выполняются назначение, выдача или применение исследуемого препарата субъектами исследования. В обязанности спонсора-исследователя входят обязанности как спонсора, так и исследователя.</w:t>
      </w:r>
    </w:p>
    <w:bookmarkEnd w:id="1261"/>
    <w:bookmarkStart w:name="z1217" w:id="1262"/>
    <w:p>
      <w:pPr>
        <w:spacing w:after="0"/>
        <w:ind w:left="0"/>
        <w:jc w:val="left"/>
      </w:pPr>
      <w:r>
        <w:rPr>
          <w:rFonts w:ascii="Times New Roman"/>
          <w:b/>
          <w:i w:val="false"/>
          <w:color w:val="000000"/>
        </w:rPr>
        <w:t xml:space="preserve"> 2. Общие положения</w:t>
      </w:r>
    </w:p>
    <w:bookmarkEnd w:id="1262"/>
    <w:bookmarkStart w:name="z1218" w:id="1263"/>
    <w:p>
      <w:pPr>
        <w:spacing w:after="0"/>
        <w:ind w:left="0"/>
        <w:jc w:val="both"/>
      </w:pPr>
      <w:r>
        <w:rPr>
          <w:rFonts w:ascii="Times New Roman"/>
          <w:b w:val="false"/>
          <w:i w:val="false"/>
          <w:color w:val="000000"/>
          <w:sz w:val="28"/>
        </w:rPr>
        <w:t>
      Периодический анализ информации по безопасности при клинической разработке исследуемого препарата имеет решающее значение для непрерывной оценки риска субъектов исследования. Важно обеспечивать регулярное информирование уполномоченных органов государств - членов Евразийского экономического союза (далее соответственно - уполномоченные органы, государства-члены, Союз) и иных заинтересованных сторон (например, Экспертного совета организации (Независимый этический комитет) (далее - ЭСО (НЭК))) о результатах данного анализа и получения данных в отношении профиля безопасности исследуемого препарата, а также уведомления о действиях, принятых в отношении возникающих вопросов по безопасности. Периодический отчет по безопасности разрабатываемого (исследуемого) лекарственного препарата (далее - РООБ) является стандартом для периодической отчетности по разрабатываемым (исследуемым) препаратам (включая зарегистрированные препараты, по которым продолжается выполнение разработки) для государств-членов.</w:t>
      </w:r>
    </w:p>
    <w:bookmarkEnd w:id="1263"/>
    <w:bookmarkStart w:name="z1219" w:id="1264"/>
    <w:p>
      <w:pPr>
        <w:spacing w:after="0"/>
        <w:ind w:left="0"/>
        <w:jc w:val="both"/>
      </w:pPr>
      <w:r>
        <w:rPr>
          <w:rFonts w:ascii="Times New Roman"/>
          <w:b w:val="false"/>
          <w:i w:val="false"/>
          <w:color w:val="000000"/>
          <w:sz w:val="28"/>
        </w:rPr>
        <w:t>
      Основной целью РООБ является представление исчерпывающего и глубокого ежегодного обзора и оценки информации по безопасности исследуемого препарата, которая была собрана на протяжении отчетного периода вне зависимости от его регистрационного статуса посредством:</w:t>
      </w:r>
    </w:p>
    <w:bookmarkEnd w:id="1264"/>
    <w:bookmarkStart w:name="z1220" w:id="1265"/>
    <w:p>
      <w:pPr>
        <w:spacing w:after="0"/>
        <w:ind w:left="0"/>
        <w:jc w:val="both"/>
      </w:pPr>
      <w:r>
        <w:rPr>
          <w:rFonts w:ascii="Times New Roman"/>
          <w:b w:val="false"/>
          <w:i w:val="false"/>
          <w:color w:val="000000"/>
          <w:sz w:val="28"/>
        </w:rPr>
        <w:t>
      оценки возможных отличий полученной за отчетный период спонсором информации по безопасности от предшествующих знаний по профилю безопасности исследуемого продукта;</w:t>
      </w:r>
    </w:p>
    <w:bookmarkEnd w:id="1265"/>
    <w:bookmarkStart w:name="z1221" w:id="1266"/>
    <w:p>
      <w:pPr>
        <w:spacing w:after="0"/>
        <w:ind w:left="0"/>
        <w:jc w:val="both"/>
      </w:pPr>
      <w:r>
        <w:rPr>
          <w:rFonts w:ascii="Times New Roman"/>
          <w:b w:val="false"/>
          <w:i w:val="false"/>
          <w:color w:val="000000"/>
          <w:sz w:val="28"/>
        </w:rPr>
        <w:t>
      описания новых выявленных аспектов профиля безопасности, которые могут оказать влияние на обеспечение безопасности субъектов исследования;</w:t>
      </w:r>
    </w:p>
    <w:bookmarkEnd w:id="1266"/>
    <w:bookmarkStart w:name="z1222" w:id="1267"/>
    <w:p>
      <w:pPr>
        <w:spacing w:after="0"/>
        <w:ind w:left="0"/>
        <w:jc w:val="both"/>
      </w:pPr>
      <w:r>
        <w:rPr>
          <w:rFonts w:ascii="Times New Roman"/>
          <w:b w:val="false"/>
          <w:i w:val="false"/>
          <w:color w:val="000000"/>
          <w:sz w:val="28"/>
        </w:rPr>
        <w:t>
      обобщения данных по текущей оценке и управлению идентифицированными и потенциальными рисками;</w:t>
      </w:r>
    </w:p>
    <w:bookmarkEnd w:id="1267"/>
    <w:bookmarkStart w:name="z1223" w:id="1268"/>
    <w:p>
      <w:pPr>
        <w:spacing w:after="0"/>
        <w:ind w:left="0"/>
        <w:jc w:val="both"/>
      </w:pPr>
      <w:r>
        <w:rPr>
          <w:rFonts w:ascii="Times New Roman"/>
          <w:b w:val="false"/>
          <w:i w:val="false"/>
          <w:color w:val="000000"/>
          <w:sz w:val="28"/>
        </w:rPr>
        <w:t>
      представления обновления по состоянию клинического изучения (программы разработки) и результатов исследования.</w:t>
      </w:r>
    </w:p>
    <w:bookmarkEnd w:id="1268"/>
    <w:bookmarkStart w:name="z1224" w:id="1269"/>
    <w:p>
      <w:pPr>
        <w:spacing w:after="0"/>
        <w:ind w:left="0"/>
        <w:jc w:val="both"/>
      </w:pPr>
      <w:r>
        <w:rPr>
          <w:rFonts w:ascii="Times New Roman"/>
          <w:b w:val="false"/>
          <w:i w:val="false"/>
          <w:color w:val="000000"/>
          <w:sz w:val="28"/>
        </w:rPr>
        <w:t>
      РООБ должен быть лаконичным и представлять уполномоченным органам государств-членов информацию, позволяющую подтвердить обеспечение спонсором надлежащего мониторинга и оценки данных по профилю безопасности исследуемого препарата. В РООБ подлежат отражению все новые аспекты профиля безопасности, выявленные за отчетный период. РООБ не должен использоваться в целях первичного уведомления о значимых новых данных по безопасности либо в качестве способа выявления новых аспектов профиля безопасности.</w:t>
      </w:r>
    </w:p>
    <w:bookmarkEnd w:id="1269"/>
    <w:bookmarkStart w:name="z1225" w:id="1270"/>
    <w:p>
      <w:pPr>
        <w:spacing w:after="0"/>
        <w:ind w:left="0"/>
        <w:jc w:val="both"/>
      </w:pPr>
      <w:r>
        <w:rPr>
          <w:rFonts w:ascii="Times New Roman"/>
          <w:b w:val="false"/>
          <w:i w:val="false"/>
          <w:color w:val="000000"/>
          <w:sz w:val="28"/>
        </w:rPr>
        <w:t>
      Основной включаемой в РООБ информацией являются данные и результаты клинических исследований лекарственных препаратов и биологических веществ, вне зависимости от их регистрационного статуса. В случае продолжения клинического изучения после регистрации лекарственного препарата, РООБ включает также данные пострегистрационных исследований. РООБ направлен на оценку исследуемого (разрабатываемого) препарата, информация по препаратам сравнения и плацебо включается в него только в случае, если это имеет отношение к безопасности субъектов исследования.</w:t>
      </w:r>
    </w:p>
    <w:bookmarkEnd w:id="1270"/>
    <w:bookmarkStart w:name="z1226" w:id="1271"/>
    <w:p>
      <w:pPr>
        <w:spacing w:after="0"/>
        <w:ind w:left="0"/>
        <w:jc w:val="both"/>
      </w:pPr>
      <w:r>
        <w:rPr>
          <w:rFonts w:ascii="Times New Roman"/>
          <w:b w:val="false"/>
          <w:i w:val="false"/>
          <w:color w:val="000000"/>
          <w:sz w:val="28"/>
        </w:rPr>
        <w:t>
      В РООБ включается информация по безопасности, получаемая в ходе всех продолжающихся клинических исследований и иных исследований, выполняемых или завершенных спонсором на протяжении отчетного периода, в том числе:</w:t>
      </w:r>
    </w:p>
    <w:bookmarkEnd w:id="1271"/>
    <w:bookmarkStart w:name="z1227" w:id="1272"/>
    <w:p>
      <w:pPr>
        <w:spacing w:after="0"/>
        <w:ind w:left="0"/>
        <w:jc w:val="both"/>
      </w:pPr>
      <w:r>
        <w:rPr>
          <w:rFonts w:ascii="Times New Roman"/>
          <w:b w:val="false"/>
          <w:i w:val="false"/>
          <w:color w:val="000000"/>
          <w:sz w:val="28"/>
        </w:rPr>
        <w:t>
      клинические исследования разрабатываемого (исследуемого) препарата (фармакологические исследования у человека, терапевтические поисковые исследования и терапевтические подтверждающие исследования (фазы I - III));</w:t>
      </w:r>
    </w:p>
    <w:bookmarkEnd w:id="1272"/>
    <w:bookmarkStart w:name="z1228" w:id="1273"/>
    <w:p>
      <w:pPr>
        <w:spacing w:after="0"/>
        <w:ind w:left="0"/>
        <w:jc w:val="both"/>
      </w:pPr>
      <w:r>
        <w:rPr>
          <w:rFonts w:ascii="Times New Roman"/>
          <w:b w:val="false"/>
          <w:i w:val="false"/>
          <w:color w:val="000000"/>
          <w:sz w:val="28"/>
        </w:rPr>
        <w:t>
      клинические исследования зарегистрированного лекарственного препарата по одобренным показаниям (исследование терапевтического применения (фаза IV));</w:t>
      </w:r>
    </w:p>
    <w:bookmarkEnd w:id="1273"/>
    <w:bookmarkStart w:name="z1229" w:id="1274"/>
    <w:p>
      <w:pPr>
        <w:spacing w:after="0"/>
        <w:ind w:left="0"/>
        <w:jc w:val="both"/>
      </w:pPr>
      <w:r>
        <w:rPr>
          <w:rFonts w:ascii="Times New Roman"/>
          <w:b w:val="false"/>
          <w:i w:val="false"/>
          <w:color w:val="000000"/>
          <w:sz w:val="28"/>
        </w:rPr>
        <w:t>
      терапевтическое применение исследуемого препарата (например, в рамках расширенного доступа, индивидуального доступа и иных);</w:t>
      </w:r>
    </w:p>
    <w:bookmarkEnd w:id="1274"/>
    <w:bookmarkStart w:name="z1230" w:id="1275"/>
    <w:p>
      <w:pPr>
        <w:spacing w:after="0"/>
        <w:ind w:left="0"/>
        <w:jc w:val="both"/>
      </w:pPr>
      <w:r>
        <w:rPr>
          <w:rFonts w:ascii="Times New Roman"/>
          <w:b w:val="false"/>
          <w:i w:val="false"/>
          <w:color w:val="000000"/>
          <w:sz w:val="28"/>
        </w:rPr>
        <w:t>
      клинические исследования, проводимые для поддержки изменений процесса производства лекарственного средства.</w:t>
      </w:r>
    </w:p>
    <w:bookmarkEnd w:id="1275"/>
    <w:bookmarkStart w:name="z1231" w:id="1276"/>
    <w:p>
      <w:pPr>
        <w:spacing w:after="0"/>
        <w:ind w:left="0"/>
        <w:jc w:val="both"/>
      </w:pPr>
      <w:r>
        <w:rPr>
          <w:rFonts w:ascii="Times New Roman"/>
          <w:b w:val="false"/>
          <w:i w:val="false"/>
          <w:color w:val="000000"/>
          <w:sz w:val="28"/>
        </w:rPr>
        <w:t>
      РООБ также включает в себя иные данные, которые являются значимыми в отношении безопасности разрабатываемого (исследуемого) препарата, в том числе следующие данные:</w:t>
      </w:r>
    </w:p>
    <w:bookmarkEnd w:id="1276"/>
    <w:bookmarkStart w:name="z1232" w:id="1277"/>
    <w:p>
      <w:pPr>
        <w:spacing w:after="0"/>
        <w:ind w:left="0"/>
        <w:jc w:val="both"/>
      </w:pPr>
      <w:r>
        <w:rPr>
          <w:rFonts w:ascii="Times New Roman"/>
          <w:b w:val="false"/>
          <w:i w:val="false"/>
          <w:color w:val="000000"/>
          <w:sz w:val="28"/>
        </w:rPr>
        <w:t>
      наблюдательных и эпидемиологических исследований;</w:t>
      </w:r>
    </w:p>
    <w:bookmarkEnd w:id="1277"/>
    <w:bookmarkStart w:name="z1233" w:id="1278"/>
    <w:p>
      <w:pPr>
        <w:spacing w:after="0"/>
        <w:ind w:left="0"/>
        <w:jc w:val="both"/>
      </w:pPr>
      <w:r>
        <w:rPr>
          <w:rFonts w:ascii="Times New Roman"/>
          <w:b w:val="false"/>
          <w:i w:val="false"/>
          <w:color w:val="000000"/>
          <w:sz w:val="28"/>
        </w:rPr>
        <w:t>
      доклинических исследований (токсикологических исследований и исследований in vitro);</w:t>
      </w:r>
    </w:p>
    <w:bookmarkEnd w:id="1278"/>
    <w:bookmarkStart w:name="z1234" w:id="1279"/>
    <w:p>
      <w:pPr>
        <w:spacing w:after="0"/>
        <w:ind w:left="0"/>
        <w:jc w:val="both"/>
      </w:pPr>
      <w:r>
        <w:rPr>
          <w:rFonts w:ascii="Times New Roman"/>
          <w:b w:val="false"/>
          <w:i w:val="false"/>
          <w:color w:val="000000"/>
          <w:sz w:val="28"/>
        </w:rPr>
        <w:t>
      других РООБ, которые имеют отношение к исследуемому препарату;</w:t>
      </w:r>
    </w:p>
    <w:bookmarkEnd w:id="1279"/>
    <w:bookmarkStart w:name="z1235" w:id="1280"/>
    <w:p>
      <w:pPr>
        <w:spacing w:after="0"/>
        <w:ind w:left="0"/>
        <w:jc w:val="both"/>
      </w:pPr>
      <w:r>
        <w:rPr>
          <w:rFonts w:ascii="Times New Roman"/>
          <w:b w:val="false"/>
          <w:i w:val="false"/>
          <w:color w:val="000000"/>
          <w:sz w:val="28"/>
        </w:rPr>
        <w:t>
      производственных и микробиологических изменений;</w:t>
      </w:r>
    </w:p>
    <w:bookmarkEnd w:id="1280"/>
    <w:bookmarkStart w:name="z1236" w:id="1281"/>
    <w:p>
      <w:pPr>
        <w:spacing w:after="0"/>
        <w:ind w:left="0"/>
        <w:jc w:val="both"/>
      </w:pPr>
      <w:r>
        <w:rPr>
          <w:rFonts w:ascii="Times New Roman"/>
          <w:b w:val="false"/>
          <w:i w:val="false"/>
          <w:color w:val="000000"/>
          <w:sz w:val="28"/>
        </w:rPr>
        <w:t>
      недавно опубликованные в медицинской литературе;</w:t>
      </w:r>
    </w:p>
    <w:bookmarkEnd w:id="1281"/>
    <w:bookmarkStart w:name="z1237" w:id="1282"/>
    <w:p>
      <w:pPr>
        <w:spacing w:after="0"/>
        <w:ind w:left="0"/>
        <w:jc w:val="both"/>
      </w:pPr>
      <w:r>
        <w:rPr>
          <w:rFonts w:ascii="Times New Roman"/>
          <w:b w:val="false"/>
          <w:i w:val="false"/>
          <w:color w:val="000000"/>
          <w:sz w:val="28"/>
        </w:rPr>
        <w:t>
      клинических исследований, по результатам которых была выявлена недостаточная эффективность, что могло оказать непосредственное влияние на безопасность субъектов исследования (например, ухудшение основного заболевания в случае серьезной или жизнеугрожающей патологии);</w:t>
      </w:r>
    </w:p>
    <w:bookmarkEnd w:id="1282"/>
    <w:bookmarkStart w:name="z1238" w:id="1283"/>
    <w:p>
      <w:pPr>
        <w:spacing w:after="0"/>
        <w:ind w:left="0"/>
        <w:jc w:val="both"/>
      </w:pPr>
      <w:r>
        <w:rPr>
          <w:rFonts w:ascii="Times New Roman"/>
          <w:b w:val="false"/>
          <w:i w:val="false"/>
          <w:color w:val="000000"/>
          <w:sz w:val="28"/>
        </w:rPr>
        <w:t>
      иных источников данных по безопасности аналогичного терапевтического класса;</w:t>
      </w:r>
    </w:p>
    <w:bookmarkEnd w:id="1283"/>
    <w:bookmarkStart w:name="z1239" w:id="1284"/>
    <w:p>
      <w:pPr>
        <w:spacing w:after="0"/>
        <w:ind w:left="0"/>
        <w:jc w:val="both"/>
      </w:pPr>
      <w:r>
        <w:rPr>
          <w:rFonts w:ascii="Times New Roman"/>
          <w:b w:val="false"/>
          <w:i w:val="false"/>
          <w:color w:val="000000"/>
          <w:sz w:val="28"/>
        </w:rPr>
        <w:t>
      клинических исследований, проведенных партнерами спонсора по разработке, если это предусмотрено договорами.</w:t>
      </w:r>
    </w:p>
    <w:bookmarkEnd w:id="1284"/>
    <w:bookmarkStart w:name="z1240" w:id="1285"/>
    <w:p>
      <w:pPr>
        <w:spacing w:after="0"/>
        <w:ind w:left="0"/>
        <w:jc w:val="left"/>
      </w:pPr>
      <w:r>
        <w:rPr>
          <w:rFonts w:ascii="Times New Roman"/>
          <w:b/>
          <w:i w:val="false"/>
          <w:color w:val="000000"/>
        </w:rPr>
        <w:t xml:space="preserve"> 3. Общие принципы</w:t>
      </w:r>
      <w:r>
        <w:br/>
      </w:r>
      <w:r>
        <w:rPr>
          <w:rFonts w:ascii="Times New Roman"/>
          <w:b/>
          <w:i w:val="false"/>
          <w:color w:val="000000"/>
        </w:rPr>
        <w:t>3.1. Единый РООБ для действующего вещества</w:t>
      </w:r>
    </w:p>
    <w:bookmarkEnd w:id="1285"/>
    <w:bookmarkStart w:name="z1242" w:id="1286"/>
    <w:p>
      <w:pPr>
        <w:spacing w:after="0"/>
        <w:ind w:left="0"/>
        <w:jc w:val="both"/>
      </w:pPr>
      <w:r>
        <w:rPr>
          <w:rFonts w:ascii="Times New Roman"/>
          <w:b w:val="false"/>
          <w:i w:val="false"/>
          <w:color w:val="000000"/>
          <w:sz w:val="28"/>
        </w:rPr>
        <w:t>
      С целью обеспечения исчерпывающего анализа и представления данных по безопасности исследуемого препарата спонсор должен представлять единый РООБ, включающий данные по всем лекарственным формам и дозировкам, показаниям к назначению, исследуемым популяциям (когда возможно). В случае, если это не представляется возможным (например, когда данные недоступны спонсору), следует представить соответствующее объяснение во вводной части отчета.</w:t>
      </w:r>
    </w:p>
    <w:bookmarkEnd w:id="1286"/>
    <w:bookmarkStart w:name="z1243" w:id="1287"/>
    <w:p>
      <w:pPr>
        <w:spacing w:after="0"/>
        <w:ind w:left="0"/>
        <w:jc w:val="both"/>
      </w:pPr>
      <w:r>
        <w:rPr>
          <w:rFonts w:ascii="Times New Roman"/>
          <w:b w:val="false"/>
          <w:i w:val="false"/>
          <w:color w:val="000000"/>
          <w:sz w:val="28"/>
        </w:rPr>
        <w:t>
      Если в разработке исследуемого препарата участвуют несколько спонсоров, в частности при выполнении совместной разработки или на основании иных договоров, ими может быть представлен единый РООБ.</w:t>
      </w:r>
    </w:p>
    <w:bookmarkEnd w:id="1287"/>
    <w:bookmarkStart w:name="z1244" w:id="1288"/>
    <w:p>
      <w:pPr>
        <w:spacing w:after="0"/>
        <w:ind w:left="0"/>
        <w:jc w:val="both"/>
      </w:pPr>
      <w:r>
        <w:rPr>
          <w:rFonts w:ascii="Times New Roman"/>
          <w:b w:val="false"/>
          <w:i w:val="false"/>
          <w:color w:val="000000"/>
          <w:sz w:val="28"/>
        </w:rPr>
        <w:t>
      3.2. Периодичность представления РООБ и дата окончания сбора данных</w:t>
      </w:r>
    </w:p>
    <w:bookmarkEnd w:id="1288"/>
    <w:bookmarkStart w:name="z1245" w:id="1289"/>
    <w:p>
      <w:pPr>
        <w:spacing w:after="0"/>
        <w:ind w:left="0"/>
        <w:jc w:val="both"/>
      </w:pPr>
      <w:r>
        <w:rPr>
          <w:rFonts w:ascii="Times New Roman"/>
          <w:b w:val="false"/>
          <w:i w:val="false"/>
          <w:color w:val="000000"/>
          <w:sz w:val="28"/>
        </w:rPr>
        <w:t>
      Начало годового периода по представлению отчета определяется в соответствии с международной датой одобрения разрабатываемого лекарственного препарата (далее - МДОРЛП). Месяц и дата МДОРЛП являются датой начала отсчета годового периода для подачи РООБ.</w:t>
      </w:r>
    </w:p>
    <w:bookmarkEnd w:id="1289"/>
    <w:bookmarkStart w:name="z1246" w:id="1290"/>
    <w:p>
      <w:pPr>
        <w:spacing w:after="0"/>
        <w:ind w:left="0"/>
        <w:jc w:val="both"/>
      </w:pPr>
      <w:r>
        <w:rPr>
          <w:rFonts w:ascii="Times New Roman"/>
          <w:b w:val="false"/>
          <w:i w:val="false"/>
          <w:color w:val="000000"/>
          <w:sz w:val="28"/>
        </w:rPr>
        <w:t>
      В случае проведения первого клинического исследования на территории страны, в которой отсутствует официальная процедура одобрения клинического исследования, соответствующая дата, связанная с началом первого клинического исследования, должна быть назначена спонсором. Для всех стран, в которых выполняются клинические исследования исследуемого препарата, поддерживается и используется единая МДОРЛП при подготовке РООБ.</w:t>
      </w:r>
    </w:p>
    <w:bookmarkEnd w:id="1290"/>
    <w:bookmarkStart w:name="z1247" w:id="1291"/>
    <w:p>
      <w:pPr>
        <w:spacing w:after="0"/>
        <w:ind w:left="0"/>
        <w:jc w:val="both"/>
      </w:pPr>
      <w:r>
        <w:rPr>
          <w:rFonts w:ascii="Times New Roman"/>
          <w:b w:val="false"/>
          <w:i w:val="false"/>
          <w:color w:val="000000"/>
          <w:sz w:val="28"/>
        </w:rPr>
        <w:t>
      Датой окончания сбора данных РООБ является последний день отчетного периода, составляющего 1 год. Для удобства выполнения административных процедур по желанию спонсора датой окончания сбора данных может быть определен последний день месяца, предшествующего МДОРЛП.</w:t>
      </w:r>
    </w:p>
    <w:bookmarkEnd w:id="1291"/>
    <w:bookmarkStart w:name="z1248" w:id="1292"/>
    <w:p>
      <w:pPr>
        <w:spacing w:after="0"/>
        <w:ind w:left="0"/>
        <w:jc w:val="both"/>
      </w:pPr>
      <w:r>
        <w:rPr>
          <w:rFonts w:ascii="Times New Roman"/>
          <w:b w:val="false"/>
          <w:i w:val="false"/>
          <w:color w:val="000000"/>
          <w:sz w:val="28"/>
        </w:rPr>
        <w:t>
      В случае продолжения выполнения программы клинической разработки лекарственного препарата на территории государства-члена после его государственной регистрации, в соответствии с требованиями законодательства государств-членов должны представляться как РООБ, так и периодические обновляемые отчеты по безопасности исследуемого препарата (далее - ПООБ). По желанию спонсора РООБ может быть подготовлен исходя из международной даты регистрации (далее - МДР), используемой в ПООБ, что позволит синхронизировать даты подачи обоих периодических отчетов. В случае синхронизации дат подачи РООБ и ПООБ, отчетный период для следующего периодического отчета по безопасности исследуемого препарата не должен превышать один год.</w:t>
      </w:r>
    </w:p>
    <w:bookmarkEnd w:id="1292"/>
    <w:bookmarkStart w:name="z1249" w:id="1293"/>
    <w:p>
      <w:pPr>
        <w:spacing w:after="0"/>
        <w:ind w:left="0"/>
        <w:jc w:val="both"/>
      </w:pPr>
      <w:r>
        <w:rPr>
          <w:rFonts w:ascii="Times New Roman"/>
          <w:b w:val="false"/>
          <w:i w:val="false"/>
          <w:color w:val="000000"/>
          <w:sz w:val="28"/>
        </w:rPr>
        <w:t>
      РООБ должен представляться всем уполномоченным органам государств-членов, на территории которых проводятся клинические исследования (испытания) исследуемого препарата, не позднее 60 календарных дней с даты окончания сбора данных.</w:t>
      </w:r>
    </w:p>
    <w:bookmarkEnd w:id="1293"/>
    <w:bookmarkStart w:name="z1250" w:id="1294"/>
    <w:p>
      <w:pPr>
        <w:spacing w:after="0"/>
        <w:ind w:left="0"/>
        <w:jc w:val="left"/>
      </w:pPr>
      <w:r>
        <w:rPr>
          <w:rFonts w:ascii="Times New Roman"/>
          <w:b/>
          <w:i w:val="false"/>
          <w:color w:val="000000"/>
        </w:rPr>
        <w:t xml:space="preserve"> 3.3. Продолжительность подачи РООБ</w:t>
      </w:r>
    </w:p>
    <w:bookmarkEnd w:id="1294"/>
    <w:bookmarkStart w:name="z1251" w:id="1295"/>
    <w:p>
      <w:pPr>
        <w:spacing w:after="0"/>
        <w:ind w:left="0"/>
        <w:jc w:val="both"/>
      </w:pPr>
      <w:r>
        <w:rPr>
          <w:rFonts w:ascii="Times New Roman"/>
          <w:b w:val="false"/>
          <w:i w:val="false"/>
          <w:color w:val="000000"/>
          <w:sz w:val="28"/>
        </w:rPr>
        <w:t>
      Продолжительность подачи РООБ определяется требованиями законодательства государства-члена. Если в государстве-члене или в другом государстве либо в отдельном регионе в соответствии с требованиями соответствующего законодательства прекращается подача РООБ, спонсору следует сделать указание, что заключительный РООБ является последним ежегодным отчетом для исследуемого препарата в данном государстве-члене (другом государстве, отдельном регионе). Спонсору также следует сделать указание о наличии продолжающихся клинических исследований в других странах.</w:t>
      </w:r>
    </w:p>
    <w:bookmarkEnd w:id="1295"/>
    <w:bookmarkStart w:name="z1252" w:id="1296"/>
    <w:p>
      <w:pPr>
        <w:spacing w:after="0"/>
        <w:ind w:left="0"/>
        <w:jc w:val="left"/>
      </w:pPr>
      <w:r>
        <w:rPr>
          <w:rFonts w:ascii="Times New Roman"/>
          <w:b/>
          <w:i w:val="false"/>
          <w:color w:val="000000"/>
        </w:rPr>
        <w:t xml:space="preserve"> 3.4. Ответственность за подготовку и представление РООБ</w:t>
      </w:r>
    </w:p>
    <w:bookmarkEnd w:id="1296"/>
    <w:bookmarkStart w:name="z1253" w:id="1297"/>
    <w:p>
      <w:pPr>
        <w:spacing w:after="0"/>
        <w:ind w:left="0"/>
        <w:jc w:val="both"/>
      </w:pPr>
      <w:r>
        <w:rPr>
          <w:rFonts w:ascii="Times New Roman"/>
          <w:b w:val="false"/>
          <w:i w:val="false"/>
          <w:color w:val="000000"/>
          <w:sz w:val="28"/>
        </w:rPr>
        <w:t>
      3.4.1. Ответственность спонсора</w:t>
      </w:r>
    </w:p>
    <w:bookmarkEnd w:id="1297"/>
    <w:bookmarkStart w:name="z1254" w:id="1298"/>
    <w:p>
      <w:pPr>
        <w:spacing w:after="0"/>
        <w:ind w:left="0"/>
        <w:jc w:val="both"/>
      </w:pPr>
      <w:r>
        <w:rPr>
          <w:rFonts w:ascii="Times New Roman"/>
          <w:b w:val="false"/>
          <w:i w:val="false"/>
          <w:color w:val="000000"/>
          <w:sz w:val="28"/>
        </w:rPr>
        <w:t>
      Спонсор клинического исследования является ответственным за подготовку, содержание и подачу РООБ. Спонсор имеет право делегировать выполнение работ по подготовке РООБ третьей стороне (например, контрактной исследовательской организации).</w:t>
      </w:r>
    </w:p>
    <w:bookmarkEnd w:id="1298"/>
    <w:bookmarkStart w:name="z1255" w:id="1299"/>
    <w:p>
      <w:pPr>
        <w:spacing w:after="0"/>
        <w:ind w:left="0"/>
        <w:jc w:val="both"/>
      </w:pPr>
      <w:r>
        <w:rPr>
          <w:rFonts w:ascii="Times New Roman"/>
          <w:b w:val="false"/>
          <w:i w:val="false"/>
          <w:color w:val="000000"/>
          <w:sz w:val="28"/>
        </w:rPr>
        <w:t>
      Если спонсор не имеет доступа к информации, включаемой в определенные разделы РООБ (например, спонсор-исследователь может не располагать информацией по аспектам производственного процесса, данным доклинических исследований, информацией по регистрации лекарственного препарата), должно быть сделано соответствующее указание в РООБ.</w:t>
      </w:r>
    </w:p>
    <w:bookmarkEnd w:id="1299"/>
    <w:bookmarkStart w:name="z1256" w:id="1300"/>
    <w:p>
      <w:pPr>
        <w:spacing w:after="0"/>
        <w:ind w:left="0"/>
        <w:jc w:val="both"/>
      </w:pPr>
      <w:r>
        <w:rPr>
          <w:rFonts w:ascii="Times New Roman"/>
          <w:b w:val="false"/>
          <w:i w:val="false"/>
          <w:color w:val="000000"/>
          <w:sz w:val="28"/>
        </w:rPr>
        <w:t>
      3.4.2. Ответственность нескольких сторон</w:t>
      </w:r>
    </w:p>
    <w:bookmarkEnd w:id="1300"/>
    <w:bookmarkStart w:name="z1257" w:id="1301"/>
    <w:p>
      <w:pPr>
        <w:spacing w:after="0"/>
        <w:ind w:left="0"/>
        <w:jc w:val="both"/>
      </w:pPr>
      <w:r>
        <w:rPr>
          <w:rFonts w:ascii="Times New Roman"/>
          <w:b w:val="false"/>
          <w:i w:val="false"/>
          <w:color w:val="000000"/>
          <w:sz w:val="28"/>
        </w:rPr>
        <w:t>
      В случае выполнения клинического исследования или программы разработки несколькими спонсорами стороны должны организовать подготовку единого РООБ (если возможно). Данное требование распространяется при наличии у спонсора договоров по совместной разработке или лицензионных договоров с одной или более сторонами либо в случае выполнения отдельных клинических исследований или программы разработки лекарственного препарата с вовлечением государственных и частных организаций, деловых партнеров или иных сторон. В этих случаях спонсор должен располагать письменными соглашениями, определяющими порядок обмена данными и детальное распределение обязанностей по подготовке и представлению РООБ.</w:t>
      </w:r>
    </w:p>
    <w:bookmarkEnd w:id="1301"/>
    <w:bookmarkStart w:name="z1258" w:id="1302"/>
    <w:p>
      <w:pPr>
        <w:spacing w:after="0"/>
        <w:ind w:left="0"/>
        <w:jc w:val="both"/>
      </w:pPr>
      <w:r>
        <w:rPr>
          <w:rFonts w:ascii="Times New Roman"/>
          <w:b w:val="false"/>
          <w:i w:val="false"/>
          <w:color w:val="000000"/>
          <w:sz w:val="28"/>
        </w:rPr>
        <w:t>
      Если представление единого РООБ невозможно, спонсоры могут прийти к соглашению о подаче отдельных РООБ на один и тот же разрабатываемый препарат. Данная ситуация может возникнуть, когда различные стороны исследуют разрабатываемый препарат по разным показаниям, или способам введения, или с использованием различных лекарственных форм. В каждом случае в РООБ должно быть приведено обоснование представления отдельных отчетов.</w:t>
      </w:r>
    </w:p>
    <w:bookmarkEnd w:id="1302"/>
    <w:bookmarkStart w:name="z1259" w:id="1303"/>
    <w:p>
      <w:pPr>
        <w:spacing w:after="0"/>
        <w:ind w:left="0"/>
        <w:jc w:val="both"/>
      </w:pPr>
      <w:r>
        <w:rPr>
          <w:rFonts w:ascii="Times New Roman"/>
          <w:b w:val="false"/>
          <w:i w:val="false"/>
          <w:color w:val="000000"/>
          <w:sz w:val="28"/>
        </w:rPr>
        <w:t>
      3.4.3. РООБ для комбинированной терапии</w:t>
      </w:r>
    </w:p>
    <w:bookmarkEnd w:id="1303"/>
    <w:bookmarkStart w:name="z1260" w:id="1304"/>
    <w:p>
      <w:pPr>
        <w:spacing w:after="0"/>
        <w:ind w:left="0"/>
        <w:jc w:val="both"/>
      </w:pPr>
      <w:r>
        <w:rPr>
          <w:rFonts w:ascii="Times New Roman"/>
          <w:b w:val="false"/>
          <w:i w:val="false"/>
          <w:color w:val="000000"/>
          <w:sz w:val="28"/>
        </w:rPr>
        <w:t>
      Поскольку клиническая разработка комбинированной терапии сопряжена с рядом потенциальных сложностей, настоящие Правила не могут предусмотреть все возможные аспекты. Спонсору следует определить наиболее приемлемый вариант подготовки РООБ на основании оценки ряда факторов, включая популяцию пациентов, показания к назначению, лекарственную форму и т. д., а также условия проведения клинических исследований и законодательство государств - членов Союза. В отчете должно быть приведено обоснование выбранного подхода.</w:t>
      </w:r>
    </w:p>
    <w:bookmarkEnd w:id="1304"/>
    <w:bookmarkStart w:name="z1261" w:id="1305"/>
    <w:p>
      <w:pPr>
        <w:spacing w:after="0"/>
        <w:ind w:left="0"/>
        <w:jc w:val="both"/>
      </w:pPr>
      <w:r>
        <w:rPr>
          <w:rFonts w:ascii="Times New Roman"/>
          <w:b w:val="false"/>
          <w:i w:val="false"/>
          <w:color w:val="000000"/>
          <w:sz w:val="28"/>
        </w:rPr>
        <w:t>
      Как правило, по клиническим исследованиям фиксированных комбинаций представляется единый РООБ (то есть при назначении как минимум 2 действующих веществ в фиксированной дозе в одной лекарственной форме). Если спонсор проводит клинические исследования отдельных компонентов, входящих в состав фиксированной комбинации, отдельные РООБ должны представляться для каждого компонента. Имеющие отношение данные из каждого РООБ должны быть обобщены в соответствующем разделе других РООБ (см. подраздел 4.11.5 настоящих Требований).</w:t>
      </w:r>
    </w:p>
    <w:bookmarkEnd w:id="1305"/>
    <w:bookmarkStart w:name="z1262" w:id="1306"/>
    <w:p>
      <w:pPr>
        <w:spacing w:after="0"/>
        <w:ind w:left="0"/>
        <w:jc w:val="both"/>
      </w:pPr>
      <w:r>
        <w:rPr>
          <w:rFonts w:ascii="Times New Roman"/>
          <w:b w:val="false"/>
          <w:i w:val="false"/>
          <w:color w:val="000000"/>
          <w:sz w:val="28"/>
        </w:rPr>
        <w:t>
      Для исследований, которые включают в себя многокомпонентную терапию, то есть комбинации лекарственных средств не являются фиксированными) спонсор может подготовить один из следующих отчетов:</w:t>
      </w:r>
    </w:p>
    <w:bookmarkEnd w:id="1306"/>
    <w:bookmarkStart w:name="z1263" w:id="1307"/>
    <w:p>
      <w:pPr>
        <w:spacing w:after="0"/>
        <w:ind w:left="0"/>
        <w:jc w:val="both"/>
      </w:pPr>
      <w:r>
        <w:rPr>
          <w:rFonts w:ascii="Times New Roman"/>
          <w:b w:val="false"/>
          <w:i w:val="false"/>
          <w:color w:val="000000"/>
          <w:sz w:val="28"/>
        </w:rPr>
        <w:t>
      а) РООБ для комбинированной терапии,</w:t>
      </w:r>
    </w:p>
    <w:bookmarkEnd w:id="1307"/>
    <w:bookmarkStart w:name="z1264" w:id="1308"/>
    <w:p>
      <w:pPr>
        <w:spacing w:after="0"/>
        <w:ind w:left="0"/>
        <w:jc w:val="both"/>
      </w:pPr>
      <w:r>
        <w:rPr>
          <w:rFonts w:ascii="Times New Roman"/>
          <w:b w:val="false"/>
          <w:i w:val="false"/>
          <w:color w:val="000000"/>
          <w:sz w:val="28"/>
        </w:rPr>
        <w:t>
      б) РООБ(ы) для одного или более индивидуальных компонентов (в данном случае информация по клиническим исследованиям многокомпонентной терапии может быть включена в РООБ на один или все компоненты).</w:t>
      </w:r>
    </w:p>
    <w:bookmarkEnd w:id="1308"/>
    <w:bookmarkStart w:name="z1265" w:id="1309"/>
    <w:p>
      <w:pPr>
        <w:spacing w:after="0"/>
        <w:ind w:left="0"/>
        <w:jc w:val="both"/>
      </w:pPr>
      <w:r>
        <w:rPr>
          <w:rFonts w:ascii="Times New Roman"/>
          <w:b w:val="false"/>
          <w:i w:val="false"/>
          <w:color w:val="000000"/>
          <w:sz w:val="28"/>
        </w:rPr>
        <w:t>
      Примеры стратегии подготовки РООБ для комбинированной терапии</w:t>
      </w:r>
    </w:p>
    <w:bookmarkEnd w:id="1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Комбинированная терапия, назначаемая </w:t>
            </w:r>
          </w:p>
          <w:p>
            <w:pPr>
              <w:spacing w:after="20"/>
              <w:ind w:left="20"/>
              <w:jc w:val="both"/>
            </w:pPr>
            <w:r>
              <w:rPr>
                <w:rFonts w:ascii="Times New Roman"/>
                <w:b w:val="false"/>
                <w:i w:val="false"/>
                <w:color w:val="000000"/>
                <w:sz w:val="20"/>
              </w:rPr>
              <w:t>
в клинических исследованиях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РООБ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препарат (А)</w:t>
            </w:r>
          </w:p>
          <w:p>
            <w:pPr>
              <w:spacing w:after="20"/>
              <w:ind w:left="20"/>
              <w:jc w:val="both"/>
            </w:pPr>
            <w:r>
              <w:rPr>
                <w:rFonts w:ascii="Times New Roman"/>
                <w:b w:val="false"/>
                <w:i w:val="false"/>
                <w:color w:val="000000"/>
                <w:sz w:val="20"/>
              </w:rPr>
              <w:t>
+зарегистрированный(ые) лекарственный(ые) препарат(ы) (Х, Y, Z)</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РООБ на комбинированную терапию (A + X + Y + Z) или</w:t>
            </w:r>
          </w:p>
          <w:p>
            <w:pPr>
              <w:spacing w:after="20"/>
              <w:ind w:left="20"/>
              <w:jc w:val="both"/>
            </w:pPr>
            <w:r>
              <w:rPr>
                <w:rFonts w:ascii="Times New Roman"/>
                <w:b w:val="false"/>
                <w:i w:val="false"/>
                <w:color w:val="000000"/>
                <w:sz w:val="20"/>
              </w:rPr>
              <w:t>
РООБ на исследуемый препарат (А), включающий данные по комбинированной терапии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исследуемых препарата (А) +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РООБ</w:t>
            </w:r>
          </w:p>
          <w:p>
            <w:pPr>
              <w:spacing w:after="20"/>
              <w:ind w:left="20"/>
              <w:jc w:val="both"/>
            </w:pPr>
            <w:r>
              <w:rPr>
                <w:rFonts w:ascii="Times New Roman"/>
                <w:b w:val="false"/>
                <w:i w:val="false"/>
                <w:color w:val="000000"/>
                <w:sz w:val="20"/>
              </w:rPr>
              <w:t>
на комбинированную терапию</w:t>
            </w:r>
          </w:p>
          <w:p>
            <w:pPr>
              <w:spacing w:after="20"/>
              <w:ind w:left="20"/>
              <w:jc w:val="both"/>
            </w:pPr>
            <w:r>
              <w:rPr>
                <w:rFonts w:ascii="Times New Roman"/>
                <w:b w:val="false"/>
                <w:i w:val="false"/>
                <w:color w:val="000000"/>
                <w:sz w:val="20"/>
              </w:rPr>
              <w:t>
(А + В)</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два отдельных РООБ на (А) и (В), в каждый из которых включаются данные по комбинированной терапии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(или более) зарегистрированных лекарственных препарата в качестве исследуемой комбинации (X, Y, Z)</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РООБ</w:t>
            </w:r>
          </w:p>
          <w:p>
            <w:pPr>
              <w:spacing w:after="20"/>
              <w:ind w:left="20"/>
              <w:jc w:val="both"/>
            </w:pPr>
            <w:r>
              <w:rPr>
                <w:rFonts w:ascii="Times New Roman"/>
                <w:b w:val="false"/>
                <w:i w:val="false"/>
                <w:color w:val="000000"/>
                <w:sz w:val="20"/>
              </w:rPr>
              <w:t>
на комбинированную терапию (X + Y + Z)</w:t>
            </w:r>
          </w:p>
        </w:tc>
      </w:tr>
    </w:tbl>
    <w:bookmarkStart w:name="z1266" w:id="1310"/>
    <w:p>
      <w:pPr>
        <w:spacing w:after="0"/>
        <w:ind w:left="0"/>
        <w:jc w:val="left"/>
      </w:pPr>
      <w:r>
        <w:rPr>
          <w:rFonts w:ascii="Times New Roman"/>
          <w:b/>
          <w:i w:val="false"/>
          <w:color w:val="000000"/>
        </w:rPr>
        <w:t xml:space="preserve"> 3.5. Справочная информация по безопасности</w:t>
      </w:r>
    </w:p>
    <w:bookmarkEnd w:id="1310"/>
    <w:p>
      <w:pPr>
        <w:spacing w:after="0"/>
        <w:ind w:left="0"/>
        <w:jc w:val="both"/>
      </w:pPr>
      <w:r>
        <w:rPr>
          <w:rFonts w:ascii="Times New Roman"/>
          <w:b w:val="false"/>
          <w:i w:val="false"/>
          <w:color w:val="ff0000"/>
          <w:sz w:val="28"/>
        </w:rPr>
        <w:t xml:space="preserve">
      Сноска. Раздел 3.5 с изменениями, внесенными решением Совета Евразийской экономической комиссии от 01.08.2025 </w:t>
      </w:r>
      <w:r>
        <w:rPr>
          <w:rFonts w:ascii="Times New Roman"/>
          <w:b w:val="false"/>
          <w:i w:val="false"/>
          <w:color w:val="ff0000"/>
          <w:sz w:val="28"/>
        </w:rPr>
        <w:t>№ 40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1267" w:id="1311"/>
    <w:p>
      <w:pPr>
        <w:spacing w:after="0"/>
        <w:ind w:left="0"/>
        <w:jc w:val="both"/>
      </w:pPr>
      <w:r>
        <w:rPr>
          <w:rFonts w:ascii="Times New Roman"/>
          <w:b w:val="false"/>
          <w:i w:val="false"/>
          <w:color w:val="000000"/>
          <w:sz w:val="28"/>
        </w:rPr>
        <w:t>
      В целях определения соответствия получаемой на протяжении отчетного периода информации по безопасности имеющимся данным по профилю безопасности исследуемого препарата используется действующая на начало отчетного периода брошюра исследователя.</w:t>
      </w:r>
    </w:p>
    <w:bookmarkEnd w:id="1311"/>
    <w:bookmarkStart w:name="z1268" w:id="1312"/>
    <w:p>
      <w:pPr>
        <w:spacing w:after="0"/>
        <w:ind w:left="0"/>
        <w:jc w:val="both"/>
      </w:pPr>
      <w:r>
        <w:rPr>
          <w:rFonts w:ascii="Times New Roman"/>
          <w:b w:val="false"/>
          <w:i w:val="false"/>
          <w:color w:val="000000"/>
          <w:sz w:val="28"/>
        </w:rPr>
        <w:t>
      В соответствующем разделе РООБ (см. подраздел 4.10.1 настоящих Требований) указываются номер версии и дата брошюры исследователя, которая используется в качестве справочной информации по безопасности. В случаях если согласно законодательству государств - членов Союза брошюра исследователя не требуется, в качестве справочной информации по безопасности может быть использована соответствующая общая характеристика лекарственного препарата.</w:t>
      </w:r>
    </w:p>
    <w:bookmarkEnd w:id="1312"/>
    <w:bookmarkStart w:name="z1269" w:id="1313"/>
    <w:p>
      <w:pPr>
        <w:spacing w:after="0"/>
        <w:ind w:left="0"/>
        <w:jc w:val="both"/>
      </w:pPr>
      <w:r>
        <w:rPr>
          <w:rFonts w:ascii="Times New Roman"/>
          <w:b w:val="false"/>
          <w:i w:val="false"/>
          <w:color w:val="000000"/>
          <w:sz w:val="28"/>
        </w:rPr>
        <w:t>
      Как правило, в качестве справочной информации по безопасности используется один документ. При определенных обстоятельствах в РООБ может использоваться более 1 документа в качестве справочной информации по безопасности (например, в случаях подготовки РООБ для исследуемого препарата, который применялся как в качестве монотерапии, так и в составе комбинированной терапии).</w:t>
      </w:r>
    </w:p>
    <w:bookmarkEnd w:id="1313"/>
    <w:bookmarkStart w:name="z1270" w:id="1314"/>
    <w:p>
      <w:pPr>
        <w:spacing w:after="0"/>
        <w:ind w:left="0"/>
        <w:jc w:val="both"/>
      </w:pPr>
      <w:r>
        <w:rPr>
          <w:rFonts w:ascii="Times New Roman"/>
          <w:b w:val="false"/>
          <w:i w:val="false"/>
          <w:color w:val="000000"/>
          <w:sz w:val="28"/>
        </w:rPr>
        <w:t>
      Если на протяжении отчетного периода выполнялся пересмотр брошюры исследователя и она не представлялась ранее в соответствующий уполномоченный орган, спонсор должен представить копию текущей версии брошюры исследователя в качестве приложения к РООБ.</w:t>
      </w:r>
    </w:p>
    <w:bookmarkEnd w:id="1314"/>
    <w:bookmarkStart w:name="z1271" w:id="1315"/>
    <w:p>
      <w:pPr>
        <w:spacing w:after="0"/>
        <w:ind w:left="0"/>
        <w:jc w:val="left"/>
      </w:pPr>
      <w:r>
        <w:rPr>
          <w:rFonts w:ascii="Times New Roman"/>
          <w:b/>
          <w:i w:val="false"/>
          <w:color w:val="000000"/>
        </w:rPr>
        <w:t xml:space="preserve"> 4. Требования к составу, содержанию и форме подачи </w:t>
      </w:r>
      <w:r>
        <w:rPr>
          <w:rFonts w:ascii="Times New Roman"/>
          <w:b/>
          <w:i w:val="false"/>
          <w:color w:val="000000"/>
        </w:rPr>
        <w:t>периодического отчета по</w:t>
      </w:r>
      <w:r>
        <w:br/>
      </w:r>
      <w:r>
        <w:rPr>
          <w:rFonts w:ascii="Times New Roman"/>
          <w:b/>
          <w:i w:val="false"/>
          <w:color w:val="000000"/>
        </w:rPr>
        <w:t>безопасности исследуемого препарата (РООБ)</w:t>
      </w:r>
    </w:p>
    <w:bookmarkEnd w:id="1315"/>
    <w:p>
      <w:pPr>
        <w:spacing w:after="0"/>
        <w:ind w:left="0"/>
        <w:jc w:val="both"/>
      </w:pPr>
      <w:r>
        <w:rPr>
          <w:rFonts w:ascii="Times New Roman"/>
          <w:b w:val="false"/>
          <w:i w:val="false"/>
          <w:color w:val="ff0000"/>
          <w:sz w:val="28"/>
        </w:rPr>
        <w:t xml:space="preserve">
      Сноска. Раздел 4 с изменениями, внесенными решением Совета Евразийской экономической комиссии от 01.08.2025 </w:t>
      </w:r>
      <w:r>
        <w:rPr>
          <w:rFonts w:ascii="Times New Roman"/>
          <w:b w:val="false"/>
          <w:i w:val="false"/>
          <w:color w:val="ff0000"/>
          <w:sz w:val="28"/>
        </w:rPr>
        <w:t>№ 40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1273" w:id="1316"/>
    <w:p>
      <w:pPr>
        <w:spacing w:after="0"/>
        <w:ind w:left="0"/>
        <w:jc w:val="left"/>
      </w:pPr>
      <w:r>
        <w:rPr>
          <w:rFonts w:ascii="Times New Roman"/>
          <w:b/>
          <w:i w:val="false"/>
          <w:color w:val="000000"/>
        </w:rPr>
        <w:t xml:space="preserve"> 4.1. Титульная страница</w:t>
      </w:r>
    </w:p>
    <w:bookmarkEnd w:id="1316"/>
    <w:bookmarkStart w:name="z1274" w:id="1317"/>
    <w:p>
      <w:pPr>
        <w:spacing w:after="0"/>
        <w:ind w:left="0"/>
        <w:jc w:val="both"/>
      </w:pPr>
      <w:r>
        <w:rPr>
          <w:rFonts w:ascii="Times New Roman"/>
          <w:b w:val="false"/>
          <w:i w:val="false"/>
          <w:color w:val="000000"/>
          <w:sz w:val="28"/>
        </w:rPr>
        <w:t>
      Титульная страница должна содержать порядковый номер РООБ, наименование исследуемого препарата, отчетный период, дату составления отчета, название и адрес спонсора, заявление о конфиденциальности информации, содержащейся в РООБ, и предостережение, что РООБ может содержать данные с раскрытыми кодами рандомизации.</w:t>
      </w:r>
    </w:p>
    <w:bookmarkEnd w:id="1317"/>
    <w:bookmarkStart w:name="z1275" w:id="1318"/>
    <w:p>
      <w:pPr>
        <w:spacing w:after="0"/>
        <w:ind w:left="0"/>
        <w:jc w:val="left"/>
      </w:pPr>
      <w:r>
        <w:rPr>
          <w:rFonts w:ascii="Times New Roman"/>
          <w:b/>
          <w:i w:val="false"/>
          <w:color w:val="000000"/>
        </w:rPr>
        <w:t xml:space="preserve"> 4.2. Краткое изложение РООБ</w:t>
      </w:r>
    </w:p>
    <w:bookmarkEnd w:id="1318"/>
    <w:p>
      <w:pPr>
        <w:spacing w:after="0"/>
        <w:ind w:left="0"/>
        <w:jc w:val="both"/>
      </w:pPr>
      <w:r>
        <w:rPr>
          <w:rFonts w:ascii="Times New Roman"/>
          <w:b w:val="false"/>
          <w:i w:val="false"/>
          <w:color w:val="ff0000"/>
          <w:sz w:val="28"/>
        </w:rPr>
        <w:t xml:space="preserve">
      Сноска. Раздел 4.2 с изменениями, внесенными решением Совета Евразийской экономической комиссии от 01.08.2025 </w:t>
      </w:r>
      <w:r>
        <w:rPr>
          <w:rFonts w:ascii="Times New Roman"/>
          <w:b w:val="false"/>
          <w:i w:val="false"/>
          <w:color w:val="ff0000"/>
          <w:sz w:val="28"/>
        </w:rPr>
        <w:t>№ 40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1276" w:id="1319"/>
    <w:p>
      <w:pPr>
        <w:spacing w:after="0"/>
        <w:ind w:left="0"/>
        <w:jc w:val="both"/>
      </w:pPr>
      <w:r>
        <w:rPr>
          <w:rFonts w:ascii="Times New Roman"/>
          <w:b w:val="false"/>
          <w:i w:val="false"/>
          <w:color w:val="000000"/>
          <w:sz w:val="28"/>
        </w:rPr>
        <w:t>
      Краткое изложение вместе с титульной страницей может служить самостоятельным документом, подходящим для подачи в ЭСО (НЭК) в государствах-членах (где требуется). В краткое изложение должна быть включена краткая информация по наиболее важным данным, включенным в отчет:</w:t>
      </w:r>
    </w:p>
    <w:bookmarkEnd w:id="1319"/>
    <w:bookmarkStart w:name="z1277" w:id="1320"/>
    <w:p>
      <w:pPr>
        <w:spacing w:after="0"/>
        <w:ind w:left="0"/>
        <w:jc w:val="both"/>
      </w:pPr>
      <w:r>
        <w:rPr>
          <w:rFonts w:ascii="Times New Roman"/>
          <w:b w:val="false"/>
          <w:i w:val="false"/>
          <w:color w:val="000000"/>
          <w:sz w:val="28"/>
        </w:rPr>
        <w:t>
      номер отчета и отчетный период, краткая характеристика исследуемого препарата (механизм действия, фармакотерапевтический класс, показания к применению, способ введения, режим дозирования, лекарственные формы);</w:t>
      </w:r>
    </w:p>
    <w:bookmarkEnd w:id="1320"/>
    <w:bookmarkStart w:name="z1278" w:id="1321"/>
    <w:p>
      <w:pPr>
        <w:spacing w:after="0"/>
        <w:ind w:left="0"/>
        <w:jc w:val="both"/>
      </w:pPr>
      <w:r>
        <w:rPr>
          <w:rFonts w:ascii="Times New Roman"/>
          <w:b w:val="false"/>
          <w:i w:val="false"/>
          <w:color w:val="000000"/>
          <w:sz w:val="28"/>
        </w:rPr>
        <w:t>
      оценка количества субъектов исследования, подвергшихся воздействию исследуемого препарата;</w:t>
      </w:r>
    </w:p>
    <w:bookmarkEnd w:id="1321"/>
    <w:bookmarkStart w:name="z1279" w:id="1322"/>
    <w:p>
      <w:pPr>
        <w:spacing w:after="0"/>
        <w:ind w:left="0"/>
        <w:jc w:val="both"/>
      </w:pPr>
      <w:r>
        <w:rPr>
          <w:rFonts w:ascii="Times New Roman"/>
          <w:b w:val="false"/>
          <w:i w:val="false"/>
          <w:color w:val="000000"/>
          <w:sz w:val="28"/>
        </w:rPr>
        <w:t>
      регистрационный статус с указанием количества стран (если лекарственный препарат зарегистрирован);</w:t>
      </w:r>
    </w:p>
    <w:bookmarkEnd w:id="1322"/>
    <w:bookmarkStart w:name="z1280" w:id="1323"/>
    <w:p>
      <w:pPr>
        <w:spacing w:after="0"/>
        <w:ind w:left="0"/>
        <w:jc w:val="both"/>
      </w:pPr>
      <w:r>
        <w:rPr>
          <w:rFonts w:ascii="Times New Roman"/>
          <w:b w:val="false"/>
          <w:i w:val="false"/>
          <w:color w:val="000000"/>
          <w:sz w:val="28"/>
        </w:rPr>
        <w:t>
      краткое изложение обобщенной оценки профиля безопасности (см. раздел 4.21 настоящих Требований);</w:t>
      </w:r>
    </w:p>
    <w:bookmarkEnd w:id="1323"/>
    <w:bookmarkStart w:name="z1281" w:id="1324"/>
    <w:p>
      <w:pPr>
        <w:spacing w:after="0"/>
        <w:ind w:left="0"/>
        <w:jc w:val="both"/>
      </w:pPr>
      <w:r>
        <w:rPr>
          <w:rFonts w:ascii="Times New Roman"/>
          <w:b w:val="false"/>
          <w:i w:val="false"/>
          <w:color w:val="000000"/>
          <w:sz w:val="28"/>
        </w:rPr>
        <w:t>
      краткое изложение важных рисков (см. раздел 4.22 настоящих Требований);</w:t>
      </w:r>
    </w:p>
    <w:bookmarkEnd w:id="1324"/>
    <w:bookmarkStart w:name="z1282" w:id="1325"/>
    <w:p>
      <w:pPr>
        <w:spacing w:after="0"/>
        <w:ind w:left="0"/>
        <w:jc w:val="both"/>
      </w:pPr>
      <w:r>
        <w:rPr>
          <w:rFonts w:ascii="Times New Roman"/>
          <w:b w:val="false"/>
          <w:i w:val="false"/>
          <w:color w:val="000000"/>
          <w:sz w:val="28"/>
        </w:rPr>
        <w:t>
      меры, принятые в связи с данными по безопасности, включая существенные изменения в брошюре исследователя;</w:t>
      </w:r>
    </w:p>
    <w:bookmarkEnd w:id="1325"/>
    <w:bookmarkStart w:name="z1283" w:id="1326"/>
    <w:p>
      <w:pPr>
        <w:spacing w:after="0"/>
        <w:ind w:left="0"/>
        <w:jc w:val="both"/>
      </w:pPr>
      <w:r>
        <w:rPr>
          <w:rFonts w:ascii="Times New Roman"/>
          <w:b w:val="false"/>
          <w:i w:val="false"/>
          <w:color w:val="000000"/>
          <w:sz w:val="28"/>
        </w:rPr>
        <w:t>
      заключение (выводы).</w:t>
      </w:r>
    </w:p>
    <w:bookmarkEnd w:id="1326"/>
    <w:bookmarkStart w:name="z1284" w:id="1327"/>
    <w:p>
      <w:pPr>
        <w:spacing w:after="0"/>
        <w:ind w:left="0"/>
        <w:jc w:val="left"/>
      </w:pPr>
      <w:r>
        <w:rPr>
          <w:rFonts w:ascii="Times New Roman"/>
          <w:b/>
          <w:i w:val="false"/>
          <w:color w:val="000000"/>
        </w:rPr>
        <w:t xml:space="preserve"> 4.3. Оглавление</w:t>
      </w:r>
    </w:p>
    <w:bookmarkEnd w:id="1327"/>
    <w:bookmarkStart w:name="z1285" w:id="1328"/>
    <w:p>
      <w:pPr>
        <w:spacing w:after="0"/>
        <w:ind w:left="0"/>
        <w:jc w:val="both"/>
      </w:pPr>
      <w:r>
        <w:rPr>
          <w:rFonts w:ascii="Times New Roman"/>
          <w:b w:val="false"/>
          <w:i w:val="false"/>
          <w:color w:val="000000"/>
          <w:sz w:val="28"/>
        </w:rPr>
        <w:t>
      Раздел должен содержать оглавление РООБ.</w:t>
      </w:r>
    </w:p>
    <w:bookmarkEnd w:id="1328"/>
    <w:bookmarkStart w:name="z1286" w:id="1329"/>
    <w:p>
      <w:pPr>
        <w:spacing w:after="0"/>
        <w:ind w:left="0"/>
        <w:jc w:val="left"/>
      </w:pPr>
      <w:r>
        <w:rPr>
          <w:rFonts w:ascii="Times New Roman"/>
          <w:b/>
          <w:i w:val="false"/>
          <w:color w:val="000000"/>
        </w:rPr>
        <w:t xml:space="preserve"> 4.4. Введение</w:t>
      </w:r>
    </w:p>
    <w:bookmarkEnd w:id="1329"/>
    <w:bookmarkStart w:name="z1287" w:id="1330"/>
    <w:p>
      <w:pPr>
        <w:spacing w:after="0"/>
        <w:ind w:left="0"/>
        <w:jc w:val="both"/>
      </w:pPr>
      <w:r>
        <w:rPr>
          <w:rFonts w:ascii="Times New Roman"/>
          <w:b w:val="false"/>
          <w:i w:val="false"/>
          <w:color w:val="000000"/>
          <w:sz w:val="28"/>
        </w:rPr>
        <w:t>
      Во введении указывается следующая информация:</w:t>
      </w:r>
    </w:p>
    <w:bookmarkEnd w:id="1330"/>
    <w:bookmarkStart w:name="z1288" w:id="1331"/>
    <w:p>
      <w:pPr>
        <w:spacing w:after="0"/>
        <w:ind w:left="0"/>
        <w:jc w:val="both"/>
      </w:pPr>
      <w:r>
        <w:rPr>
          <w:rFonts w:ascii="Times New Roman"/>
          <w:b w:val="false"/>
          <w:i w:val="false"/>
          <w:color w:val="000000"/>
          <w:sz w:val="28"/>
        </w:rPr>
        <w:t>
      МДОРЛП или МДР (если применимо);</w:t>
      </w:r>
    </w:p>
    <w:bookmarkEnd w:id="1331"/>
    <w:bookmarkStart w:name="z1289" w:id="1332"/>
    <w:p>
      <w:pPr>
        <w:spacing w:after="0"/>
        <w:ind w:left="0"/>
        <w:jc w:val="both"/>
      </w:pPr>
      <w:r>
        <w:rPr>
          <w:rFonts w:ascii="Times New Roman"/>
          <w:b w:val="false"/>
          <w:i w:val="false"/>
          <w:color w:val="000000"/>
          <w:sz w:val="28"/>
        </w:rPr>
        <w:t>
      отчетный период и порядковый номер РООБ;</w:t>
      </w:r>
    </w:p>
    <w:bookmarkEnd w:id="1332"/>
    <w:bookmarkStart w:name="z1290" w:id="1333"/>
    <w:p>
      <w:pPr>
        <w:spacing w:after="0"/>
        <w:ind w:left="0"/>
        <w:jc w:val="both"/>
      </w:pPr>
      <w:r>
        <w:rPr>
          <w:rFonts w:ascii="Times New Roman"/>
          <w:b w:val="false"/>
          <w:i w:val="false"/>
          <w:color w:val="000000"/>
          <w:sz w:val="28"/>
        </w:rPr>
        <w:t>
      характеристика исследуемого препарата (механизм действия, фармакотерапевтический класс, способ введения, режим дозирования, лекарственные формы);</w:t>
      </w:r>
    </w:p>
    <w:bookmarkEnd w:id="1333"/>
    <w:bookmarkStart w:name="z1291" w:id="1334"/>
    <w:p>
      <w:pPr>
        <w:spacing w:after="0"/>
        <w:ind w:left="0"/>
        <w:jc w:val="both"/>
      </w:pPr>
      <w:r>
        <w:rPr>
          <w:rFonts w:ascii="Times New Roman"/>
          <w:b w:val="false"/>
          <w:i w:val="false"/>
          <w:color w:val="000000"/>
          <w:sz w:val="28"/>
        </w:rPr>
        <w:t>
      краткое описание показаний к применению и исследуемых популяций;</w:t>
      </w:r>
    </w:p>
    <w:bookmarkEnd w:id="1334"/>
    <w:bookmarkStart w:name="z1292" w:id="1335"/>
    <w:p>
      <w:pPr>
        <w:spacing w:after="0"/>
        <w:ind w:left="0"/>
        <w:jc w:val="both"/>
      </w:pPr>
      <w:r>
        <w:rPr>
          <w:rFonts w:ascii="Times New Roman"/>
          <w:b w:val="false"/>
          <w:i w:val="false"/>
          <w:color w:val="000000"/>
          <w:sz w:val="28"/>
        </w:rPr>
        <w:t>
      краткое описание характера и временной направленности клинических исследований, включенных в отчет (например, все клинические исследования исследуемого препарата;</w:t>
      </w:r>
    </w:p>
    <w:bookmarkEnd w:id="1335"/>
    <w:bookmarkStart w:name="z1293" w:id="1336"/>
    <w:p>
      <w:pPr>
        <w:spacing w:after="0"/>
        <w:ind w:left="0"/>
        <w:jc w:val="both"/>
      </w:pPr>
      <w:r>
        <w:rPr>
          <w:rFonts w:ascii="Times New Roman"/>
          <w:b w:val="false"/>
          <w:i w:val="false"/>
          <w:color w:val="000000"/>
          <w:sz w:val="28"/>
        </w:rPr>
        <w:t>
      клинические исследования по определенному показанию; исследования комбинированной терапии);</w:t>
      </w:r>
    </w:p>
    <w:bookmarkEnd w:id="1336"/>
    <w:bookmarkStart w:name="z1294" w:id="1337"/>
    <w:p>
      <w:pPr>
        <w:spacing w:after="0"/>
        <w:ind w:left="0"/>
        <w:jc w:val="both"/>
      </w:pPr>
      <w:r>
        <w:rPr>
          <w:rFonts w:ascii="Times New Roman"/>
          <w:b w:val="false"/>
          <w:i w:val="false"/>
          <w:color w:val="000000"/>
          <w:sz w:val="28"/>
        </w:rPr>
        <w:t>
      краткое описание и пояснения в отношении какой-либо информации, которая не была включена в отчет (например, непредставление части информации по безопасности партнерами по разработке исследуемого препарата);</w:t>
      </w:r>
    </w:p>
    <w:bookmarkEnd w:id="1337"/>
    <w:bookmarkStart w:name="z1295" w:id="1338"/>
    <w:p>
      <w:pPr>
        <w:spacing w:after="0"/>
        <w:ind w:left="0"/>
        <w:jc w:val="both"/>
      </w:pPr>
      <w:r>
        <w:rPr>
          <w:rFonts w:ascii="Times New Roman"/>
          <w:b w:val="false"/>
          <w:i w:val="false"/>
          <w:color w:val="000000"/>
          <w:sz w:val="28"/>
        </w:rPr>
        <w:t>
      обоснование представления нескольких РООБ для одного исследуемого препарата (если применимо).</w:t>
      </w:r>
    </w:p>
    <w:bookmarkEnd w:id="1338"/>
    <w:bookmarkStart w:name="z1296" w:id="1339"/>
    <w:p>
      <w:pPr>
        <w:spacing w:after="0"/>
        <w:ind w:left="0"/>
        <w:jc w:val="left"/>
      </w:pPr>
      <w:r>
        <w:rPr>
          <w:rFonts w:ascii="Times New Roman"/>
          <w:b/>
          <w:i w:val="false"/>
          <w:color w:val="000000"/>
        </w:rPr>
        <w:t xml:space="preserve"> 4.5. Регистрационный статус в мире</w:t>
      </w:r>
    </w:p>
    <w:bookmarkEnd w:id="1339"/>
    <w:bookmarkStart w:name="z1297" w:id="1340"/>
    <w:p>
      <w:pPr>
        <w:spacing w:after="0"/>
        <w:ind w:left="0"/>
        <w:jc w:val="both"/>
      </w:pPr>
      <w:r>
        <w:rPr>
          <w:rFonts w:ascii="Times New Roman"/>
          <w:b w:val="false"/>
          <w:i w:val="false"/>
          <w:color w:val="000000"/>
          <w:sz w:val="28"/>
        </w:rPr>
        <w:t>
      В данном разделе должно быть представлено краткое изложение состояния по регистрационному статусу (если применимо), включая МДР, зарегистрированные показания (зарегистрированное показание) к применению, одобренные дозы, соответствующие страны.</w:t>
      </w:r>
    </w:p>
    <w:bookmarkEnd w:id="1340"/>
    <w:bookmarkStart w:name="z1298" w:id="1341"/>
    <w:p>
      <w:pPr>
        <w:spacing w:after="0"/>
        <w:ind w:left="0"/>
        <w:jc w:val="left"/>
      </w:pPr>
      <w:r>
        <w:rPr>
          <w:rFonts w:ascii="Times New Roman"/>
          <w:b/>
          <w:i w:val="false"/>
          <w:color w:val="000000"/>
        </w:rPr>
        <w:t xml:space="preserve"> 4.6. Меры, принятые за отчетный период </w:t>
      </w:r>
      <w:r>
        <w:rPr>
          <w:rFonts w:ascii="Times New Roman"/>
          <w:b/>
          <w:i w:val="false"/>
          <w:color w:val="000000"/>
        </w:rPr>
        <w:t>в связи с данными по</w:t>
      </w:r>
      <w:r>
        <w:br/>
      </w:r>
      <w:r>
        <w:rPr>
          <w:rFonts w:ascii="Times New Roman"/>
          <w:b/>
          <w:i w:val="false"/>
          <w:color w:val="000000"/>
        </w:rPr>
        <w:t>безопасности</w:t>
      </w:r>
    </w:p>
    <w:bookmarkEnd w:id="1341"/>
    <w:p>
      <w:pPr>
        <w:spacing w:after="0"/>
        <w:ind w:left="0"/>
        <w:jc w:val="both"/>
      </w:pPr>
      <w:r>
        <w:rPr>
          <w:rFonts w:ascii="Times New Roman"/>
          <w:b w:val="false"/>
          <w:i w:val="false"/>
          <w:color w:val="ff0000"/>
          <w:sz w:val="28"/>
        </w:rPr>
        <w:t xml:space="preserve">
      Сноска. Раздел 4.6 с изменениями, внесенными решением Совета Евразийской экономической комиссии от 01.08.2025 </w:t>
      </w:r>
      <w:r>
        <w:rPr>
          <w:rFonts w:ascii="Times New Roman"/>
          <w:b w:val="false"/>
          <w:i w:val="false"/>
          <w:color w:val="ff0000"/>
          <w:sz w:val="28"/>
        </w:rPr>
        <w:t>№ 40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1300" w:id="1342"/>
    <w:p>
      <w:pPr>
        <w:spacing w:after="0"/>
        <w:ind w:left="0"/>
        <w:jc w:val="both"/>
      </w:pPr>
      <w:r>
        <w:rPr>
          <w:rFonts w:ascii="Times New Roman"/>
          <w:b w:val="false"/>
          <w:i w:val="false"/>
          <w:color w:val="000000"/>
          <w:sz w:val="28"/>
        </w:rPr>
        <w:t>
      Данный раздел должен включать описание принятых за отчетный период спонсором, уполномоченными органами, независимым комитетом по мониторингу данных, ЭСО (НЭК) в целях безопасности мер, которые оказали влияние на проведение определенного клинического исследования (исследований) или на программу клинической разработки в целом. В разделе должны быть указаны основания для принятия мер, а также возможные изменения по ранее принятым мерам (например, возобновление клинического исследования после его приостановки). В целях безопасности могут быть приняты меры:</w:t>
      </w:r>
    </w:p>
    <w:bookmarkEnd w:id="1342"/>
    <w:bookmarkStart w:name="z1301" w:id="1343"/>
    <w:p>
      <w:pPr>
        <w:spacing w:after="0"/>
        <w:ind w:left="0"/>
        <w:jc w:val="both"/>
      </w:pPr>
      <w:r>
        <w:rPr>
          <w:rFonts w:ascii="Times New Roman"/>
          <w:b w:val="false"/>
          <w:i w:val="false"/>
          <w:color w:val="000000"/>
          <w:sz w:val="28"/>
        </w:rPr>
        <w:t>
      отказ со стороны уполномоченных органов или ЭСО (НЭК) в разрешении проведения клинического исследования по этическим основаниям или аспектам безопасности;</w:t>
      </w:r>
    </w:p>
    <w:bookmarkEnd w:id="1343"/>
    <w:bookmarkStart w:name="z1302" w:id="1344"/>
    <w:p>
      <w:pPr>
        <w:spacing w:after="0"/>
        <w:ind w:left="0"/>
        <w:jc w:val="both"/>
      </w:pPr>
      <w:r>
        <w:rPr>
          <w:rFonts w:ascii="Times New Roman"/>
          <w:b w:val="false"/>
          <w:i w:val="false"/>
          <w:color w:val="000000"/>
          <w:sz w:val="28"/>
        </w:rPr>
        <w:t>
      частичная (полная) приостановка или преждевременное прекращение клинического исследования по причине получения новых данных по безопасности или недостаточной эффективности исследуемого препарата;</w:t>
      </w:r>
    </w:p>
    <w:bookmarkEnd w:id="1344"/>
    <w:bookmarkStart w:name="z1303" w:id="1345"/>
    <w:p>
      <w:pPr>
        <w:spacing w:after="0"/>
        <w:ind w:left="0"/>
        <w:jc w:val="both"/>
      </w:pPr>
      <w:r>
        <w:rPr>
          <w:rFonts w:ascii="Times New Roman"/>
          <w:b w:val="false"/>
          <w:i w:val="false"/>
          <w:color w:val="000000"/>
          <w:sz w:val="28"/>
        </w:rPr>
        <w:t>
      отзыв исследуемого препарата или препарата сравнения;</w:t>
      </w:r>
    </w:p>
    <w:bookmarkEnd w:id="1345"/>
    <w:bookmarkStart w:name="z1304" w:id="1346"/>
    <w:p>
      <w:pPr>
        <w:spacing w:after="0"/>
        <w:ind w:left="0"/>
        <w:jc w:val="both"/>
      </w:pPr>
      <w:r>
        <w:rPr>
          <w:rFonts w:ascii="Times New Roman"/>
          <w:b w:val="false"/>
          <w:i w:val="false"/>
          <w:color w:val="000000"/>
          <w:sz w:val="28"/>
        </w:rPr>
        <w:t>
      отказ в государственной регистрации по исследуемым показаниям к применению, включая добровольный отзыв заявления на проведение государственной регистрации;</w:t>
      </w:r>
    </w:p>
    <w:bookmarkEnd w:id="1346"/>
    <w:bookmarkStart w:name="z1305" w:id="1347"/>
    <w:p>
      <w:pPr>
        <w:spacing w:after="0"/>
        <w:ind w:left="0"/>
        <w:jc w:val="both"/>
      </w:pPr>
      <w:r>
        <w:rPr>
          <w:rFonts w:ascii="Times New Roman"/>
          <w:b w:val="false"/>
          <w:i w:val="false"/>
          <w:color w:val="000000"/>
          <w:sz w:val="28"/>
        </w:rPr>
        <w:t>
      введение мер по управлению рисками (внесение поправок в протокол в связи с аспектами безопасности или эффективности исследуемого препарата, включая изменение режима дозирования, критериев включения (невключения), введение дополнительного мониторинга, ограничение длительности воздействия, ограничение исследуемой популяции или показаний к применению;</w:t>
      </w:r>
    </w:p>
    <w:bookmarkEnd w:id="1347"/>
    <w:bookmarkStart w:name="z1306" w:id="1348"/>
    <w:p>
      <w:pPr>
        <w:spacing w:after="0"/>
        <w:ind w:left="0"/>
        <w:jc w:val="both"/>
      </w:pPr>
      <w:r>
        <w:rPr>
          <w:rFonts w:ascii="Times New Roman"/>
          <w:b w:val="false"/>
          <w:i w:val="false"/>
          <w:color w:val="000000"/>
          <w:sz w:val="28"/>
        </w:rPr>
        <w:t>
      изменение информированного согласия;</w:t>
      </w:r>
    </w:p>
    <w:bookmarkEnd w:id="1348"/>
    <w:bookmarkStart w:name="z1307" w:id="1349"/>
    <w:p>
      <w:pPr>
        <w:spacing w:after="0"/>
        <w:ind w:left="0"/>
        <w:jc w:val="both"/>
      </w:pPr>
      <w:r>
        <w:rPr>
          <w:rFonts w:ascii="Times New Roman"/>
          <w:b w:val="false"/>
          <w:i w:val="false"/>
          <w:color w:val="000000"/>
          <w:sz w:val="28"/>
        </w:rPr>
        <w:t>
      изменение состава препарата;</w:t>
      </w:r>
    </w:p>
    <w:bookmarkEnd w:id="1349"/>
    <w:bookmarkStart w:name="z1308" w:id="1350"/>
    <w:p>
      <w:pPr>
        <w:spacing w:after="0"/>
        <w:ind w:left="0"/>
        <w:jc w:val="both"/>
      </w:pPr>
      <w:r>
        <w:rPr>
          <w:rFonts w:ascii="Times New Roman"/>
          <w:b w:val="false"/>
          <w:i w:val="false"/>
          <w:color w:val="000000"/>
          <w:sz w:val="28"/>
        </w:rPr>
        <w:t>
      введение уполномоченными органами дополнительных требований по представлению информации по безопасности;</w:t>
      </w:r>
    </w:p>
    <w:bookmarkEnd w:id="1350"/>
    <w:bookmarkStart w:name="z1309" w:id="1351"/>
    <w:p>
      <w:pPr>
        <w:spacing w:after="0"/>
        <w:ind w:left="0"/>
        <w:jc w:val="both"/>
      </w:pPr>
      <w:r>
        <w:rPr>
          <w:rFonts w:ascii="Times New Roman"/>
          <w:b w:val="false"/>
          <w:i w:val="false"/>
          <w:color w:val="000000"/>
          <w:sz w:val="28"/>
        </w:rPr>
        <w:t>
      подготовка дополнительной информации для исследователей и медицинских работников;</w:t>
      </w:r>
    </w:p>
    <w:bookmarkEnd w:id="1351"/>
    <w:bookmarkStart w:name="z1310" w:id="1352"/>
    <w:p>
      <w:pPr>
        <w:spacing w:after="0"/>
        <w:ind w:left="0"/>
        <w:jc w:val="both"/>
      </w:pPr>
      <w:r>
        <w:rPr>
          <w:rFonts w:ascii="Times New Roman"/>
          <w:b w:val="false"/>
          <w:i w:val="false"/>
          <w:color w:val="000000"/>
          <w:sz w:val="28"/>
        </w:rPr>
        <w:t>
      планирование новых исследований по изучению аспектов профиля безопасности).</w:t>
      </w:r>
    </w:p>
    <w:bookmarkEnd w:id="1352"/>
    <w:bookmarkStart w:name="z1311" w:id="1353"/>
    <w:p>
      <w:pPr>
        <w:spacing w:after="0"/>
        <w:ind w:left="0"/>
        <w:jc w:val="both"/>
      </w:pPr>
      <w:r>
        <w:rPr>
          <w:rFonts w:ascii="Times New Roman"/>
          <w:b w:val="false"/>
          <w:i w:val="false"/>
          <w:color w:val="000000"/>
          <w:sz w:val="28"/>
        </w:rPr>
        <w:t>
      При наличии государственной регистрации в данный раздел также включаются следующие меры в отношении зарегистрированного лекарственного препарата:</w:t>
      </w:r>
    </w:p>
    <w:bookmarkEnd w:id="1353"/>
    <w:bookmarkStart w:name="z1312" w:id="1354"/>
    <w:p>
      <w:pPr>
        <w:spacing w:after="0"/>
        <w:ind w:left="0"/>
        <w:jc w:val="both"/>
      </w:pPr>
      <w:r>
        <w:rPr>
          <w:rFonts w:ascii="Times New Roman"/>
          <w:b w:val="false"/>
          <w:i w:val="false"/>
          <w:color w:val="000000"/>
          <w:sz w:val="28"/>
        </w:rPr>
        <w:t>
      отказ со стороны уполномоченных органов в подтверждении регистрации;</w:t>
      </w:r>
    </w:p>
    <w:bookmarkEnd w:id="1354"/>
    <w:bookmarkStart w:name="z1313" w:id="1355"/>
    <w:p>
      <w:pPr>
        <w:spacing w:after="0"/>
        <w:ind w:left="0"/>
        <w:jc w:val="both"/>
      </w:pPr>
      <w:r>
        <w:rPr>
          <w:rFonts w:ascii="Times New Roman"/>
          <w:b w:val="false"/>
          <w:i w:val="false"/>
          <w:color w:val="000000"/>
          <w:sz w:val="28"/>
        </w:rPr>
        <w:t>
      приостановка регистрации или отзыв с рынка;</w:t>
      </w:r>
    </w:p>
    <w:bookmarkEnd w:id="1355"/>
    <w:bookmarkStart w:name="z1314" w:id="1356"/>
    <w:p>
      <w:pPr>
        <w:spacing w:after="0"/>
        <w:ind w:left="0"/>
        <w:jc w:val="both"/>
      </w:pPr>
      <w:r>
        <w:rPr>
          <w:rFonts w:ascii="Times New Roman"/>
          <w:b w:val="false"/>
          <w:i w:val="false"/>
          <w:color w:val="000000"/>
          <w:sz w:val="28"/>
        </w:rPr>
        <w:t>
      принятие уполномоченными органами мер по управлению рисками (существенные ограничения в обращении;</w:t>
      </w:r>
    </w:p>
    <w:bookmarkEnd w:id="1356"/>
    <w:bookmarkStart w:name="z1315" w:id="1357"/>
    <w:p>
      <w:pPr>
        <w:spacing w:after="0"/>
        <w:ind w:left="0"/>
        <w:jc w:val="both"/>
      </w:pPr>
      <w:r>
        <w:rPr>
          <w:rFonts w:ascii="Times New Roman"/>
          <w:b w:val="false"/>
          <w:i w:val="false"/>
          <w:color w:val="000000"/>
          <w:sz w:val="28"/>
        </w:rPr>
        <w:t>
      существенные изменения в общей характеристике лекарственного препарата, которые могут повлиять на программу клинической разработки;</w:t>
      </w:r>
    </w:p>
    <w:bookmarkEnd w:id="1357"/>
    <w:bookmarkStart w:name="z1316" w:id="1358"/>
    <w:p>
      <w:pPr>
        <w:spacing w:after="0"/>
        <w:ind w:left="0"/>
        <w:jc w:val="both"/>
      </w:pPr>
      <w:r>
        <w:rPr>
          <w:rFonts w:ascii="Times New Roman"/>
          <w:b w:val="false"/>
          <w:i w:val="false"/>
          <w:color w:val="000000"/>
          <w:sz w:val="28"/>
        </w:rPr>
        <w:t>
      подготовка дополнительной информации и другие меры минимизации риска;</w:t>
      </w:r>
    </w:p>
    <w:bookmarkEnd w:id="1358"/>
    <w:bookmarkStart w:name="z1317" w:id="1359"/>
    <w:p>
      <w:pPr>
        <w:spacing w:after="0"/>
        <w:ind w:left="0"/>
        <w:jc w:val="both"/>
      </w:pPr>
      <w:r>
        <w:rPr>
          <w:rFonts w:ascii="Times New Roman"/>
          <w:b w:val="false"/>
          <w:i w:val="false"/>
          <w:color w:val="000000"/>
          <w:sz w:val="28"/>
        </w:rPr>
        <w:t>
      назначение уполномоченными органами дополнительных пострегистрационных исследований или иных исследований по оценке аспектов профиля безопасности, включая доклинические исследования).</w:t>
      </w:r>
    </w:p>
    <w:bookmarkEnd w:id="1359"/>
    <w:bookmarkStart w:name="z1318" w:id="1360"/>
    <w:p>
      <w:pPr>
        <w:spacing w:after="0"/>
        <w:ind w:left="0"/>
        <w:jc w:val="both"/>
      </w:pPr>
      <w:r>
        <w:rPr>
          <w:rFonts w:ascii="Times New Roman"/>
          <w:b w:val="false"/>
          <w:i w:val="false"/>
          <w:color w:val="000000"/>
          <w:sz w:val="28"/>
        </w:rPr>
        <w:t>
      В данный раздел также включаются запросы уполномоченных органов, которые вводят определенные ограничения в отношении текущей или планируемой программы разработки исследуемого препарата (например, требование проведения длительных доклинических исследований до начала долгосрочных клинических исследований, запрос о представлении специфических данных по безопасности до начала педиатрического исследования).</w:t>
      </w:r>
    </w:p>
    <w:bookmarkEnd w:id="1360"/>
    <w:bookmarkStart w:name="z1319" w:id="1361"/>
    <w:p>
      <w:pPr>
        <w:spacing w:after="0"/>
        <w:ind w:left="0"/>
        <w:jc w:val="both"/>
      </w:pPr>
      <w:r>
        <w:rPr>
          <w:rFonts w:ascii="Times New Roman"/>
          <w:b w:val="false"/>
          <w:i w:val="false"/>
          <w:color w:val="000000"/>
          <w:sz w:val="28"/>
        </w:rPr>
        <w:t>
      Данная информация представляется в форме обобщенного перечня с указанием обновлений (если применимо).</w:t>
      </w:r>
    </w:p>
    <w:bookmarkEnd w:id="1361"/>
    <w:bookmarkStart w:name="z1320" w:id="1362"/>
    <w:p>
      <w:pPr>
        <w:spacing w:after="0"/>
        <w:ind w:left="0"/>
        <w:jc w:val="left"/>
      </w:pPr>
      <w:r>
        <w:rPr>
          <w:rFonts w:ascii="Times New Roman"/>
          <w:b/>
          <w:i w:val="false"/>
          <w:color w:val="000000"/>
        </w:rPr>
        <w:t xml:space="preserve"> 4.7. Изменения, внесенные в справочную информацию </w:t>
      </w:r>
      <w:r>
        <w:rPr>
          <w:rFonts w:ascii="Times New Roman"/>
          <w:b/>
          <w:i w:val="false"/>
          <w:color w:val="000000"/>
        </w:rPr>
        <w:t>по</w:t>
      </w:r>
      <w:r>
        <w:br/>
      </w:r>
      <w:r>
        <w:rPr>
          <w:rFonts w:ascii="Times New Roman"/>
          <w:b/>
          <w:i w:val="false"/>
          <w:color w:val="000000"/>
        </w:rPr>
        <w:t>безопасности исследуемого препарата</w:t>
      </w:r>
    </w:p>
    <w:bookmarkEnd w:id="1362"/>
    <w:bookmarkStart w:name="z1322" w:id="1363"/>
    <w:p>
      <w:pPr>
        <w:spacing w:after="0"/>
        <w:ind w:left="0"/>
        <w:jc w:val="both"/>
      </w:pPr>
      <w:r>
        <w:rPr>
          <w:rFonts w:ascii="Times New Roman"/>
          <w:b w:val="false"/>
          <w:i w:val="false"/>
          <w:color w:val="000000"/>
          <w:sz w:val="28"/>
        </w:rPr>
        <w:t>
      Данный раздел включает в себя перечень изменений, которые были внесены за отчетный период в брошюру исследователя или иную справочную информацию по безопасности в связи с новыми аспектами профиля безопасности исследуемого препарата. Данные изменения могут касаться, например, изменений критериев невключения, противопоказаний, мер предосторожности и особых указаний, перечня серьезных нежелательных реакций и нежелательных явлений, представляющих особый интерес, лекарственных взаимодействий, а также важные данные, полученные в ходе доклинических исследований. Подробная информация по данным изменениям должна быть представлена в соответствующих разделах РООБ.</w:t>
      </w:r>
    </w:p>
    <w:bookmarkEnd w:id="1363"/>
    <w:bookmarkStart w:name="z1323" w:id="1364"/>
    <w:p>
      <w:pPr>
        <w:spacing w:after="0"/>
        <w:ind w:left="0"/>
        <w:jc w:val="left"/>
      </w:pPr>
      <w:r>
        <w:rPr>
          <w:rFonts w:ascii="Times New Roman"/>
          <w:b/>
          <w:i w:val="false"/>
          <w:color w:val="000000"/>
        </w:rPr>
        <w:t xml:space="preserve"> 4.8. Перечень продолжающихся и завершенных</w:t>
      </w:r>
      <w:r>
        <w:br/>
      </w:r>
      <w:r>
        <w:rPr>
          <w:rFonts w:ascii="Times New Roman"/>
          <w:b/>
          <w:i w:val="false"/>
          <w:color w:val="000000"/>
        </w:rPr>
        <w:t>в отчетном периоде клинических исследований</w:t>
      </w:r>
    </w:p>
    <w:bookmarkEnd w:id="1364"/>
    <w:bookmarkStart w:name="z1325" w:id="1365"/>
    <w:p>
      <w:pPr>
        <w:spacing w:after="0"/>
        <w:ind w:left="0"/>
        <w:jc w:val="both"/>
      </w:pPr>
      <w:r>
        <w:rPr>
          <w:rFonts w:ascii="Times New Roman"/>
          <w:b w:val="false"/>
          <w:i w:val="false"/>
          <w:color w:val="000000"/>
          <w:sz w:val="28"/>
        </w:rPr>
        <w:t>
      Данный раздел включает в себя краткую информацию по продолжающимся и завершенным в отчетном периоде клиническим исследованиям с представлением в приложении к периодическому отчету (в табличной форме) детальной информации по следующим разделам:</w:t>
      </w:r>
    </w:p>
    <w:bookmarkEnd w:id="1365"/>
    <w:bookmarkStart w:name="z1326" w:id="1366"/>
    <w:p>
      <w:pPr>
        <w:spacing w:after="0"/>
        <w:ind w:left="0"/>
        <w:jc w:val="both"/>
      </w:pPr>
      <w:r>
        <w:rPr>
          <w:rFonts w:ascii="Times New Roman"/>
          <w:b w:val="false"/>
          <w:i w:val="false"/>
          <w:color w:val="000000"/>
          <w:sz w:val="28"/>
        </w:rPr>
        <w:t>
      идентификационный номер и фаза исследования;</w:t>
      </w:r>
    </w:p>
    <w:bookmarkEnd w:id="1366"/>
    <w:bookmarkStart w:name="z1327" w:id="1367"/>
    <w:p>
      <w:pPr>
        <w:spacing w:after="0"/>
        <w:ind w:left="0"/>
        <w:jc w:val="both"/>
      </w:pPr>
      <w:r>
        <w:rPr>
          <w:rFonts w:ascii="Times New Roman"/>
          <w:b w:val="false"/>
          <w:i w:val="false"/>
          <w:color w:val="000000"/>
          <w:sz w:val="28"/>
        </w:rPr>
        <w:t>
      статус выполнения (продолжающееся исследование - клиническое исследование началось);</w:t>
      </w:r>
    </w:p>
    <w:bookmarkEnd w:id="1367"/>
    <w:bookmarkStart w:name="z1328" w:id="1368"/>
    <w:p>
      <w:pPr>
        <w:spacing w:after="0"/>
        <w:ind w:left="0"/>
        <w:jc w:val="both"/>
      </w:pPr>
      <w:r>
        <w:rPr>
          <w:rFonts w:ascii="Times New Roman"/>
          <w:b w:val="false"/>
          <w:i w:val="false"/>
          <w:color w:val="000000"/>
          <w:sz w:val="28"/>
        </w:rPr>
        <w:t>
      клиническое исследование началось, но в настоящее время приостановлено;</w:t>
      </w:r>
    </w:p>
    <w:bookmarkEnd w:id="1368"/>
    <w:bookmarkStart w:name="z1329" w:id="1369"/>
    <w:p>
      <w:pPr>
        <w:spacing w:after="0"/>
        <w:ind w:left="0"/>
        <w:jc w:val="both"/>
      </w:pPr>
      <w:r>
        <w:rPr>
          <w:rFonts w:ascii="Times New Roman"/>
          <w:b w:val="false"/>
          <w:i w:val="false"/>
          <w:color w:val="000000"/>
          <w:sz w:val="28"/>
        </w:rPr>
        <w:t>
      клиническое исследование завершено, но отчет по клиническому исследованию еще не закончен;</w:t>
      </w:r>
    </w:p>
    <w:bookmarkEnd w:id="1369"/>
    <w:bookmarkStart w:name="z1330" w:id="1370"/>
    <w:p>
      <w:pPr>
        <w:spacing w:after="0"/>
        <w:ind w:left="0"/>
        <w:jc w:val="both"/>
      </w:pPr>
      <w:r>
        <w:rPr>
          <w:rFonts w:ascii="Times New Roman"/>
          <w:b w:val="false"/>
          <w:i w:val="false"/>
          <w:color w:val="000000"/>
          <w:sz w:val="28"/>
        </w:rPr>
        <w:t>
      завершенное исследование - отчет по клиническому исследованию закончен);</w:t>
      </w:r>
    </w:p>
    <w:bookmarkEnd w:id="1370"/>
    <w:bookmarkStart w:name="z1331" w:id="1371"/>
    <w:p>
      <w:pPr>
        <w:spacing w:after="0"/>
        <w:ind w:left="0"/>
        <w:jc w:val="both"/>
      </w:pPr>
      <w:r>
        <w:rPr>
          <w:rFonts w:ascii="Times New Roman"/>
          <w:b w:val="false"/>
          <w:i w:val="false"/>
          <w:color w:val="000000"/>
          <w:sz w:val="28"/>
        </w:rPr>
        <w:t>
      государства-члены, в которых расположен как минимум один исследовательский центр;</w:t>
      </w:r>
    </w:p>
    <w:bookmarkEnd w:id="1371"/>
    <w:bookmarkStart w:name="z1332" w:id="1372"/>
    <w:p>
      <w:pPr>
        <w:spacing w:after="0"/>
        <w:ind w:left="0"/>
        <w:jc w:val="both"/>
      </w:pPr>
      <w:r>
        <w:rPr>
          <w:rFonts w:ascii="Times New Roman"/>
          <w:b w:val="false"/>
          <w:i w:val="false"/>
          <w:color w:val="000000"/>
          <w:sz w:val="28"/>
        </w:rPr>
        <w:t>
      краткое название исследования;</w:t>
      </w:r>
    </w:p>
    <w:bookmarkEnd w:id="1372"/>
    <w:bookmarkStart w:name="z1333" w:id="1373"/>
    <w:p>
      <w:pPr>
        <w:spacing w:after="0"/>
        <w:ind w:left="0"/>
        <w:jc w:val="both"/>
      </w:pPr>
      <w:r>
        <w:rPr>
          <w:rFonts w:ascii="Times New Roman"/>
          <w:b w:val="false"/>
          <w:i w:val="false"/>
          <w:color w:val="000000"/>
          <w:sz w:val="28"/>
        </w:rPr>
        <w:t>
      дизайн исследования (неконтролируемое, контролируемое, открытое, простое слепое, двойное слепое, в параллельных группах, с перекрестным дизайном и т. д., включая разделение на группы лечения);</w:t>
      </w:r>
    </w:p>
    <w:bookmarkEnd w:id="1373"/>
    <w:bookmarkStart w:name="z1334" w:id="1374"/>
    <w:p>
      <w:pPr>
        <w:spacing w:after="0"/>
        <w:ind w:left="0"/>
        <w:jc w:val="both"/>
      </w:pPr>
      <w:r>
        <w:rPr>
          <w:rFonts w:ascii="Times New Roman"/>
          <w:b w:val="false"/>
          <w:i w:val="false"/>
          <w:color w:val="000000"/>
          <w:sz w:val="28"/>
        </w:rPr>
        <w:t>
      дозы и режим дозирования исследуемого препарата и препарата (препаратов) сравнения;</w:t>
      </w:r>
    </w:p>
    <w:bookmarkEnd w:id="1374"/>
    <w:bookmarkStart w:name="z1335" w:id="1375"/>
    <w:p>
      <w:pPr>
        <w:spacing w:after="0"/>
        <w:ind w:left="0"/>
        <w:jc w:val="both"/>
      </w:pPr>
      <w:r>
        <w:rPr>
          <w:rFonts w:ascii="Times New Roman"/>
          <w:b w:val="false"/>
          <w:i w:val="false"/>
          <w:color w:val="000000"/>
          <w:sz w:val="28"/>
        </w:rPr>
        <w:t>
      характеристика исследуемой популяции (возраст, пол, показания к применению, особые группы субъектов (пациентов) (например, пациенты с нарушением функции почек или пациенты с резистентностью к лечению));</w:t>
      </w:r>
    </w:p>
    <w:bookmarkEnd w:id="1375"/>
    <w:bookmarkStart w:name="z1336" w:id="1376"/>
    <w:p>
      <w:pPr>
        <w:spacing w:after="0"/>
        <w:ind w:left="0"/>
        <w:jc w:val="both"/>
      </w:pPr>
      <w:r>
        <w:rPr>
          <w:rFonts w:ascii="Times New Roman"/>
          <w:b w:val="false"/>
          <w:i w:val="false"/>
          <w:color w:val="000000"/>
          <w:sz w:val="28"/>
        </w:rPr>
        <w:t>
      дата начала клинического исследования (по определению спонсора) (например, первый визит первого включенного субъекта (пациента) исследования);</w:t>
      </w:r>
    </w:p>
    <w:bookmarkEnd w:id="1376"/>
    <w:bookmarkStart w:name="z1337" w:id="1377"/>
    <w:p>
      <w:pPr>
        <w:spacing w:after="0"/>
        <w:ind w:left="0"/>
        <w:jc w:val="both"/>
      </w:pPr>
      <w:r>
        <w:rPr>
          <w:rFonts w:ascii="Times New Roman"/>
          <w:b w:val="false"/>
          <w:i w:val="false"/>
          <w:color w:val="000000"/>
          <w:sz w:val="28"/>
        </w:rPr>
        <w:t>
      планируемый объем включения;</w:t>
      </w:r>
    </w:p>
    <w:bookmarkEnd w:id="1377"/>
    <w:bookmarkStart w:name="z1338" w:id="1378"/>
    <w:p>
      <w:pPr>
        <w:spacing w:after="0"/>
        <w:ind w:left="0"/>
        <w:jc w:val="both"/>
      </w:pPr>
      <w:r>
        <w:rPr>
          <w:rFonts w:ascii="Times New Roman"/>
          <w:b w:val="false"/>
          <w:i w:val="false"/>
          <w:color w:val="000000"/>
          <w:sz w:val="28"/>
        </w:rPr>
        <w:t>
      оценка кумулятивного числа пациентов (субъектов) исследования, получивших лечение в каждой лечебной группе (если применимо).</w:t>
      </w:r>
    </w:p>
    <w:bookmarkEnd w:id="1378"/>
    <w:bookmarkStart w:name="z1339" w:id="1379"/>
    <w:p>
      <w:pPr>
        <w:spacing w:after="0"/>
        <w:ind w:left="0"/>
        <w:jc w:val="both"/>
      </w:pPr>
      <w:r>
        <w:rPr>
          <w:rFonts w:ascii="Times New Roman"/>
          <w:b w:val="false"/>
          <w:i w:val="false"/>
          <w:color w:val="000000"/>
          <w:sz w:val="28"/>
        </w:rPr>
        <w:t>
      В данном разделе должны быть приведены данные по фактическому количеству включенных субъектов исследования в открытых или завершенных клинических исследованиях и (или) оценка, основанная на способе рандомизации для слепых исследований.</w:t>
      </w:r>
    </w:p>
    <w:bookmarkEnd w:id="1379"/>
    <w:bookmarkStart w:name="z1340" w:id="1380"/>
    <w:p>
      <w:pPr>
        <w:spacing w:after="0"/>
        <w:ind w:left="0"/>
        <w:jc w:val="left"/>
      </w:pPr>
      <w:r>
        <w:rPr>
          <w:rFonts w:ascii="Times New Roman"/>
          <w:b/>
          <w:i w:val="false"/>
          <w:color w:val="000000"/>
        </w:rPr>
        <w:t xml:space="preserve"> 4.9. Оценка количества субъектов, подвергшихся</w:t>
      </w:r>
      <w:r>
        <w:br/>
      </w:r>
      <w:r>
        <w:rPr>
          <w:rFonts w:ascii="Times New Roman"/>
          <w:b/>
          <w:i w:val="false"/>
          <w:color w:val="000000"/>
        </w:rPr>
        <w:t>воздействию исследуемого препарата</w:t>
      </w:r>
    </w:p>
    <w:bookmarkEnd w:id="1380"/>
    <w:bookmarkStart w:name="z1342" w:id="1381"/>
    <w:p>
      <w:pPr>
        <w:spacing w:after="0"/>
        <w:ind w:left="0"/>
        <w:jc w:val="both"/>
      </w:pPr>
      <w:r>
        <w:rPr>
          <w:rFonts w:ascii="Times New Roman"/>
          <w:b w:val="false"/>
          <w:i w:val="false"/>
          <w:color w:val="000000"/>
          <w:sz w:val="28"/>
        </w:rPr>
        <w:t>
      Данный раздел РООБ должен содержать информацию об общем количестве субъектов, подвергшихся воздействию (кумулятивному воздействию) в клинических исследованиях (см. подраздел 4.9.1 настоящих Требований) и при терапевтическом применении (см. подраздел 4.9.2 настоящих Требований). Требования по представлению информации в данном разделе включают в себя следующее:</w:t>
      </w:r>
    </w:p>
    <w:bookmarkEnd w:id="1381"/>
    <w:bookmarkStart w:name="z1343" w:id="1382"/>
    <w:p>
      <w:pPr>
        <w:spacing w:after="0"/>
        <w:ind w:left="0"/>
        <w:jc w:val="both"/>
      </w:pPr>
      <w:r>
        <w:rPr>
          <w:rFonts w:ascii="Times New Roman"/>
          <w:b w:val="false"/>
          <w:i w:val="false"/>
          <w:color w:val="000000"/>
          <w:sz w:val="28"/>
        </w:rPr>
        <w:t>
      а) данные должны быть представлены в табличной форме;</w:t>
      </w:r>
    </w:p>
    <w:bookmarkEnd w:id="1382"/>
    <w:bookmarkStart w:name="z1344" w:id="1383"/>
    <w:p>
      <w:pPr>
        <w:spacing w:after="0"/>
        <w:ind w:left="0"/>
        <w:jc w:val="both"/>
      </w:pPr>
      <w:r>
        <w:rPr>
          <w:rFonts w:ascii="Times New Roman"/>
          <w:b w:val="false"/>
          <w:i w:val="false"/>
          <w:color w:val="000000"/>
          <w:sz w:val="28"/>
        </w:rPr>
        <w:t>
      б) при наличие существенных различий между клиническими исследованиями в отношении исследуемой дозы, способа введения, исследуемой популяции данные в таблице должны быть соответствующим образом описаны либо представлены в виде отдельных таблиц;</w:t>
      </w:r>
    </w:p>
    <w:bookmarkEnd w:id="1383"/>
    <w:bookmarkStart w:name="z1345" w:id="1384"/>
    <w:p>
      <w:pPr>
        <w:spacing w:after="0"/>
        <w:ind w:left="0"/>
        <w:jc w:val="both"/>
      </w:pPr>
      <w:r>
        <w:rPr>
          <w:rFonts w:ascii="Times New Roman"/>
          <w:b w:val="false"/>
          <w:i w:val="false"/>
          <w:color w:val="000000"/>
          <w:sz w:val="28"/>
        </w:rPr>
        <w:t>
      в) если сводные таблицы серьезных нежелательных явлений представлены отдельно по каждому исследуемому показанию, данные по оценке воздействия (кумулятивного воздействия) должны быть также сгруппированы по исследуемым показаниям;</w:t>
      </w:r>
    </w:p>
    <w:bookmarkEnd w:id="1384"/>
    <w:bookmarkStart w:name="z1346" w:id="1385"/>
    <w:p>
      <w:pPr>
        <w:spacing w:after="0"/>
        <w:ind w:left="0"/>
        <w:jc w:val="both"/>
      </w:pPr>
      <w:r>
        <w:rPr>
          <w:rFonts w:ascii="Times New Roman"/>
          <w:b w:val="false"/>
          <w:i w:val="false"/>
          <w:color w:val="000000"/>
          <w:sz w:val="28"/>
        </w:rPr>
        <w:t>
      г) при наличии существенных расхождений по времени кумулятивного воздействия между клиническими исследованиями или исследуемым препаратом и препаратом (препаратами) сравнения данные по оценке воздействия рекомендуется представлять в условных единицах "субъект - промежуток времени" (человеко-день, человеко-месяц или человеко-годах);</w:t>
      </w:r>
    </w:p>
    <w:bookmarkEnd w:id="1385"/>
    <w:bookmarkStart w:name="z1347" w:id="1386"/>
    <w:p>
      <w:pPr>
        <w:spacing w:after="0"/>
        <w:ind w:left="0"/>
        <w:jc w:val="both"/>
      </w:pPr>
      <w:r>
        <w:rPr>
          <w:rFonts w:ascii="Times New Roman"/>
          <w:b w:val="false"/>
          <w:i w:val="false"/>
          <w:color w:val="000000"/>
          <w:sz w:val="28"/>
        </w:rPr>
        <w:t>
      д) данные по воздействию на здоровых добровольцев (в особенности при изучении однократного назначения) могут представляться отдельно ввиду их меньшей значимости для оценки профиля безопасности;</w:t>
      </w:r>
    </w:p>
    <w:bookmarkEnd w:id="1386"/>
    <w:bookmarkStart w:name="z1348" w:id="1387"/>
    <w:p>
      <w:pPr>
        <w:spacing w:after="0"/>
        <w:ind w:left="0"/>
        <w:jc w:val="both"/>
      </w:pPr>
      <w:r>
        <w:rPr>
          <w:rFonts w:ascii="Times New Roman"/>
          <w:b w:val="false"/>
          <w:i w:val="false"/>
          <w:color w:val="000000"/>
          <w:sz w:val="28"/>
        </w:rPr>
        <w:t>
      е) для зарегистрированных лекарственных препаратов, которые находятся в программе клинической разработки, может быть использован менее точный подход в оценке кумулятивного воздействия в ходе клинических исследований в случае многолетнего терапевтического применения и (или) применения по многочисленным показаниям (спонсор должен комментировать такие случаи).</w:t>
      </w:r>
    </w:p>
    <w:bookmarkEnd w:id="1387"/>
    <w:bookmarkStart w:name="z1349" w:id="1388"/>
    <w:p>
      <w:pPr>
        <w:spacing w:after="0"/>
        <w:ind w:left="0"/>
        <w:jc w:val="left"/>
      </w:pPr>
      <w:r>
        <w:rPr>
          <w:rFonts w:ascii="Times New Roman"/>
          <w:b/>
          <w:i w:val="false"/>
          <w:color w:val="000000"/>
        </w:rPr>
        <w:t xml:space="preserve"> 4.9.1. Обобщенная оценка количества субъектов,</w:t>
      </w:r>
      <w:r>
        <w:br/>
      </w:r>
      <w:r>
        <w:rPr>
          <w:rFonts w:ascii="Times New Roman"/>
          <w:b/>
          <w:i w:val="false"/>
          <w:color w:val="000000"/>
        </w:rPr>
        <w:t>подвергшихся воздействию исследуемого препарата</w:t>
      </w:r>
      <w:r>
        <w:br/>
      </w:r>
      <w:r>
        <w:rPr>
          <w:rFonts w:ascii="Times New Roman"/>
          <w:b/>
          <w:i w:val="false"/>
          <w:color w:val="000000"/>
        </w:rPr>
        <w:t>в ходе выполнения программы клинической разработки</w:t>
      </w:r>
    </w:p>
    <w:bookmarkEnd w:id="1388"/>
    <w:bookmarkStart w:name="z1352" w:id="1389"/>
    <w:p>
      <w:pPr>
        <w:spacing w:after="0"/>
        <w:ind w:left="0"/>
        <w:jc w:val="both"/>
      </w:pPr>
      <w:r>
        <w:rPr>
          <w:rFonts w:ascii="Times New Roman"/>
          <w:b w:val="false"/>
          <w:i w:val="false"/>
          <w:color w:val="000000"/>
          <w:sz w:val="28"/>
        </w:rPr>
        <w:t>
      Данный подраздел должен включать в себя (в табличной форме) следующую информацию:</w:t>
      </w:r>
    </w:p>
    <w:bookmarkEnd w:id="1389"/>
    <w:bookmarkStart w:name="z1353" w:id="1390"/>
    <w:p>
      <w:pPr>
        <w:spacing w:after="0"/>
        <w:ind w:left="0"/>
        <w:jc w:val="both"/>
      </w:pPr>
      <w:r>
        <w:rPr>
          <w:rFonts w:ascii="Times New Roman"/>
          <w:b w:val="false"/>
          <w:i w:val="false"/>
          <w:color w:val="000000"/>
          <w:sz w:val="28"/>
        </w:rPr>
        <w:t>
      общее число субъектов в продолжающихся и завершенных клинических исследованиях;</w:t>
      </w:r>
    </w:p>
    <w:bookmarkEnd w:id="1390"/>
    <w:bookmarkStart w:name="z1354" w:id="1391"/>
    <w:p>
      <w:pPr>
        <w:spacing w:after="0"/>
        <w:ind w:left="0"/>
        <w:jc w:val="both"/>
      </w:pPr>
      <w:r>
        <w:rPr>
          <w:rFonts w:ascii="Times New Roman"/>
          <w:b w:val="false"/>
          <w:i w:val="false"/>
          <w:color w:val="000000"/>
          <w:sz w:val="28"/>
        </w:rPr>
        <w:t>
      количество субъектов клинических исследований, получивших исследуемый препарат, плацебо и (или) препараты сравнения, начиная с МДОРЛП (в случае слепых продолжающихся исследований число субъектов оценивается исходя из используемого метода рандомизации);</w:t>
      </w:r>
    </w:p>
    <w:bookmarkEnd w:id="1391"/>
    <w:bookmarkStart w:name="z1355" w:id="1392"/>
    <w:p>
      <w:pPr>
        <w:spacing w:after="0"/>
        <w:ind w:left="0"/>
        <w:jc w:val="both"/>
      </w:pPr>
      <w:r>
        <w:rPr>
          <w:rFonts w:ascii="Times New Roman"/>
          <w:b w:val="false"/>
          <w:i w:val="false"/>
          <w:color w:val="000000"/>
          <w:sz w:val="28"/>
        </w:rPr>
        <w:t>
      кумулятивное количество субъектов клинических исследований, подвергшихся воздействию исследуемого препарата по возрастным группам, полу, расовой принадлежности (при наличии данных);</w:t>
      </w:r>
    </w:p>
    <w:bookmarkEnd w:id="1392"/>
    <w:bookmarkStart w:name="z1356" w:id="1393"/>
    <w:p>
      <w:pPr>
        <w:spacing w:after="0"/>
        <w:ind w:left="0"/>
        <w:jc w:val="both"/>
      </w:pPr>
      <w:r>
        <w:rPr>
          <w:rFonts w:ascii="Times New Roman"/>
          <w:b w:val="false"/>
          <w:i w:val="false"/>
          <w:color w:val="000000"/>
          <w:sz w:val="28"/>
        </w:rPr>
        <w:t>
      демографические характеристики по отдельным исследованиям особой важности (например, ключевые исследования III фазы).</w:t>
      </w:r>
    </w:p>
    <w:bookmarkEnd w:id="1393"/>
    <w:bookmarkStart w:name="z1357" w:id="1394"/>
    <w:p>
      <w:pPr>
        <w:spacing w:after="0"/>
        <w:ind w:left="0"/>
        <w:jc w:val="both"/>
      </w:pPr>
      <w:r>
        <w:rPr>
          <w:rFonts w:ascii="Times New Roman"/>
          <w:b w:val="false"/>
          <w:i w:val="false"/>
          <w:color w:val="000000"/>
          <w:sz w:val="28"/>
        </w:rPr>
        <w:t>
      В данном подразделе приводится указание и обоснование использованного метода (методов) оценки обобщенного (кумулятивного) воздействия, а также ограничения данного метода.</w:t>
      </w:r>
    </w:p>
    <w:bookmarkEnd w:id="1394"/>
    <w:bookmarkStart w:name="z1358" w:id="1395"/>
    <w:p>
      <w:pPr>
        <w:spacing w:after="0"/>
        <w:ind w:left="0"/>
        <w:jc w:val="left"/>
      </w:pPr>
      <w:r>
        <w:rPr>
          <w:rFonts w:ascii="Times New Roman"/>
          <w:b/>
          <w:i w:val="false"/>
          <w:color w:val="000000"/>
        </w:rPr>
        <w:t xml:space="preserve"> 4.9.2. Оценка воздействия при пострегистрационном</w:t>
      </w:r>
      <w:r>
        <w:br/>
      </w:r>
      <w:r>
        <w:rPr>
          <w:rFonts w:ascii="Times New Roman"/>
          <w:b/>
          <w:i w:val="false"/>
          <w:color w:val="000000"/>
        </w:rPr>
        <w:t>применении лекарственного препарата</w:t>
      </w:r>
    </w:p>
    <w:bookmarkEnd w:id="1395"/>
    <w:bookmarkStart w:name="z1360" w:id="1396"/>
    <w:p>
      <w:pPr>
        <w:spacing w:after="0"/>
        <w:ind w:left="0"/>
        <w:jc w:val="both"/>
      </w:pPr>
      <w:r>
        <w:rPr>
          <w:rFonts w:ascii="Times New Roman"/>
          <w:b w:val="false"/>
          <w:i w:val="false"/>
          <w:color w:val="000000"/>
          <w:sz w:val="28"/>
        </w:rPr>
        <w:t>
      В случае если исследуемый препарат зарегистрирован на территории какой-либо страны (стран), спонсором должны быть включены в отчет данные по оценке обобщенного (кумулятивного) воздействия на пациентов по результатам пострегистрационного применения, основанные на данных последнего ПООБ или иных источниках данных с указанием и обоснованием использованного метода (методов) оценки воздействия.</w:t>
      </w:r>
    </w:p>
    <w:bookmarkEnd w:id="1396"/>
    <w:bookmarkStart w:name="z1361" w:id="1397"/>
    <w:p>
      <w:pPr>
        <w:spacing w:after="0"/>
        <w:ind w:left="0"/>
        <w:jc w:val="left"/>
      </w:pPr>
      <w:r>
        <w:rPr>
          <w:rFonts w:ascii="Times New Roman"/>
          <w:b/>
          <w:i w:val="false"/>
          <w:color w:val="000000"/>
        </w:rPr>
        <w:t xml:space="preserve"> 4.10. Данные в виде структурированных перечней</w:t>
      </w:r>
      <w:r>
        <w:br/>
      </w:r>
      <w:r>
        <w:rPr>
          <w:rFonts w:ascii="Times New Roman"/>
          <w:b/>
          <w:i w:val="false"/>
          <w:color w:val="000000"/>
        </w:rPr>
        <w:t>и обобщенных (кумулятивных) таблиц</w:t>
      </w:r>
    </w:p>
    <w:bookmarkEnd w:id="1397"/>
    <w:bookmarkStart w:name="z1363" w:id="1398"/>
    <w:p>
      <w:pPr>
        <w:spacing w:after="0"/>
        <w:ind w:left="0"/>
        <w:jc w:val="both"/>
      </w:pPr>
      <w:r>
        <w:rPr>
          <w:rFonts w:ascii="Times New Roman"/>
          <w:b w:val="false"/>
          <w:i w:val="false"/>
          <w:color w:val="000000"/>
          <w:sz w:val="28"/>
        </w:rPr>
        <w:t>
      Данный раздел РООБ должен содержать структурированные перечни серьезных нежелательных реакций, зарегистрированных спонсором за отчетный период, и обобщенные табличные данные по серьезным нежелательным явлениям, которые были зарегистрированы спонсором с МДОРЛП, то есть таблицы должны включать в себя все серьезные нежелательные явления (далее - СНЯ), а не только СНР для исследуемого препарата и препаратов сравнения. Источником данных в перечнях и таблицах с раскрытыми рандомизационными кодами могут быть завершенные клинические исследования, а также индивидуальные случаи, в которых было выполнено раскрытие кода рандомизации по причинам, обусловленным безопасностью субъекта исследования. Спонсоры не должны раскрывать рандомизационные коды с целью подготовки РООБ.</w:t>
      </w:r>
    </w:p>
    <w:bookmarkEnd w:id="1398"/>
    <w:bookmarkStart w:name="z1364" w:id="1399"/>
    <w:p>
      <w:pPr>
        <w:spacing w:after="0"/>
        <w:ind w:left="0"/>
        <w:jc w:val="both"/>
      </w:pPr>
      <w:r>
        <w:rPr>
          <w:rFonts w:ascii="Times New Roman"/>
          <w:b w:val="false"/>
          <w:i w:val="false"/>
          <w:color w:val="000000"/>
          <w:sz w:val="28"/>
        </w:rPr>
        <w:t>
      По усмотрению спонсора для облегчения восприятия и понимания информации в разделе может использоваться графическое отображение определенных аспектов данных по нежелательным реакциям.</w:t>
      </w:r>
    </w:p>
    <w:bookmarkEnd w:id="1399"/>
    <w:bookmarkStart w:name="z1365" w:id="1400"/>
    <w:p>
      <w:pPr>
        <w:spacing w:after="0"/>
        <w:ind w:left="0"/>
        <w:jc w:val="both"/>
      </w:pPr>
      <w:r>
        <w:rPr>
          <w:rFonts w:ascii="Times New Roman"/>
          <w:b w:val="false"/>
          <w:i w:val="false"/>
          <w:color w:val="000000"/>
          <w:sz w:val="28"/>
        </w:rPr>
        <w:t>
      В целом таблицы СНЯ должны включать в себя только те термины, которые были использованы для классификации серьезности нежелательных явлений; таблицы не должны включать несерьезные нежелательные явления.</w:t>
      </w:r>
    </w:p>
    <w:bookmarkEnd w:id="1400"/>
    <w:bookmarkStart w:name="z1366" w:id="1401"/>
    <w:p>
      <w:pPr>
        <w:spacing w:after="0"/>
        <w:ind w:left="0"/>
        <w:jc w:val="both"/>
      </w:pPr>
      <w:r>
        <w:rPr>
          <w:rFonts w:ascii="Times New Roman"/>
          <w:b w:val="false"/>
          <w:i w:val="false"/>
          <w:color w:val="000000"/>
          <w:sz w:val="28"/>
        </w:rPr>
        <w:t>
      Определенные нежелательные явления могут быть исключены из структурированных перечней и обобщенных табличных данных, однако по всем сделанным исключениям должны быть даны объяснения в отчете. К числу таких нежелательных явлений относятся, например, нежелательные явления, определяемые протоколом клинического исследования как не требующие сбора и ввода данных в базу данных по безопасности, а также являющиеся составляющими конечных точек оценки эффективности (например, летальные исходы, обусловленные прогрессированием основного заболевания, в клинических исследованиях с участием пациентов со злокачественными новообразованиями).</w:t>
      </w:r>
    </w:p>
    <w:bookmarkEnd w:id="1401"/>
    <w:bookmarkStart w:name="z1367" w:id="1402"/>
    <w:p>
      <w:pPr>
        <w:spacing w:after="0"/>
        <w:ind w:left="0"/>
        <w:jc w:val="left"/>
      </w:pPr>
      <w:r>
        <w:rPr>
          <w:rFonts w:ascii="Times New Roman"/>
          <w:b/>
          <w:i w:val="false"/>
          <w:color w:val="000000"/>
        </w:rPr>
        <w:t xml:space="preserve"> 4.10.1. Справочная информация</w:t>
      </w:r>
    </w:p>
    <w:bookmarkEnd w:id="1402"/>
    <w:bookmarkStart w:name="z1368" w:id="1403"/>
    <w:p>
      <w:pPr>
        <w:spacing w:after="0"/>
        <w:ind w:left="0"/>
        <w:jc w:val="both"/>
      </w:pPr>
      <w:r>
        <w:rPr>
          <w:rFonts w:ascii="Times New Roman"/>
          <w:b w:val="false"/>
          <w:i w:val="false"/>
          <w:color w:val="000000"/>
          <w:sz w:val="28"/>
        </w:rPr>
        <w:t>
      В данном подразделе указываются версия (версии) использованного для кодирования терминологического словаря и название документа с номером его версии, который использовался в качестве справочной информации по безопасности для определения предвиденности при составлении табличных данных, где это требуется в соответствии с законодательством государств-членов.</w:t>
      </w:r>
    </w:p>
    <w:bookmarkEnd w:id="1403"/>
    <w:bookmarkStart w:name="z1369" w:id="1404"/>
    <w:p>
      <w:pPr>
        <w:spacing w:after="0"/>
        <w:ind w:left="0"/>
        <w:jc w:val="left"/>
      </w:pPr>
      <w:r>
        <w:rPr>
          <w:rFonts w:ascii="Times New Roman"/>
          <w:b/>
          <w:i w:val="false"/>
          <w:color w:val="000000"/>
        </w:rPr>
        <w:t xml:space="preserve"> 4.10.2. Структурированный перечень серьезных</w:t>
      </w:r>
      <w:r>
        <w:br/>
      </w:r>
      <w:r>
        <w:rPr>
          <w:rFonts w:ascii="Times New Roman"/>
          <w:b/>
          <w:i w:val="false"/>
          <w:color w:val="000000"/>
        </w:rPr>
        <w:t>нежелательных реакций за отчетный период</w:t>
      </w:r>
    </w:p>
    <w:bookmarkEnd w:id="1404"/>
    <w:bookmarkStart w:name="z1371" w:id="1405"/>
    <w:p>
      <w:pPr>
        <w:spacing w:after="0"/>
        <w:ind w:left="0"/>
        <w:jc w:val="both"/>
      </w:pPr>
      <w:r>
        <w:rPr>
          <w:rFonts w:ascii="Times New Roman"/>
          <w:b w:val="false"/>
          <w:i w:val="false"/>
          <w:color w:val="000000"/>
          <w:sz w:val="28"/>
        </w:rPr>
        <w:t>
      В данном подразделе приводится краткое описание принципа включения серьезных нежелательных реакций в перечень, сами перечни серьезных нежелательных реакций, зарегистрированных при проведении клинических исследований за отчетный период, приводятся в приложении к РООБ. Не следует использовать этот раздел для анализа серьезных нежелательных реакций или выводов. Структурированные перечни должны представлять информацию по всем серьезным нежелательным реакциям (по ослепленным случаям и случаям с раскрытым кодом лечения) из клинических исследований спонсора в отчетный период. Данные в перечнях должны быть сгруппированы сначала по клиническим исследованиям и затем по органо-функциональным классам.</w:t>
      </w:r>
    </w:p>
    <w:bookmarkEnd w:id="1405"/>
    <w:bookmarkStart w:name="z1372" w:id="1406"/>
    <w:p>
      <w:pPr>
        <w:spacing w:after="0"/>
        <w:ind w:left="0"/>
        <w:jc w:val="both"/>
      </w:pPr>
      <w:r>
        <w:rPr>
          <w:rFonts w:ascii="Times New Roman"/>
          <w:b w:val="false"/>
          <w:i w:val="false"/>
          <w:color w:val="000000"/>
          <w:sz w:val="28"/>
        </w:rPr>
        <w:t>
      Случаи по каждому отдельному субъекту исследования (если возможно) должны включаться в структурированные перечни единожды вне зависимости от количества терминов серьезных нежелательных реакций, включенных в описание случая. Если у субъекта исследования развилось более одной серьезной нежелательной реакции, они должны быть перечислены в описании одного случая под названием наиболее серьезной нежелательной реакции (жалобы, симптома или диагноза) согласно оценке спонсора. Если у субъекта исследования развились различные серьезные нежелательные реакции в разное время на протяжении клинического исследования (например, с интервалом более недели), данные серьезные нежелательные реакции должны быть перечислены отдельно и субъект может быть включен в структурированный перечень более одного раза.</w:t>
      </w:r>
    </w:p>
    <w:bookmarkEnd w:id="1406"/>
    <w:bookmarkStart w:name="z1373" w:id="1407"/>
    <w:p>
      <w:pPr>
        <w:spacing w:after="0"/>
        <w:ind w:left="0"/>
        <w:jc w:val="both"/>
      </w:pPr>
      <w:r>
        <w:rPr>
          <w:rFonts w:ascii="Times New Roman"/>
          <w:b w:val="false"/>
          <w:i w:val="false"/>
          <w:color w:val="000000"/>
          <w:sz w:val="28"/>
        </w:rPr>
        <w:t>
      Информация по серьезным нежелательным реакциям в структурированных перечнях должна включать следующие данные:</w:t>
      </w:r>
    </w:p>
    <w:bookmarkEnd w:id="1407"/>
    <w:bookmarkStart w:name="z1374" w:id="1408"/>
    <w:p>
      <w:pPr>
        <w:spacing w:after="0"/>
        <w:ind w:left="0"/>
        <w:jc w:val="both"/>
      </w:pPr>
      <w:r>
        <w:rPr>
          <w:rFonts w:ascii="Times New Roman"/>
          <w:b w:val="false"/>
          <w:i w:val="false"/>
          <w:color w:val="000000"/>
          <w:sz w:val="28"/>
        </w:rPr>
        <w:t>
      идентификационный номер клинического исследования;</w:t>
      </w:r>
    </w:p>
    <w:bookmarkEnd w:id="1408"/>
    <w:bookmarkStart w:name="z1375" w:id="1409"/>
    <w:p>
      <w:pPr>
        <w:spacing w:after="0"/>
        <w:ind w:left="0"/>
        <w:jc w:val="both"/>
      </w:pPr>
      <w:r>
        <w:rPr>
          <w:rFonts w:ascii="Times New Roman"/>
          <w:b w:val="false"/>
          <w:i w:val="false"/>
          <w:color w:val="000000"/>
          <w:sz w:val="28"/>
        </w:rPr>
        <w:t>
      идентификационный номер субъекта исследования;</w:t>
      </w:r>
    </w:p>
    <w:bookmarkEnd w:id="1409"/>
    <w:bookmarkStart w:name="z1376" w:id="1410"/>
    <w:p>
      <w:pPr>
        <w:spacing w:after="0"/>
        <w:ind w:left="0"/>
        <w:jc w:val="both"/>
      </w:pPr>
      <w:r>
        <w:rPr>
          <w:rFonts w:ascii="Times New Roman"/>
          <w:b w:val="false"/>
          <w:i w:val="false"/>
          <w:color w:val="000000"/>
          <w:sz w:val="28"/>
        </w:rPr>
        <w:t>
      идентификационный номер сообщения о серьезной нежелательной реакции по базе данных спонсора;</w:t>
      </w:r>
    </w:p>
    <w:bookmarkEnd w:id="1410"/>
    <w:bookmarkStart w:name="z1377" w:id="1411"/>
    <w:p>
      <w:pPr>
        <w:spacing w:after="0"/>
        <w:ind w:left="0"/>
        <w:jc w:val="both"/>
      </w:pPr>
      <w:r>
        <w:rPr>
          <w:rFonts w:ascii="Times New Roman"/>
          <w:b w:val="false"/>
          <w:i w:val="false"/>
          <w:color w:val="000000"/>
          <w:sz w:val="28"/>
        </w:rPr>
        <w:t>
      государство, в котором выявлена серьезная нежелательная реакция;</w:t>
      </w:r>
    </w:p>
    <w:bookmarkEnd w:id="1411"/>
    <w:bookmarkStart w:name="z1378" w:id="1412"/>
    <w:p>
      <w:pPr>
        <w:spacing w:after="0"/>
        <w:ind w:left="0"/>
        <w:jc w:val="both"/>
      </w:pPr>
      <w:r>
        <w:rPr>
          <w:rFonts w:ascii="Times New Roman"/>
          <w:b w:val="false"/>
          <w:i w:val="false"/>
          <w:color w:val="000000"/>
          <w:sz w:val="28"/>
        </w:rPr>
        <w:t>
      возраст и пол субъекта исследования;</w:t>
      </w:r>
    </w:p>
    <w:bookmarkEnd w:id="1412"/>
    <w:bookmarkStart w:name="z1379" w:id="1413"/>
    <w:p>
      <w:pPr>
        <w:spacing w:after="0"/>
        <w:ind w:left="0"/>
        <w:jc w:val="both"/>
      </w:pPr>
      <w:r>
        <w:rPr>
          <w:rFonts w:ascii="Times New Roman"/>
          <w:b w:val="false"/>
          <w:i w:val="false"/>
          <w:color w:val="000000"/>
          <w:sz w:val="28"/>
        </w:rPr>
        <w:t>
      указание группы лечения или указание, что данные ослепленные, если не выполнялось раскрытие рандомизационного кода;</w:t>
      </w:r>
    </w:p>
    <w:bookmarkEnd w:id="1413"/>
    <w:bookmarkStart w:name="z1380" w:id="1414"/>
    <w:p>
      <w:pPr>
        <w:spacing w:after="0"/>
        <w:ind w:left="0"/>
        <w:jc w:val="both"/>
      </w:pPr>
      <w:r>
        <w:rPr>
          <w:rFonts w:ascii="Times New Roman"/>
          <w:b w:val="false"/>
          <w:i w:val="false"/>
          <w:color w:val="000000"/>
          <w:sz w:val="28"/>
        </w:rPr>
        <w:t>
      доза и длительность назначения исследуемого препарата, а также (при необходимости) лекарственная форма и способ введения;</w:t>
      </w:r>
    </w:p>
    <w:bookmarkEnd w:id="1414"/>
    <w:bookmarkStart w:name="z1381" w:id="1415"/>
    <w:p>
      <w:pPr>
        <w:spacing w:after="0"/>
        <w:ind w:left="0"/>
        <w:jc w:val="both"/>
      </w:pPr>
      <w:r>
        <w:rPr>
          <w:rFonts w:ascii="Times New Roman"/>
          <w:b w:val="false"/>
          <w:i w:val="false"/>
          <w:color w:val="000000"/>
          <w:sz w:val="28"/>
        </w:rPr>
        <w:t>
      дата начала и (или) время от начала приема до развития серьезной нежелательной реакции; даты начала и окончания назначения исследуемого препарата и (или) оценка продолжительности лечения;</w:t>
      </w:r>
    </w:p>
    <w:bookmarkEnd w:id="1415"/>
    <w:bookmarkStart w:name="z1382" w:id="1416"/>
    <w:p>
      <w:pPr>
        <w:spacing w:after="0"/>
        <w:ind w:left="0"/>
        <w:jc w:val="both"/>
      </w:pPr>
      <w:r>
        <w:rPr>
          <w:rFonts w:ascii="Times New Roman"/>
          <w:b w:val="false"/>
          <w:i w:val="false"/>
          <w:color w:val="000000"/>
          <w:sz w:val="28"/>
        </w:rPr>
        <w:t>
      название (описание) серьезной нежелательной реакции (при использовании MedDRA следует указывать предпочтительный термин);</w:t>
      </w:r>
    </w:p>
    <w:bookmarkEnd w:id="1416"/>
    <w:bookmarkStart w:name="z1383" w:id="1417"/>
    <w:p>
      <w:pPr>
        <w:spacing w:after="0"/>
        <w:ind w:left="0"/>
        <w:jc w:val="both"/>
      </w:pPr>
      <w:r>
        <w:rPr>
          <w:rFonts w:ascii="Times New Roman"/>
          <w:b w:val="false"/>
          <w:i w:val="false"/>
          <w:color w:val="000000"/>
          <w:sz w:val="28"/>
        </w:rPr>
        <w:t>
      исход серьезной нежелательной реакции (например, разрешилось, летальный исход, улучшение, разрешилось с остаточными явлениями, неизвестно), следует указывать исход НР у пациента, в случае нескольких нежелательных реакций указывается наихудший исход);</w:t>
      </w:r>
    </w:p>
    <w:bookmarkEnd w:id="1417"/>
    <w:bookmarkStart w:name="z1384" w:id="1418"/>
    <w:p>
      <w:pPr>
        <w:spacing w:after="0"/>
        <w:ind w:left="0"/>
        <w:jc w:val="both"/>
      </w:pPr>
      <w:r>
        <w:rPr>
          <w:rFonts w:ascii="Times New Roman"/>
          <w:b w:val="false"/>
          <w:i w:val="false"/>
          <w:color w:val="000000"/>
          <w:sz w:val="28"/>
        </w:rPr>
        <w:t>
      комментарии (например, оценка причинно-следственной взаимосвязи в случае расхождения во мнениях спонсора и исследователя, сопутствующие лекарственные препараты, если подозревается их прямая связь с нежелательной реакцией или лекарственное взаимодействие, показания, по которым назначался подозреваемый лекарственный препарат (препарат ы), результаты отмены и повторного назначения исследуемого препарата при наличии таких сведений) (если применимо).</w:t>
      </w:r>
    </w:p>
    <w:bookmarkEnd w:id="1418"/>
    <w:bookmarkStart w:name="z1385" w:id="1419"/>
    <w:p>
      <w:pPr>
        <w:spacing w:after="0"/>
        <w:ind w:left="0"/>
        <w:jc w:val="both"/>
      </w:pPr>
      <w:r>
        <w:rPr>
          <w:rFonts w:ascii="Times New Roman"/>
          <w:b w:val="false"/>
          <w:i w:val="false"/>
          <w:color w:val="000000"/>
          <w:sz w:val="28"/>
        </w:rPr>
        <w:t>
      Обобщенная информация о выявленных серьезных нежелательных реакциях должна включать данные слепых и открытых клинических исследований.</w:t>
      </w:r>
    </w:p>
    <w:bookmarkEnd w:id="1419"/>
    <w:bookmarkStart w:name="z1386" w:id="1420"/>
    <w:p>
      <w:pPr>
        <w:spacing w:after="0"/>
        <w:ind w:left="0"/>
        <w:jc w:val="left"/>
      </w:pPr>
      <w:r>
        <w:rPr>
          <w:rFonts w:ascii="Times New Roman"/>
          <w:b/>
          <w:i w:val="false"/>
          <w:color w:val="000000"/>
        </w:rPr>
        <w:t xml:space="preserve"> 4.10.3. Обобщенные (кумулятивные) табличные данные о выявленных</w:t>
      </w:r>
      <w:r>
        <w:br/>
      </w:r>
      <w:r>
        <w:rPr>
          <w:rFonts w:ascii="Times New Roman"/>
          <w:b/>
          <w:i w:val="false"/>
          <w:color w:val="000000"/>
        </w:rPr>
        <w:t>серьезных нежелательных явлениях</w:t>
      </w:r>
    </w:p>
    <w:bookmarkEnd w:id="1420"/>
    <w:bookmarkStart w:name="z1388" w:id="1421"/>
    <w:p>
      <w:pPr>
        <w:spacing w:after="0"/>
        <w:ind w:left="0"/>
        <w:jc w:val="both"/>
      </w:pPr>
      <w:r>
        <w:rPr>
          <w:rFonts w:ascii="Times New Roman"/>
          <w:b w:val="false"/>
          <w:i w:val="false"/>
          <w:color w:val="000000"/>
          <w:sz w:val="28"/>
        </w:rPr>
        <w:t>
      В данном подразделе делается отсылка к приложению с обобщенными (кумулятивными) табличными данными по выявленным серьезным нежелательным явлениям, полученными спонсором клинических исследований за период от МДОРЛП до даты окончания сбора данных текущего РООБ. В случае отсутствия какой-либо части данных указывается причина такого отсутствия. Обобщенные (кумулятивные) табличные данные о выявленных серьезных нежелательных явлениях приводятся в приложении и формируются с разделением по органо-функциональным классам, исследуемым препаратам, а также по препаратам сравнения. Данные могут быть сгруппированы по отдельным протоколам исследований, показаниям, способам введения или иным категориям(если целесообразно). Обобщенная информация о выявленных серьезных нежелательных явлениях должна включать данные слепых и открытых клинических исследований.</w:t>
      </w:r>
    </w:p>
    <w:bookmarkEnd w:id="1421"/>
    <w:bookmarkStart w:name="z1389" w:id="1422"/>
    <w:p>
      <w:pPr>
        <w:spacing w:after="0"/>
        <w:ind w:left="0"/>
        <w:jc w:val="left"/>
      </w:pPr>
      <w:r>
        <w:rPr>
          <w:rFonts w:ascii="Times New Roman"/>
          <w:b/>
          <w:i w:val="false"/>
          <w:color w:val="000000"/>
        </w:rPr>
        <w:t xml:space="preserve"> 4.11. Важные данные, полученные в ходе</w:t>
      </w:r>
      <w:r>
        <w:br/>
      </w:r>
      <w:r>
        <w:rPr>
          <w:rFonts w:ascii="Times New Roman"/>
          <w:b/>
          <w:i w:val="false"/>
          <w:color w:val="000000"/>
        </w:rPr>
        <w:t>клинических исследований за отчетный период</w:t>
      </w:r>
      <w:r>
        <w:br/>
      </w:r>
      <w:r>
        <w:rPr>
          <w:rFonts w:ascii="Times New Roman"/>
          <w:b/>
          <w:i w:val="false"/>
          <w:color w:val="000000"/>
        </w:rPr>
        <w:t>4.11.1. Завершенные клинические исследования</w:t>
      </w:r>
    </w:p>
    <w:bookmarkEnd w:id="1422"/>
    <w:bookmarkStart w:name="z1392" w:id="1423"/>
    <w:p>
      <w:pPr>
        <w:spacing w:after="0"/>
        <w:ind w:left="0"/>
        <w:jc w:val="both"/>
      </w:pPr>
      <w:r>
        <w:rPr>
          <w:rFonts w:ascii="Times New Roman"/>
          <w:b w:val="false"/>
          <w:i w:val="false"/>
          <w:color w:val="000000"/>
          <w:sz w:val="28"/>
        </w:rPr>
        <w:t>
      В данном подразделе РООБ в обобщенном виде спонсором приводится краткая информация по новым клинически важным данным, полученным по результатам завершившихся за отчетный период клинических исследований. Информация может включать в себя данные, которые подтвердили либо опровергли ранее выявленные важные аспекты профиля безопасности, а также данные по выявленным новым сигналам по безопасности.</w:t>
      </w:r>
    </w:p>
    <w:bookmarkEnd w:id="1423"/>
    <w:bookmarkStart w:name="z1393" w:id="1424"/>
    <w:p>
      <w:pPr>
        <w:spacing w:after="0"/>
        <w:ind w:left="0"/>
        <w:jc w:val="left"/>
      </w:pPr>
      <w:r>
        <w:rPr>
          <w:rFonts w:ascii="Times New Roman"/>
          <w:b/>
          <w:i w:val="false"/>
          <w:color w:val="000000"/>
        </w:rPr>
        <w:t xml:space="preserve"> 4.11.2. Продолжающиеся клинические исследования</w:t>
      </w:r>
    </w:p>
    <w:bookmarkEnd w:id="1424"/>
    <w:bookmarkStart w:name="z1394" w:id="1425"/>
    <w:p>
      <w:pPr>
        <w:spacing w:after="0"/>
        <w:ind w:left="0"/>
        <w:jc w:val="both"/>
      </w:pPr>
      <w:r>
        <w:rPr>
          <w:rFonts w:ascii="Times New Roman"/>
          <w:b w:val="false"/>
          <w:i w:val="false"/>
          <w:color w:val="000000"/>
          <w:sz w:val="28"/>
        </w:rPr>
        <w:t>
      В данном подразделе РООБ в обобщенном виде спонсором приводится краткая информация по клинически важным данным, выявленным в ходе проведения еще не завершившихся клинических исследований (например, при проведении промежуточного анализа данных или в результате раскрытия рандомизационных кодов при развитии нежелательных реакций). Информация может включать данные, которые подтвердили либо опровергли ранее выявленные важные аспекты профиля безопасности, а также данные по выявленным новым сигналам по безопасности.</w:t>
      </w:r>
    </w:p>
    <w:bookmarkEnd w:id="1425"/>
    <w:bookmarkStart w:name="z1395" w:id="1426"/>
    <w:p>
      <w:pPr>
        <w:spacing w:after="0"/>
        <w:ind w:left="0"/>
        <w:jc w:val="left"/>
      </w:pPr>
      <w:r>
        <w:rPr>
          <w:rFonts w:ascii="Times New Roman"/>
          <w:b/>
          <w:i w:val="false"/>
          <w:color w:val="000000"/>
        </w:rPr>
        <w:t xml:space="preserve"> 4.11.3. Длительное последующее наблюдение</w:t>
      </w:r>
    </w:p>
    <w:bookmarkEnd w:id="1426"/>
    <w:bookmarkStart w:name="z1396" w:id="1427"/>
    <w:p>
      <w:pPr>
        <w:spacing w:after="0"/>
        <w:ind w:left="0"/>
        <w:jc w:val="both"/>
      </w:pPr>
      <w:r>
        <w:rPr>
          <w:rFonts w:ascii="Times New Roman"/>
          <w:b w:val="false"/>
          <w:i w:val="false"/>
          <w:color w:val="000000"/>
          <w:sz w:val="28"/>
        </w:rPr>
        <w:t>
      В данный подраздел должна быть включена информация (если применимо) о результатах длительного последующего наблюдения за субъектами исследования после завершения участия в клиническом исследовании. После завершения программы разработки длительное последующее наблюдение может оставаться единственным продолжающимся видом деятельности, в ходе которого получается информация для РООБ. В этом случае только в данном подразделе РООБ будет представляться новая информация.</w:t>
      </w:r>
    </w:p>
    <w:bookmarkEnd w:id="1427"/>
    <w:bookmarkStart w:name="z1397" w:id="1428"/>
    <w:p>
      <w:pPr>
        <w:spacing w:after="0"/>
        <w:ind w:left="0"/>
        <w:jc w:val="left"/>
      </w:pPr>
      <w:r>
        <w:rPr>
          <w:rFonts w:ascii="Times New Roman"/>
          <w:b/>
          <w:i w:val="false"/>
          <w:color w:val="000000"/>
        </w:rPr>
        <w:t xml:space="preserve"> 4.11.4. Иное терапевтическое применение</w:t>
      </w:r>
      <w:r>
        <w:br/>
      </w:r>
      <w:r>
        <w:rPr>
          <w:rFonts w:ascii="Times New Roman"/>
          <w:b/>
          <w:i w:val="false"/>
          <w:color w:val="000000"/>
        </w:rPr>
        <w:t>исследуемого препарата</w:t>
      </w:r>
    </w:p>
    <w:bookmarkEnd w:id="1428"/>
    <w:bookmarkStart w:name="z1399" w:id="1429"/>
    <w:p>
      <w:pPr>
        <w:spacing w:after="0"/>
        <w:ind w:left="0"/>
        <w:jc w:val="both"/>
      </w:pPr>
      <w:r>
        <w:rPr>
          <w:rFonts w:ascii="Times New Roman"/>
          <w:b w:val="false"/>
          <w:i w:val="false"/>
          <w:color w:val="000000"/>
          <w:sz w:val="28"/>
        </w:rPr>
        <w:t>
      В данный подраздел включаются клинически важные данные по безопасности, которые были получены при проведении спонсором специальных протоколов исследований, в ходе которых выполняется организованный сбор и представление информации о нежелательных реакциях (например, в рамках расширенного доступа, индивидуального доступа и иных).</w:t>
      </w:r>
    </w:p>
    <w:bookmarkEnd w:id="1429"/>
    <w:bookmarkStart w:name="z1400" w:id="1430"/>
    <w:p>
      <w:pPr>
        <w:spacing w:after="0"/>
        <w:ind w:left="0"/>
        <w:jc w:val="left"/>
      </w:pPr>
      <w:r>
        <w:rPr>
          <w:rFonts w:ascii="Times New Roman"/>
          <w:b/>
          <w:i w:val="false"/>
          <w:color w:val="000000"/>
        </w:rPr>
        <w:t xml:space="preserve"> 4.11.5. Новые данные по безопасности</w:t>
      </w:r>
      <w:r>
        <w:br/>
      </w:r>
      <w:r>
        <w:rPr>
          <w:rFonts w:ascii="Times New Roman"/>
          <w:b/>
          <w:i w:val="false"/>
          <w:color w:val="000000"/>
        </w:rPr>
        <w:t>комбинированной терапии</w:t>
      </w:r>
    </w:p>
    <w:bookmarkEnd w:id="1430"/>
    <w:bookmarkStart w:name="z1402" w:id="1431"/>
    <w:p>
      <w:pPr>
        <w:spacing w:after="0"/>
        <w:ind w:left="0"/>
        <w:jc w:val="both"/>
      </w:pPr>
      <w:r>
        <w:rPr>
          <w:rFonts w:ascii="Times New Roman"/>
          <w:b w:val="false"/>
          <w:i w:val="false"/>
          <w:color w:val="000000"/>
          <w:sz w:val="28"/>
        </w:rPr>
        <w:t>
      Если исследуемый препарат разрабатывается так же, как компонент фиксированной комбинации или многокомпонентных режимов терапии, в данном подразделе РООБ по отдельному компоненту приводятся данные по важной информации по безопасности, полученной при оценке назначения исследуемого препарата в составе комбинации лекарственных препаратов. Если РООБ составляется для комбинированной терапии или фиксированной комбинации, в этот подраздел следует включать информацию по безопасности, полученную из исследований отдельных компонентов.</w:t>
      </w:r>
    </w:p>
    <w:bookmarkEnd w:id="1431"/>
    <w:bookmarkStart w:name="z1403" w:id="1432"/>
    <w:p>
      <w:pPr>
        <w:spacing w:after="0"/>
        <w:ind w:left="0"/>
        <w:jc w:val="left"/>
      </w:pPr>
      <w:r>
        <w:rPr>
          <w:rFonts w:ascii="Times New Roman"/>
          <w:b/>
          <w:i w:val="false"/>
          <w:color w:val="000000"/>
        </w:rPr>
        <w:t xml:space="preserve"> 4.12. Данные по безопасности,</w:t>
      </w:r>
      <w:r>
        <w:br/>
      </w:r>
      <w:r>
        <w:rPr>
          <w:rFonts w:ascii="Times New Roman"/>
          <w:b/>
          <w:i w:val="false"/>
          <w:color w:val="000000"/>
        </w:rPr>
        <w:t>полученные в ходе неинтервенционных исследований</w:t>
      </w:r>
    </w:p>
    <w:bookmarkEnd w:id="1432"/>
    <w:bookmarkStart w:name="z1405" w:id="1433"/>
    <w:p>
      <w:pPr>
        <w:spacing w:after="0"/>
        <w:ind w:left="0"/>
        <w:jc w:val="both"/>
      </w:pPr>
      <w:r>
        <w:rPr>
          <w:rFonts w:ascii="Times New Roman"/>
          <w:b w:val="false"/>
          <w:i w:val="false"/>
          <w:color w:val="000000"/>
          <w:sz w:val="28"/>
        </w:rPr>
        <w:t>
      В данный раздел должна быть включена обобщающая информация по безопасности, полученная спонсором за отчетный период в результате проведения неинтервенционных исследований (например, наблюдательных исследований, эпидемиологических исследований, регистров и программ активного мониторинга).</w:t>
      </w:r>
    </w:p>
    <w:bookmarkEnd w:id="1433"/>
    <w:bookmarkStart w:name="z1406" w:id="1434"/>
    <w:p>
      <w:pPr>
        <w:spacing w:after="0"/>
        <w:ind w:left="0"/>
        <w:jc w:val="left"/>
      </w:pPr>
      <w:r>
        <w:rPr>
          <w:rFonts w:ascii="Times New Roman"/>
          <w:b/>
          <w:i w:val="false"/>
          <w:color w:val="000000"/>
        </w:rPr>
        <w:t xml:space="preserve"> 4.13. Данные по безопасности, полученные</w:t>
      </w:r>
      <w:r>
        <w:br/>
      </w:r>
      <w:r>
        <w:rPr>
          <w:rFonts w:ascii="Times New Roman"/>
          <w:b/>
          <w:i w:val="false"/>
          <w:color w:val="000000"/>
        </w:rPr>
        <w:t>в ходе других клинических исследований</w:t>
      </w:r>
    </w:p>
    <w:bookmarkEnd w:id="1434"/>
    <w:bookmarkStart w:name="z1408" w:id="1435"/>
    <w:p>
      <w:pPr>
        <w:spacing w:after="0"/>
        <w:ind w:left="0"/>
        <w:jc w:val="both"/>
      </w:pPr>
      <w:r>
        <w:rPr>
          <w:rFonts w:ascii="Times New Roman"/>
          <w:b w:val="false"/>
          <w:i w:val="false"/>
          <w:color w:val="000000"/>
          <w:sz w:val="28"/>
        </w:rPr>
        <w:t>
      В данный раздел должна быть включена обобщающая информация по безопасности, полученная спонсором за отчетный период в результате проведения иных исследований (например, анализа сводных данных или мета-анализа рандомизированных клинических исследований, данных по безопасности, предоставленных партнерами по разработке исследуемого препарата либо исследователями, являющимися инициаторами проведения клинического исследования).</w:t>
      </w:r>
    </w:p>
    <w:bookmarkEnd w:id="1435"/>
    <w:bookmarkStart w:name="z1409" w:id="1436"/>
    <w:p>
      <w:pPr>
        <w:spacing w:after="0"/>
        <w:ind w:left="0"/>
        <w:jc w:val="left"/>
      </w:pPr>
      <w:r>
        <w:rPr>
          <w:rFonts w:ascii="Times New Roman"/>
          <w:b/>
          <w:i w:val="false"/>
          <w:color w:val="000000"/>
        </w:rPr>
        <w:t xml:space="preserve"> 4.14. Данные по безопасности, полученные в ходе пострегистрационного применения</w:t>
      </w:r>
    </w:p>
    <w:bookmarkEnd w:id="1436"/>
    <w:p>
      <w:pPr>
        <w:spacing w:after="0"/>
        <w:ind w:left="0"/>
        <w:jc w:val="both"/>
      </w:pPr>
      <w:r>
        <w:rPr>
          <w:rFonts w:ascii="Times New Roman"/>
          <w:b w:val="false"/>
          <w:i w:val="false"/>
          <w:color w:val="ff0000"/>
          <w:sz w:val="28"/>
        </w:rPr>
        <w:t xml:space="preserve">
      Сноска. Раздел 4.14 с изменениями, внесенными решением Совета Евразийской экономической комиссии от 01.08.2025 </w:t>
      </w:r>
      <w:r>
        <w:rPr>
          <w:rFonts w:ascii="Times New Roman"/>
          <w:b w:val="false"/>
          <w:i w:val="false"/>
          <w:color w:val="ff0000"/>
          <w:sz w:val="28"/>
        </w:rPr>
        <w:t>№ 40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1411" w:id="1437"/>
    <w:p>
      <w:pPr>
        <w:spacing w:after="0"/>
        <w:ind w:left="0"/>
        <w:jc w:val="both"/>
      </w:pPr>
      <w:r>
        <w:rPr>
          <w:rFonts w:ascii="Times New Roman"/>
          <w:b w:val="false"/>
          <w:i w:val="false"/>
          <w:color w:val="000000"/>
          <w:sz w:val="28"/>
        </w:rPr>
        <w:t>
      В случае если исследуемый препарат зарегистрирован на территории какого-либо государства, в разделе представляется краткая обобщенная информация по основным данным по безопасности, которые были получены в ходе пострегистрационного применения и стали доступны спонсору в отчетном периоде. Особое внимание следует уделить тем данным, которые явились основанием для внесения изменений в инструкцию по медицинскому применению, брошюру исследователя, информированное согласие или план управления рисками. Данные по безопасности в настоящем подразделе могут включать в себя результаты применения как в соответствии с общей характеристикой лекарственного препарата или инструкцией по медицинскому применению так и не в соответствии с общей характеристикой лекарственного препарата или инструкцией по медицинскому применению (результаты ошибок назначения, случаи передозировки, развития зависимости, применения у особых групп пациентов (например, у беременных женщин)).</w:t>
      </w:r>
    </w:p>
    <w:bookmarkEnd w:id="1437"/>
    <w:bookmarkStart w:name="z1412" w:id="1438"/>
    <w:p>
      <w:pPr>
        <w:spacing w:after="0"/>
        <w:ind w:left="0"/>
        <w:jc w:val="left"/>
      </w:pPr>
      <w:r>
        <w:rPr>
          <w:rFonts w:ascii="Times New Roman"/>
          <w:b/>
          <w:i w:val="false"/>
          <w:color w:val="000000"/>
        </w:rPr>
        <w:t xml:space="preserve"> 4.15. Данные доклинических исследований</w:t>
      </w:r>
    </w:p>
    <w:bookmarkEnd w:id="1438"/>
    <w:bookmarkStart w:name="z1413" w:id="1439"/>
    <w:p>
      <w:pPr>
        <w:spacing w:after="0"/>
        <w:ind w:left="0"/>
        <w:jc w:val="both"/>
      </w:pPr>
      <w:r>
        <w:rPr>
          <w:rFonts w:ascii="Times New Roman"/>
          <w:b w:val="false"/>
          <w:i w:val="false"/>
          <w:color w:val="000000"/>
          <w:sz w:val="28"/>
        </w:rPr>
        <w:t>
      В данном разделе должны быть приведены обобщенные данные по наиболее важным сведениям по безопасности, полученным за отчетный период по результатам проведенных или продолжающихся доклинических исследований in vivo и in vitro (например, исследования канцерогенности, репродуктивной токсичности, иммунотоксичности). Оценка влияния доклинических данных на клиническую безопасность должна быть отражена выполнена в разделе обобщенной оценки профиля безопасности исследуемого препарата периодического отчета (см. раздел 4.21 настоящих Требований).</w:t>
      </w:r>
    </w:p>
    <w:bookmarkEnd w:id="1439"/>
    <w:bookmarkStart w:name="z1414" w:id="1440"/>
    <w:p>
      <w:pPr>
        <w:spacing w:after="0"/>
        <w:ind w:left="0"/>
        <w:jc w:val="left"/>
      </w:pPr>
      <w:r>
        <w:rPr>
          <w:rFonts w:ascii="Times New Roman"/>
          <w:b/>
          <w:i w:val="false"/>
          <w:color w:val="000000"/>
        </w:rPr>
        <w:t xml:space="preserve"> 4.16. Литературные данные</w:t>
      </w:r>
    </w:p>
    <w:bookmarkEnd w:id="1440"/>
    <w:bookmarkStart w:name="z1415" w:id="1441"/>
    <w:p>
      <w:pPr>
        <w:spacing w:after="0"/>
        <w:ind w:left="0"/>
        <w:jc w:val="both"/>
      </w:pPr>
      <w:r>
        <w:rPr>
          <w:rFonts w:ascii="Times New Roman"/>
          <w:b w:val="false"/>
          <w:i w:val="false"/>
          <w:color w:val="000000"/>
          <w:sz w:val="28"/>
        </w:rPr>
        <w:t>
      В данном разделе в обобщенном виде должны быть приведены новые, а также важные данные по безопасности, имеющие отношение к исследуемому препарату, которые опубликованы в научной литературе, включены в неопубликованные монографии, были представлены на научных конференциях, либо опубликованы в виде абстрактов и стали доступны спонсору в отчетный период. Данный раздел должен включать в себя данные клинических и доклинических исследований, а также (если применимо) данные по соединениям аналогичного класса. Спонсор должен представлять копии абстрактов по данному разделу (если возможно).</w:t>
      </w:r>
    </w:p>
    <w:bookmarkEnd w:id="1441"/>
    <w:bookmarkStart w:name="z1416" w:id="1442"/>
    <w:p>
      <w:pPr>
        <w:spacing w:after="0"/>
        <w:ind w:left="0"/>
        <w:jc w:val="left"/>
      </w:pPr>
      <w:r>
        <w:rPr>
          <w:rFonts w:ascii="Times New Roman"/>
          <w:b/>
          <w:i w:val="false"/>
          <w:color w:val="000000"/>
        </w:rPr>
        <w:t xml:space="preserve"> 4.17. Другие РООБ</w:t>
      </w:r>
    </w:p>
    <w:bookmarkEnd w:id="1442"/>
    <w:bookmarkStart w:name="z1417" w:id="1443"/>
    <w:p>
      <w:pPr>
        <w:spacing w:after="0"/>
        <w:ind w:left="0"/>
        <w:jc w:val="both"/>
      </w:pPr>
      <w:r>
        <w:rPr>
          <w:rFonts w:ascii="Times New Roman"/>
          <w:b w:val="false"/>
          <w:i w:val="false"/>
          <w:color w:val="000000"/>
          <w:sz w:val="28"/>
        </w:rPr>
        <w:t>
      Спонсор должен представлять единый РООБ. Если спонсор готовит несколько РООБ для одного исследуемого препарата (например, по различным показаниям, программам разработки, лекарственным формам), в данном разделе приводится в обобщенном виде важная информация по безопасности из других РООБ, если она еще не представлена в других разделах настоящего РООБ. В разделе представляются обобщенные данные за отчетный период по значимой информации по безопасности, включенной в РООБ, предоставленной другими спонсорами, выполняющими клинические исследования того же исследуемого препарата (при их наличии).</w:t>
      </w:r>
    </w:p>
    <w:bookmarkEnd w:id="1443"/>
    <w:bookmarkStart w:name="z1418" w:id="1444"/>
    <w:p>
      <w:pPr>
        <w:spacing w:after="0"/>
        <w:ind w:left="0"/>
        <w:jc w:val="left"/>
      </w:pPr>
      <w:r>
        <w:rPr>
          <w:rFonts w:ascii="Times New Roman"/>
          <w:b/>
          <w:i w:val="false"/>
          <w:color w:val="000000"/>
        </w:rPr>
        <w:t xml:space="preserve"> 4.18. Данные по недостаточной терапевтической эффективности</w:t>
      </w:r>
    </w:p>
    <w:bookmarkEnd w:id="1444"/>
    <w:bookmarkStart w:name="z1419" w:id="1445"/>
    <w:p>
      <w:pPr>
        <w:spacing w:after="0"/>
        <w:ind w:left="0"/>
        <w:jc w:val="both"/>
      </w:pPr>
      <w:r>
        <w:rPr>
          <w:rFonts w:ascii="Times New Roman"/>
          <w:b w:val="false"/>
          <w:i w:val="false"/>
          <w:color w:val="000000"/>
          <w:sz w:val="28"/>
        </w:rPr>
        <w:t xml:space="preserve">
      В данном разделе суммируются данные, которые свидетельствуют о недостаточной эффективности исследуемого препарата либо его меньшей эффективности по сравнению с используемой для лечения серьезных и жизнеугрожающих заболеваний терапией (например, большее количество нежелательных сердечно-сосудистых явлений в исследовании нового антиагрегантного средства при лечении острого коронарного синдрома) и могут отражать повышенный риск для субъектов исследования. </w:t>
      </w:r>
    </w:p>
    <w:bookmarkEnd w:id="1445"/>
    <w:bookmarkStart w:name="z1420" w:id="1446"/>
    <w:p>
      <w:pPr>
        <w:spacing w:after="0"/>
        <w:ind w:left="0"/>
        <w:jc w:val="left"/>
      </w:pPr>
      <w:r>
        <w:rPr>
          <w:rFonts w:ascii="Times New Roman"/>
          <w:b/>
          <w:i w:val="false"/>
          <w:color w:val="000000"/>
        </w:rPr>
        <w:t xml:space="preserve"> 4.19. Иные данные по безопасности,</w:t>
      </w:r>
      <w:r>
        <w:br/>
      </w:r>
      <w:r>
        <w:rPr>
          <w:rFonts w:ascii="Times New Roman"/>
          <w:b/>
          <w:i w:val="false"/>
          <w:color w:val="000000"/>
        </w:rPr>
        <w:t>выявленные в ходе клинических исследований</w:t>
      </w:r>
    </w:p>
    <w:bookmarkEnd w:id="1446"/>
    <w:bookmarkStart w:name="z1422" w:id="1447"/>
    <w:p>
      <w:pPr>
        <w:spacing w:after="0"/>
        <w:ind w:left="0"/>
        <w:jc w:val="both"/>
      </w:pPr>
      <w:r>
        <w:rPr>
          <w:rFonts w:ascii="Times New Roman"/>
          <w:b w:val="false"/>
          <w:i w:val="false"/>
          <w:color w:val="000000"/>
          <w:sz w:val="28"/>
        </w:rPr>
        <w:t>
      В данном разделе может приводиться дополнительная информация по безопасности, например:</w:t>
      </w:r>
    </w:p>
    <w:bookmarkEnd w:id="1447"/>
    <w:bookmarkStart w:name="z1423" w:id="1448"/>
    <w:p>
      <w:pPr>
        <w:spacing w:after="0"/>
        <w:ind w:left="0"/>
        <w:jc w:val="left"/>
      </w:pPr>
      <w:r>
        <w:rPr>
          <w:rFonts w:ascii="Times New Roman"/>
          <w:b/>
          <w:i w:val="false"/>
          <w:color w:val="000000"/>
        </w:rPr>
        <w:t xml:space="preserve"> 4.19.1. Обобщенные (кумулятивные) табличные данные</w:t>
      </w:r>
      <w:r>
        <w:br/>
      </w:r>
      <w:r>
        <w:rPr>
          <w:rFonts w:ascii="Times New Roman"/>
          <w:b/>
          <w:i w:val="false"/>
          <w:color w:val="000000"/>
        </w:rPr>
        <w:t>по серьезным нежелательным реакциям</w:t>
      </w:r>
    </w:p>
    <w:bookmarkEnd w:id="1448"/>
    <w:bookmarkStart w:name="z1425" w:id="1449"/>
    <w:p>
      <w:pPr>
        <w:spacing w:after="0"/>
        <w:ind w:left="0"/>
        <w:jc w:val="both"/>
      </w:pPr>
      <w:r>
        <w:rPr>
          <w:rFonts w:ascii="Times New Roman"/>
          <w:b w:val="false"/>
          <w:i w:val="false"/>
          <w:color w:val="000000"/>
          <w:sz w:val="28"/>
        </w:rPr>
        <w:t>
      В данном подразделе приводится информация по всем серьезным нежелательным реакциям путем указания общего количества серьезных нежелательных реакций:</w:t>
      </w:r>
    </w:p>
    <w:bookmarkEnd w:id="1449"/>
    <w:bookmarkStart w:name="z1426" w:id="1450"/>
    <w:p>
      <w:pPr>
        <w:spacing w:after="0"/>
        <w:ind w:left="0"/>
        <w:jc w:val="both"/>
      </w:pPr>
      <w:r>
        <w:rPr>
          <w:rFonts w:ascii="Times New Roman"/>
          <w:b w:val="false"/>
          <w:i w:val="false"/>
          <w:color w:val="000000"/>
          <w:sz w:val="28"/>
        </w:rPr>
        <w:t>
      по органо-функциональному классу;</w:t>
      </w:r>
    </w:p>
    <w:bookmarkEnd w:id="1450"/>
    <w:bookmarkStart w:name="z1427" w:id="1451"/>
    <w:p>
      <w:pPr>
        <w:spacing w:after="0"/>
        <w:ind w:left="0"/>
        <w:jc w:val="both"/>
      </w:pPr>
      <w:r>
        <w:rPr>
          <w:rFonts w:ascii="Times New Roman"/>
          <w:b w:val="false"/>
          <w:i w:val="false"/>
          <w:color w:val="000000"/>
          <w:sz w:val="28"/>
        </w:rPr>
        <w:t>
      по терминологическим наименованиям нежелательных реакций;</w:t>
      </w:r>
    </w:p>
    <w:bookmarkEnd w:id="1451"/>
    <w:bookmarkStart w:name="z1428" w:id="1452"/>
    <w:p>
      <w:pPr>
        <w:spacing w:after="0"/>
        <w:ind w:left="0"/>
        <w:jc w:val="both"/>
      </w:pPr>
      <w:r>
        <w:rPr>
          <w:rFonts w:ascii="Times New Roman"/>
          <w:b w:val="false"/>
          <w:i w:val="false"/>
          <w:color w:val="000000"/>
          <w:sz w:val="28"/>
        </w:rPr>
        <w:t>
      по группе лечения (если применимо).</w:t>
      </w:r>
    </w:p>
    <w:bookmarkEnd w:id="1452"/>
    <w:bookmarkStart w:name="z1429" w:id="1453"/>
    <w:p>
      <w:pPr>
        <w:spacing w:after="0"/>
        <w:ind w:left="0"/>
        <w:jc w:val="both"/>
      </w:pPr>
      <w:r>
        <w:rPr>
          <w:rFonts w:ascii="Times New Roman"/>
          <w:b w:val="false"/>
          <w:i w:val="false"/>
          <w:color w:val="000000"/>
          <w:sz w:val="28"/>
        </w:rPr>
        <w:t>
      Следует выделить непредвиденные нежелательные реакции.</w:t>
      </w:r>
    </w:p>
    <w:bookmarkEnd w:id="1453"/>
    <w:bookmarkStart w:name="z1430" w:id="1454"/>
    <w:p>
      <w:pPr>
        <w:spacing w:after="0"/>
        <w:ind w:left="0"/>
        <w:jc w:val="left"/>
      </w:pPr>
      <w:r>
        <w:rPr>
          <w:rFonts w:ascii="Times New Roman"/>
          <w:b/>
          <w:i w:val="false"/>
          <w:color w:val="000000"/>
        </w:rPr>
        <w:t xml:space="preserve"> 4.19.2. Перечень субъектов клинических исследований,</w:t>
      </w:r>
      <w:r>
        <w:br/>
      </w:r>
      <w:r>
        <w:rPr>
          <w:rFonts w:ascii="Times New Roman"/>
          <w:b/>
          <w:i w:val="false"/>
          <w:color w:val="000000"/>
        </w:rPr>
        <w:t>которые умерли в течение отчетного периода</w:t>
      </w:r>
    </w:p>
    <w:bookmarkEnd w:id="1454"/>
    <w:bookmarkStart w:name="z1432" w:id="1455"/>
    <w:p>
      <w:pPr>
        <w:spacing w:after="0"/>
        <w:ind w:left="0"/>
        <w:jc w:val="both"/>
      </w:pPr>
      <w:r>
        <w:rPr>
          <w:rFonts w:ascii="Times New Roman"/>
          <w:b w:val="false"/>
          <w:i w:val="false"/>
          <w:color w:val="000000"/>
          <w:sz w:val="28"/>
        </w:rPr>
        <w:t>
      В данном подразделе приводится информация по субъектам исследований, которые умерли в ходе проведения клинических исследований, включающая в себя следующие данные: идентификационный номер случая летального исхода, назначенное лечение (может сохраняться ослепление), причина смерти по каждому субъекту исследования. Все аспекты профиля безопасности, определяемые по результату обзора данных по летальным исходам, должны быть надлежащим образом отражены в разделе обобщенной оценки профиля безопасности исследуемого препарата РООБ (см. раздел 4.21 настоящих Требований).</w:t>
      </w:r>
    </w:p>
    <w:bookmarkEnd w:id="1455"/>
    <w:bookmarkStart w:name="z1433" w:id="1456"/>
    <w:p>
      <w:pPr>
        <w:spacing w:after="0"/>
        <w:ind w:left="0"/>
        <w:jc w:val="left"/>
      </w:pPr>
      <w:r>
        <w:rPr>
          <w:rFonts w:ascii="Times New Roman"/>
          <w:b/>
          <w:i w:val="false"/>
          <w:color w:val="000000"/>
        </w:rPr>
        <w:t xml:space="preserve"> 4.19.3. Перечень субъектов клинических исследований,</w:t>
      </w:r>
      <w:r>
        <w:br/>
      </w:r>
      <w:r>
        <w:rPr>
          <w:rFonts w:ascii="Times New Roman"/>
          <w:b/>
          <w:i w:val="false"/>
          <w:color w:val="000000"/>
        </w:rPr>
        <w:t>которые были исключены из клинических исследований</w:t>
      </w:r>
      <w:r>
        <w:br/>
      </w:r>
      <w:r>
        <w:rPr>
          <w:rFonts w:ascii="Times New Roman"/>
          <w:b/>
          <w:i w:val="false"/>
          <w:color w:val="000000"/>
        </w:rPr>
        <w:t>в связи с развитием нежелательных явлений</w:t>
      </w:r>
      <w:r>
        <w:br/>
      </w:r>
      <w:r>
        <w:rPr>
          <w:rFonts w:ascii="Times New Roman"/>
          <w:b/>
          <w:i w:val="false"/>
          <w:color w:val="000000"/>
        </w:rPr>
        <w:t>в течение отчетного периода</w:t>
      </w:r>
    </w:p>
    <w:bookmarkEnd w:id="1456"/>
    <w:bookmarkStart w:name="z1437" w:id="1457"/>
    <w:p>
      <w:pPr>
        <w:spacing w:after="0"/>
        <w:ind w:left="0"/>
        <w:jc w:val="both"/>
      </w:pPr>
      <w:r>
        <w:rPr>
          <w:rFonts w:ascii="Times New Roman"/>
          <w:b w:val="false"/>
          <w:i w:val="false"/>
          <w:color w:val="000000"/>
          <w:sz w:val="28"/>
        </w:rPr>
        <w:t>
      В данном подразделе приводится информация по субъектам исследований, которые были исключены из исследований в связи с развитием нежелательных явлений в течение отчетного периода вне зависимости от установления взаимосвязи с назначением исследуемого препарата. Все аспекты профиля безопасности, определяемые по результату обзора данных по выбытию из клинических исследований, должны быть надлежащим образом отражены в разделе обобщенной оценки профиля безопасности исследуемого препарата РООБ (см. раздел 4.21 настоящих Требований).</w:t>
      </w:r>
    </w:p>
    <w:bookmarkEnd w:id="1457"/>
    <w:bookmarkStart w:name="z1438" w:id="1458"/>
    <w:p>
      <w:pPr>
        <w:spacing w:after="0"/>
        <w:ind w:left="0"/>
        <w:jc w:val="left"/>
      </w:pPr>
      <w:r>
        <w:rPr>
          <w:rFonts w:ascii="Times New Roman"/>
          <w:b/>
          <w:i w:val="false"/>
          <w:color w:val="000000"/>
        </w:rPr>
        <w:t xml:space="preserve"> 4.19.4. Существенные поправки в протоколы</w:t>
      </w:r>
      <w:r>
        <w:br/>
      </w:r>
      <w:r>
        <w:rPr>
          <w:rFonts w:ascii="Times New Roman"/>
          <w:b/>
          <w:i w:val="false"/>
          <w:color w:val="000000"/>
        </w:rPr>
        <w:t>клинических исследований фазы I</w:t>
      </w:r>
    </w:p>
    <w:bookmarkEnd w:id="1458"/>
    <w:bookmarkStart w:name="z1440" w:id="1459"/>
    <w:p>
      <w:pPr>
        <w:spacing w:after="0"/>
        <w:ind w:left="0"/>
        <w:jc w:val="both"/>
      </w:pPr>
      <w:r>
        <w:rPr>
          <w:rFonts w:ascii="Times New Roman"/>
          <w:b w:val="false"/>
          <w:i w:val="false"/>
          <w:color w:val="000000"/>
          <w:sz w:val="28"/>
        </w:rPr>
        <w:t>
      В данном подразделе должны быть описаны существенные изменения в протоколах клинических исследований фазы I, сделанные на протяжении отчетного периода, если они ранее не представлялись как поправки к протоколу.</w:t>
      </w:r>
    </w:p>
    <w:bookmarkEnd w:id="1459"/>
    <w:bookmarkStart w:name="z1441" w:id="1460"/>
    <w:p>
      <w:pPr>
        <w:spacing w:after="0"/>
        <w:ind w:left="0"/>
        <w:jc w:val="left"/>
      </w:pPr>
      <w:r>
        <w:rPr>
          <w:rFonts w:ascii="Times New Roman"/>
          <w:b/>
          <w:i w:val="false"/>
          <w:color w:val="000000"/>
        </w:rPr>
        <w:t xml:space="preserve"> 4.19.5. Существенные изменения процесса производства</w:t>
      </w:r>
    </w:p>
    <w:bookmarkEnd w:id="1460"/>
    <w:bookmarkStart w:name="z1442" w:id="1461"/>
    <w:p>
      <w:pPr>
        <w:spacing w:after="0"/>
        <w:ind w:left="0"/>
        <w:jc w:val="both"/>
      </w:pPr>
      <w:r>
        <w:rPr>
          <w:rFonts w:ascii="Times New Roman"/>
          <w:b w:val="false"/>
          <w:i w:val="false"/>
          <w:color w:val="000000"/>
          <w:sz w:val="28"/>
        </w:rPr>
        <w:t>
      Данный подраздел должен включать в себя краткое описание существенных изменений процесса производства или микробиологических изменений (если такие имелись), произошедших за отчетный период, с отражением оценки их потенциального влияния на аспекты профиля безопасности в разделе обобщенной оценки профиля безопасности исследуемого препарата РООБ (см. раздел 4.21 настоящих Требований).</w:t>
      </w:r>
    </w:p>
    <w:bookmarkEnd w:id="1461"/>
    <w:bookmarkStart w:name="z1443" w:id="1462"/>
    <w:p>
      <w:pPr>
        <w:spacing w:after="0"/>
        <w:ind w:left="0"/>
        <w:jc w:val="left"/>
      </w:pPr>
      <w:r>
        <w:rPr>
          <w:rFonts w:ascii="Times New Roman"/>
          <w:b/>
          <w:i w:val="false"/>
          <w:color w:val="000000"/>
        </w:rPr>
        <w:t xml:space="preserve"> 4.19.6. Описание общего исследовательского плана</w:t>
      </w:r>
      <w:r>
        <w:br/>
      </w:r>
      <w:r>
        <w:rPr>
          <w:rFonts w:ascii="Times New Roman"/>
          <w:b/>
          <w:i w:val="false"/>
          <w:color w:val="000000"/>
        </w:rPr>
        <w:t>на предстоящий год (если применимо)</w:t>
      </w:r>
    </w:p>
    <w:bookmarkEnd w:id="1462"/>
    <w:bookmarkStart w:name="z1445" w:id="1463"/>
    <w:p>
      <w:pPr>
        <w:spacing w:after="0"/>
        <w:ind w:left="0"/>
        <w:jc w:val="both"/>
      </w:pPr>
      <w:r>
        <w:rPr>
          <w:rFonts w:ascii="Times New Roman"/>
          <w:b w:val="false"/>
          <w:i w:val="false"/>
          <w:color w:val="000000"/>
          <w:sz w:val="28"/>
        </w:rPr>
        <w:t>
      В данном подразделе приводится краткое описание исследовательского плана, заменяющего план исследования за предшествующий год.</w:t>
      </w:r>
    </w:p>
    <w:bookmarkEnd w:id="1463"/>
    <w:bookmarkStart w:name="z1446" w:id="1464"/>
    <w:p>
      <w:pPr>
        <w:spacing w:after="0"/>
        <w:ind w:left="0"/>
        <w:jc w:val="both"/>
      </w:pPr>
      <w:r>
        <w:rPr>
          <w:rFonts w:ascii="Times New Roman"/>
          <w:b w:val="false"/>
          <w:i w:val="false"/>
          <w:color w:val="000000"/>
          <w:sz w:val="28"/>
        </w:rPr>
        <w:t>
      4.20. Данные, полученные после даты окончания сбора данных РООБ</w:t>
      </w:r>
    </w:p>
    <w:bookmarkEnd w:id="1464"/>
    <w:bookmarkStart w:name="z1447" w:id="1465"/>
    <w:p>
      <w:pPr>
        <w:spacing w:after="0"/>
        <w:ind w:left="0"/>
        <w:jc w:val="both"/>
      </w:pPr>
      <w:r>
        <w:rPr>
          <w:rFonts w:ascii="Times New Roman"/>
          <w:b w:val="false"/>
          <w:i w:val="false"/>
          <w:color w:val="000000"/>
          <w:sz w:val="28"/>
        </w:rPr>
        <w:t>
      Данный раздел должен включать обобщенную информацию по потенциально важным данным по безопасности, которые были выявлены после даты окончания сбора данных, но в период подготовки данного РООБ. Потенциально важные данные включают в себя (но не ограничиваются) клинически значимыми новыми сообщениями, важные данные по последующему наблюдению, важные данные доклинических исследований, любые меры, принятые спонсором, уполномоченными органами или независимым комитетом по мониторингу данных в связи с изменениями профиля безопасности. Сведения, включенные в данный раздел, должны быть учтены в разделе обобщенной оценки профиля безопасности исследуемого препарата РООБ (см. раздел 4.21 настоящих Требований).</w:t>
      </w:r>
    </w:p>
    <w:bookmarkEnd w:id="1465"/>
    <w:bookmarkStart w:name="z1448" w:id="1466"/>
    <w:p>
      <w:pPr>
        <w:spacing w:after="0"/>
        <w:ind w:left="0"/>
        <w:jc w:val="left"/>
      </w:pPr>
      <w:r>
        <w:rPr>
          <w:rFonts w:ascii="Times New Roman"/>
          <w:b/>
          <w:i w:val="false"/>
          <w:color w:val="000000"/>
        </w:rPr>
        <w:t xml:space="preserve"> 4.21. Обобщенная оценка профиля безопасности</w:t>
      </w:r>
      <w:r>
        <w:br/>
      </w:r>
      <w:r>
        <w:rPr>
          <w:rFonts w:ascii="Times New Roman"/>
          <w:b/>
          <w:i w:val="false"/>
          <w:color w:val="000000"/>
        </w:rPr>
        <w:t>исследуемого препарата</w:t>
      </w:r>
    </w:p>
    <w:bookmarkEnd w:id="1466"/>
    <w:bookmarkStart w:name="z1450" w:id="1467"/>
    <w:p>
      <w:pPr>
        <w:spacing w:after="0"/>
        <w:ind w:left="0"/>
        <w:jc w:val="both"/>
      </w:pPr>
      <w:r>
        <w:rPr>
          <w:rFonts w:ascii="Times New Roman"/>
          <w:b w:val="false"/>
          <w:i w:val="false"/>
          <w:color w:val="000000"/>
          <w:sz w:val="28"/>
        </w:rPr>
        <w:t>
      В данном разделе должна быть приведена обобщенная оценка профиля безопасности исследуемого препарата с объединенным анализом всех имеющих к нему отношение новых клинических, доклинических, эпидемиологических данных, полученных на протяжении отчетного периода, с сопоставлением с прежними сведениями по профилю безопасности исследуемого препарата. Для зарегистрированных лекарственных препаратов оценка включает в себя клинически значимые данные пострегистрационного мониторинга.</w:t>
      </w:r>
    </w:p>
    <w:bookmarkEnd w:id="1467"/>
    <w:bookmarkStart w:name="z1451" w:id="1468"/>
    <w:p>
      <w:pPr>
        <w:spacing w:after="0"/>
        <w:ind w:left="0"/>
        <w:jc w:val="both"/>
      </w:pPr>
      <w:r>
        <w:rPr>
          <w:rFonts w:ascii="Times New Roman"/>
          <w:b w:val="false"/>
          <w:i w:val="false"/>
          <w:color w:val="000000"/>
          <w:sz w:val="28"/>
        </w:rPr>
        <w:t>
      В данном разделе не должна дублироваться информация, включенная в предыдущие разделы отчета, но должна быть дана интерпретация новой информации по безопасности и оценка ее влияния на исследуемую популяцию и программу разработки исследуемого препарата. Должна быть дана (если применимо) отдельная оценка по направлениям терапевтического применения, путям введения, лекарственным формам и (или) показаниям к применению.</w:t>
      </w:r>
    </w:p>
    <w:bookmarkEnd w:id="1468"/>
    <w:bookmarkStart w:name="z1452" w:id="1469"/>
    <w:p>
      <w:pPr>
        <w:spacing w:after="0"/>
        <w:ind w:left="0"/>
        <w:jc w:val="left"/>
      </w:pPr>
      <w:r>
        <w:rPr>
          <w:rFonts w:ascii="Times New Roman"/>
          <w:b/>
          <w:i w:val="false"/>
          <w:color w:val="000000"/>
        </w:rPr>
        <w:t xml:space="preserve"> 4.21.1. Оценка рисков</w:t>
      </w:r>
    </w:p>
    <w:bookmarkEnd w:id="1469"/>
    <w:bookmarkStart w:name="z1453" w:id="1470"/>
    <w:p>
      <w:pPr>
        <w:spacing w:after="0"/>
        <w:ind w:left="0"/>
        <w:jc w:val="both"/>
      </w:pPr>
      <w:r>
        <w:rPr>
          <w:rFonts w:ascii="Times New Roman"/>
          <w:b w:val="false"/>
          <w:i w:val="false"/>
          <w:color w:val="000000"/>
          <w:sz w:val="28"/>
        </w:rPr>
        <w:t>
      При оценке риска особое внимание должно быть уделено интерпретации данных по новым идентифицированным проблемам по безопасности или значимой новой информации по безопасности. Должна быть представлена оценка следующих аспектов профиля безопасности (если применимо):</w:t>
      </w:r>
    </w:p>
    <w:bookmarkEnd w:id="1470"/>
    <w:bookmarkStart w:name="z1454" w:id="1471"/>
    <w:p>
      <w:pPr>
        <w:spacing w:after="0"/>
        <w:ind w:left="0"/>
        <w:jc w:val="both"/>
      </w:pPr>
      <w:r>
        <w:rPr>
          <w:rFonts w:ascii="Times New Roman"/>
          <w:b w:val="false"/>
          <w:i w:val="false"/>
          <w:color w:val="000000"/>
          <w:sz w:val="28"/>
        </w:rPr>
        <w:t>
      а) новые выявленные аспекты профиля безопасности:</w:t>
      </w:r>
    </w:p>
    <w:bookmarkEnd w:id="1471"/>
    <w:bookmarkStart w:name="z1455" w:id="1472"/>
    <w:p>
      <w:pPr>
        <w:spacing w:after="0"/>
        <w:ind w:left="0"/>
        <w:jc w:val="both"/>
      </w:pPr>
      <w:r>
        <w:rPr>
          <w:rFonts w:ascii="Times New Roman"/>
          <w:b w:val="false"/>
          <w:i w:val="false"/>
          <w:color w:val="000000"/>
          <w:sz w:val="28"/>
        </w:rPr>
        <w:t>
      детальное описание нежелательных явлений или реакций;</w:t>
      </w:r>
    </w:p>
    <w:bookmarkEnd w:id="1472"/>
    <w:bookmarkStart w:name="z1456" w:id="1473"/>
    <w:p>
      <w:pPr>
        <w:spacing w:after="0"/>
        <w:ind w:left="0"/>
        <w:jc w:val="both"/>
      </w:pPr>
      <w:r>
        <w:rPr>
          <w:rFonts w:ascii="Times New Roman"/>
          <w:b w:val="false"/>
          <w:i w:val="false"/>
          <w:color w:val="000000"/>
          <w:sz w:val="28"/>
        </w:rPr>
        <w:t>
      связанные с применением исследуемого препарата изменения лабораторных параметров;</w:t>
      </w:r>
    </w:p>
    <w:bookmarkEnd w:id="1473"/>
    <w:bookmarkStart w:name="z1457" w:id="1474"/>
    <w:p>
      <w:pPr>
        <w:spacing w:after="0"/>
        <w:ind w:left="0"/>
        <w:jc w:val="both"/>
      </w:pPr>
      <w:r>
        <w:rPr>
          <w:rFonts w:ascii="Times New Roman"/>
          <w:b w:val="false"/>
          <w:i w:val="false"/>
          <w:color w:val="000000"/>
          <w:sz w:val="28"/>
        </w:rPr>
        <w:t>
      факторы риска;</w:t>
      </w:r>
    </w:p>
    <w:bookmarkEnd w:id="1474"/>
    <w:bookmarkStart w:name="z1458" w:id="1475"/>
    <w:p>
      <w:pPr>
        <w:spacing w:after="0"/>
        <w:ind w:left="0"/>
        <w:jc w:val="both"/>
      </w:pPr>
      <w:r>
        <w:rPr>
          <w:rFonts w:ascii="Times New Roman"/>
          <w:b w:val="false"/>
          <w:i w:val="false"/>
          <w:color w:val="000000"/>
          <w:sz w:val="28"/>
        </w:rPr>
        <w:t>
      взаимосвязь с дозами и продолжительностью лечения;</w:t>
      </w:r>
    </w:p>
    <w:bookmarkEnd w:id="1475"/>
    <w:bookmarkStart w:name="z1459" w:id="1476"/>
    <w:p>
      <w:pPr>
        <w:spacing w:after="0"/>
        <w:ind w:left="0"/>
        <w:jc w:val="both"/>
      </w:pPr>
      <w:r>
        <w:rPr>
          <w:rFonts w:ascii="Times New Roman"/>
          <w:b w:val="false"/>
          <w:i w:val="false"/>
          <w:color w:val="000000"/>
          <w:sz w:val="28"/>
        </w:rPr>
        <w:t>
      обратимость осложнений;</w:t>
      </w:r>
    </w:p>
    <w:bookmarkEnd w:id="1476"/>
    <w:bookmarkStart w:name="z1460" w:id="1477"/>
    <w:p>
      <w:pPr>
        <w:spacing w:after="0"/>
        <w:ind w:left="0"/>
        <w:jc w:val="both"/>
      </w:pPr>
      <w:r>
        <w:rPr>
          <w:rFonts w:ascii="Times New Roman"/>
          <w:b w:val="false"/>
          <w:i w:val="false"/>
          <w:color w:val="000000"/>
          <w:sz w:val="28"/>
        </w:rPr>
        <w:t>
      факторы, которые могут быть полезны для прогнозирования или предотвращения нежелательных реакций;</w:t>
      </w:r>
    </w:p>
    <w:bookmarkEnd w:id="1477"/>
    <w:bookmarkStart w:name="z1461" w:id="1478"/>
    <w:p>
      <w:pPr>
        <w:spacing w:after="0"/>
        <w:ind w:left="0"/>
        <w:jc w:val="both"/>
      </w:pPr>
      <w:r>
        <w:rPr>
          <w:rFonts w:ascii="Times New Roman"/>
          <w:b w:val="false"/>
          <w:i w:val="false"/>
          <w:color w:val="000000"/>
          <w:sz w:val="28"/>
        </w:rPr>
        <w:t>
      б) значимые изменения в характеристике ранее зарегистрированных нежелательных реакций (например, повышение ожидаемой частоты или степени тяжести, утяжеление исходов, установление групп риска развития осложнений);</w:t>
      </w:r>
    </w:p>
    <w:bookmarkEnd w:id="1478"/>
    <w:bookmarkStart w:name="z1462" w:id="1479"/>
    <w:p>
      <w:pPr>
        <w:spacing w:after="0"/>
        <w:ind w:left="0"/>
        <w:jc w:val="both"/>
      </w:pPr>
      <w:r>
        <w:rPr>
          <w:rFonts w:ascii="Times New Roman"/>
          <w:b w:val="false"/>
          <w:i w:val="false"/>
          <w:color w:val="000000"/>
          <w:sz w:val="28"/>
        </w:rPr>
        <w:t>
      в) симптомы, жалобы, лабораторные изменения, характерные для таких новых или ранее идентифицированных клинически значимых видов токсичности, как гепатотоксичность, кардиотоксичность (включая удлинение интервала QT и результаты специальных исследований QT/QTc), миелотоксичность, нефротоксичность, легочная токсичность, нейротоксичность, иммуногенность и реакции гиперчувствительности;</w:t>
      </w:r>
    </w:p>
    <w:bookmarkEnd w:id="1479"/>
    <w:bookmarkStart w:name="z1463" w:id="1480"/>
    <w:p>
      <w:pPr>
        <w:spacing w:after="0"/>
        <w:ind w:left="0"/>
        <w:jc w:val="both"/>
      </w:pPr>
      <w:r>
        <w:rPr>
          <w:rFonts w:ascii="Times New Roman"/>
          <w:b w:val="false"/>
          <w:i w:val="false"/>
          <w:color w:val="000000"/>
          <w:sz w:val="28"/>
        </w:rPr>
        <w:t>
      г) летальные исходы нежелательных явлений;</w:t>
      </w:r>
    </w:p>
    <w:bookmarkEnd w:id="1480"/>
    <w:bookmarkStart w:name="z1464" w:id="1481"/>
    <w:p>
      <w:pPr>
        <w:spacing w:after="0"/>
        <w:ind w:left="0"/>
        <w:jc w:val="both"/>
      </w:pPr>
      <w:r>
        <w:rPr>
          <w:rFonts w:ascii="Times New Roman"/>
          <w:b w:val="false"/>
          <w:i w:val="false"/>
          <w:color w:val="000000"/>
          <w:sz w:val="28"/>
        </w:rPr>
        <w:t>
      д) остановка клинического исследования по причине развития нежелательных явлений, включая изменения лабораторных параметров или результатов обследований;</w:t>
      </w:r>
    </w:p>
    <w:bookmarkEnd w:id="1481"/>
    <w:bookmarkStart w:name="z1465" w:id="1482"/>
    <w:p>
      <w:pPr>
        <w:spacing w:after="0"/>
        <w:ind w:left="0"/>
        <w:jc w:val="both"/>
      </w:pPr>
      <w:r>
        <w:rPr>
          <w:rFonts w:ascii="Times New Roman"/>
          <w:b w:val="false"/>
          <w:i w:val="false"/>
          <w:color w:val="000000"/>
          <w:sz w:val="28"/>
        </w:rPr>
        <w:t>
      е) взаимодействия с лекарственными препаратами и иные взаимодействия;</w:t>
      </w:r>
    </w:p>
    <w:bookmarkEnd w:id="1482"/>
    <w:bookmarkStart w:name="z1466" w:id="1483"/>
    <w:p>
      <w:pPr>
        <w:spacing w:after="0"/>
        <w:ind w:left="0"/>
        <w:jc w:val="both"/>
      </w:pPr>
      <w:r>
        <w:rPr>
          <w:rFonts w:ascii="Times New Roman"/>
          <w:b w:val="false"/>
          <w:i w:val="false"/>
          <w:color w:val="000000"/>
          <w:sz w:val="28"/>
        </w:rPr>
        <w:t>
      ж) важные данные по безопасности, полученные в доклинических исследованиях;</w:t>
      </w:r>
    </w:p>
    <w:bookmarkEnd w:id="1483"/>
    <w:bookmarkStart w:name="z1467" w:id="1484"/>
    <w:p>
      <w:pPr>
        <w:spacing w:after="0"/>
        <w:ind w:left="0"/>
        <w:jc w:val="both"/>
      </w:pPr>
      <w:r>
        <w:rPr>
          <w:rFonts w:ascii="Times New Roman"/>
          <w:b w:val="false"/>
          <w:i w:val="false"/>
          <w:color w:val="000000"/>
          <w:sz w:val="28"/>
        </w:rPr>
        <w:t>
      з) аспекты производственного процесса, которые могут оказать влияние на профиль безопасности;</w:t>
      </w:r>
    </w:p>
    <w:bookmarkEnd w:id="1484"/>
    <w:bookmarkStart w:name="z1468" w:id="1485"/>
    <w:p>
      <w:pPr>
        <w:spacing w:after="0"/>
        <w:ind w:left="0"/>
        <w:jc w:val="both"/>
      </w:pPr>
      <w:r>
        <w:rPr>
          <w:rFonts w:ascii="Times New Roman"/>
          <w:b w:val="false"/>
          <w:i w:val="false"/>
          <w:color w:val="000000"/>
          <w:sz w:val="28"/>
        </w:rPr>
        <w:t>
      и) недостаточная терапевтическая эффективность, если она представляет дополнительный риск для субъектов клинического исследования;</w:t>
      </w:r>
    </w:p>
    <w:bookmarkEnd w:id="1485"/>
    <w:bookmarkStart w:name="z1469" w:id="1486"/>
    <w:p>
      <w:pPr>
        <w:spacing w:after="0"/>
        <w:ind w:left="0"/>
        <w:jc w:val="both"/>
      </w:pPr>
      <w:r>
        <w:rPr>
          <w:rFonts w:ascii="Times New Roman"/>
          <w:b w:val="false"/>
          <w:i w:val="false"/>
          <w:color w:val="000000"/>
          <w:sz w:val="28"/>
        </w:rPr>
        <w:t>
      к) наличие дополнительного риска для таких особых популяционных групп, как пожилые пациенты, дети, пациенты с нарушением функции печени или почек, либо иные группы риска (например, субъекты с медленным или быстрым метаболизмом);</w:t>
      </w:r>
    </w:p>
    <w:bookmarkEnd w:id="1486"/>
    <w:bookmarkStart w:name="z1470" w:id="1487"/>
    <w:p>
      <w:pPr>
        <w:spacing w:after="0"/>
        <w:ind w:left="0"/>
        <w:jc w:val="both"/>
      </w:pPr>
      <w:r>
        <w:rPr>
          <w:rFonts w:ascii="Times New Roman"/>
          <w:b w:val="false"/>
          <w:i w:val="false"/>
          <w:color w:val="000000"/>
          <w:sz w:val="28"/>
        </w:rPr>
        <w:t>
      л) воздействие в период беременности и лактации и его исходы;</w:t>
      </w:r>
    </w:p>
    <w:bookmarkEnd w:id="1487"/>
    <w:bookmarkStart w:name="z1471" w:id="1488"/>
    <w:p>
      <w:pPr>
        <w:spacing w:after="0"/>
        <w:ind w:left="0"/>
        <w:jc w:val="both"/>
      </w:pPr>
      <w:r>
        <w:rPr>
          <w:rFonts w:ascii="Times New Roman"/>
          <w:b w:val="false"/>
          <w:i w:val="false"/>
          <w:color w:val="000000"/>
          <w:sz w:val="28"/>
        </w:rPr>
        <w:t>
      м) аспекты безопасности при длительном применении;</w:t>
      </w:r>
    </w:p>
    <w:bookmarkEnd w:id="1488"/>
    <w:bookmarkStart w:name="z1472" w:id="1489"/>
    <w:p>
      <w:pPr>
        <w:spacing w:after="0"/>
        <w:ind w:left="0"/>
        <w:jc w:val="both"/>
      </w:pPr>
      <w:r>
        <w:rPr>
          <w:rFonts w:ascii="Times New Roman"/>
          <w:b w:val="false"/>
          <w:i w:val="false"/>
          <w:color w:val="000000"/>
          <w:sz w:val="28"/>
        </w:rPr>
        <w:t>
      н) данные по клинически значимым ошибкам применения лекарственного препарата;</w:t>
      </w:r>
    </w:p>
    <w:bookmarkEnd w:id="1489"/>
    <w:bookmarkStart w:name="z1473" w:id="1490"/>
    <w:p>
      <w:pPr>
        <w:spacing w:after="0"/>
        <w:ind w:left="0"/>
        <w:jc w:val="both"/>
      </w:pPr>
      <w:r>
        <w:rPr>
          <w:rFonts w:ascii="Times New Roman"/>
          <w:b w:val="false"/>
          <w:i w:val="false"/>
          <w:color w:val="000000"/>
          <w:sz w:val="28"/>
        </w:rPr>
        <w:t>
      о) данные по отсутствию приверженности пациентов лечению;</w:t>
      </w:r>
    </w:p>
    <w:bookmarkEnd w:id="1490"/>
    <w:bookmarkStart w:name="z1474" w:id="1491"/>
    <w:p>
      <w:pPr>
        <w:spacing w:after="0"/>
        <w:ind w:left="0"/>
        <w:jc w:val="both"/>
      </w:pPr>
      <w:r>
        <w:rPr>
          <w:rFonts w:ascii="Times New Roman"/>
          <w:b w:val="false"/>
          <w:i w:val="false"/>
          <w:color w:val="000000"/>
          <w:sz w:val="28"/>
        </w:rPr>
        <w:t>
      п) случаи передозировки и ее коррекции;</w:t>
      </w:r>
    </w:p>
    <w:bookmarkEnd w:id="1491"/>
    <w:bookmarkStart w:name="z1475" w:id="1492"/>
    <w:p>
      <w:pPr>
        <w:spacing w:after="0"/>
        <w:ind w:left="0"/>
        <w:jc w:val="both"/>
      </w:pPr>
      <w:r>
        <w:rPr>
          <w:rFonts w:ascii="Times New Roman"/>
          <w:b w:val="false"/>
          <w:i w:val="false"/>
          <w:color w:val="000000"/>
          <w:sz w:val="28"/>
        </w:rPr>
        <w:t>
      р) случаи неправильного употребления и злоупотребления;</w:t>
      </w:r>
    </w:p>
    <w:bookmarkEnd w:id="1492"/>
    <w:bookmarkStart w:name="z1476" w:id="1493"/>
    <w:p>
      <w:pPr>
        <w:spacing w:after="0"/>
        <w:ind w:left="0"/>
        <w:jc w:val="both"/>
      </w:pPr>
      <w:r>
        <w:rPr>
          <w:rFonts w:ascii="Times New Roman"/>
          <w:b w:val="false"/>
          <w:i w:val="false"/>
          <w:color w:val="000000"/>
          <w:sz w:val="28"/>
        </w:rPr>
        <w:t>
      с) аспекты безопасности, связанные с процедурами, предусмотренными протоколом клинического исследования (например, бронхоскопия, биопсия, установка центрального венозного катетера), либо с проведением или дизайном клинического исследования (например, недостаточный мониторинг субъектов исследования, слишком длительный период без активной терапии);</w:t>
      </w:r>
    </w:p>
    <w:bookmarkEnd w:id="1493"/>
    <w:bookmarkStart w:name="z1477" w:id="1494"/>
    <w:p>
      <w:pPr>
        <w:spacing w:after="0"/>
        <w:ind w:left="0"/>
        <w:jc w:val="both"/>
      </w:pPr>
      <w:r>
        <w:rPr>
          <w:rFonts w:ascii="Times New Roman"/>
          <w:b w:val="false"/>
          <w:i w:val="false"/>
          <w:color w:val="000000"/>
          <w:sz w:val="28"/>
        </w:rPr>
        <w:t>
      т) потенциальный риск значимых новых данных по безопасности, выявленных для другого соединения аналогичного класса.</w:t>
      </w:r>
    </w:p>
    <w:bookmarkEnd w:id="1494"/>
    <w:bookmarkStart w:name="z1478" w:id="1495"/>
    <w:p>
      <w:pPr>
        <w:spacing w:after="0"/>
        <w:ind w:left="0"/>
        <w:jc w:val="left"/>
      </w:pPr>
      <w:r>
        <w:rPr>
          <w:rFonts w:ascii="Times New Roman"/>
          <w:b/>
          <w:i w:val="false"/>
          <w:color w:val="000000"/>
        </w:rPr>
        <w:t xml:space="preserve"> 4.21.2. Оценка соотношения польза-риск</w:t>
      </w:r>
    </w:p>
    <w:bookmarkEnd w:id="1495"/>
    <w:bookmarkStart w:name="z1479" w:id="1496"/>
    <w:p>
      <w:pPr>
        <w:spacing w:after="0"/>
        <w:ind w:left="0"/>
        <w:jc w:val="both"/>
      </w:pPr>
      <w:r>
        <w:rPr>
          <w:rFonts w:ascii="Times New Roman"/>
          <w:b w:val="false"/>
          <w:i w:val="false"/>
          <w:color w:val="000000"/>
          <w:sz w:val="28"/>
        </w:rPr>
        <w:t>
      В подразделе должно быть представлено краткое заключение по оценке соотношения совокупного риска, установленного по результатам анализа обобщенных (кумулятивных) данных по безопасности, и ожидаемой эффективности (пользы). Следует сделать указание, насколько изменилась оценка соотношения польза-риск исследуемого препарата по сравнению с предшествующим отчетом по безопасности. Данный подраздел не предназначен для детальной оценки соотношения польза-риск исследуемого препарата.</w:t>
      </w:r>
    </w:p>
    <w:bookmarkEnd w:id="1496"/>
    <w:bookmarkStart w:name="z1480" w:id="1497"/>
    <w:p>
      <w:pPr>
        <w:spacing w:after="0"/>
        <w:ind w:left="0"/>
        <w:jc w:val="left"/>
      </w:pPr>
      <w:r>
        <w:rPr>
          <w:rFonts w:ascii="Times New Roman"/>
          <w:b/>
          <w:i w:val="false"/>
          <w:color w:val="000000"/>
        </w:rPr>
        <w:t xml:space="preserve"> 4.22. Обобщенная информация о важных рисках</w:t>
      </w:r>
    </w:p>
    <w:bookmarkEnd w:id="1497"/>
    <w:p>
      <w:pPr>
        <w:spacing w:after="0"/>
        <w:ind w:left="0"/>
        <w:jc w:val="both"/>
      </w:pPr>
      <w:r>
        <w:rPr>
          <w:rFonts w:ascii="Times New Roman"/>
          <w:b w:val="false"/>
          <w:i w:val="false"/>
          <w:color w:val="ff0000"/>
          <w:sz w:val="28"/>
        </w:rPr>
        <w:t xml:space="preserve">
      Сноска. Раздел 4.22 с изменениями, внесенными решением Совета Евразийской экономической комиссии от 01.08.2025 </w:t>
      </w:r>
      <w:r>
        <w:rPr>
          <w:rFonts w:ascii="Times New Roman"/>
          <w:b w:val="false"/>
          <w:i w:val="false"/>
          <w:color w:val="ff0000"/>
          <w:sz w:val="28"/>
        </w:rPr>
        <w:t>№ 40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1481" w:id="1498"/>
    <w:p>
      <w:pPr>
        <w:spacing w:after="0"/>
        <w:ind w:left="0"/>
        <w:jc w:val="both"/>
      </w:pPr>
      <w:r>
        <w:rPr>
          <w:rFonts w:ascii="Times New Roman"/>
          <w:b w:val="false"/>
          <w:i w:val="false"/>
          <w:color w:val="000000"/>
          <w:sz w:val="28"/>
        </w:rPr>
        <w:t>
      В данном разделе должна быть представлена краткая обобщенная информация о важных идентифицированных и потенциальных рисках в форме перечня. К числу важных рисков относятся, например, риски, которые могут привести к дополнительному внесению мер предосторожности, особых указаний или противопоказаний в общую характеристику лекарственного препарата. Данные риски могут включать, например, характерные для определенной молекулярной структуры токсические эффекты или проблемы по безопасности, выявленные по результатам накопления данных доклинических и клинических исследований. Каждый риск должен подвергаться ежегодной переоценке с анализом всех имеющихся на текущий момент объединенных данных и знаний, при этом особое внимание следует уделять новым данным по безопасности, полученным за отчетный период. Степень детализации описания может зависеть от стадии разработки лекарственного препарата: на ранних стадиях разработки в обобщенную информацию по важным рискам может включаться описание индивидуальных случаев, на более поздних этапах, по мере накопления знаний, информация по рискам может носить менее детализированный характер.</w:t>
      </w:r>
    </w:p>
    <w:bookmarkEnd w:id="1498"/>
    <w:bookmarkStart w:name="z1482" w:id="1499"/>
    <w:p>
      <w:pPr>
        <w:spacing w:after="0"/>
        <w:ind w:left="0"/>
        <w:jc w:val="both"/>
      </w:pPr>
      <w:r>
        <w:rPr>
          <w:rFonts w:ascii="Times New Roman"/>
          <w:b w:val="false"/>
          <w:i w:val="false"/>
          <w:color w:val="000000"/>
          <w:sz w:val="28"/>
        </w:rPr>
        <w:t>
      Риски, которые были полностью описаны или отвергнуты, должны оставаться в обзоре в виде краткого описания (например, находки из токсикологических исследований или ранних клинических исследований, которые не были подтверждены более поздними клиническими данными).</w:t>
      </w:r>
    </w:p>
    <w:bookmarkEnd w:id="1499"/>
    <w:bookmarkStart w:name="z1483" w:id="1500"/>
    <w:p>
      <w:pPr>
        <w:spacing w:after="0"/>
        <w:ind w:left="0"/>
        <w:jc w:val="both"/>
      </w:pPr>
      <w:r>
        <w:rPr>
          <w:rFonts w:ascii="Times New Roman"/>
          <w:b w:val="false"/>
          <w:i w:val="false"/>
          <w:color w:val="000000"/>
          <w:sz w:val="28"/>
        </w:rPr>
        <w:t>
      Информация по данному разделу может быть представлена в форме описания или таблиц.</w:t>
      </w:r>
    </w:p>
    <w:bookmarkEnd w:id="1500"/>
    <w:bookmarkStart w:name="z1484" w:id="1501"/>
    <w:p>
      <w:pPr>
        <w:spacing w:after="0"/>
        <w:ind w:left="0"/>
        <w:jc w:val="left"/>
      </w:pPr>
      <w:r>
        <w:rPr>
          <w:rFonts w:ascii="Times New Roman"/>
          <w:b/>
          <w:i w:val="false"/>
          <w:color w:val="000000"/>
        </w:rPr>
        <w:t xml:space="preserve"> 4.23. Заключение (выводы)</w:t>
      </w:r>
    </w:p>
    <w:bookmarkEnd w:id="1501"/>
    <w:bookmarkStart w:name="z1485" w:id="1502"/>
    <w:p>
      <w:pPr>
        <w:spacing w:after="0"/>
        <w:ind w:left="0"/>
        <w:jc w:val="both"/>
      </w:pPr>
      <w:r>
        <w:rPr>
          <w:rFonts w:ascii="Times New Roman"/>
          <w:b w:val="false"/>
          <w:i w:val="false"/>
          <w:color w:val="000000"/>
          <w:sz w:val="28"/>
        </w:rPr>
        <w:t>
      Заключение должно содержать краткое описание всех изменений в имеющихся знаниях по эффективности и безопасности исследуемого препарата, которые произошли за отчетный период и повлияли на оценку, сделанную в предшествующем отчете по безопасности. Заключение должно включать указание действий, которые были предприняты или планируются с целью надлежащего отражения выявленных новых аспектов профиля безопасности в программе клинической разработки исследуемого препарата.</w:t>
      </w:r>
    </w:p>
    <w:bookmarkEnd w:id="1502"/>
    <w:bookmarkStart w:name="z1486" w:id="1503"/>
    <w:p>
      <w:pPr>
        <w:spacing w:after="0"/>
        <w:ind w:left="0"/>
        <w:jc w:val="left"/>
      </w:pPr>
      <w:r>
        <w:rPr>
          <w:rFonts w:ascii="Times New Roman"/>
          <w:b/>
          <w:i w:val="false"/>
          <w:color w:val="000000"/>
        </w:rPr>
        <w:t xml:space="preserve"> 4.24. Приложения к отчету</w:t>
      </w:r>
    </w:p>
    <w:bookmarkEnd w:id="1503"/>
    <w:bookmarkStart w:name="z1487" w:id="1504"/>
    <w:p>
      <w:pPr>
        <w:spacing w:after="0"/>
        <w:ind w:left="0"/>
        <w:jc w:val="both"/>
      </w:pPr>
      <w:r>
        <w:rPr>
          <w:rFonts w:ascii="Times New Roman"/>
          <w:b w:val="false"/>
          <w:i w:val="false"/>
          <w:color w:val="000000"/>
          <w:sz w:val="28"/>
        </w:rPr>
        <w:t>
      РООБ должен содержать следующие приложения:</w:t>
      </w:r>
    </w:p>
    <w:bookmarkEnd w:id="1504"/>
    <w:bookmarkStart w:name="z1488" w:id="1505"/>
    <w:p>
      <w:pPr>
        <w:spacing w:after="0"/>
        <w:ind w:left="0"/>
        <w:jc w:val="both"/>
      </w:pPr>
      <w:r>
        <w:rPr>
          <w:rFonts w:ascii="Times New Roman"/>
          <w:b w:val="false"/>
          <w:i w:val="false"/>
          <w:color w:val="000000"/>
          <w:sz w:val="28"/>
        </w:rPr>
        <w:t>
      брошюра исследователя;</w:t>
      </w:r>
    </w:p>
    <w:bookmarkEnd w:id="1505"/>
    <w:bookmarkStart w:name="z1489" w:id="1506"/>
    <w:p>
      <w:pPr>
        <w:spacing w:after="0"/>
        <w:ind w:left="0"/>
        <w:jc w:val="both"/>
      </w:pPr>
      <w:r>
        <w:rPr>
          <w:rFonts w:ascii="Times New Roman"/>
          <w:b w:val="false"/>
          <w:i w:val="false"/>
          <w:color w:val="000000"/>
          <w:sz w:val="28"/>
        </w:rPr>
        <w:t>
      кумулятивная таблица существенных запросов со стороны уполномоченного органа;</w:t>
      </w:r>
    </w:p>
    <w:bookmarkEnd w:id="1506"/>
    <w:bookmarkStart w:name="z1490" w:id="1507"/>
    <w:p>
      <w:pPr>
        <w:spacing w:after="0"/>
        <w:ind w:left="0"/>
        <w:jc w:val="both"/>
      </w:pPr>
      <w:r>
        <w:rPr>
          <w:rFonts w:ascii="Times New Roman"/>
          <w:b w:val="false"/>
          <w:i w:val="false"/>
          <w:color w:val="000000"/>
          <w:sz w:val="28"/>
        </w:rPr>
        <w:t>
      статус выполнения продолжающихся и завершенных клинических исследований;</w:t>
      </w:r>
    </w:p>
    <w:bookmarkEnd w:id="1507"/>
    <w:bookmarkStart w:name="z1491" w:id="1508"/>
    <w:p>
      <w:pPr>
        <w:spacing w:after="0"/>
        <w:ind w:left="0"/>
        <w:jc w:val="both"/>
      </w:pPr>
      <w:r>
        <w:rPr>
          <w:rFonts w:ascii="Times New Roman"/>
          <w:b w:val="false"/>
          <w:i w:val="false"/>
          <w:color w:val="000000"/>
          <w:sz w:val="28"/>
        </w:rPr>
        <w:t>
      кумулятивные таблицы по демографическим данным;</w:t>
      </w:r>
    </w:p>
    <w:bookmarkEnd w:id="1508"/>
    <w:bookmarkStart w:name="z1492" w:id="1509"/>
    <w:p>
      <w:pPr>
        <w:spacing w:after="0"/>
        <w:ind w:left="0"/>
        <w:jc w:val="both"/>
      </w:pPr>
      <w:r>
        <w:rPr>
          <w:rFonts w:ascii="Times New Roman"/>
          <w:b w:val="false"/>
          <w:i w:val="false"/>
          <w:color w:val="000000"/>
          <w:sz w:val="28"/>
        </w:rPr>
        <w:t>
      структурированные перечни по серьезным нежелательным реакциям, выявленным за отчетный период;</w:t>
      </w:r>
    </w:p>
    <w:bookmarkEnd w:id="1509"/>
    <w:bookmarkStart w:name="z1493" w:id="1510"/>
    <w:p>
      <w:pPr>
        <w:spacing w:after="0"/>
        <w:ind w:left="0"/>
        <w:jc w:val="both"/>
      </w:pPr>
      <w:r>
        <w:rPr>
          <w:rFonts w:ascii="Times New Roman"/>
          <w:b w:val="false"/>
          <w:i w:val="false"/>
          <w:color w:val="000000"/>
          <w:sz w:val="28"/>
        </w:rPr>
        <w:t>
      кумулятивные табличные данные о выявленных серьезных нежелательных явлениях;</w:t>
      </w:r>
    </w:p>
    <w:bookmarkEnd w:id="1510"/>
    <w:bookmarkStart w:name="z1494" w:id="1511"/>
    <w:p>
      <w:pPr>
        <w:spacing w:after="0"/>
        <w:ind w:left="0"/>
        <w:jc w:val="both"/>
      </w:pPr>
      <w:r>
        <w:rPr>
          <w:rFonts w:ascii="Times New Roman"/>
          <w:b w:val="false"/>
          <w:i w:val="false"/>
          <w:color w:val="000000"/>
          <w:sz w:val="28"/>
        </w:rPr>
        <w:t>
      синопсис (если применимо).</w:t>
      </w:r>
    </w:p>
    <w:bookmarkEnd w:id="1511"/>
    <w:bookmarkStart w:name="z1495" w:id="1512"/>
    <w:p>
      <w:pPr>
        <w:spacing w:after="0"/>
        <w:ind w:left="0"/>
        <w:jc w:val="both"/>
      </w:pPr>
      <w:r>
        <w:rPr>
          <w:rFonts w:ascii="Times New Roman"/>
          <w:b w:val="false"/>
          <w:i w:val="false"/>
          <w:color w:val="000000"/>
          <w:sz w:val="28"/>
        </w:rPr>
        <w:t>
      РООБ может содержать следующие приложения:</w:t>
      </w:r>
    </w:p>
    <w:bookmarkEnd w:id="1512"/>
    <w:bookmarkStart w:name="z1496" w:id="1513"/>
    <w:p>
      <w:pPr>
        <w:spacing w:after="0"/>
        <w:ind w:left="0"/>
        <w:jc w:val="both"/>
      </w:pPr>
      <w:r>
        <w:rPr>
          <w:rFonts w:ascii="Times New Roman"/>
          <w:b w:val="false"/>
          <w:i w:val="false"/>
          <w:color w:val="000000"/>
          <w:sz w:val="28"/>
        </w:rPr>
        <w:t>
      кумулятивные табличные данные по всем серьезным нежелательным реакциям;</w:t>
      </w:r>
    </w:p>
    <w:bookmarkEnd w:id="1513"/>
    <w:bookmarkStart w:name="z1497" w:id="1514"/>
    <w:p>
      <w:pPr>
        <w:spacing w:after="0"/>
        <w:ind w:left="0"/>
        <w:jc w:val="both"/>
      </w:pPr>
      <w:r>
        <w:rPr>
          <w:rFonts w:ascii="Times New Roman"/>
          <w:b w:val="false"/>
          <w:i w:val="false"/>
          <w:color w:val="000000"/>
          <w:sz w:val="28"/>
        </w:rPr>
        <w:t>
      перечень субъектов клинических исследований, которые умерли в течение отчетного периода;</w:t>
      </w:r>
    </w:p>
    <w:bookmarkEnd w:id="1514"/>
    <w:bookmarkStart w:name="z1498" w:id="1515"/>
    <w:p>
      <w:pPr>
        <w:spacing w:after="0"/>
        <w:ind w:left="0"/>
        <w:jc w:val="both"/>
      </w:pPr>
      <w:r>
        <w:rPr>
          <w:rFonts w:ascii="Times New Roman"/>
          <w:b w:val="false"/>
          <w:i w:val="false"/>
          <w:color w:val="000000"/>
          <w:sz w:val="28"/>
        </w:rPr>
        <w:t>
      перечень субъектов клинических исследований, которые были исключены из клинических исследований в течение отчетного периода;</w:t>
      </w:r>
    </w:p>
    <w:bookmarkEnd w:id="1515"/>
    <w:bookmarkStart w:name="z1499" w:id="1516"/>
    <w:p>
      <w:pPr>
        <w:spacing w:after="0"/>
        <w:ind w:left="0"/>
        <w:jc w:val="both"/>
      </w:pPr>
      <w:r>
        <w:rPr>
          <w:rFonts w:ascii="Times New Roman"/>
          <w:b w:val="false"/>
          <w:i w:val="false"/>
          <w:color w:val="000000"/>
          <w:sz w:val="28"/>
        </w:rPr>
        <w:t>
      существенные изменения протоколов клинических исследований I фазы;</w:t>
      </w:r>
    </w:p>
    <w:bookmarkEnd w:id="1516"/>
    <w:bookmarkStart w:name="z1500" w:id="1517"/>
    <w:p>
      <w:pPr>
        <w:spacing w:after="0"/>
        <w:ind w:left="0"/>
        <w:jc w:val="both"/>
      </w:pPr>
      <w:r>
        <w:rPr>
          <w:rFonts w:ascii="Times New Roman"/>
          <w:b w:val="false"/>
          <w:i w:val="false"/>
          <w:color w:val="000000"/>
          <w:sz w:val="28"/>
        </w:rPr>
        <w:t>
      существенные изменения процесса производства;</w:t>
      </w:r>
    </w:p>
    <w:bookmarkEnd w:id="1517"/>
    <w:bookmarkStart w:name="z1501" w:id="1518"/>
    <w:p>
      <w:pPr>
        <w:spacing w:after="0"/>
        <w:ind w:left="0"/>
        <w:jc w:val="both"/>
      </w:pPr>
      <w:r>
        <w:rPr>
          <w:rFonts w:ascii="Times New Roman"/>
          <w:b w:val="false"/>
          <w:i w:val="false"/>
          <w:color w:val="000000"/>
          <w:sz w:val="28"/>
        </w:rPr>
        <w:t>
      описание общего плана исследований на предстоящий год (если применимо).</w:t>
      </w:r>
    </w:p>
    <w:bookmarkEnd w:id="1518"/>
    <w:bookmarkStart w:name="z2672" w:id="1519"/>
    <w:p>
      <w:pPr>
        <w:spacing w:after="0"/>
        <w:ind w:left="0"/>
        <w:jc w:val="left"/>
      </w:pPr>
      <w:r>
        <w:rPr>
          <w:rFonts w:ascii="Times New Roman"/>
          <w:b/>
          <w:i w:val="false"/>
          <w:color w:val="000000"/>
        </w:rPr>
        <w:t xml:space="preserve"> 4.25. Форма подачи периодического отчета по безопасности исследуемого препарата</w:t>
      </w:r>
    </w:p>
    <w:bookmarkEnd w:id="1519"/>
    <w:p>
      <w:pPr>
        <w:spacing w:after="0"/>
        <w:ind w:left="0"/>
        <w:jc w:val="both"/>
      </w:pPr>
      <w:r>
        <w:rPr>
          <w:rFonts w:ascii="Times New Roman"/>
          <w:b w:val="false"/>
          <w:i w:val="false"/>
          <w:color w:val="ff0000"/>
          <w:sz w:val="28"/>
        </w:rPr>
        <w:t xml:space="preserve">
      Сноска. Требования дополнены подразделом 4.25 в соответствии с решением Совета Евразийской экономической комиссии от 01.08.2025 </w:t>
      </w:r>
      <w:r>
        <w:rPr>
          <w:rFonts w:ascii="Times New Roman"/>
          <w:b w:val="false"/>
          <w:i w:val="false"/>
          <w:color w:val="ff0000"/>
          <w:sz w:val="28"/>
        </w:rPr>
        <w:t>№ 40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p>
      <w:pPr>
        <w:spacing w:after="0"/>
        <w:ind w:left="0"/>
        <w:jc w:val="both"/>
      </w:pPr>
      <w:r>
        <w:rPr>
          <w:rFonts w:ascii="Times New Roman"/>
          <w:b w:val="false"/>
          <w:i w:val="false"/>
          <w:color w:val="000000"/>
          <w:sz w:val="28"/>
        </w:rPr>
        <w:t>
      Периодический отчет по безопасности исследуемого препарата подлежит подаче в электронном виде с возможностью текстового поиска на русском или английском языке с обязательным переводом на русский язык следующих разделов: краткое изложение и заключение (выводы). По запросу уполномоченного органа государства-члена заявитель обязан в течение 30 календарных дней со дня получения такого запроса представить перевод на русский язык других разделов периодического отчета по безопасности исследуемого препарата.</w:t>
      </w:r>
    </w:p>
    <w:bookmarkStart w:name="z1502" w:id="1520"/>
    <w:p>
      <w:pPr>
        <w:spacing w:after="0"/>
        <w:ind w:left="0"/>
        <w:jc w:val="both"/>
      </w:pPr>
      <w:r>
        <w:rPr>
          <w:rFonts w:ascii="Times New Roman"/>
          <w:b w:val="false"/>
          <w:i w:val="false"/>
          <w:color w:val="000000"/>
          <w:sz w:val="28"/>
        </w:rPr>
        <w:t>
      Примеры таблиц перечней данных по клиническим исследованиям</w:t>
      </w:r>
    </w:p>
    <w:bookmarkEnd w:id="1520"/>
    <w:bookmarkStart w:name="z1503" w:id="1521"/>
    <w:p>
      <w:pPr>
        <w:spacing w:after="0"/>
        <w:ind w:left="0"/>
        <w:jc w:val="both"/>
      </w:pPr>
      <w:r>
        <w:rPr>
          <w:rFonts w:ascii="Times New Roman"/>
          <w:b w:val="false"/>
          <w:i w:val="false"/>
          <w:color w:val="000000"/>
          <w:sz w:val="28"/>
        </w:rPr>
        <w:t>
      Таблица 1</w:t>
      </w:r>
    </w:p>
    <w:bookmarkEnd w:id="1521"/>
    <w:bookmarkStart w:name="z1504" w:id="1522"/>
    <w:p>
      <w:pPr>
        <w:spacing w:after="0"/>
        <w:ind w:left="0"/>
        <w:jc w:val="both"/>
      </w:pPr>
      <w:r>
        <w:rPr>
          <w:rFonts w:ascii="Times New Roman"/>
          <w:b w:val="false"/>
          <w:i w:val="false"/>
          <w:color w:val="000000"/>
          <w:sz w:val="28"/>
        </w:rPr>
        <w:t>
         Статус продолжающихся и завершенных клинических исследований</w:t>
      </w:r>
    </w:p>
    <w:bookmarkEnd w:id="1522"/>
    <w:bookmarkStart w:name="z1505" w:id="1523"/>
    <w:p>
      <w:pPr>
        <w:spacing w:after="0"/>
        <w:ind w:left="0"/>
        <w:jc w:val="both"/>
      </w:pPr>
      <w:r>
        <w:rPr>
          <w:rFonts w:ascii="Times New Roman"/>
          <w:b w:val="false"/>
          <w:i w:val="false"/>
          <w:color w:val="000000"/>
          <w:sz w:val="28"/>
        </w:rPr>
        <w:t>
      Обзор продолжающихся клинических исследований ________________</w:t>
      </w:r>
    </w:p>
    <w:bookmarkEnd w:id="1523"/>
    <w:bookmarkStart w:name="z1506" w:id="1524"/>
    <w:p>
      <w:pPr>
        <w:spacing w:after="0"/>
        <w:ind w:left="0"/>
        <w:jc w:val="both"/>
      </w:pPr>
      <w:r>
        <w:rPr>
          <w:rFonts w:ascii="Times New Roman"/>
          <w:b w:val="false"/>
          <w:i w:val="false"/>
          <w:color w:val="000000"/>
          <w:sz w:val="28"/>
        </w:rPr>
        <w:t>
                                                     (исследуемый препарат)</w:t>
      </w:r>
    </w:p>
    <w:bookmarkEnd w:id="1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клинического исследования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исследования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исследования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дозирования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Исследуемая популяция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визит первого пациента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включение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на субъектов исследования*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507" w:id="1525"/>
    <w:p>
      <w:pPr>
        <w:spacing w:after="0"/>
        <w:ind w:left="0"/>
        <w:jc w:val="both"/>
      </w:pPr>
      <w:r>
        <w:rPr>
          <w:rFonts w:ascii="Times New Roman"/>
          <w:b w:val="false"/>
          <w:i w:val="false"/>
          <w:color w:val="000000"/>
          <w:sz w:val="28"/>
        </w:rPr>
        <w:t>
      * На основании общего количества субъектов исследования по состоянию на ______ и применяемой схемы рандомизации (дата)</w:t>
      </w:r>
    </w:p>
    <w:bookmarkEnd w:id="1525"/>
    <w:bookmarkStart w:name="z1508" w:id="1526"/>
    <w:p>
      <w:pPr>
        <w:spacing w:after="0"/>
        <w:ind w:left="0"/>
        <w:jc w:val="both"/>
      </w:pPr>
      <w:r>
        <w:rPr>
          <w:rFonts w:ascii="Times New Roman"/>
          <w:b w:val="false"/>
          <w:i w:val="false"/>
          <w:color w:val="000000"/>
          <w:sz w:val="28"/>
        </w:rPr>
        <w:t>
      Таблица 2</w:t>
      </w:r>
    </w:p>
    <w:bookmarkEnd w:id="1526"/>
    <w:bookmarkStart w:name="z1509" w:id="1527"/>
    <w:p>
      <w:pPr>
        <w:spacing w:after="0"/>
        <w:ind w:left="0"/>
        <w:jc w:val="both"/>
      </w:pPr>
      <w:r>
        <w:rPr>
          <w:rFonts w:ascii="Times New Roman"/>
          <w:b w:val="false"/>
          <w:i w:val="false"/>
          <w:color w:val="000000"/>
          <w:sz w:val="28"/>
        </w:rPr>
        <w:t>
        Обзор завершенных за отчетный период исследований _________________</w:t>
      </w:r>
    </w:p>
    <w:bookmarkEnd w:id="1527"/>
    <w:bookmarkStart w:name="z1510" w:id="1528"/>
    <w:p>
      <w:pPr>
        <w:spacing w:after="0"/>
        <w:ind w:left="0"/>
        <w:jc w:val="both"/>
      </w:pPr>
      <w:r>
        <w:rPr>
          <w:rFonts w:ascii="Times New Roman"/>
          <w:b w:val="false"/>
          <w:i w:val="false"/>
          <w:color w:val="000000"/>
          <w:sz w:val="28"/>
        </w:rPr>
        <w:t>
                                                     (исследуемый препарат)</w:t>
      </w:r>
    </w:p>
    <w:bookmarkEnd w:id="1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клинического исследования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исследования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исследования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дозирования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Исследуемая популяция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на субъектов (пациентов) по группам лечения (М/Ж)</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511" w:id="1529"/>
    <w:p>
      <w:pPr>
        <w:spacing w:after="0"/>
        <w:ind w:left="0"/>
        <w:jc w:val="both"/>
      </w:pPr>
      <w:r>
        <w:rPr>
          <w:rFonts w:ascii="Times New Roman"/>
          <w:b w:val="false"/>
          <w:i w:val="false"/>
          <w:color w:val="000000"/>
          <w:sz w:val="28"/>
        </w:rPr>
        <w:t>
      Таблица 3</w:t>
      </w:r>
    </w:p>
    <w:bookmarkEnd w:id="1529"/>
    <w:bookmarkStart w:name="z1512" w:id="1530"/>
    <w:p>
      <w:pPr>
        <w:spacing w:after="0"/>
        <w:ind w:left="0"/>
        <w:jc w:val="both"/>
      </w:pPr>
      <w:r>
        <w:rPr>
          <w:rFonts w:ascii="Times New Roman"/>
          <w:b w:val="false"/>
          <w:i w:val="false"/>
          <w:color w:val="000000"/>
          <w:sz w:val="28"/>
        </w:rPr>
        <w:t>
      Оценка общего количества субъектов, подвергшихся воздействию</w:t>
      </w:r>
    </w:p>
    <w:bookmarkEnd w:id="1530"/>
    <w:bookmarkStart w:name="z1513" w:id="1531"/>
    <w:p>
      <w:pPr>
        <w:spacing w:after="0"/>
        <w:ind w:left="0"/>
        <w:jc w:val="both"/>
      </w:pPr>
      <w:r>
        <w:rPr>
          <w:rFonts w:ascii="Times New Roman"/>
          <w:b w:val="false"/>
          <w:i w:val="false"/>
          <w:color w:val="000000"/>
          <w:sz w:val="28"/>
        </w:rPr>
        <w:t>
      исследуемого препарата (оценка кумулятивного воздействия), на</w:t>
      </w:r>
    </w:p>
    <w:bookmarkEnd w:id="1531"/>
    <w:bookmarkStart w:name="z1514" w:id="1532"/>
    <w:p>
      <w:pPr>
        <w:spacing w:after="0"/>
        <w:ind w:left="0"/>
        <w:jc w:val="both"/>
      </w:pPr>
      <w:r>
        <w:rPr>
          <w:rFonts w:ascii="Times New Roman"/>
          <w:b w:val="false"/>
          <w:i w:val="false"/>
          <w:color w:val="000000"/>
          <w:sz w:val="28"/>
        </w:rPr>
        <w:t>
      основании фактических данных из завершенных клинических исследований</w:t>
      </w:r>
    </w:p>
    <w:bookmarkEnd w:id="1532"/>
    <w:bookmarkStart w:name="z1515" w:id="1533"/>
    <w:p>
      <w:pPr>
        <w:spacing w:after="0"/>
        <w:ind w:left="0"/>
        <w:jc w:val="both"/>
      </w:pPr>
      <w:r>
        <w:rPr>
          <w:rFonts w:ascii="Times New Roman"/>
          <w:b w:val="false"/>
          <w:i w:val="false"/>
          <w:color w:val="000000"/>
          <w:sz w:val="28"/>
        </w:rPr>
        <w:t>
      и оценки по методу рандомизации из продолжающихся клинических</w:t>
      </w:r>
    </w:p>
    <w:bookmarkEnd w:id="1533"/>
    <w:bookmarkStart w:name="z1516" w:id="1534"/>
    <w:p>
      <w:pPr>
        <w:spacing w:after="0"/>
        <w:ind w:left="0"/>
        <w:jc w:val="both"/>
      </w:pPr>
      <w:r>
        <w:rPr>
          <w:rFonts w:ascii="Times New Roman"/>
          <w:b w:val="false"/>
          <w:i w:val="false"/>
          <w:color w:val="000000"/>
          <w:sz w:val="28"/>
        </w:rPr>
        <w:t>
      исследований</w:t>
      </w:r>
    </w:p>
    <w:bookmarkEnd w:id="1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субъектов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сравнения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Плацебо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517" w:id="1535"/>
    <w:p>
      <w:pPr>
        <w:spacing w:after="0"/>
        <w:ind w:left="0"/>
        <w:jc w:val="both"/>
      </w:pPr>
      <w:r>
        <w:rPr>
          <w:rFonts w:ascii="Times New Roman"/>
          <w:b w:val="false"/>
          <w:i w:val="false"/>
          <w:color w:val="000000"/>
          <w:sz w:val="28"/>
        </w:rPr>
        <w:t>
      Таблица 4</w:t>
      </w:r>
    </w:p>
    <w:bookmarkEnd w:id="1535"/>
    <w:bookmarkStart w:name="z1518" w:id="1536"/>
    <w:p>
      <w:pPr>
        <w:spacing w:after="0"/>
        <w:ind w:left="0"/>
        <w:jc w:val="both"/>
      </w:pPr>
      <w:r>
        <w:rPr>
          <w:rFonts w:ascii="Times New Roman"/>
          <w:b w:val="false"/>
          <w:i w:val="false"/>
          <w:color w:val="000000"/>
          <w:sz w:val="28"/>
        </w:rPr>
        <w:t>
      Оценка общего количества субъектов, подвергшихся воздействию</w:t>
      </w:r>
    </w:p>
    <w:bookmarkEnd w:id="1536"/>
    <w:bookmarkStart w:name="z1519" w:id="1537"/>
    <w:p>
      <w:pPr>
        <w:spacing w:after="0"/>
        <w:ind w:left="0"/>
        <w:jc w:val="both"/>
      </w:pPr>
      <w:r>
        <w:rPr>
          <w:rFonts w:ascii="Times New Roman"/>
          <w:b w:val="false"/>
          <w:i w:val="false"/>
          <w:color w:val="000000"/>
          <w:sz w:val="28"/>
        </w:rPr>
        <w:t>
      исследуемого препарата (оценка кумулятивного воздействия), на</w:t>
      </w:r>
    </w:p>
    <w:bookmarkEnd w:id="1537"/>
    <w:bookmarkStart w:name="z1520" w:id="1538"/>
    <w:p>
      <w:pPr>
        <w:spacing w:after="0"/>
        <w:ind w:left="0"/>
        <w:jc w:val="both"/>
      </w:pPr>
      <w:r>
        <w:rPr>
          <w:rFonts w:ascii="Times New Roman"/>
          <w:b w:val="false"/>
          <w:i w:val="false"/>
          <w:color w:val="000000"/>
          <w:sz w:val="28"/>
        </w:rPr>
        <w:t>
        основании данных завершенных клинических исследований по возрасту и</w:t>
      </w:r>
    </w:p>
    <w:bookmarkEnd w:id="1538"/>
    <w:bookmarkStart w:name="z1521" w:id="1539"/>
    <w:p>
      <w:pPr>
        <w:spacing w:after="0"/>
        <w:ind w:left="0"/>
        <w:jc w:val="both"/>
      </w:pPr>
      <w:r>
        <w:rPr>
          <w:rFonts w:ascii="Times New Roman"/>
          <w:b w:val="false"/>
          <w:i w:val="false"/>
          <w:color w:val="000000"/>
          <w:sz w:val="28"/>
        </w:rPr>
        <w:t>
      полу*</w:t>
      </w:r>
    </w:p>
    <w:bookmarkEnd w:id="1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субъектов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522" w:id="1540"/>
    <w:p>
      <w:pPr>
        <w:spacing w:after="0"/>
        <w:ind w:left="0"/>
        <w:jc w:val="both"/>
      </w:pPr>
      <w:r>
        <w:rPr>
          <w:rFonts w:ascii="Times New Roman"/>
          <w:b w:val="false"/>
          <w:i w:val="false"/>
          <w:color w:val="000000"/>
          <w:sz w:val="28"/>
        </w:rPr>
        <w:t>
      * Данные завершенных клинических исследований по состоянию на ______.                                                                (дата)</w:t>
      </w:r>
    </w:p>
    <w:bookmarkEnd w:id="1540"/>
    <w:bookmarkStart w:name="z1523" w:id="1541"/>
    <w:p>
      <w:pPr>
        <w:spacing w:after="0"/>
        <w:ind w:left="0"/>
        <w:jc w:val="both"/>
      </w:pPr>
      <w:r>
        <w:rPr>
          <w:rFonts w:ascii="Times New Roman"/>
          <w:b w:val="false"/>
          <w:i w:val="false"/>
          <w:color w:val="000000"/>
          <w:sz w:val="28"/>
        </w:rPr>
        <w:t>
      Таблица 5</w:t>
      </w:r>
    </w:p>
    <w:bookmarkEnd w:id="1541"/>
    <w:bookmarkStart w:name="z1524" w:id="1542"/>
    <w:p>
      <w:pPr>
        <w:spacing w:after="0"/>
        <w:ind w:left="0"/>
        <w:jc w:val="both"/>
      </w:pPr>
      <w:r>
        <w:rPr>
          <w:rFonts w:ascii="Times New Roman"/>
          <w:b w:val="false"/>
          <w:i w:val="false"/>
          <w:color w:val="000000"/>
          <w:sz w:val="28"/>
        </w:rPr>
        <w:t>
      Оценка общего количества субъектов, подвергшихся воздействию</w:t>
      </w:r>
    </w:p>
    <w:bookmarkEnd w:id="1542"/>
    <w:bookmarkStart w:name="z1525" w:id="1543"/>
    <w:p>
      <w:pPr>
        <w:spacing w:after="0"/>
        <w:ind w:left="0"/>
        <w:jc w:val="both"/>
      </w:pPr>
      <w:r>
        <w:rPr>
          <w:rFonts w:ascii="Times New Roman"/>
          <w:b w:val="false"/>
          <w:i w:val="false"/>
          <w:color w:val="000000"/>
          <w:sz w:val="28"/>
        </w:rPr>
        <w:t>
      исследуемого препарата, (оценка кумулятивного воздействия) на</w:t>
      </w:r>
    </w:p>
    <w:bookmarkEnd w:id="1543"/>
    <w:bookmarkStart w:name="z1526" w:id="1544"/>
    <w:p>
      <w:pPr>
        <w:spacing w:after="0"/>
        <w:ind w:left="0"/>
        <w:jc w:val="both"/>
      </w:pPr>
      <w:r>
        <w:rPr>
          <w:rFonts w:ascii="Times New Roman"/>
          <w:b w:val="false"/>
          <w:i w:val="false"/>
          <w:color w:val="000000"/>
          <w:sz w:val="28"/>
        </w:rPr>
        <w:t>
      основании данных завершенных клинических исследований по расовой</w:t>
      </w:r>
    </w:p>
    <w:bookmarkEnd w:id="1544"/>
    <w:bookmarkStart w:name="z1527" w:id="1545"/>
    <w:p>
      <w:pPr>
        <w:spacing w:after="0"/>
        <w:ind w:left="0"/>
        <w:jc w:val="both"/>
      </w:pPr>
      <w:r>
        <w:rPr>
          <w:rFonts w:ascii="Times New Roman"/>
          <w:b w:val="false"/>
          <w:i w:val="false"/>
          <w:color w:val="000000"/>
          <w:sz w:val="28"/>
        </w:rPr>
        <w:t>
      принадлежности</w:t>
      </w:r>
    </w:p>
    <w:bookmarkEnd w:id="1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субъектов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Азиатская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Африканская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Неизвестно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528" w:id="1546"/>
    <w:p>
      <w:pPr>
        <w:spacing w:after="0"/>
        <w:ind w:left="0"/>
        <w:jc w:val="both"/>
      </w:pPr>
      <w:r>
        <w:rPr>
          <w:rFonts w:ascii="Times New Roman"/>
          <w:b w:val="false"/>
          <w:i w:val="false"/>
          <w:color w:val="000000"/>
          <w:sz w:val="28"/>
        </w:rPr>
        <w:t>
      Таблица 6</w:t>
      </w:r>
    </w:p>
    <w:bookmarkEnd w:id="1546"/>
    <w:bookmarkStart w:name="z1529" w:id="1547"/>
    <w:p>
      <w:pPr>
        <w:spacing w:after="0"/>
        <w:ind w:left="0"/>
        <w:jc w:val="both"/>
      </w:pPr>
      <w:r>
        <w:rPr>
          <w:rFonts w:ascii="Times New Roman"/>
          <w:b w:val="false"/>
          <w:i w:val="false"/>
          <w:color w:val="000000"/>
          <w:sz w:val="28"/>
        </w:rPr>
        <w:t>
      Примеры таблиц обобщенных данных о серьезных нежелательных реакциях</w:t>
      </w:r>
    </w:p>
    <w:bookmarkEnd w:id="1547"/>
    <w:bookmarkStart w:name="z1530" w:id="1548"/>
    <w:p>
      <w:pPr>
        <w:spacing w:after="0"/>
        <w:ind w:left="0"/>
        <w:jc w:val="both"/>
      </w:pPr>
      <w:r>
        <w:rPr>
          <w:rFonts w:ascii="Times New Roman"/>
          <w:b w:val="false"/>
          <w:i w:val="false"/>
          <w:color w:val="000000"/>
          <w:sz w:val="28"/>
        </w:rPr>
        <w:t>
      (СНР)</w:t>
      </w:r>
    </w:p>
    <w:bookmarkEnd w:id="1548"/>
    <w:bookmarkStart w:name="z1531" w:id="1549"/>
    <w:p>
      <w:pPr>
        <w:spacing w:after="0"/>
        <w:ind w:left="0"/>
        <w:jc w:val="both"/>
      </w:pPr>
      <w:r>
        <w:rPr>
          <w:rFonts w:ascii="Times New Roman"/>
          <w:b w:val="false"/>
          <w:i w:val="false"/>
          <w:color w:val="000000"/>
          <w:sz w:val="28"/>
        </w:rPr>
        <w:t>
      Структурированный перечень серьезных нежелательных реакций</w:t>
      </w:r>
    </w:p>
    <w:bookmarkEnd w:id="1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 клинического исследования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 сообҒщения о СНР** (ИН* субъекта исследования†)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p>
            <w:pPr>
              <w:spacing w:after="20"/>
              <w:ind w:left="20"/>
              <w:jc w:val="both"/>
            </w:pPr>
            <w:r>
              <w:rPr>
                <w:rFonts w:ascii="Times New Roman"/>
                <w:b w:val="false"/>
                <w:i w:val="false"/>
                <w:color w:val="000000"/>
                <w:sz w:val="20"/>
              </w:rPr>
              <w:t>
Возраст</w:t>
            </w:r>
          </w:p>
          <w:p>
            <w:pPr>
              <w:spacing w:after="20"/>
              <w:ind w:left="20"/>
              <w:jc w:val="both"/>
            </w:pPr>
            <w:r>
              <w:rPr>
                <w:rFonts w:ascii="Times New Roman"/>
                <w:b w:val="false"/>
                <w:i w:val="false"/>
                <w:color w:val="000000"/>
                <w:sz w:val="20"/>
              </w:rPr>
              <w:t>
Пол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p>
            <w:pPr>
              <w:spacing w:after="20"/>
              <w:ind w:left="20"/>
              <w:jc w:val="both"/>
            </w:pPr>
            <w:r>
              <w:rPr>
                <w:rFonts w:ascii="Times New Roman"/>
                <w:b w:val="false"/>
                <w:i w:val="false"/>
                <w:color w:val="000000"/>
                <w:sz w:val="20"/>
              </w:rPr>
              <w:t>
СНР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реакции***</w:t>
            </w:r>
          </w:p>
          <w:p>
            <w:pPr>
              <w:spacing w:after="20"/>
              <w:ind w:left="20"/>
              <w:jc w:val="both"/>
            </w:pPr>
            <w:r>
              <w:rPr>
                <w:rFonts w:ascii="Times New Roman"/>
                <w:b w:val="false"/>
                <w:i w:val="false"/>
                <w:color w:val="000000"/>
                <w:sz w:val="20"/>
              </w:rPr>
              <w:t>
Период от начала приема до начала реакции‡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Подозреваемый лекарственный (исследуемый препарат)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Суточная доза</w:t>
            </w:r>
          </w:p>
          <w:p>
            <w:pPr>
              <w:spacing w:after="20"/>
              <w:ind w:left="20"/>
              <w:jc w:val="both"/>
            </w:pPr>
            <w:r>
              <w:rPr>
                <w:rFonts w:ascii="Times New Roman"/>
                <w:b w:val="false"/>
                <w:i w:val="false"/>
                <w:color w:val="000000"/>
                <w:sz w:val="20"/>
              </w:rPr>
              <w:t>
Способ введения</w:t>
            </w:r>
          </w:p>
          <w:p>
            <w:pPr>
              <w:spacing w:after="20"/>
              <w:ind w:left="20"/>
              <w:jc w:val="both"/>
            </w:pPr>
            <w:r>
              <w:rPr>
                <w:rFonts w:ascii="Times New Roman"/>
                <w:b w:val="false"/>
                <w:i w:val="false"/>
                <w:color w:val="000000"/>
                <w:sz w:val="20"/>
              </w:rPr>
              <w:t>
Лекарственная форма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начала и окончания лечения</w:t>
            </w:r>
          </w:p>
          <w:p>
            <w:pPr>
              <w:spacing w:after="20"/>
              <w:ind w:left="20"/>
              <w:jc w:val="both"/>
            </w:pPr>
            <w:r>
              <w:rPr>
                <w:rFonts w:ascii="Times New Roman"/>
                <w:b w:val="false"/>
                <w:i w:val="false"/>
                <w:color w:val="000000"/>
                <w:sz w:val="20"/>
              </w:rPr>
              <w:t>
Продолжительность лечения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532" w:id="1550"/>
    <w:p>
      <w:pPr>
        <w:spacing w:after="0"/>
        <w:ind w:left="0"/>
        <w:jc w:val="both"/>
      </w:pPr>
      <w:r>
        <w:rPr>
          <w:rFonts w:ascii="Times New Roman"/>
          <w:b w:val="false"/>
          <w:i w:val="false"/>
          <w:color w:val="000000"/>
          <w:sz w:val="28"/>
        </w:rPr>
        <w:t>
      ______________________</w:t>
      </w:r>
    </w:p>
    <w:bookmarkEnd w:id="1550"/>
    <w:bookmarkStart w:name="z1533" w:id="1551"/>
    <w:p>
      <w:pPr>
        <w:spacing w:after="0"/>
        <w:ind w:left="0"/>
        <w:jc w:val="both"/>
      </w:pPr>
      <w:r>
        <w:rPr>
          <w:rFonts w:ascii="Times New Roman"/>
          <w:b w:val="false"/>
          <w:i w:val="false"/>
          <w:color w:val="000000"/>
          <w:sz w:val="28"/>
        </w:rPr>
        <w:t>
      *ИН - идентификационный номер</w:t>
      </w:r>
    </w:p>
    <w:bookmarkEnd w:id="1551"/>
    <w:bookmarkStart w:name="z1534" w:id="1552"/>
    <w:p>
      <w:pPr>
        <w:spacing w:after="0"/>
        <w:ind w:left="0"/>
        <w:jc w:val="both"/>
      </w:pPr>
      <w:r>
        <w:rPr>
          <w:rFonts w:ascii="Times New Roman"/>
          <w:b w:val="false"/>
          <w:i w:val="false"/>
          <w:color w:val="000000"/>
          <w:sz w:val="28"/>
        </w:rPr>
        <w:t>
      ** Исследование (центр, пациент)</w:t>
      </w:r>
    </w:p>
    <w:bookmarkEnd w:id="1552"/>
    <w:bookmarkStart w:name="z1535" w:id="1553"/>
    <w:p>
      <w:pPr>
        <w:spacing w:after="0"/>
        <w:ind w:left="0"/>
        <w:jc w:val="both"/>
      </w:pPr>
      <w:r>
        <w:rPr>
          <w:rFonts w:ascii="Times New Roman"/>
          <w:b w:val="false"/>
          <w:i w:val="false"/>
          <w:color w:val="000000"/>
          <w:sz w:val="28"/>
        </w:rPr>
        <w:t>
      *** Только для первичных сообщений о СНР</w:t>
      </w:r>
    </w:p>
    <w:bookmarkEnd w:id="1553"/>
    <w:bookmarkStart w:name="z1536" w:id="1554"/>
    <w:p>
      <w:pPr>
        <w:spacing w:after="0"/>
        <w:ind w:left="0"/>
        <w:jc w:val="both"/>
      </w:pPr>
      <w:r>
        <w:rPr>
          <w:rFonts w:ascii="Times New Roman"/>
          <w:b w:val="false"/>
          <w:i w:val="false"/>
          <w:color w:val="000000"/>
          <w:sz w:val="28"/>
        </w:rPr>
        <w:t>
      Таблица 7</w:t>
      </w:r>
    </w:p>
    <w:bookmarkEnd w:id="1554"/>
    <w:bookmarkStart w:name="z1537" w:id="1555"/>
    <w:p>
      <w:pPr>
        <w:spacing w:after="0"/>
        <w:ind w:left="0"/>
        <w:jc w:val="both"/>
      </w:pPr>
      <w:r>
        <w:rPr>
          <w:rFonts w:ascii="Times New Roman"/>
          <w:b w:val="false"/>
          <w:i w:val="false"/>
          <w:color w:val="000000"/>
          <w:sz w:val="28"/>
        </w:rPr>
        <w:t>
         Примеры обобщенных (кумулятивных) табличных данных по серьезным</w:t>
      </w:r>
    </w:p>
    <w:bookmarkEnd w:id="1555"/>
    <w:bookmarkStart w:name="z1538" w:id="1556"/>
    <w:p>
      <w:pPr>
        <w:spacing w:after="0"/>
        <w:ind w:left="0"/>
        <w:jc w:val="both"/>
      </w:pPr>
      <w:r>
        <w:rPr>
          <w:rFonts w:ascii="Times New Roman"/>
          <w:b w:val="false"/>
          <w:i w:val="false"/>
          <w:color w:val="000000"/>
          <w:sz w:val="28"/>
        </w:rPr>
        <w:t>
      нежелательным явлениям</w:t>
      </w:r>
    </w:p>
    <w:bookmarkEnd w:id="1556"/>
    <w:bookmarkStart w:name="z1539" w:id="1557"/>
    <w:p>
      <w:pPr>
        <w:spacing w:after="0"/>
        <w:ind w:left="0"/>
        <w:jc w:val="both"/>
      </w:pPr>
      <w:r>
        <w:rPr>
          <w:rFonts w:ascii="Times New Roman"/>
          <w:b w:val="false"/>
          <w:i w:val="false"/>
          <w:color w:val="000000"/>
          <w:sz w:val="28"/>
        </w:rPr>
        <w:t>
      Обобщенная (кумулятивная) таблица по серьезным нежелательным явлениям</w:t>
      </w:r>
    </w:p>
    <w:bookmarkEnd w:id="1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Органо-функциональный класс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по состоянию до 31 декабря 2015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Предпочтительный термин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исследуемого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Ослепленный препарат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сравнения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Плацебо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активности аланинаминотрансферазы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активности аспартатаминотрансферазы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со стороны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Синкопальное состояние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