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8f42" w14:textId="2a48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регистрации и экспертизы лекарственных средств для медицинского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78.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 xml:space="preserve">пунктом 84 </w:t>
      </w:r>
      <w:r>
        <w:rPr>
          <w:rFonts w:ascii="Times New Roman"/>
          <w:b w:val="false"/>
          <w:i w:val="false"/>
          <w:color w:val="000000"/>
          <w:sz w:val="28"/>
        </w:rPr>
        <w:t xml:space="preserve">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лекарственных средств для медицинского применения (далее - Правила).</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а) регистрация, подтверждение регистрации (перерегистрация), внесение изменений в регистрационное досье и иные связанные с регистрацией лекарственных средств для медицинского применения процедуры, предусмотренные законодательством государств - членов Евразийского экономического союза (далее соответственно - государства-члены, Союз) и не завершенные уполномоченными органами государств-членов до 1 января 2016 г., осуществляются в соответствии с законодательством государств-членов;</w:t>
      </w:r>
    </w:p>
    <w:bookmarkEnd w:id="3"/>
    <w:bookmarkStart w:name="z8" w:id="4"/>
    <w:p>
      <w:pPr>
        <w:spacing w:after="0"/>
        <w:ind w:left="0"/>
        <w:jc w:val="both"/>
      </w:pPr>
      <w:r>
        <w:rPr>
          <w:rFonts w:ascii="Times New Roman"/>
          <w:b w:val="false"/>
          <w:i w:val="false"/>
          <w:color w:val="000000"/>
          <w:sz w:val="28"/>
        </w:rPr>
        <w:t>
      б) до 1 июля 2021 г. (в Российской Федерации - до 31 декабря 2020 г.) по выбору заявителя регистрация лекарственного препарата может осуществляться либо в соответствии с Правилами, либо в соответствии с законодательством государства-члена. При этом лекарственные препараты, зарегистрированные в соответствии с законодательством государства-члена, допускаются к обращению только на территории государства-члена, уполномоченный орган которого выдал регистрационное удостоверение;</w:t>
      </w:r>
    </w:p>
    <w:bookmarkEnd w:id="4"/>
    <w:bookmarkStart w:name="z9" w:id="5"/>
    <w:p>
      <w:pPr>
        <w:spacing w:after="0"/>
        <w:ind w:left="0"/>
        <w:jc w:val="both"/>
      </w:pPr>
      <w:r>
        <w:rPr>
          <w:rFonts w:ascii="Times New Roman"/>
          <w:b w:val="false"/>
          <w:i w:val="false"/>
          <w:color w:val="000000"/>
          <w:sz w:val="28"/>
        </w:rPr>
        <w:t>
      в) действие регистрационных удостоверений лекарственных препаратов, заявленных на регистрацию (проведение экспертных работ с целью регистрации) в соответствии с законодательством государств-членов до 1 июля 2021 г., может быть продлено в соответствии с законодательством государств-членов, но не более чем до 31 декабря 2025 г. При этом внесение изменений в регистрационные досье таких лекарственных препаратов, сформированные в соответствии с законодательством государств-членов, осуществляется согласно законодательству государств-членов не позднее 31 декабря 2025 г.;</w:t>
      </w:r>
    </w:p>
    <w:bookmarkEnd w:id="5"/>
    <w:bookmarkStart w:name="z10" w:id="6"/>
    <w:p>
      <w:pPr>
        <w:spacing w:after="0"/>
        <w:ind w:left="0"/>
        <w:jc w:val="both"/>
      </w:pPr>
      <w:r>
        <w:rPr>
          <w:rFonts w:ascii="Times New Roman"/>
          <w:b w:val="false"/>
          <w:i w:val="false"/>
          <w:color w:val="000000"/>
          <w:sz w:val="28"/>
        </w:rPr>
        <w:t>
      г) лекарственные препараты, зарегистрированные в соответствии с законодательством государств-членов, должны быть приведены в соответствие с требованиями международных договоров и актов, составляющих право Союза, до 31 декабря 2025 г. с применением процедуры, установленной разделом XIII Правил;</w:t>
      </w:r>
    </w:p>
    <w:bookmarkEnd w:id="6"/>
    <w:bookmarkStart w:name="z11" w:id="7"/>
    <w:p>
      <w:pPr>
        <w:spacing w:after="0"/>
        <w:ind w:left="0"/>
        <w:jc w:val="both"/>
      </w:pPr>
      <w:r>
        <w:rPr>
          <w:rFonts w:ascii="Times New Roman"/>
          <w:b w:val="false"/>
          <w:i w:val="false"/>
          <w:color w:val="000000"/>
          <w:sz w:val="28"/>
        </w:rPr>
        <w:t>
      д) регистрационные удостоверения лекарственных препаратов, выданные в соответствии с законодательством государств-членов, действительны до окончания срока их действия, предусмотренного подпунктом "в" настоящего пункта, за исключением регистрационных удостоверений лекарственных препаратов, в отношении которых до 31 декабря 2025 г. в уполномоченный орган (экспертную организацию) референтного государства представлены заявления о приведении регистрационных досье лекарственных препаратов, зарегистрированных по правилам государства-члена, в соответствие с требованиями международных договоров и актов, составляющих право Союза, с применением процедуры, установленной разделом XIII настоящих Правил, или заявления о внесении изменений в регистрационные досье лекарственных препаратов, связанных с указанием государств признания, в которых лекарственные препараты были ранее зарегистрированы, срок действия которых устанавливается в соответствии с подпунктом "е" настоящего пункта;</w:t>
      </w:r>
    </w:p>
    <w:bookmarkEnd w:id="7"/>
    <w:bookmarkStart w:name="z12664" w:id="8"/>
    <w:p>
      <w:pPr>
        <w:spacing w:after="0"/>
        <w:ind w:left="0"/>
        <w:jc w:val="both"/>
      </w:pPr>
      <w:r>
        <w:rPr>
          <w:rFonts w:ascii="Times New Roman"/>
          <w:b w:val="false"/>
          <w:i w:val="false"/>
          <w:color w:val="000000"/>
          <w:sz w:val="28"/>
        </w:rPr>
        <w:t xml:space="preserve">
      е) действие регистрационных удостоверений лекарственных препаратов, в отношении которых до 31 декабря 2025 г. в уполномоченный орган (экспертную организацию) референтного государства представлены заявления о приведении регистрационных досье лекарственных препаратов, зарегистрированных по правилам государств-членов, в соответствие с требованиями международных договоров и актов, составляющих право Союза, с применением процедуры, установленной разделом XIII настоящих Правил, или заявления о внесении изменений в регистрационные досье лекарственных препаратов, связанных с указанием государств признания, в которых лекарственные препараты были ранее зарегистрированы, и в отношении которых заявителем не завершена указанная процедура по состоянию на указанную дату в референтном государстве, продлевается на период проведения процедуры, но не более чем на 3 года в каждом из заявленных государств-членов с даты подачи заявления в референтное государство и дополнительно на период проведения указанной процедуры в государстве признания, но не более чем на 2 года с даты подачи заявления в государство признания. При этом заявление в государство признания должно быть подано не позднее даты истечения 3-летнего срока от даты подачи заявления в референтное государство. </w:t>
      </w:r>
    </w:p>
    <w:bookmarkEnd w:id="8"/>
    <w:p>
      <w:pPr>
        <w:spacing w:after="0"/>
        <w:ind w:left="0"/>
        <w:jc w:val="both"/>
      </w:pPr>
      <w:r>
        <w:rPr>
          <w:rFonts w:ascii="Times New Roman"/>
          <w:b w:val="false"/>
          <w:i w:val="false"/>
          <w:color w:val="000000"/>
          <w:sz w:val="28"/>
        </w:rPr>
        <w:t>
      Действие регистрационных удостоверений лекарственных препаратов, в отношении которых процедура приведения регистрационного досье в соответствие с требованиями международных договоров и актов, составляющих право Союза, завершена в референтном государстве до 31 декабря 2025 г., либо в отношении которых инициирована до 31 декабря 2025 г. процедура внесения изменений в регистрационное досье, связанных с указанием государств признания, в которых лекарственный препарат был ранее зарегистрирован, продлевается в заявленных государствах признания на срок выполнения процедуры, но не более чем на 2 года начиная с 31 декабря 2025 г.;</w:t>
      </w:r>
    </w:p>
    <w:p>
      <w:pPr>
        <w:spacing w:after="0"/>
        <w:ind w:left="0"/>
        <w:jc w:val="both"/>
      </w:pPr>
      <w:r>
        <w:rPr>
          <w:rFonts w:ascii="Times New Roman"/>
          <w:b w:val="false"/>
          <w:i w:val="false"/>
          <w:color w:val="000000"/>
          <w:sz w:val="28"/>
        </w:rPr>
        <w:t>
      ж) в реестрах лекарственных средств государств-членов уполномоченные органы (организации) вправе указывать сведения о статусе регистрации лекарственного препарата с учетом положений настоящих Правил о его продлении.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23.12.2020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12.09.2025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Государствам-членам в срок до 31 декабря 2016 года:</w:t>
      </w:r>
    </w:p>
    <w:bookmarkEnd w:id="9"/>
    <w:bookmarkStart w:name="z13" w:id="10"/>
    <w:p>
      <w:pPr>
        <w:spacing w:after="0"/>
        <w:ind w:left="0"/>
        <w:jc w:val="both"/>
      </w:pPr>
      <w:r>
        <w:rPr>
          <w:rFonts w:ascii="Times New Roman"/>
          <w:b w:val="false"/>
          <w:i w:val="false"/>
          <w:color w:val="000000"/>
          <w:sz w:val="28"/>
        </w:rPr>
        <w:t>
      а) утвердить размер сборов (пошлин) или иных обязательных платежей, предусмотренных Правилами, с учетом сложности процедур и объема работ, выполняемых в референтном государстве и государствах признания, в том числе при:</w:t>
      </w:r>
    </w:p>
    <w:bookmarkEnd w:id="10"/>
    <w:bookmarkStart w:name="z14" w:id="11"/>
    <w:p>
      <w:pPr>
        <w:spacing w:after="0"/>
        <w:ind w:left="0"/>
        <w:jc w:val="both"/>
      </w:pPr>
      <w:r>
        <w:rPr>
          <w:rFonts w:ascii="Times New Roman"/>
          <w:b w:val="false"/>
          <w:i w:val="false"/>
          <w:color w:val="000000"/>
          <w:sz w:val="28"/>
        </w:rPr>
        <w:t>
      регистрации лекарственного препарата;</w:t>
      </w:r>
    </w:p>
    <w:bookmarkEnd w:id="11"/>
    <w:bookmarkStart w:name="z15" w:id="12"/>
    <w:p>
      <w:pPr>
        <w:spacing w:after="0"/>
        <w:ind w:left="0"/>
        <w:jc w:val="both"/>
      </w:pPr>
      <w:r>
        <w:rPr>
          <w:rFonts w:ascii="Times New Roman"/>
          <w:b w:val="false"/>
          <w:i w:val="false"/>
          <w:color w:val="000000"/>
          <w:sz w:val="28"/>
        </w:rPr>
        <w:t>
      подтверждении регистрации (перерегистрации) лекарственного препарата;</w:t>
      </w:r>
    </w:p>
    <w:bookmarkEnd w:id="12"/>
    <w:bookmarkStart w:name="z16" w:id="13"/>
    <w:p>
      <w:pPr>
        <w:spacing w:after="0"/>
        <w:ind w:left="0"/>
        <w:jc w:val="both"/>
      </w:pPr>
      <w:r>
        <w:rPr>
          <w:rFonts w:ascii="Times New Roman"/>
          <w:b w:val="false"/>
          <w:i w:val="false"/>
          <w:color w:val="000000"/>
          <w:sz w:val="28"/>
        </w:rPr>
        <w:t>
      приведении регистрационного досье лекарственного препарата в соответствие с требованиями международных договоров и актов, составляющих право Союза;</w:t>
      </w:r>
    </w:p>
    <w:bookmarkEnd w:id="13"/>
    <w:bookmarkStart w:name="z17" w:id="14"/>
    <w:p>
      <w:pPr>
        <w:spacing w:after="0"/>
        <w:ind w:left="0"/>
        <w:jc w:val="both"/>
      </w:pPr>
      <w:r>
        <w:rPr>
          <w:rFonts w:ascii="Times New Roman"/>
          <w:b w:val="false"/>
          <w:i w:val="false"/>
          <w:color w:val="000000"/>
          <w:sz w:val="28"/>
        </w:rPr>
        <w:t>
      б) определить органы (организации), уполномоченные на осуществление регистрации, подтверждение регистрации (перерегистрации), внесение изменений в регистрационное досье и иные связанные с регистрацией лекарственных средств для медицинского применения процедуры, предусмотренные Правилами, и проинформировать об этом Евразийскую экономическую комиссию.</w:t>
      </w:r>
    </w:p>
    <w:bookmarkEnd w:id="14"/>
    <w:bookmarkStart w:name="z18" w:id="15"/>
    <w:p>
      <w:pPr>
        <w:spacing w:after="0"/>
        <w:ind w:left="0"/>
        <w:jc w:val="both"/>
      </w:pPr>
      <w:r>
        <w:rPr>
          <w:rFonts w:ascii="Times New Roman"/>
          <w:b w:val="false"/>
          <w:i w:val="false"/>
          <w:color w:val="000000"/>
          <w:sz w:val="28"/>
        </w:rPr>
        <w:t>
      4.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15"/>
    <w:bookmarkStart w:name="z2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3 ноября 2016 г. № 78 </w:t>
            </w:r>
          </w:p>
        </w:tc>
      </w:tr>
    </w:tbl>
    <w:bookmarkStart w:name="z24" w:id="17"/>
    <w:p>
      <w:pPr>
        <w:spacing w:after="0"/>
        <w:ind w:left="0"/>
        <w:jc w:val="left"/>
      </w:pPr>
      <w:r>
        <w:rPr>
          <w:rFonts w:ascii="Times New Roman"/>
          <w:b/>
          <w:i w:val="false"/>
          <w:color w:val="000000"/>
        </w:rPr>
        <w:t xml:space="preserve"> ПРАВИЛА РЕГИСТРАЦИИ И ЭКСПЕРТИЗЫ ЛЕКАРСТВЕННЫХ СРЕДСТВ ДЛЯ МЕДИЦИНСКОГО ПРИМЕНЕНИЯ </w:t>
      </w:r>
    </w:p>
    <w:bookmarkEnd w:id="17"/>
    <w:p>
      <w:pPr>
        <w:spacing w:after="0"/>
        <w:ind w:left="0"/>
        <w:jc w:val="both"/>
      </w:pPr>
      <w:r>
        <w:rPr>
          <w:rFonts w:ascii="Times New Roman"/>
          <w:b w:val="false"/>
          <w:i w:val="false"/>
          <w:color w:val="ff0000"/>
          <w:sz w:val="28"/>
        </w:rPr>
        <w:t>
      Сноска. По тексту:</w:t>
      </w:r>
    </w:p>
    <w:p>
      <w:pPr>
        <w:spacing w:after="0"/>
        <w:ind w:left="0"/>
        <w:jc w:val="both"/>
      </w:pPr>
      <w:r>
        <w:rPr>
          <w:rFonts w:ascii="Times New Roman"/>
          <w:b w:val="false"/>
          <w:i w:val="false"/>
          <w:color w:val="000000"/>
          <w:sz w:val="28"/>
        </w:rPr>
        <w:t>
      слова "план управления рисками при применении лекарственного препарата" заменены словами "план управления рисками";</w:t>
      </w:r>
    </w:p>
    <w:p>
      <w:pPr>
        <w:spacing w:after="0"/>
        <w:ind w:left="0"/>
        <w:jc w:val="both"/>
      </w:pPr>
      <w:r>
        <w:rPr>
          <w:rFonts w:ascii="Times New Roman"/>
          <w:b w:val="false"/>
          <w:i w:val="false"/>
          <w:color w:val="000000"/>
          <w:sz w:val="28"/>
        </w:rPr>
        <w:t xml:space="preserve">
      слово "заявка" заменено словом "заявление" в соответствующем числе и падеже в соответствии с Решением Коллегии Евразийской экономической комиссии от 30.01.2020 </w:t>
      </w:r>
      <w:r>
        <w:rPr>
          <w:rFonts w:ascii="Times New Roman"/>
          <w:b w:val="false"/>
          <w:i w:val="false"/>
          <w:color w:val="000000"/>
          <w:sz w:val="28"/>
        </w:rPr>
        <w:t>№ 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"Сфера дизайна" заменить словами "Проектное поле"; слова "сфера дизайна" в соответствующем падеже заменить словами "проектное поле" в соответствующем падеже; слова "сфера дизайна (проектное поле)" в соответствующем падеже заменить словами "проектное поле" в соответствующем падеже; слова "проектное поле (сфера дизайна)" в соответствующем падеже заменены словами "проектное поле" в соответствующем падеже  решением Совета Евразийской экономической комиссии от 26.11.2025 </w:t>
      </w:r>
      <w:r>
        <w:rPr>
          <w:rFonts w:ascii="Times New Roman"/>
          <w:b w:val="false"/>
          <w:i w:val="false"/>
          <w:color w:val="000000"/>
          <w:sz w:val="28"/>
        </w:rPr>
        <w:t>№ 93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25" w:id="18"/>
    <w:p>
      <w:pPr>
        <w:spacing w:after="0"/>
        <w:ind w:left="0"/>
        <w:jc w:val="left"/>
      </w:pPr>
      <w:r>
        <w:rPr>
          <w:rFonts w:ascii="Times New Roman"/>
          <w:b/>
          <w:i w:val="false"/>
          <w:color w:val="000000"/>
        </w:rPr>
        <w:t xml:space="preserve"> I. Общие положения </w:t>
      </w:r>
    </w:p>
    <w:bookmarkEnd w:id="18"/>
    <w:bookmarkStart w:name="z26" w:id="19"/>
    <w:p>
      <w:pPr>
        <w:spacing w:after="0"/>
        <w:ind w:left="0"/>
        <w:jc w:val="both"/>
      </w:pPr>
      <w:r>
        <w:rPr>
          <w:rFonts w:ascii="Times New Roman"/>
          <w:b w:val="false"/>
          <w:i w:val="false"/>
          <w:color w:val="000000"/>
          <w:sz w:val="28"/>
        </w:rPr>
        <w:t>
      1. Настоящие Правила определяют порядок осуществления регистрации, подтверждения регистрации (перерегистрации), внесения изменений в регистрационное досье и экспертизы лекарственных препаратов для медицинского применения в целях формирования общего рынка лекарственных средств в рамках Евразийского экономического союза (далее - Союз), а также иных связанных с регистрацией лекарственных препаратов для медицинского применения процедур (далее - процедуры, связанные с регистрацией), включающих в себя:</w:t>
      </w:r>
    </w:p>
    <w:bookmarkEnd w:id="19"/>
    <w:bookmarkStart w:name="z27" w:id="20"/>
    <w:p>
      <w:pPr>
        <w:spacing w:after="0"/>
        <w:ind w:left="0"/>
        <w:jc w:val="both"/>
      </w:pPr>
      <w:r>
        <w:rPr>
          <w:rFonts w:ascii="Times New Roman"/>
          <w:b w:val="false"/>
          <w:i w:val="false"/>
          <w:color w:val="000000"/>
          <w:sz w:val="28"/>
        </w:rPr>
        <w:t>
      а) приведение регистрационного досье лекарственного препарата, зарегистрированного по национальной процедуре в государствах – членах Союза (далее – государства-члены), в соответствие с настоящими Правилами (далее – приведение в соответствие с требованиями Союза);</w:t>
      </w:r>
    </w:p>
    <w:bookmarkEnd w:id="20"/>
    <w:bookmarkStart w:name="z28" w:id="21"/>
    <w:p>
      <w:pPr>
        <w:spacing w:after="0"/>
        <w:ind w:left="0"/>
        <w:jc w:val="both"/>
      </w:pPr>
      <w:r>
        <w:rPr>
          <w:rFonts w:ascii="Times New Roman"/>
          <w:b w:val="false"/>
          <w:i w:val="false"/>
          <w:color w:val="000000"/>
          <w:sz w:val="28"/>
        </w:rPr>
        <w:t>
      б) приостановление и отмену регистрации лекарственных препаратов или ограничение применения лекарственного препарата;</w:t>
      </w:r>
    </w:p>
    <w:bookmarkEnd w:id="21"/>
    <w:bookmarkStart w:name="z29" w:id="22"/>
    <w:p>
      <w:pPr>
        <w:spacing w:after="0"/>
        <w:ind w:left="0"/>
        <w:jc w:val="both"/>
      </w:pPr>
      <w:r>
        <w:rPr>
          <w:rFonts w:ascii="Times New Roman"/>
          <w:b w:val="false"/>
          <w:i w:val="false"/>
          <w:color w:val="000000"/>
          <w:sz w:val="28"/>
        </w:rPr>
        <w:t>
      в) выдачу дубликатов регистрационного удостоверения лекарственного препарата.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2. Требования настоящих Правил распространяются на разработчиков и производителей лекарственных средств, держателей регистрационных удостоверений лекарственных препаратов, их доверенных лиц, уполномоченные органы (экспертные организации) государств-членов в сфере обращения лекарственных средств.</w:t>
      </w:r>
    </w:p>
    <w:bookmarkEnd w:id="23"/>
    <w:bookmarkStart w:name="z31" w:id="24"/>
    <w:p>
      <w:pPr>
        <w:spacing w:after="0"/>
        <w:ind w:left="0"/>
        <w:jc w:val="both"/>
      </w:pPr>
      <w:r>
        <w:rPr>
          <w:rFonts w:ascii="Times New Roman"/>
          <w:b w:val="false"/>
          <w:i w:val="false"/>
          <w:color w:val="000000"/>
          <w:sz w:val="28"/>
        </w:rPr>
        <w:t>
      3. Требования настоящих Правил не применяются в отношении:</w:t>
      </w:r>
    </w:p>
    <w:bookmarkEnd w:id="24"/>
    <w:bookmarkStart w:name="z32" w:id="25"/>
    <w:p>
      <w:pPr>
        <w:spacing w:after="0"/>
        <w:ind w:left="0"/>
        <w:jc w:val="both"/>
      </w:pPr>
      <w:r>
        <w:rPr>
          <w:rFonts w:ascii="Times New Roman"/>
          <w:b w:val="false"/>
          <w:i w:val="false"/>
          <w:color w:val="000000"/>
          <w:sz w:val="28"/>
        </w:rPr>
        <w:t>
      а) лекарственных препаратов, которые предназначены для применения в условиях военных действий, чрезвычайных ситуаций, для профилактики и лечения заболеваний и поражений, полученных в результате воздействия химических, биологических, радиационных факторов, разработаны по заданию уполномоченных в области безопасности и обороны органов государственной власти государств-членов и обращение которых регулируется законодательством государств-членов;</w:t>
      </w:r>
    </w:p>
    <w:bookmarkEnd w:id="25"/>
    <w:bookmarkStart w:name="z11816" w:id="26"/>
    <w:p>
      <w:pPr>
        <w:spacing w:after="0"/>
        <w:ind w:left="0"/>
        <w:jc w:val="both"/>
      </w:pPr>
      <w:r>
        <w:rPr>
          <w:rFonts w:ascii="Times New Roman"/>
          <w:b w:val="false"/>
          <w:i w:val="false"/>
          <w:color w:val="000000"/>
          <w:sz w:val="28"/>
        </w:rPr>
        <w:t>
      а</w:t>
      </w:r>
      <w:r>
        <w:rPr>
          <w:rFonts w:ascii="Times New Roman"/>
          <w:b w:val="false"/>
          <w:i w:val="false"/>
          <w:color w:val="000000"/>
          <w:vertAlign w:val="superscript"/>
        </w:rPr>
        <w:t>1</w:t>
      </w:r>
      <w:r>
        <w:rPr>
          <w:rFonts w:ascii="Times New Roman"/>
          <w:b w:val="false"/>
          <w:i w:val="false"/>
          <w:color w:val="000000"/>
          <w:sz w:val="28"/>
        </w:rPr>
        <w:t>) лекарственных препаратов, которые предназначены для применения в условиях чрезвычайных ситуаций, угрозы их возникновения или возникновения чрезвычайных ситуаций, для профилактики и лечения заболеваний и поражений, представляющих опасность для окружающих, полученных в результате воздействия химических, биологических, радиационных факторов, обращение которых регулируется законодательством государств-членов;</w:t>
      </w:r>
    </w:p>
    <w:bookmarkEnd w:id="26"/>
    <w:bookmarkStart w:name="z33" w:id="27"/>
    <w:p>
      <w:pPr>
        <w:spacing w:after="0"/>
        <w:ind w:left="0"/>
        <w:jc w:val="both"/>
      </w:pPr>
      <w:r>
        <w:rPr>
          <w:rFonts w:ascii="Times New Roman"/>
          <w:b w:val="false"/>
          <w:i w:val="false"/>
          <w:color w:val="000000"/>
          <w:sz w:val="28"/>
        </w:rPr>
        <w:t>
      б) ветеринарных лекарственных препаратов, обращение которых регулируется иными актами, входящими право Союза.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4. Регистрации в соответствии с настоящими Правилами подлежат лекарственные препараты, предназначенные для обращения на общем рынке лекарственных средств в рамках Союза или на территории одного из государств-членов.</w:t>
      </w:r>
    </w:p>
    <w:bookmarkEnd w:id="28"/>
    <w:bookmarkStart w:name="z35" w:id="29"/>
    <w:p>
      <w:pPr>
        <w:spacing w:after="0"/>
        <w:ind w:left="0"/>
        <w:jc w:val="both"/>
      </w:pPr>
      <w:r>
        <w:rPr>
          <w:rFonts w:ascii="Times New Roman"/>
          <w:b w:val="false"/>
          <w:i w:val="false"/>
          <w:color w:val="000000"/>
          <w:sz w:val="28"/>
        </w:rPr>
        <w:t>
      5. Регистрации в рамках Союза не подлежат:</w:t>
      </w:r>
    </w:p>
    <w:bookmarkEnd w:id="29"/>
    <w:bookmarkStart w:name="z36" w:id="30"/>
    <w:p>
      <w:pPr>
        <w:spacing w:after="0"/>
        <w:ind w:left="0"/>
        <w:jc w:val="both"/>
      </w:pPr>
      <w:r>
        <w:rPr>
          <w:rFonts w:ascii="Times New Roman"/>
          <w:b w:val="false"/>
          <w:i w:val="false"/>
          <w:color w:val="000000"/>
          <w:sz w:val="28"/>
        </w:rPr>
        <w:t>
      а) лекарственные препараты, изготовленные в аптеках;</w:t>
      </w:r>
    </w:p>
    <w:bookmarkEnd w:id="30"/>
    <w:bookmarkStart w:name="z37" w:id="31"/>
    <w:p>
      <w:pPr>
        <w:spacing w:after="0"/>
        <w:ind w:left="0"/>
        <w:jc w:val="both"/>
      </w:pPr>
      <w:r>
        <w:rPr>
          <w:rFonts w:ascii="Times New Roman"/>
          <w:b w:val="false"/>
          <w:i w:val="false"/>
          <w:color w:val="000000"/>
          <w:sz w:val="28"/>
        </w:rPr>
        <w:t>
      б) фармацевтические субстанции;</w:t>
      </w:r>
    </w:p>
    <w:bookmarkEnd w:id="31"/>
    <w:bookmarkStart w:name="z38" w:id="32"/>
    <w:p>
      <w:pPr>
        <w:spacing w:after="0"/>
        <w:ind w:left="0"/>
        <w:jc w:val="both"/>
      </w:pPr>
      <w:r>
        <w:rPr>
          <w:rFonts w:ascii="Times New Roman"/>
          <w:b w:val="false"/>
          <w:i w:val="false"/>
          <w:color w:val="000000"/>
          <w:sz w:val="28"/>
        </w:rPr>
        <w:t>
      в) лекарственные препараты, предназначенные для проведения доклинических и клинических исследований;</w:t>
      </w:r>
    </w:p>
    <w:bookmarkEnd w:id="32"/>
    <w:bookmarkStart w:name="z39" w:id="33"/>
    <w:p>
      <w:pPr>
        <w:spacing w:after="0"/>
        <w:ind w:left="0"/>
        <w:jc w:val="both"/>
      </w:pPr>
      <w:r>
        <w:rPr>
          <w:rFonts w:ascii="Times New Roman"/>
          <w:b w:val="false"/>
          <w:i w:val="false"/>
          <w:color w:val="000000"/>
          <w:sz w:val="28"/>
        </w:rPr>
        <w:t>
      г) лекарственные средства, ввезенные физическими лицами для личного применения;</w:t>
      </w:r>
    </w:p>
    <w:bookmarkEnd w:id="33"/>
    <w:bookmarkStart w:name="z40" w:id="34"/>
    <w:p>
      <w:pPr>
        <w:spacing w:after="0"/>
        <w:ind w:left="0"/>
        <w:jc w:val="both"/>
      </w:pPr>
      <w:r>
        <w:rPr>
          <w:rFonts w:ascii="Times New Roman"/>
          <w:b w:val="false"/>
          <w:i w:val="false"/>
          <w:color w:val="000000"/>
          <w:sz w:val="28"/>
        </w:rPr>
        <w:t>
      д) радиофармацевтические лекарственные препараты, изготовленные непосредственно в медицинских организациях в порядке, установленном уполномоченными органами государств-членов;</w:t>
      </w:r>
    </w:p>
    <w:bookmarkEnd w:id="34"/>
    <w:bookmarkStart w:name="z41" w:id="35"/>
    <w:p>
      <w:pPr>
        <w:spacing w:after="0"/>
        <w:ind w:left="0"/>
        <w:jc w:val="both"/>
      </w:pPr>
      <w:r>
        <w:rPr>
          <w:rFonts w:ascii="Times New Roman"/>
          <w:b w:val="false"/>
          <w:i w:val="false"/>
          <w:color w:val="000000"/>
          <w:sz w:val="28"/>
        </w:rPr>
        <w:t>
      е) лекарственные препараты, не предназначенные для реализации на таможенной территории Союза;</w:t>
      </w:r>
    </w:p>
    <w:bookmarkEnd w:id="35"/>
    <w:bookmarkStart w:name="z42" w:id="36"/>
    <w:p>
      <w:pPr>
        <w:spacing w:after="0"/>
        <w:ind w:left="0"/>
        <w:jc w:val="both"/>
      </w:pPr>
      <w:r>
        <w:rPr>
          <w:rFonts w:ascii="Times New Roman"/>
          <w:b w:val="false"/>
          <w:i w:val="false"/>
          <w:color w:val="000000"/>
          <w:sz w:val="28"/>
        </w:rPr>
        <w:t>
      ж) образцы лекарственных препаратов, предназначенные для регистрации, и стандартные образцы;</w:t>
      </w:r>
    </w:p>
    <w:bookmarkEnd w:id="36"/>
    <w:bookmarkStart w:name="z43" w:id="37"/>
    <w:p>
      <w:pPr>
        <w:spacing w:after="0"/>
        <w:ind w:left="0"/>
        <w:jc w:val="both"/>
      </w:pPr>
      <w:r>
        <w:rPr>
          <w:rFonts w:ascii="Times New Roman"/>
          <w:b w:val="false"/>
          <w:i w:val="false"/>
          <w:color w:val="000000"/>
          <w:sz w:val="28"/>
        </w:rPr>
        <w:t>
      з) лекарственные препараты, предназначенные для использования в качестве выставочных образцов.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817" w:id="38"/>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В случаях и порядке, предусмотренных законодательством государств-членов, допускается предоставление пациентам и применение в отношении их незарегистрированных лекарственных препаратов. К таким лекарственным препаратам относятся в том числе:</w:t>
      </w:r>
    </w:p>
    <w:bookmarkEnd w:id="38"/>
    <w:bookmarkStart w:name="z11818" w:id="39"/>
    <w:p>
      <w:pPr>
        <w:spacing w:after="0"/>
        <w:ind w:left="0"/>
        <w:jc w:val="both"/>
      </w:pPr>
      <w:r>
        <w:rPr>
          <w:rFonts w:ascii="Times New Roman"/>
          <w:b w:val="false"/>
          <w:i w:val="false"/>
          <w:color w:val="000000"/>
          <w:sz w:val="28"/>
        </w:rPr>
        <w:t>
      лекарственные препараты, ввозимые в государство-член для оказания медицинской помощи по жизненным показаниям конкретного пациента либо для оказания медицинской помощи ограниченной группе пациентов с редкой и (или) особо тяжелой патологией, на основании заключения (разрешительного документа), выданного уполномоченным органом государства-члена;</w:t>
      </w:r>
    </w:p>
    <w:bookmarkEnd w:id="39"/>
    <w:bookmarkStart w:name="z11819" w:id="40"/>
    <w:p>
      <w:pPr>
        <w:spacing w:after="0"/>
        <w:ind w:left="0"/>
        <w:jc w:val="both"/>
      </w:pPr>
      <w:r>
        <w:rPr>
          <w:rFonts w:ascii="Times New Roman"/>
          <w:b w:val="false"/>
          <w:i w:val="false"/>
          <w:color w:val="000000"/>
          <w:sz w:val="28"/>
        </w:rPr>
        <w:t>
      высокотехнологические лекарственные препараты, изготавливаемые на нестандартизированной (нерутинной) основе и применяемые на территории того же государства-члена в лечебно-профилактическом учреждении в целях исполнения индивидуального медицинского назначения лекарственного препарата, специально произведенного для отдельного пациента.</w:t>
      </w:r>
    </w:p>
    <w:bookmarkEnd w:id="40"/>
    <w:bookmarkStart w:name="z11820" w:id="41"/>
    <w:p>
      <w:pPr>
        <w:spacing w:after="0"/>
        <w:ind w:left="0"/>
        <w:jc w:val="both"/>
      </w:pPr>
      <w:r>
        <w:rPr>
          <w:rFonts w:ascii="Times New Roman"/>
          <w:b w:val="false"/>
          <w:i w:val="false"/>
          <w:color w:val="000000"/>
          <w:sz w:val="28"/>
        </w:rPr>
        <w:t>
      Производство таких высокотехнологических лекарственных препаратов разрешается уполномоченным органом государства-члена. Государства-члены обязаны обеспечить эквивалентность требований, предъявляемых к прослеживаемости серий и партий лекарственных препаратов, установленных законодательством государств-членов, и к фармаконадзору в соответствии с актами органов Союза.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измнением, внесенным решением Совета Евразийской экономической комиссии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6. При признании лекарственного препарата орфанным на территориях всех или нескольких государств-членов в соответствии с законодательством государств-членов регистрация такого лекарственного препарата осуществляется в соответствии с разделами V и VII или разделами VI и VII настоящих Правил, а также в соответствии с требованиями раздела 16 части III приложения № 1 к настоящим Правилам.</w:t>
      </w:r>
    </w:p>
    <w:bookmarkEnd w:id="42"/>
    <w:bookmarkStart w:name="z45" w:id="43"/>
    <w:p>
      <w:pPr>
        <w:spacing w:after="0"/>
        <w:ind w:left="0"/>
        <w:jc w:val="both"/>
      </w:pPr>
      <w:r>
        <w:rPr>
          <w:rFonts w:ascii="Times New Roman"/>
          <w:b w:val="false"/>
          <w:i w:val="false"/>
          <w:color w:val="000000"/>
          <w:sz w:val="28"/>
        </w:rPr>
        <w:t>
      При непризнании лекарственного препарата орфанным на территории какого-либо государства-члена в соответствии с законодательством этого государства регистрация такого лекарственного препарата осуществляется в этом государстве в соответствии с требованиями подраздела I раздела V настоящих Правил и приложения № 1 к настоящим Правилам.</w:t>
      </w:r>
    </w:p>
    <w:bookmarkEnd w:id="43"/>
    <w:bookmarkStart w:name="z11821" w:id="44"/>
    <w:p>
      <w:pPr>
        <w:spacing w:after="0"/>
        <w:ind w:left="0"/>
        <w:jc w:val="both"/>
      </w:pPr>
      <w:r>
        <w:rPr>
          <w:rFonts w:ascii="Times New Roman"/>
          <w:b w:val="false"/>
          <w:i w:val="false"/>
          <w:color w:val="000000"/>
          <w:sz w:val="28"/>
        </w:rPr>
        <w:t>
      В случае если лекарственный препарат предназначен для лечения орфанного заболевания, включенного в перечни, которые ведутся в соответствии с законодательством отдельного государства-члена, регистрация такого лекарственного препарата данным в референтном государстве в соответствии с настоящими Правилами с целью обращения лекарственного препарата на рынке только этого государства (национальная процедура регистрации) осуществляется в соответствии с разделами V и VII или разделами VI и VII настоящих Правил, а также в соответствии с положениями раздела 16 части III приложения № 1 к настоящим Правилам.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7. Запрещается регистрация под одним торговым наименованием лекарственных препаратов, имеющих различный качественный состав действующих веществ.</w:t>
      </w:r>
    </w:p>
    <w:bookmarkEnd w:id="45"/>
    <w:bookmarkStart w:name="z47" w:id="46"/>
    <w:p>
      <w:pPr>
        <w:spacing w:after="0"/>
        <w:ind w:left="0"/>
        <w:jc w:val="both"/>
      </w:pPr>
      <w:r>
        <w:rPr>
          <w:rFonts w:ascii="Times New Roman"/>
          <w:b w:val="false"/>
          <w:i w:val="false"/>
          <w:color w:val="000000"/>
          <w:sz w:val="28"/>
        </w:rPr>
        <w:t>
      8. Допускается регистрация одного лекарственного препарата с различными торговыми наименованиями в разных государствах-членах в следующих случаях:</w:t>
      </w:r>
    </w:p>
    <w:bookmarkEnd w:id="46"/>
    <w:bookmarkStart w:name="z48" w:id="47"/>
    <w:p>
      <w:pPr>
        <w:spacing w:after="0"/>
        <w:ind w:left="0"/>
        <w:jc w:val="both"/>
      </w:pPr>
      <w:r>
        <w:rPr>
          <w:rFonts w:ascii="Times New Roman"/>
          <w:b w:val="false"/>
          <w:i w:val="false"/>
          <w:color w:val="000000"/>
          <w:sz w:val="28"/>
        </w:rPr>
        <w:t>
      а) использование предложенного торгового наименования может противоречить нормам права и морали или иным образом не учитывает национальные культурные и (или) языковые особенности;</w:t>
      </w:r>
    </w:p>
    <w:bookmarkEnd w:id="47"/>
    <w:bookmarkStart w:name="z49" w:id="48"/>
    <w:p>
      <w:pPr>
        <w:spacing w:after="0"/>
        <w:ind w:left="0"/>
        <w:jc w:val="both"/>
      </w:pPr>
      <w:r>
        <w:rPr>
          <w:rFonts w:ascii="Times New Roman"/>
          <w:b w:val="false"/>
          <w:i w:val="false"/>
          <w:color w:val="000000"/>
          <w:sz w:val="28"/>
        </w:rPr>
        <w:t>
      б) интеллектуальные права на торговое наименование в виде товарного знака принадлежат лицу, отличающемуся от лица, подавшего заявление на регистрацию лекарственного препарата (далее - заявитель), или держателя регистрационного удостоверения, и заявитель или держатель регистрационного удостоверения не могут предоставить соответствующего лицензионного договора о предоставлении права использования товарного знака;</w:t>
      </w:r>
    </w:p>
    <w:bookmarkEnd w:id="48"/>
    <w:bookmarkStart w:name="z50" w:id="49"/>
    <w:p>
      <w:pPr>
        <w:spacing w:after="0"/>
        <w:ind w:left="0"/>
        <w:jc w:val="both"/>
      </w:pPr>
      <w:r>
        <w:rPr>
          <w:rFonts w:ascii="Times New Roman"/>
          <w:b w:val="false"/>
          <w:i w:val="false"/>
          <w:color w:val="000000"/>
          <w:sz w:val="28"/>
        </w:rPr>
        <w:t>
      в) лекарственный препарат был зарегистрирован под разными торговыми наименованиями в соответствии с законодательством государств-членов до 31 декабря 2020 г.</w:t>
      </w:r>
    </w:p>
    <w:bookmarkEnd w:id="49"/>
    <w:bookmarkStart w:name="z51" w:id="50"/>
    <w:p>
      <w:pPr>
        <w:spacing w:after="0"/>
        <w:ind w:left="0"/>
        <w:jc w:val="both"/>
      </w:pPr>
      <w:r>
        <w:rPr>
          <w:rFonts w:ascii="Times New Roman"/>
          <w:b w:val="false"/>
          <w:i w:val="false"/>
          <w:color w:val="000000"/>
          <w:sz w:val="28"/>
        </w:rPr>
        <w:t>
      9. Регистрация лекарственного препарата, подтверждение регистрации (перерегистрация), внесение изменений в регистрационное досье, а также процедуры, связанные с регистрацией, осуществляются уполномоченными органами.</w:t>
      </w:r>
    </w:p>
    <w:bookmarkEnd w:id="50"/>
    <w:bookmarkStart w:name="z52" w:id="51"/>
    <w:p>
      <w:pPr>
        <w:spacing w:after="0"/>
        <w:ind w:left="0"/>
        <w:jc w:val="both"/>
      </w:pPr>
      <w:r>
        <w:rPr>
          <w:rFonts w:ascii="Times New Roman"/>
          <w:b w:val="false"/>
          <w:i w:val="false"/>
          <w:color w:val="000000"/>
          <w:sz w:val="28"/>
        </w:rPr>
        <w:t>
      10. Экспертиза лекарственного препарата осуществляется экспертной организацией, определенной в соответствии с законодательством государства-члена.</w:t>
      </w:r>
    </w:p>
    <w:bookmarkEnd w:id="51"/>
    <w:bookmarkStart w:name="z53" w:id="52"/>
    <w:p>
      <w:pPr>
        <w:spacing w:after="0"/>
        <w:ind w:left="0"/>
        <w:jc w:val="both"/>
      </w:pPr>
      <w:r>
        <w:rPr>
          <w:rFonts w:ascii="Times New Roman"/>
          <w:b w:val="false"/>
          <w:i w:val="false"/>
          <w:color w:val="000000"/>
          <w:sz w:val="28"/>
        </w:rPr>
        <w:t>
      11. Уполномоченные органы и экспертные организации обеспечивают конфиденциальность информации, содержащейся в регистрационном досье лекарственного препарата, в процессе осуществления регистрации и экспертизы лекарственных препаратов, включая информацию, содержащуюся в закрытой части мастер-файла на активную фармацевтическую субстанцию.</w:t>
      </w:r>
    </w:p>
    <w:bookmarkEnd w:id="52"/>
    <w:bookmarkStart w:name="z54" w:id="53"/>
    <w:p>
      <w:pPr>
        <w:spacing w:after="0"/>
        <w:ind w:left="0"/>
        <w:jc w:val="both"/>
      </w:pPr>
      <w:r>
        <w:rPr>
          <w:rFonts w:ascii="Times New Roman"/>
          <w:b w:val="false"/>
          <w:i w:val="false"/>
          <w:color w:val="000000"/>
          <w:sz w:val="28"/>
        </w:rPr>
        <w:t>
      Евразийская экономическая комиссия (далее - Комиссия) и Экспертный комитет по лекарственным средствам (далее - Экспертный комитет) обеспечивают конфиденциальность информации, содержащейся в регистрационном досье лекарственного препарата, полученной в процессе осуществления своей деятельности.</w:t>
      </w:r>
    </w:p>
    <w:bookmarkEnd w:id="53"/>
    <w:bookmarkStart w:name="z55" w:id="54"/>
    <w:p>
      <w:pPr>
        <w:spacing w:after="0"/>
        <w:ind w:left="0"/>
        <w:jc w:val="both"/>
      </w:pPr>
      <w:r>
        <w:rPr>
          <w:rFonts w:ascii="Times New Roman"/>
          <w:b w:val="false"/>
          <w:i w:val="false"/>
          <w:color w:val="000000"/>
          <w:sz w:val="28"/>
        </w:rPr>
        <w:t>
      12. Заявитель в соответствии с законодательством государства-члена несет расходы на регистрацию, подтверждение регистрации (перерегистрацию), внесение изменений в регистрационное досье и экспертизу лекарственных препаратов, процедуры, связанные с регистрацией, а также на проведение инспекций в целях определения соответствия требованиям надлежащих фармацевтических практик, инициируемых в связи с осуществлением указанных процедур.</w:t>
      </w:r>
    </w:p>
    <w:bookmarkEnd w:id="54"/>
    <w:bookmarkStart w:name="z56" w:id="55"/>
    <w:p>
      <w:pPr>
        <w:spacing w:after="0"/>
        <w:ind w:left="0"/>
        <w:jc w:val="both"/>
      </w:pPr>
      <w:r>
        <w:rPr>
          <w:rFonts w:ascii="Times New Roman"/>
          <w:b w:val="false"/>
          <w:i w:val="false"/>
          <w:color w:val="000000"/>
          <w:sz w:val="28"/>
        </w:rPr>
        <w:t>
      13. Заявителю не возвращаются расходы, указанные в пункте 12 настоящих Правил, за исключением случаев подачи заявителем заявления об отзыве заявления на регистрацию, подтверждение регистрации (перерегистрацию), внесение изменений в регистрационное досье лекарственного препарата до начала проведения экспертизы (выдачи задания на проведение экспертизы или заключения договора на проведение экспертизы) или иных случаев, предусмотренных законодательством государств-членов.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Уполномоченные органы (экспертные организации) референтного государства и государства признания (в случаях, предусмотренных </w:t>
      </w:r>
      <w:r>
        <w:rPr>
          <w:rFonts w:ascii="Times New Roman"/>
          <w:b w:val="false"/>
          <w:i w:val="false"/>
          <w:color w:val="000000"/>
          <w:sz w:val="28"/>
        </w:rPr>
        <w:t>пунктом 2.1.5</w:t>
      </w:r>
      <w:r>
        <w:rPr>
          <w:rFonts w:ascii="Times New Roman"/>
          <w:b w:val="false"/>
          <w:i w:val="false"/>
          <w:color w:val="000000"/>
          <w:sz w:val="28"/>
        </w:rPr>
        <w:t xml:space="preserve"> приложения № 19 к настоящим Правилам) при получении заявления на регистрацию, подтверждение регистрации (перерегистрацию), внесение изменений в регистрационное досье и процедуры, связанные с регистрацией, присваивают ему уникальный номер, формируемый с использованием интегрированной информационной системы Союза (далее - интегрированная система), и сообщают его заявителю.</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Совета Евразийской экономической комиссии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15. Уполномоченный орган (экспертная организация) государства-члена представляет информацию, связанную с осуществлением регистрации, подтверждения регистрации (перерегистрации), внесения изменений в регистрационное досье, а также процедур, связанных с регистрацией, уполномоченным органам (экспертным организациям) других государств-членов, а также в Комиссию с использованием интегрированной системы по номеру заявления в соответствии с порядком формирования и ведения единого реестра зарегистрированных лекарственных средств Союза (далее - единый реестр).</w:t>
      </w:r>
    </w:p>
    <w:bookmarkEnd w:id="57"/>
    <w:bookmarkStart w:name="z59" w:id="58"/>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не позднее 5 рабочих дней с даты представления заявителем регистрационного досье в электронном виде предоставляет доступ к сведениям регистрационного досье по запросу уполномоченных органов (экспертных организаций) государств признания посредством использования средств интегрированной системы.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16. По результатам регистрации лекарственного препарата уполномоченный орган каждого государства-члена, зарегистрировавшего лекарственный препарат, выдает регистрационное удостоверение лекарственного препарата, подтверждающее факт его регистрации.</w:t>
      </w:r>
    </w:p>
    <w:bookmarkEnd w:id="59"/>
    <w:bookmarkStart w:name="z61" w:id="60"/>
    <w:p>
      <w:pPr>
        <w:spacing w:after="0"/>
        <w:ind w:left="0"/>
        <w:jc w:val="both"/>
      </w:pPr>
      <w:r>
        <w:rPr>
          <w:rFonts w:ascii="Times New Roman"/>
          <w:b w:val="false"/>
          <w:i w:val="false"/>
          <w:color w:val="000000"/>
          <w:sz w:val="28"/>
        </w:rPr>
        <w:t xml:space="preserve">
      17. Регистрационное удостоверение лекарственного препарата выдается по единой форме и в соответствии с правилами заполнения регистрационного удостоверения лекарственного препарата для медицинского применения согласно </w:t>
      </w:r>
      <w:r>
        <w:rPr>
          <w:rFonts w:ascii="Times New Roman"/>
          <w:b w:val="false"/>
          <w:i w:val="false"/>
          <w:color w:val="000000"/>
          <w:sz w:val="28"/>
        </w:rPr>
        <w:t xml:space="preserve">приложению № 17 </w:t>
      </w:r>
      <w:r>
        <w:rPr>
          <w:rFonts w:ascii="Times New Roman"/>
          <w:b w:val="false"/>
          <w:i w:val="false"/>
          <w:color w:val="000000"/>
          <w:sz w:val="28"/>
        </w:rPr>
        <w:t>к настоящим Правилам уполномоченным органом, зарегистрировавшим лекарственный препарат.</w:t>
      </w:r>
    </w:p>
    <w:bookmarkEnd w:id="60"/>
    <w:bookmarkStart w:name="z62" w:id="61"/>
    <w:p>
      <w:pPr>
        <w:spacing w:after="0"/>
        <w:ind w:left="0"/>
        <w:jc w:val="both"/>
      </w:pPr>
      <w:r>
        <w:rPr>
          <w:rFonts w:ascii="Times New Roman"/>
          <w:b w:val="false"/>
          <w:i w:val="false"/>
          <w:color w:val="000000"/>
          <w:sz w:val="28"/>
        </w:rPr>
        <w:t xml:space="preserve">
      При утрате или повреждении регистрационного удостоверения лекарственного препарата по заявлению держателя регистрационного удостоверения о выдаче дубликата регистрационного удостоверения лекарственного препарата уполномоченный орган, выдавший это регистрационное удостоверение, выдает его дубликат, оформленный в соответствии с правилами заполнения согласно </w:t>
      </w:r>
      <w:r>
        <w:rPr>
          <w:rFonts w:ascii="Times New Roman"/>
          <w:b w:val="false"/>
          <w:i w:val="false"/>
          <w:color w:val="000000"/>
          <w:sz w:val="28"/>
        </w:rPr>
        <w:t xml:space="preserve">приложению № 17 </w:t>
      </w:r>
      <w:r>
        <w:rPr>
          <w:rFonts w:ascii="Times New Roman"/>
          <w:b w:val="false"/>
          <w:i w:val="false"/>
          <w:color w:val="000000"/>
          <w:sz w:val="28"/>
        </w:rPr>
        <w:t xml:space="preserve"> к настоящим Правилам.</w:t>
      </w:r>
    </w:p>
    <w:bookmarkEnd w:id="61"/>
    <w:p>
      <w:pPr>
        <w:spacing w:after="0"/>
        <w:ind w:left="0"/>
        <w:jc w:val="both"/>
      </w:pPr>
      <w:r>
        <w:rPr>
          <w:rFonts w:ascii="Times New Roman"/>
          <w:b w:val="false"/>
          <w:i w:val="false"/>
          <w:color w:val="000000"/>
          <w:sz w:val="28"/>
        </w:rPr>
        <w:t>
      По обращению заявителя выданные регистрационные удостоверения лекарственных препаратов, содержащие информацию о нескольких лекарственных формах лекарственных препаратов, подлежат замене на отдельные регистрационные удостоверения при условии уплаты соответствующего сбора (пошлины) за выдачу регистрационного удостоверения, если такая замена не связана с утратой или повреждением регистрационного удостоверения.</w:t>
      </w:r>
    </w:p>
    <w:p>
      <w:pPr>
        <w:spacing w:after="0"/>
        <w:ind w:left="0"/>
        <w:jc w:val="both"/>
      </w:pPr>
      <w:r>
        <w:rPr>
          <w:rFonts w:ascii="Times New Roman"/>
          <w:b w:val="false"/>
          <w:i w:val="false"/>
          <w:color w:val="000000"/>
          <w:sz w:val="28"/>
        </w:rPr>
        <w:t>
      По результатам внесения изменений в регистрационное досье лекарственного препарата, требующих новой регистрации (расширение регистрации), в части информации о добавлении новой лекарственной формы к ранее зарегистрированной согласно подпункту "г" пункта 2 дополнения I к приложению № 19 к настоящим Правилам выдается регистрационное удостоверение с новым номером.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Пункт 17 с изменениями, внесенными решением Совета Евразийской экономической комиссии от 22.01.2025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18. Срок действия регистрационного удостоверения на впервые регистрируемый лекарственный препарат в референтном государстве составляет 5 лет. По истечении указанного срока выдается бессрочное регистрационное удостоверение лекарственного препарата при условии подтверждения его регистрации (перерегистрации). В случаях, связанных с вопросами фармаконадзора, уполномоченный орган может повторно выдать регистрационное удостоверение со сроком действия 5 лет по итогам подтверждения регистрации (перерегистрации).</w:t>
      </w:r>
    </w:p>
    <w:bookmarkEnd w:id="62"/>
    <w:bookmarkStart w:name="z11822" w:id="63"/>
    <w:p>
      <w:pPr>
        <w:spacing w:after="0"/>
        <w:ind w:left="0"/>
        <w:jc w:val="both"/>
      </w:pPr>
      <w:r>
        <w:rPr>
          <w:rFonts w:ascii="Times New Roman"/>
          <w:b w:val="false"/>
          <w:i w:val="false"/>
          <w:color w:val="000000"/>
          <w:sz w:val="28"/>
        </w:rPr>
        <w:t>
      Срок действия регистрационного удостоверения на лекарственный препарат, зарегистрированный по процедуре условной регистрации, определяется с учетом положений подраздела VII.III раздела VII настоящих Правил.</w:t>
      </w:r>
    </w:p>
    <w:bookmarkEnd w:id="63"/>
    <w:bookmarkStart w:name="z11823" w:id="64"/>
    <w:p>
      <w:pPr>
        <w:spacing w:after="0"/>
        <w:ind w:left="0"/>
        <w:jc w:val="both"/>
      </w:pPr>
      <w:r>
        <w:rPr>
          <w:rFonts w:ascii="Times New Roman"/>
          <w:b w:val="false"/>
          <w:i w:val="false"/>
          <w:color w:val="000000"/>
          <w:sz w:val="28"/>
        </w:rPr>
        <w:t>
      Для лекарственного препарата, зарегистрированного в соответствии с законодательством государства-члена на протяжении 5 лет и более, выдается бессрочное регистрационное удостоверение в случае, если лекарственный препарат предполагается к обращению на рынке только этого государства-члена.</w:t>
      </w:r>
    </w:p>
    <w:bookmarkEnd w:id="64"/>
    <w:p>
      <w:pPr>
        <w:spacing w:after="0"/>
        <w:ind w:left="0"/>
        <w:jc w:val="both"/>
      </w:pPr>
      <w:r>
        <w:rPr>
          <w:rFonts w:ascii="Times New Roman"/>
          <w:b w:val="false"/>
          <w:i w:val="false"/>
          <w:color w:val="000000"/>
          <w:sz w:val="28"/>
        </w:rPr>
        <w:t>
      Регистрационное удостоверение лекарственного препарата, зарегистрированного в соответствии с законодательством государств-членов, указанных в заявлении на приведение в соответствие с требованиями Союза, и зарегистрированного на протяжении 5 лет и более на рынке референтного государства, выдается на неограниченный срок в рамках процедуры приведения в соответствие с требованиями Союза согласно разделу XIII настоящих Правил.</w:t>
      </w:r>
    </w:p>
    <w:bookmarkStart w:name="z12309" w:id="65"/>
    <w:p>
      <w:pPr>
        <w:spacing w:after="0"/>
        <w:ind w:left="0"/>
        <w:jc w:val="both"/>
      </w:pPr>
      <w:r>
        <w:rPr>
          <w:rFonts w:ascii="Times New Roman"/>
          <w:b w:val="false"/>
          <w:i w:val="false"/>
          <w:color w:val="000000"/>
          <w:sz w:val="28"/>
        </w:rPr>
        <w:t xml:space="preserve">
      При этом в случаях, указанных в абзацах третьем и четвертом настоящего пункта, в рамках процедуры приведения в соответствие с требованиями Союза уполномоченным органом (экспертной организацией) референтного государства могут устанавливаться одно или несколько дополнительных требований в соответствии с </w:t>
      </w:r>
      <w:r>
        <w:rPr>
          <w:rFonts w:ascii="Times New Roman"/>
          <w:b w:val="false"/>
          <w:i w:val="false"/>
          <w:color w:val="000000"/>
          <w:sz w:val="28"/>
        </w:rPr>
        <w:t xml:space="preserve">пунктом 116 </w:t>
      </w:r>
      <w:r>
        <w:rPr>
          <w:rFonts w:ascii="Times New Roman"/>
          <w:b w:val="false"/>
          <w:i w:val="false"/>
          <w:color w:val="000000"/>
          <w:sz w:val="28"/>
        </w:rPr>
        <w:t>настоящих Правил и в таком случае выдается регистрационное удостоверение со сроком действия 5 лет.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bookmarkStart w:name="z65" w:id="66"/>
    <w:p>
      <w:pPr>
        <w:spacing w:after="0"/>
        <w:ind w:left="0"/>
        <w:jc w:val="left"/>
      </w:pPr>
      <w:r>
        <w:rPr>
          <w:rFonts w:ascii="Times New Roman"/>
          <w:b/>
          <w:i w:val="false"/>
          <w:color w:val="000000"/>
        </w:rPr>
        <w:t xml:space="preserve"> II. Определения </w:t>
      </w:r>
    </w:p>
    <w:bookmarkEnd w:id="66"/>
    <w:bookmarkStart w:name="z66" w:id="67"/>
    <w:p>
      <w:pPr>
        <w:spacing w:after="0"/>
        <w:ind w:left="0"/>
        <w:jc w:val="both"/>
      </w:pPr>
      <w:r>
        <w:rPr>
          <w:rFonts w:ascii="Times New Roman"/>
          <w:b w:val="false"/>
          <w:i w:val="false"/>
          <w:color w:val="000000"/>
          <w:sz w:val="28"/>
        </w:rPr>
        <w:t>
      19. Для целей настоящих Правил используются понятия, которые означают следующее:</w:t>
      </w:r>
    </w:p>
    <w:bookmarkEnd w:id="67"/>
    <w:bookmarkStart w:name="z67" w:id="68"/>
    <w:p>
      <w:pPr>
        <w:spacing w:after="0"/>
        <w:ind w:left="0"/>
        <w:jc w:val="both"/>
      </w:pPr>
      <w:r>
        <w:rPr>
          <w:rFonts w:ascii="Times New Roman"/>
          <w:b w:val="false"/>
          <w:i w:val="false"/>
          <w:color w:val="000000"/>
          <w:sz w:val="28"/>
        </w:rPr>
        <w:t>
      "аллерген" - любой лекарственный препарат, предназначенный для того, чтобы выявить или вызвать специфическое приобретенное изменение иммунологической реакции на вещество, вызывающее аллергию;</w:t>
      </w:r>
    </w:p>
    <w:bookmarkEnd w:id="68"/>
    <w:bookmarkStart w:name="z68" w:id="69"/>
    <w:p>
      <w:pPr>
        <w:spacing w:after="0"/>
        <w:ind w:left="0"/>
        <w:jc w:val="both"/>
      </w:pPr>
      <w:r>
        <w:rPr>
          <w:rFonts w:ascii="Times New Roman"/>
          <w:b w:val="false"/>
          <w:i w:val="false"/>
          <w:color w:val="000000"/>
          <w:sz w:val="28"/>
        </w:rPr>
        <w:t>
      "безопасность лекарственного препарата (соотношение "польза - 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любой риск, связанный с качеством, безопасностью или эффективностью лекарственного препарата по отношению к здоровью пациента или населения);</w:t>
      </w:r>
    </w:p>
    <w:bookmarkEnd w:id="69"/>
    <w:bookmarkStart w:name="z69" w:id="70"/>
    <w:p>
      <w:pPr>
        <w:spacing w:after="0"/>
        <w:ind w:left="0"/>
        <w:jc w:val="both"/>
      </w:pPr>
      <w:r>
        <w:rPr>
          <w:rFonts w:ascii="Times New Roman"/>
          <w:b w:val="false"/>
          <w:i w:val="false"/>
          <w:color w:val="000000"/>
          <w:sz w:val="28"/>
        </w:rPr>
        <w:t>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(референтного) препарата и для которого продемонстрировано сходство (подобие) на основе сравнительных исследований с референтным препаратом по показателям качества, биологической активности, эффективности и безопасности;</w:t>
      </w:r>
    </w:p>
    <w:bookmarkEnd w:id="70"/>
    <w:bookmarkStart w:name="z70" w:id="71"/>
    <w:p>
      <w:pPr>
        <w:spacing w:after="0"/>
        <w:ind w:left="0"/>
        <w:jc w:val="both"/>
      </w:pPr>
      <w:r>
        <w:rPr>
          <w:rFonts w:ascii="Times New Roman"/>
          <w:b w:val="false"/>
          <w:i w:val="false"/>
          <w:color w:val="000000"/>
          <w:sz w:val="28"/>
        </w:rPr>
        <w:t>
      "биологическая доступность (биодоступность)" - скорость и степень, с которыми действующее вещество или его активная часть молекулы из дозированной лекарственной формы всасываются и становятся доступными в месте действия;</w:t>
      </w:r>
    </w:p>
    <w:bookmarkEnd w:id="71"/>
    <w:bookmarkStart w:name="z71" w:id="72"/>
    <w:p>
      <w:pPr>
        <w:spacing w:after="0"/>
        <w:ind w:left="0"/>
        <w:jc w:val="both"/>
      </w:pPr>
      <w:r>
        <w:rPr>
          <w:rFonts w:ascii="Times New Roman"/>
          <w:b w:val="false"/>
          <w:i w:val="false"/>
          <w:color w:val="000000"/>
          <w:sz w:val="28"/>
        </w:rPr>
        <w:t>
      "биологическая эквивалентность (биоэквивалентность)" - отсутствие значимых различий в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72"/>
    <w:bookmarkStart w:name="z72" w:id="73"/>
    <w:p>
      <w:pPr>
        <w:spacing w:after="0"/>
        <w:ind w:left="0"/>
        <w:jc w:val="both"/>
      </w:pPr>
      <w:r>
        <w:rPr>
          <w:rFonts w:ascii="Times New Roman"/>
          <w:b w:val="false"/>
          <w:i w:val="false"/>
          <w:color w:val="000000"/>
          <w:sz w:val="28"/>
        </w:rPr>
        <w:t>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73"/>
    <w:bookmarkStart w:name="z73" w:id="74"/>
    <w:p>
      <w:pPr>
        <w:spacing w:after="0"/>
        <w:ind w:left="0"/>
        <w:jc w:val="both"/>
      </w:pPr>
      <w:r>
        <w:rPr>
          <w:rFonts w:ascii="Times New Roman"/>
          <w:b w:val="false"/>
          <w:i w:val="false"/>
          <w:color w:val="000000"/>
          <w:sz w:val="28"/>
        </w:rPr>
        <w:t>
      "воспроизведенный лекарственный препарат (дженерик)"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признаются в рамках исследований биодоступности одной и той же лекарственной формой;</w:t>
      </w:r>
    </w:p>
    <w:bookmarkEnd w:id="74"/>
    <w:bookmarkStart w:name="z74" w:id="75"/>
    <w:p>
      <w:pPr>
        <w:spacing w:after="0"/>
        <w:ind w:left="0"/>
        <w:jc w:val="both"/>
      </w:pPr>
      <w:r>
        <w:rPr>
          <w:rFonts w:ascii="Times New Roman"/>
          <w:b w:val="false"/>
          <w:i w:val="false"/>
          <w:color w:val="000000"/>
          <w:sz w:val="28"/>
        </w:rPr>
        <w:t>
      "генератор радионуклидный" - любая система, содержащая фиксированный первичный радионуклид, из которого образуются вторичные радионуклиды, извлекающиеся путем элюирования или другим способом и использующиеся в радиофармацевтическом лекарственном препарате;</w:t>
      </w:r>
    </w:p>
    <w:bookmarkEnd w:id="75"/>
    <w:bookmarkStart w:name="z75" w:id="76"/>
    <w:p>
      <w:pPr>
        <w:spacing w:after="0"/>
        <w:ind w:left="0"/>
        <w:jc w:val="both"/>
      </w:pPr>
      <w:r>
        <w:rPr>
          <w:rFonts w:ascii="Times New Roman"/>
          <w:b w:val="false"/>
          <w:i w:val="false"/>
          <w:color w:val="000000"/>
          <w:sz w:val="28"/>
        </w:rPr>
        <w:t>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76"/>
    <w:bookmarkStart w:name="z76" w:id="77"/>
    <w:p>
      <w:pPr>
        <w:spacing w:after="0"/>
        <w:ind w:left="0"/>
        <w:jc w:val="both"/>
      </w:pPr>
      <w:r>
        <w:rPr>
          <w:rFonts w:ascii="Times New Roman"/>
          <w:b w:val="false"/>
          <w:i w:val="false"/>
          <w:color w:val="000000"/>
          <w:sz w:val="28"/>
        </w:rPr>
        <w:t>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Фармакопеи Союза или в случае их отсутствия в соответствии с требованиями гомеопатических фармакопей;</w:t>
      </w:r>
    </w:p>
    <w:bookmarkEnd w:id="77"/>
    <w:bookmarkStart w:name="z77" w:id="78"/>
    <w:p>
      <w:pPr>
        <w:spacing w:after="0"/>
        <w:ind w:left="0"/>
        <w:jc w:val="both"/>
      </w:pPr>
      <w:r>
        <w:rPr>
          <w:rFonts w:ascii="Times New Roman"/>
          <w:b w:val="false"/>
          <w:i w:val="false"/>
          <w:color w:val="000000"/>
          <w:sz w:val="28"/>
        </w:rPr>
        <w:t>
      "государство признания" - государство-член, в котором лекарственный препарат зарегистрирован (регистрируется) с проведением экспертизы, включающей оценку экспертного отчета об оценке безопасности, эффективности и качества лекарственного препарата, подготовленного референтным государством;</w:t>
      </w:r>
    </w:p>
    <w:bookmarkEnd w:id="78"/>
    <w:bookmarkStart w:name="z11824" w:id="79"/>
    <w:p>
      <w:pPr>
        <w:spacing w:after="0"/>
        <w:ind w:left="0"/>
        <w:jc w:val="both"/>
      </w:pPr>
      <w:r>
        <w:rPr>
          <w:rFonts w:ascii="Times New Roman"/>
          <w:b w:val="false"/>
          <w:i w:val="false"/>
          <w:color w:val="000000"/>
          <w:sz w:val="28"/>
        </w:rPr>
        <w:t>
      данные реальной клинической практики" – данные, относящиеся к состоянию здоровья пациента и (или) к процессу оказания медицинской помощи, полученные из различных источников;</w:t>
      </w:r>
    </w:p>
    <w:bookmarkEnd w:id="79"/>
    <w:bookmarkStart w:name="z78" w:id="80"/>
    <w:p>
      <w:pPr>
        <w:spacing w:after="0"/>
        <w:ind w:left="0"/>
        <w:jc w:val="both"/>
      </w:pPr>
      <w:r>
        <w:rPr>
          <w:rFonts w:ascii="Times New Roman"/>
          <w:b w:val="false"/>
          <w:i w:val="false"/>
          <w:color w:val="000000"/>
          <w:sz w:val="28"/>
        </w:rPr>
        <w:t>
      "держатель регистрационного удостоверения" - юридическое лицо, на имя которого выдано регистрационное удостоверение на лекарственный препарат и которое несет ответственность за безопасность, эффективность и качество лекарственного препарата;</w:t>
      </w:r>
    </w:p>
    <w:bookmarkEnd w:id="80"/>
    <w:bookmarkStart w:name="z11825" w:id="81"/>
    <w:p>
      <w:pPr>
        <w:spacing w:after="0"/>
        <w:ind w:left="0"/>
        <w:jc w:val="both"/>
      </w:pPr>
      <w:r>
        <w:rPr>
          <w:rFonts w:ascii="Times New Roman"/>
          <w:b w:val="false"/>
          <w:i w:val="false"/>
          <w:color w:val="000000"/>
          <w:sz w:val="28"/>
        </w:rPr>
        <w:t>
      доказательства, полученные на основе данных реальной клинической практики" – клинические доказательства в отношении применения и потенциальной пользы или риска применения лекарственного препарата, полученные на основе сбора и анализа данных реальной клинической практики;</w:t>
      </w:r>
    </w:p>
    <w:bookmarkEnd w:id="81"/>
    <w:bookmarkStart w:name="z79" w:id="82"/>
    <w:p>
      <w:pPr>
        <w:spacing w:after="0"/>
        <w:ind w:left="0"/>
        <w:jc w:val="both"/>
      </w:pPr>
      <w:r>
        <w:rPr>
          <w:rFonts w:ascii="Times New Roman"/>
          <w:b w:val="false"/>
          <w:i w:val="false"/>
          <w:color w:val="000000"/>
          <w:sz w:val="28"/>
        </w:rPr>
        <w:t>
      "единый реестр зарегистрированных лекарственных средств Союза" - общий информационный ресурс, формируемый в рамках интегрированной системы и содержащий сведения о лекарственных средствах, зарегистрированных или прошедших иные процедуры, связанные с регистрацией, в соответствии с настоящими Правилами;</w:t>
      </w:r>
    </w:p>
    <w:bookmarkEnd w:id="82"/>
    <w:bookmarkStart w:name="z80" w:id="83"/>
    <w:p>
      <w:pPr>
        <w:spacing w:after="0"/>
        <w:ind w:left="0"/>
        <w:jc w:val="both"/>
      </w:pPr>
      <w:r>
        <w:rPr>
          <w:rFonts w:ascii="Times New Roman"/>
          <w:b w:val="false"/>
          <w:i w:val="false"/>
          <w:color w:val="000000"/>
          <w:sz w:val="28"/>
        </w:rPr>
        <w:t>
      "заявитель" - юридическое лицо, правомочное подавать заявление на регистрацию, подтверждение регистрации (перерегистрацию), внесение изменений в регистрационное досье лекарственных препаратов, иные процедуры, связанные с регистрацией, и несущее ответственность за достоверность информации, содержащейся в представленных им документах и данных регистрационного досье;</w:t>
      </w:r>
    </w:p>
    <w:bookmarkEnd w:id="83"/>
    <w:bookmarkStart w:name="z81" w:id="84"/>
    <w:p>
      <w:pPr>
        <w:spacing w:after="0"/>
        <w:ind w:left="0"/>
        <w:jc w:val="both"/>
      </w:pPr>
      <w:r>
        <w:rPr>
          <w:rFonts w:ascii="Times New Roman"/>
          <w:b w:val="false"/>
          <w:i w:val="false"/>
          <w:color w:val="000000"/>
          <w:sz w:val="28"/>
        </w:rPr>
        <w:t>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84"/>
    <w:bookmarkStart w:name="z82" w:id="85"/>
    <w:p>
      <w:pPr>
        <w:spacing w:after="0"/>
        <w:ind w:left="0"/>
        <w:jc w:val="both"/>
      </w:pPr>
      <w:r>
        <w:rPr>
          <w:rFonts w:ascii="Times New Roman"/>
          <w:b w:val="false"/>
          <w:i w:val="false"/>
          <w:color w:val="000000"/>
          <w:sz w:val="28"/>
        </w:rPr>
        <w:t>
      "инструкция по медицинскому применению (листок-вкладыш)" - документ, утверждаемый уполномоченным органом государства-члена в соответствии с актами органов Союза, содержащий информацию для потребителя и сопровождающий лекарственный препарат в упаковке;</w:t>
      </w:r>
    </w:p>
    <w:bookmarkEnd w:id="85"/>
    <w:bookmarkStart w:name="z83" w:id="86"/>
    <w:p>
      <w:pPr>
        <w:spacing w:after="0"/>
        <w:ind w:left="0"/>
        <w:jc w:val="both"/>
      </w:pPr>
      <w:r>
        <w:rPr>
          <w:rFonts w:ascii="Times New Roman"/>
          <w:b w:val="false"/>
          <w:i w:val="false"/>
          <w:color w:val="000000"/>
          <w:sz w:val="28"/>
        </w:rPr>
        <w:t>
      "качество лекарственного средства" - совокупность свойств и характеристик фармацевтической субстанции и лекарственного препарата, обеспечивающая их соответствие целевому назначению согласно требованиям актов органов Союза;</w:t>
      </w:r>
    </w:p>
    <w:bookmarkEnd w:id="86"/>
    <w:p>
      <w:pPr>
        <w:spacing w:after="0"/>
        <w:ind w:left="0"/>
        <w:jc w:val="both"/>
      </w:pPr>
      <w:r>
        <w:rPr>
          <w:rFonts w:ascii="Times New Roman"/>
          <w:b w:val="false"/>
          <w:i w:val="false"/>
          <w:color w:val="000000"/>
          <w:sz w:val="28"/>
        </w:rPr>
        <w:t>
      "конфиденциальные данные" – персональные данные и данные, которые не находятся в публичном доступе и разглашение которых может повлечь за собой негативные последствия для экономического интереса и конкурентоспособной позиции владельца таких данных. К конфиденциальным данным в том числе относятся детальное описание процесса производства, данные спецификации, стратегия заявителя или держателя регистрационного удостоверения по дальнейшим регистрационным действиям в отношении рассматриваемого лекарственного препарата, информация относительно замечаний, полученных в ходе и по результатам фармацевтических инспекций производственных площадок и иных фармацевтических инспекций, наименование и место нахождения производственных площадок, осуществляющих контроль качества;</w:t>
      </w:r>
    </w:p>
    <w:bookmarkStart w:name="z84" w:id="87"/>
    <w:p>
      <w:pPr>
        <w:spacing w:after="0"/>
        <w:ind w:left="0"/>
        <w:jc w:val="both"/>
      </w:pPr>
      <w:r>
        <w:rPr>
          <w:rFonts w:ascii="Times New Roman"/>
          <w:b w:val="false"/>
          <w:i w:val="false"/>
          <w:color w:val="000000"/>
          <w:sz w:val="28"/>
        </w:rPr>
        <w:t>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эффекта;</w:t>
      </w:r>
    </w:p>
    <w:bookmarkEnd w:id="87"/>
    <w:bookmarkStart w:name="z85" w:id="88"/>
    <w:p>
      <w:pPr>
        <w:spacing w:after="0"/>
        <w:ind w:left="0"/>
        <w:jc w:val="both"/>
      </w:pPr>
      <w:r>
        <w:rPr>
          <w:rFonts w:ascii="Times New Roman"/>
          <w:b w:val="false"/>
          <w:i w:val="false"/>
          <w:color w:val="000000"/>
          <w:sz w:val="28"/>
        </w:rPr>
        <w:t>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88"/>
    <w:bookmarkStart w:name="z86" w:id="89"/>
    <w:p>
      <w:pPr>
        <w:spacing w:after="0"/>
        <w:ind w:left="0"/>
        <w:jc w:val="both"/>
      </w:pPr>
      <w:r>
        <w:rPr>
          <w:rFonts w:ascii="Times New Roman"/>
          <w:b w:val="false"/>
          <w:i w:val="false"/>
          <w:color w:val="000000"/>
          <w:sz w:val="28"/>
        </w:rPr>
        <w:t>
      "лекарственный препарат с хорошо изученным медицинским применением" - лекарственный препарат, действующее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 не менее чем в 3 государствах-членах;</w:t>
      </w:r>
    </w:p>
    <w:bookmarkEnd w:id="89"/>
    <w:bookmarkStart w:name="z87" w:id="90"/>
    <w:p>
      <w:pPr>
        <w:spacing w:after="0"/>
        <w:ind w:left="0"/>
        <w:jc w:val="both"/>
      </w:pPr>
      <w:r>
        <w:rPr>
          <w:rFonts w:ascii="Times New Roman"/>
          <w:b w:val="false"/>
          <w:i w:val="false"/>
          <w:color w:val="000000"/>
          <w:sz w:val="28"/>
        </w:rPr>
        <w:t>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90"/>
    <w:bookmarkStart w:name="z88" w:id="91"/>
    <w:p>
      <w:pPr>
        <w:spacing w:after="0"/>
        <w:ind w:left="0"/>
        <w:jc w:val="both"/>
      </w:pPr>
      <w:r>
        <w:rPr>
          <w:rFonts w:ascii="Times New Roman"/>
          <w:b w:val="false"/>
          <w:i w:val="false"/>
          <w:color w:val="000000"/>
          <w:sz w:val="28"/>
        </w:rPr>
        <w:t>
      "международное непатентованное наименование" - наименование действующего вещества, рекомендованное Всемирной организацией здравоохранения;</w:t>
      </w:r>
    </w:p>
    <w:bookmarkEnd w:id="91"/>
    <w:bookmarkStart w:name="z89" w:id="92"/>
    <w:p>
      <w:pPr>
        <w:spacing w:after="0"/>
        <w:ind w:left="0"/>
        <w:jc w:val="both"/>
      </w:pPr>
      <w:r>
        <w:rPr>
          <w:rFonts w:ascii="Times New Roman"/>
          <w:b w:val="false"/>
          <w:i w:val="false"/>
          <w:color w:val="000000"/>
          <w:sz w:val="28"/>
        </w:rPr>
        <w:t>
      "нормативный документ по качеству" - документ, который устанавливает требования к контролю качества лекарственного препарата (содержащий спецификацию и описание аналитических методик и испытаний или ссылки на них, а также соответствующие критерии приемлемости для указанных показателей качества и т.п.) на основании проведенной экспертизы лекарственного препарата, утверждается уполномоченным органом при регистрации, подтверждении регистрации (перерегистрации), внесении изменений в регистрационное досье и приведении регистрационного досье в соответствие с требованиями Союза и предназначен для контроля качества лекарственного препарата в пострегистрационный период на территории Союза;</w:t>
      </w:r>
    </w:p>
    <w:bookmarkEnd w:id="92"/>
    <w:bookmarkStart w:name="z90" w:id="93"/>
    <w:p>
      <w:pPr>
        <w:spacing w:after="0"/>
        <w:ind w:left="0"/>
        <w:jc w:val="both"/>
      </w:pPr>
      <w:r>
        <w:rPr>
          <w:rFonts w:ascii="Times New Roman"/>
          <w:b w:val="false"/>
          <w:i w:val="false"/>
          <w:color w:val="000000"/>
          <w:sz w:val="28"/>
        </w:rPr>
        <w:t>
      "общая характеристика лекарственного препарата" - документ, утверждаемый уполномоченным органом государства-члена, в соответствии с актами органов Союза, содержащий информацию для медицинских работников о безопасном и эффективном применении лекарственного препарата;</w:t>
      </w:r>
    </w:p>
    <w:bookmarkEnd w:id="93"/>
    <w:bookmarkStart w:name="z12339" w:id="94"/>
    <w:p>
      <w:pPr>
        <w:spacing w:after="0"/>
        <w:ind w:left="0"/>
        <w:jc w:val="both"/>
      </w:pPr>
      <w:r>
        <w:rPr>
          <w:rFonts w:ascii="Times New Roman"/>
          <w:b w:val="false"/>
          <w:i w:val="false"/>
          <w:color w:val="000000"/>
          <w:sz w:val="28"/>
        </w:rPr>
        <w:t>
      "номер версии (последовательности) подачи документов электронного регистрационного досье" – номер, присвоенный заявителем документам регистрационного досье, представляемого в электронном виде в соответствии с требованиями к структуре документа, установленными Комиссией, вместе с заявлением о внесении изменений и (или) в ответ на запрос уполномоченного органа (экспертной организации) государства-члена, представляющий собой сведения о каждом представлении регистрационного досье в виде 4 арабских цифр (для первичного представления регистрационного досье указываются цифры "0000");</w:t>
      </w:r>
    </w:p>
    <w:bookmarkEnd w:id="94"/>
    <w:bookmarkStart w:name="z91" w:id="95"/>
    <w:p>
      <w:pPr>
        <w:spacing w:after="0"/>
        <w:ind w:left="0"/>
        <w:jc w:val="both"/>
      </w:pPr>
      <w:r>
        <w:rPr>
          <w:rFonts w:ascii="Times New Roman"/>
          <w:b w:val="false"/>
          <w:i w:val="false"/>
          <w:color w:val="000000"/>
          <w:sz w:val="28"/>
        </w:rPr>
        <w:t>
      "общепринятое (группировочное) наименование" - наименование лекарственного препарата, не имеющего международное непатентованное наименование, или комбинации лекарственных препаратов, используемое в целях объединения их в группу под единым наименованием исходя из одинакового качественного состава действующих веществ;</w:t>
      </w:r>
    </w:p>
    <w:bookmarkEnd w:id="95"/>
    <w:bookmarkStart w:name="z92" w:id="96"/>
    <w:p>
      <w:pPr>
        <w:spacing w:after="0"/>
        <w:ind w:left="0"/>
        <w:jc w:val="both"/>
      </w:pPr>
      <w:r>
        <w:rPr>
          <w:rFonts w:ascii="Times New Roman"/>
          <w:b w:val="false"/>
          <w:i w:val="false"/>
          <w:color w:val="000000"/>
          <w:sz w:val="28"/>
        </w:rPr>
        <w:t>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качество, безопасность и эффективность;</w:t>
      </w:r>
    </w:p>
    <w:bookmarkEnd w:id="96"/>
    <w:bookmarkStart w:name="z93" w:id="97"/>
    <w:p>
      <w:pPr>
        <w:spacing w:after="0"/>
        <w:ind w:left="0"/>
        <w:jc w:val="both"/>
      </w:pPr>
      <w:r>
        <w:rPr>
          <w:rFonts w:ascii="Times New Roman"/>
          <w:b w:val="false"/>
          <w:i w:val="false"/>
          <w:color w:val="000000"/>
          <w:sz w:val="28"/>
        </w:rPr>
        <w:t>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(лечения, направленного на механизм развития заболевания) редких (орфанных) заболеваний, частота которых не превышает официально определенного уровня в государстве-члене;</w:t>
      </w:r>
    </w:p>
    <w:bookmarkEnd w:id="97"/>
    <w:bookmarkStart w:name="z94" w:id="98"/>
    <w:p>
      <w:pPr>
        <w:spacing w:after="0"/>
        <w:ind w:left="0"/>
        <w:jc w:val="both"/>
      </w:pPr>
      <w:r>
        <w:rPr>
          <w:rFonts w:ascii="Times New Roman"/>
          <w:b w:val="false"/>
          <w:i w:val="false"/>
          <w:color w:val="000000"/>
          <w:sz w:val="28"/>
        </w:rPr>
        <w:t>
      "представитель держателя регистрационного удостоверения" - юридическое лицо, зарегистрированное в соответствии с законодательством государства-члена, или обособленное подразделение юридического лица, расположенные на территории государства-члена и уполномоченное держателем регистрационного удостоверения на выполнение действий, связанных с обращением лекарственных средств на территории государства-члена;</w:t>
      </w:r>
    </w:p>
    <w:bookmarkEnd w:id="98"/>
    <w:bookmarkStart w:name="z95" w:id="99"/>
    <w:p>
      <w:pPr>
        <w:spacing w:after="0"/>
        <w:ind w:left="0"/>
        <w:jc w:val="both"/>
      </w:pPr>
      <w:r>
        <w:rPr>
          <w:rFonts w:ascii="Times New Roman"/>
          <w:b w:val="false"/>
          <w:i w:val="false"/>
          <w:color w:val="000000"/>
          <w:sz w:val="28"/>
        </w:rPr>
        <w:t>
      "производитель лекарственных средств" - организация, осуществляющая деятельность по производству лекарственных средств и имеющая разрешение (лицензию) на такой вид деятельности, выданную уполномоченным органом страны-производителя;</w:t>
      </w:r>
    </w:p>
    <w:bookmarkEnd w:id="99"/>
    <w:bookmarkStart w:name="z96" w:id="100"/>
    <w:p>
      <w:pPr>
        <w:spacing w:after="0"/>
        <w:ind w:left="0"/>
        <w:jc w:val="both"/>
      </w:pPr>
      <w:r>
        <w:rPr>
          <w:rFonts w:ascii="Times New Roman"/>
          <w:b w:val="false"/>
          <w:i w:val="false"/>
          <w:color w:val="000000"/>
          <w:sz w:val="28"/>
        </w:rPr>
        <w:t>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100"/>
    <w:bookmarkStart w:name="z97" w:id="101"/>
    <w:p>
      <w:pPr>
        <w:spacing w:after="0"/>
        <w:ind w:left="0"/>
        <w:jc w:val="both"/>
      </w:pPr>
      <w:r>
        <w:rPr>
          <w:rFonts w:ascii="Times New Roman"/>
          <w:b w:val="false"/>
          <w:i w:val="false"/>
          <w:color w:val="000000"/>
          <w:sz w:val="28"/>
        </w:rPr>
        <w:t>
      "растительная фармацевтическая субстанция" - субстанция, получаемая после обработки растительного сырья с помощью таких методов, как экстракция, дистилляция, отжим, фракционирование, очистка, концентрирование и ферментация. К таким субстанциям относятся мелкоизмельченное или порошкообразное растительное сырье, настойки, экстракты, эфирные масла, отжатые соки и обработанные вытяжки;</w:t>
      </w:r>
    </w:p>
    <w:bookmarkEnd w:id="101"/>
    <w:bookmarkStart w:name="z98" w:id="102"/>
    <w:p>
      <w:pPr>
        <w:spacing w:after="0"/>
        <w:ind w:left="0"/>
        <w:jc w:val="both"/>
      </w:pPr>
      <w:r>
        <w:rPr>
          <w:rFonts w:ascii="Times New Roman"/>
          <w:b w:val="false"/>
          <w:i w:val="false"/>
          <w:color w:val="000000"/>
          <w:sz w:val="28"/>
        </w:rPr>
        <w:t>
      "регистрационное досье" - комплект документов (в том числе заявление), оформляемых в соответствии с настоящими Правилами, представляемый для проведения процедур, связанных с регистрацией, подтверждением регистрации (перерегистрацией) лекарственного препарата;</w:t>
      </w:r>
    </w:p>
    <w:bookmarkEnd w:id="102"/>
    <w:bookmarkStart w:name="z99" w:id="103"/>
    <w:p>
      <w:pPr>
        <w:spacing w:after="0"/>
        <w:ind w:left="0"/>
        <w:jc w:val="both"/>
      </w:pPr>
      <w:r>
        <w:rPr>
          <w:rFonts w:ascii="Times New Roman"/>
          <w:b w:val="false"/>
          <w:i w:val="false"/>
          <w:color w:val="000000"/>
          <w:sz w:val="28"/>
        </w:rPr>
        <w:t>
      "регистрационное удостоверение лекарственного препарата" - документ единой формы, выдаваемый уполномоченным органом, подтверждающий факт регистрации лекарственного препарата и являющийся разрешением для его медицинского применения на территории государства-члена;</w:t>
      </w:r>
    </w:p>
    <w:bookmarkEnd w:id="103"/>
    <w:bookmarkStart w:name="z100" w:id="104"/>
    <w:p>
      <w:pPr>
        <w:spacing w:after="0"/>
        <w:ind w:left="0"/>
        <w:jc w:val="both"/>
      </w:pPr>
      <w:r>
        <w:rPr>
          <w:rFonts w:ascii="Times New Roman"/>
          <w:b w:val="false"/>
          <w:i w:val="false"/>
          <w:color w:val="000000"/>
          <w:sz w:val="28"/>
        </w:rPr>
        <w:t>
      "регистрационный номер" - кодовое обозначение, присваиваемое лекарственному препарату по факту регистрации на территории государства-члена;</w:t>
      </w:r>
    </w:p>
    <w:bookmarkEnd w:id="104"/>
    <w:bookmarkStart w:name="z101" w:id="105"/>
    <w:p>
      <w:pPr>
        <w:spacing w:after="0"/>
        <w:ind w:left="0"/>
        <w:jc w:val="both"/>
      </w:pPr>
      <w:r>
        <w:rPr>
          <w:rFonts w:ascii="Times New Roman"/>
          <w:b w:val="false"/>
          <w:i w:val="false"/>
          <w:color w:val="000000"/>
          <w:sz w:val="28"/>
        </w:rPr>
        <w:t>
      "регистрация лекарственного препарата" - процесс получения разрешения для медицинского применения лекарственного препарата на территориях одного или нескольких государств-членов, осуществляемый в соответствии с настоящими Правилами;</w:t>
      </w:r>
    </w:p>
    <w:bookmarkEnd w:id="105"/>
    <w:bookmarkStart w:name="z102" w:id="106"/>
    <w:p>
      <w:pPr>
        <w:spacing w:after="0"/>
        <w:ind w:left="0"/>
        <w:jc w:val="both"/>
      </w:pPr>
      <w:r>
        <w:rPr>
          <w:rFonts w:ascii="Times New Roman"/>
          <w:b w:val="false"/>
          <w:i w:val="false"/>
          <w:color w:val="000000"/>
          <w:sz w:val="28"/>
        </w:rPr>
        <w:t>
      "референтное государство" - государство-член, осуществляющее подготовку экспертного отчета об оценке безопасности, эффективности и качества лекарственного препарата на основании экспертизы лекарственного препарата в соответствии с настоящими Правилами;</w:t>
      </w:r>
    </w:p>
    <w:bookmarkEnd w:id="106"/>
    <w:bookmarkStart w:name="z103" w:id="107"/>
    <w:p>
      <w:pPr>
        <w:spacing w:after="0"/>
        <w:ind w:left="0"/>
        <w:jc w:val="both"/>
      </w:pPr>
      <w:r>
        <w:rPr>
          <w:rFonts w:ascii="Times New Roman"/>
          <w:b w:val="false"/>
          <w:i w:val="false"/>
          <w:color w:val="000000"/>
          <w:sz w:val="28"/>
        </w:rPr>
        <w:t>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107"/>
    <w:bookmarkStart w:name="z104" w:id="108"/>
    <w:p>
      <w:pPr>
        <w:spacing w:after="0"/>
        <w:ind w:left="0"/>
        <w:jc w:val="both"/>
      </w:pPr>
      <w:r>
        <w:rPr>
          <w:rFonts w:ascii="Times New Roman"/>
          <w:b w:val="false"/>
          <w:i w:val="false"/>
          <w:color w:val="000000"/>
          <w:sz w:val="28"/>
        </w:rPr>
        <w:t>
      "риски, связанные с применением лекарственного препарата" - любые риски, связанные с качеством, безопасностью или эффективностью лекарственного препарата в отношении здоровья пациентов или населения, или риски, ведущие к нежелательному воздействию на окружающую среду;</w:t>
      </w:r>
    </w:p>
    <w:bookmarkEnd w:id="108"/>
    <w:bookmarkStart w:name="z105" w:id="109"/>
    <w:p>
      <w:pPr>
        <w:spacing w:after="0"/>
        <w:ind w:left="0"/>
        <w:jc w:val="both"/>
      </w:pPr>
      <w:r>
        <w:rPr>
          <w:rFonts w:ascii="Times New Roman"/>
          <w:b w:val="false"/>
          <w:i w:val="false"/>
          <w:color w:val="000000"/>
          <w:sz w:val="28"/>
        </w:rPr>
        <w:t>
      "спецификация" - перечень показателей качества, ссылок на аналитические методики и испытания и нормы, представляющие собой численные (количественные) пределы, диапазоны и прочие критерии для указанных показателей качества;</w:t>
      </w:r>
    </w:p>
    <w:bookmarkEnd w:id="109"/>
    <w:bookmarkStart w:name="z106" w:id="110"/>
    <w:p>
      <w:pPr>
        <w:spacing w:after="0"/>
        <w:ind w:left="0"/>
        <w:jc w:val="both"/>
      </w:pPr>
      <w:r>
        <w:rPr>
          <w:rFonts w:ascii="Times New Roman"/>
          <w:b w:val="false"/>
          <w:i w:val="false"/>
          <w:color w:val="000000"/>
          <w:sz w:val="28"/>
        </w:rPr>
        <w:t>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свойства сравниваются со свойствами исследуемого лекарственного средства, и обладающее достаточной для соответствующего применения степенью чистоты;</w:t>
      </w:r>
    </w:p>
    <w:bookmarkEnd w:id="110"/>
    <w:bookmarkStart w:name="z107" w:id="111"/>
    <w:p>
      <w:pPr>
        <w:spacing w:after="0"/>
        <w:ind w:left="0"/>
        <w:jc w:val="both"/>
      </w:pPr>
      <w:r>
        <w:rPr>
          <w:rFonts w:ascii="Times New Roman"/>
          <w:b w:val="false"/>
          <w:i w:val="false"/>
          <w:color w:val="000000"/>
          <w:sz w:val="28"/>
        </w:rPr>
        <w:t>
      "торговое наименование лекарственного препарата" - наименование, под которым зарегистрирован лекарственный препарат;</w:t>
      </w:r>
    </w:p>
    <w:bookmarkEnd w:id="111"/>
    <w:bookmarkStart w:name="z108" w:id="112"/>
    <w:p>
      <w:pPr>
        <w:spacing w:after="0"/>
        <w:ind w:left="0"/>
        <w:jc w:val="both"/>
      </w:pPr>
      <w:r>
        <w:rPr>
          <w:rFonts w:ascii="Times New Roman"/>
          <w:b w:val="false"/>
          <w:i w:val="false"/>
          <w:color w:val="000000"/>
          <w:sz w:val="28"/>
        </w:rPr>
        <w:t>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112"/>
    <w:bookmarkStart w:name="z109" w:id="113"/>
    <w:p>
      <w:pPr>
        <w:spacing w:after="0"/>
        <w:ind w:left="0"/>
        <w:jc w:val="both"/>
      </w:pPr>
      <w:r>
        <w:rPr>
          <w:rFonts w:ascii="Times New Roman"/>
          <w:b w:val="false"/>
          <w:i w:val="false"/>
          <w:color w:val="000000"/>
          <w:sz w:val="28"/>
        </w:rPr>
        <w:t>
      "экспертный отчет об оценке безопасности, эффективности и качества (экспертный отчет об оценке)" - документ, содержащий результаты экспертизы безопасности, эффективности и качества лекарственного препарата и заключение о возможности (либо невозможности) его регистрации, подтверждения регистрации (перерегистрации), внесении в регистрационное досье изменений, оказывающих влияние на ранее сделанные выводы, приведении в соответствие с требованиями Союза, подготовленный экспертной организацией референтного государства;</w:t>
      </w:r>
    </w:p>
    <w:bookmarkEnd w:id="113"/>
    <w:bookmarkStart w:name="z110" w:id="114"/>
    <w:p>
      <w:pPr>
        <w:spacing w:after="0"/>
        <w:ind w:left="0"/>
        <w:jc w:val="both"/>
      </w:pPr>
      <w:r>
        <w:rPr>
          <w:rFonts w:ascii="Times New Roman"/>
          <w:b w:val="false"/>
          <w:i w:val="false"/>
          <w:color w:val="000000"/>
          <w:sz w:val="28"/>
        </w:rPr>
        <w:t>
      "эффективность лекарственного препарата" - совокупность характеристик,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решениями Совета Евразийской экономической комиссии от 23.04.2021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1" w:id="115"/>
    <w:p>
      <w:pPr>
        <w:spacing w:after="0"/>
        <w:ind w:left="0"/>
        <w:jc w:val="left"/>
      </w:pPr>
      <w:r>
        <w:rPr>
          <w:rFonts w:ascii="Times New Roman"/>
          <w:b/>
          <w:i w:val="false"/>
          <w:color w:val="000000"/>
        </w:rPr>
        <w:t xml:space="preserve"> III. Общие принципы регистрации лекарственных препаратов </w:t>
      </w:r>
    </w:p>
    <w:bookmarkEnd w:id="115"/>
    <w:bookmarkStart w:name="z112" w:id="116"/>
    <w:p>
      <w:pPr>
        <w:spacing w:after="0"/>
        <w:ind w:left="0"/>
        <w:jc w:val="both"/>
      </w:pPr>
      <w:r>
        <w:rPr>
          <w:rFonts w:ascii="Times New Roman"/>
          <w:b w:val="false"/>
          <w:i w:val="false"/>
          <w:color w:val="000000"/>
          <w:sz w:val="28"/>
        </w:rPr>
        <w:t>
      20. Регистрация лекарственных препаратов может осуществляться по требованию заявителя в соответствии с процедурой взаимного признания или децентрализованной процедурой регистрации.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3" w:id="117"/>
    <w:p>
      <w:pPr>
        <w:spacing w:after="0"/>
        <w:ind w:left="0"/>
        <w:jc w:val="both"/>
      </w:pPr>
      <w:r>
        <w:rPr>
          <w:rFonts w:ascii="Times New Roman"/>
          <w:b w:val="false"/>
          <w:i w:val="false"/>
          <w:color w:val="000000"/>
          <w:sz w:val="28"/>
        </w:rPr>
        <w:t>
      21. Процедура взаимного признания осуществляется:</w:t>
      </w:r>
    </w:p>
    <w:bookmarkEnd w:id="117"/>
    <w:bookmarkStart w:name="z114" w:id="118"/>
    <w:p>
      <w:pPr>
        <w:spacing w:after="0"/>
        <w:ind w:left="0"/>
        <w:jc w:val="both"/>
      </w:pPr>
      <w:r>
        <w:rPr>
          <w:rFonts w:ascii="Times New Roman"/>
          <w:b w:val="false"/>
          <w:i w:val="false"/>
          <w:color w:val="000000"/>
          <w:sz w:val="28"/>
        </w:rPr>
        <w:t>
      а) референтным государством в соответствии с настоящими Правилами с целью обращения лекарственного препарата на рынке только этого государства (национальная процедура регистрации);</w:t>
      </w:r>
    </w:p>
    <w:bookmarkEnd w:id="118"/>
    <w:bookmarkStart w:name="z115" w:id="119"/>
    <w:p>
      <w:pPr>
        <w:spacing w:after="0"/>
        <w:ind w:left="0"/>
        <w:jc w:val="both"/>
      </w:pPr>
      <w:r>
        <w:rPr>
          <w:rFonts w:ascii="Times New Roman"/>
          <w:b w:val="false"/>
          <w:i w:val="false"/>
          <w:color w:val="000000"/>
          <w:sz w:val="28"/>
        </w:rPr>
        <w:t>
      б) в государствах признания - по желанию заявителя после регистрации лекарственного препарата в референтном государстве по процедуре взаимного признания либо по инициативе уполномоченного органа государства-члена в соответствии с подразделом VII.VI настоящих Правил. Допускается одновременное инициирование процедуры взаимного признания в нескольких государствах признания.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решениям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29.11.2024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6" w:id="120"/>
    <w:p>
      <w:pPr>
        <w:spacing w:after="0"/>
        <w:ind w:left="0"/>
        <w:jc w:val="both"/>
      </w:pPr>
      <w:r>
        <w:rPr>
          <w:rFonts w:ascii="Times New Roman"/>
          <w:b w:val="false"/>
          <w:i w:val="false"/>
          <w:color w:val="000000"/>
          <w:sz w:val="28"/>
        </w:rPr>
        <w:t>
      22. Децентрализованная процедура регистрации осуществляется одновременно несколькими государствами-членами, в которые подано заявление о регистрации лекарственного препарата, с выбором референтного государства.</w:t>
      </w:r>
    </w:p>
    <w:bookmarkEnd w:id="120"/>
    <w:p>
      <w:pPr>
        <w:spacing w:after="0"/>
        <w:ind w:left="0"/>
        <w:jc w:val="both"/>
      </w:pPr>
      <w:r>
        <w:rPr>
          <w:rFonts w:ascii="Times New Roman"/>
          <w:b w:val="false"/>
          <w:i w:val="false"/>
          <w:color w:val="000000"/>
          <w:sz w:val="28"/>
        </w:rPr>
        <w:t>
      23. Заявитель самостоятельно осуществляет выбор референтного государства и при необходимости государства признания при подаче заявления на регистрацию лекарственного препарата.</w:t>
      </w:r>
    </w:p>
    <w:bookmarkStart w:name="z11806" w:id="121"/>
    <w:p>
      <w:pPr>
        <w:spacing w:after="0"/>
        <w:ind w:left="0"/>
        <w:jc w:val="both"/>
      </w:pPr>
      <w:r>
        <w:rPr>
          <w:rFonts w:ascii="Times New Roman"/>
          <w:b w:val="false"/>
          <w:i w:val="false"/>
          <w:color w:val="000000"/>
          <w:sz w:val="28"/>
        </w:rPr>
        <w:t>
      Заявитель вправе отозвать свое заявление в любое время до окончания осуществления процедуры регистрации лекарственного препарата, письменно уведомив об отзыве уполномоченный орган государства-члена, в котором рассматривается заявление.</w:t>
      </w:r>
    </w:p>
    <w:bookmarkEnd w:id="121"/>
    <w:bookmarkStart w:name="z11807" w:id="122"/>
    <w:p>
      <w:pPr>
        <w:spacing w:after="0"/>
        <w:ind w:left="0"/>
        <w:jc w:val="both"/>
      </w:pPr>
      <w:r>
        <w:rPr>
          <w:rFonts w:ascii="Times New Roman"/>
          <w:b w:val="false"/>
          <w:i w:val="false"/>
          <w:color w:val="000000"/>
          <w:sz w:val="28"/>
        </w:rPr>
        <w:t>
      В случае отзыва заявления уполномоченный орган государства-члена, в котором рассматривается заявление, прекращает его рассмотрение по существу и возвращает заявителю оригиналы представленных вместе с заявлением документов и (или) сведений.</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118" w:id="123"/>
    <w:p>
      <w:pPr>
        <w:spacing w:after="0"/>
        <w:ind w:left="0"/>
        <w:jc w:val="both"/>
      </w:pPr>
      <w:r>
        <w:rPr>
          <w:rFonts w:ascii="Times New Roman"/>
          <w:b w:val="false"/>
          <w:i w:val="false"/>
          <w:color w:val="000000"/>
          <w:sz w:val="28"/>
        </w:rPr>
        <w:t>
      24. Только одно государство может выступать в качестве референтного государства.</w:t>
      </w:r>
    </w:p>
    <w:bookmarkEnd w:id="123"/>
    <w:bookmarkStart w:name="z119" w:id="124"/>
    <w:p>
      <w:pPr>
        <w:spacing w:after="0"/>
        <w:ind w:left="0"/>
        <w:jc w:val="both"/>
      </w:pPr>
      <w:r>
        <w:rPr>
          <w:rFonts w:ascii="Times New Roman"/>
          <w:b w:val="false"/>
          <w:i w:val="false"/>
          <w:color w:val="000000"/>
          <w:sz w:val="28"/>
        </w:rPr>
        <w:t>
      25. Требования к документам и данным регистрационного досье в формате общего технического документа, представляемого на регистрацию лекарственного препарата, установлены приложениями № 1 - 5 к настоящим Правилам.</w:t>
      </w:r>
    </w:p>
    <w:bookmarkEnd w:id="124"/>
    <w:bookmarkStart w:name="z120" w:id="125"/>
    <w:p>
      <w:pPr>
        <w:spacing w:after="0"/>
        <w:ind w:left="0"/>
        <w:jc w:val="both"/>
      </w:pPr>
      <w:r>
        <w:rPr>
          <w:rFonts w:ascii="Times New Roman"/>
          <w:b w:val="false"/>
          <w:i w:val="false"/>
          <w:color w:val="000000"/>
          <w:sz w:val="28"/>
        </w:rPr>
        <w:t>
      26. До подачи заявления на регистрацию лекарственного препарата уполномоченные органы или экспертные организации государств-членов вправе по запросу заявителя проводить научные и предрегистрационные консультации в соответствии с законодательством государств-членов, по вопросам, связанным с проведением аналитических испытаний, доклинических и клинических исследований (испытаний), аспектам процедуры регистрации, в том числе по вопросам, касающимся квалификации, разновидности заявления на регистрацию лекарственного препарата с целью определения объема документов и данных регистрационного досье, в отношении комплектности регистрационного досье, формата подачи заявления и регистрационного досье, необходимости предоставления образцов лекарственного препарата, стандартных образцов, материалов, специфических реактивов, расходных материалов, необходимых для проведения лабораторной экспертизы качества в экспертной организации или по ее назначению, и по другим вопросам.</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решением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121" w:id="126"/>
    <w:p>
      <w:pPr>
        <w:spacing w:after="0"/>
        <w:ind w:left="0"/>
        <w:jc w:val="both"/>
      </w:pPr>
      <w:r>
        <w:rPr>
          <w:rFonts w:ascii="Times New Roman"/>
          <w:b w:val="false"/>
          <w:i w:val="false"/>
          <w:color w:val="000000"/>
          <w:sz w:val="28"/>
        </w:rPr>
        <w:t>
      27. Уполномоченный орган или экспертная организация референтного государства в случае выявления в ходе проведения процедур регистрации, подтверждения регистрации (перерегистрации), внесения изменений в регистрационное досье или процедур, связанных с регистрацией, фактов, ставящих под сомнение достоверность сведений, представленных заявителем в регистрационном досье в отношении проведенных доклинических (неклинических) исследований (испытаний) лекарственных средств и клинических исследований (испытаний) лекарственных препаратов или производства лекарственного средства, включая производство фармацевтической субстанции или организацию системы фармаконадзора, инициирует проведение фармацевтическим инспекторатом этого государства инспекции на соблюдение требований соответствующих надлежащих фармацевтических практик. Такие инспекции могут быть также инициированы в случаях, указанных в пунктах 31, 33, 35, 37 - 39 настоящих Правил. Ответственность за своевременную инициацию соответствующих внеплановых инспекций в случае их необходимости несет уполномоченный орган референтного государства.</w:t>
      </w:r>
    </w:p>
    <w:bookmarkEnd w:id="126"/>
    <w:bookmarkStart w:name="z122" w:id="127"/>
    <w:p>
      <w:pPr>
        <w:spacing w:after="0"/>
        <w:ind w:left="0"/>
        <w:jc w:val="both"/>
      </w:pPr>
      <w:r>
        <w:rPr>
          <w:rFonts w:ascii="Times New Roman"/>
          <w:b w:val="false"/>
          <w:i w:val="false"/>
          <w:color w:val="000000"/>
          <w:sz w:val="28"/>
        </w:rPr>
        <w:t>
      28. Производство лекарственных средств должно соответствовать Правилам надлежащей производственной практики Евразийского экономического союза.</w:t>
      </w:r>
    </w:p>
    <w:bookmarkEnd w:id="127"/>
    <w:bookmarkStart w:name="z123" w:id="128"/>
    <w:p>
      <w:pPr>
        <w:spacing w:after="0"/>
        <w:ind w:left="0"/>
        <w:jc w:val="both"/>
      </w:pPr>
      <w:r>
        <w:rPr>
          <w:rFonts w:ascii="Times New Roman"/>
          <w:b w:val="false"/>
          <w:i w:val="false"/>
          <w:color w:val="000000"/>
          <w:sz w:val="28"/>
        </w:rPr>
        <w:t>
      29. При подаче заявления на регистрацию, подтверждение регистрации (перерегистрацию), приведение в соответствие с требованиями Союза лекарственного препарата заявитель должен представить в составе регистрационного досье действующий документ, подтверждающий соответствие требованиям надлежащей производственной практики Союза,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заявленного к регистрации, подтверждению регистрации (перерегистрации), приведению в соответствие с требованиями Союза.</w:t>
      </w:r>
    </w:p>
    <w:bookmarkEnd w:id="128"/>
    <w:bookmarkStart w:name="z124" w:id="129"/>
    <w:p>
      <w:pPr>
        <w:spacing w:after="0"/>
        <w:ind w:left="0"/>
        <w:jc w:val="both"/>
      </w:pPr>
      <w:r>
        <w:rPr>
          <w:rFonts w:ascii="Times New Roman"/>
          <w:b w:val="false"/>
          <w:i w:val="false"/>
          <w:color w:val="000000"/>
          <w:sz w:val="28"/>
        </w:rPr>
        <w:t>
      В отношении производственной площадки (производственных площадок) лекарственного препарата заявитель вместо документа, подтверждающего соответствие требованиям надлежащей производственной практики Союза, вправе представить до окончания срока его действия документ, подтверждающий соответствие требованиям надлежащей производственной практики, выданный производителю лекарственного препарата уполномоченным органом государств-членов, производственной площадки (производственных площадок) лекарственного препарата, осуществляющей производство готовой лекарственной формы и выпускающий контроль качества.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решениями Совета Евразийской экономической комиссии от 14.06.2018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6 месяцев с даты его официального опубликования); от 23.04.2021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5" w:id="130"/>
    <w:p>
      <w:pPr>
        <w:spacing w:after="0"/>
        <w:ind w:left="0"/>
        <w:jc w:val="both"/>
      </w:pPr>
      <w:r>
        <w:rPr>
          <w:rFonts w:ascii="Times New Roman"/>
          <w:b w:val="false"/>
          <w:i w:val="false"/>
          <w:color w:val="000000"/>
          <w:sz w:val="28"/>
        </w:rPr>
        <w:t>
      30. В случае невозможности представления действующего документа, подтверждающего соответствие производственной площадки (производственных площадок) лекарственного препарата требованиям надлежащей производственной практики Союза, заявитель при подаче заявления на регистрацию лекарственного препарата или на приведение в соответствие с требованиями Союза вместо данного документа представляет следующие документы и сведения:</w:t>
      </w:r>
    </w:p>
    <w:bookmarkEnd w:id="130"/>
    <w:bookmarkStart w:name="z126" w:id="131"/>
    <w:p>
      <w:pPr>
        <w:spacing w:after="0"/>
        <w:ind w:left="0"/>
        <w:jc w:val="both"/>
      </w:pPr>
      <w:r>
        <w:rPr>
          <w:rFonts w:ascii="Times New Roman"/>
          <w:b w:val="false"/>
          <w:i w:val="false"/>
          <w:color w:val="000000"/>
          <w:sz w:val="28"/>
        </w:rPr>
        <w:t>
      а) действующие документы, подтверждающие соответствие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требованиям надлежащей производственной практики, выданные производителю лекарственного препарата уполномоченным органом страны - производителя лекарственного препарата;</w:t>
      </w:r>
    </w:p>
    <w:bookmarkEnd w:id="131"/>
    <w:bookmarkStart w:name="z127" w:id="132"/>
    <w:p>
      <w:pPr>
        <w:spacing w:after="0"/>
        <w:ind w:left="0"/>
        <w:jc w:val="both"/>
      </w:pPr>
      <w:r>
        <w:rPr>
          <w:rFonts w:ascii="Times New Roman"/>
          <w:b w:val="false"/>
          <w:i w:val="false"/>
          <w:color w:val="000000"/>
          <w:sz w:val="28"/>
        </w:rPr>
        <w:t>
      б) копия отчета о результатах последней инспекции производственной площадки (производственных площадок на этапах производства), проведенной уполномоченным органом страны-производителя и (или) иным уполномоченным органом в течение последних 3 лет;</w:t>
      </w:r>
    </w:p>
    <w:bookmarkEnd w:id="132"/>
    <w:bookmarkStart w:name="z128" w:id="133"/>
    <w:p>
      <w:pPr>
        <w:spacing w:after="0"/>
        <w:ind w:left="0"/>
        <w:jc w:val="both"/>
      </w:pPr>
      <w:r>
        <w:rPr>
          <w:rFonts w:ascii="Times New Roman"/>
          <w:b w:val="false"/>
          <w:i w:val="false"/>
          <w:color w:val="000000"/>
          <w:sz w:val="28"/>
        </w:rPr>
        <w:t>
      в) сведения о результатах всех инспекций данной производственной площадки (производственных площадок) на соответствие требованиям надлежащей производственной практики, проведенных в течение последних 3 лет;</w:t>
      </w:r>
    </w:p>
    <w:bookmarkEnd w:id="133"/>
    <w:bookmarkStart w:name="z129" w:id="134"/>
    <w:p>
      <w:pPr>
        <w:spacing w:after="0"/>
        <w:ind w:left="0"/>
        <w:jc w:val="both"/>
      </w:pPr>
      <w:r>
        <w:rPr>
          <w:rFonts w:ascii="Times New Roman"/>
          <w:b w:val="false"/>
          <w:i w:val="false"/>
          <w:color w:val="000000"/>
          <w:sz w:val="28"/>
        </w:rPr>
        <w:t>
      г) сведения о рекламациях в отношении качества лекарственных препаратов, произведенных на данной производственной площадке (производственных площадках), за последние 3 года;</w:t>
      </w:r>
    </w:p>
    <w:bookmarkEnd w:id="134"/>
    <w:bookmarkStart w:name="z130" w:id="135"/>
    <w:p>
      <w:pPr>
        <w:spacing w:after="0"/>
        <w:ind w:left="0"/>
        <w:jc w:val="both"/>
      </w:pPr>
      <w:r>
        <w:rPr>
          <w:rFonts w:ascii="Times New Roman"/>
          <w:b w:val="false"/>
          <w:i w:val="false"/>
          <w:color w:val="000000"/>
          <w:sz w:val="28"/>
        </w:rPr>
        <w:t>
      д) согласие на проведение фармацевтической инспекции на соответствие требованиям надлежащей производственной практики Союза;</w:t>
      </w:r>
    </w:p>
    <w:bookmarkEnd w:id="135"/>
    <w:bookmarkStart w:name="z131" w:id="136"/>
    <w:p>
      <w:pPr>
        <w:spacing w:after="0"/>
        <w:ind w:left="0"/>
        <w:jc w:val="both"/>
      </w:pPr>
      <w:r>
        <w:rPr>
          <w:rFonts w:ascii="Times New Roman"/>
          <w:b w:val="false"/>
          <w:i w:val="false"/>
          <w:color w:val="000000"/>
          <w:sz w:val="28"/>
        </w:rPr>
        <w:t>
      е) копия основного досье (мастер-файл) производственной площадки (производственных площадок).</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решениями Совета Евразийской экономической комиссии от 14.06.2018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6 месяцев с даты его официального опубликования); от 23.04.2021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2" w:id="137"/>
    <w:p>
      <w:pPr>
        <w:spacing w:after="0"/>
        <w:ind w:left="0"/>
        <w:jc w:val="both"/>
      </w:pPr>
      <w:r>
        <w:rPr>
          <w:rFonts w:ascii="Times New Roman"/>
          <w:b w:val="false"/>
          <w:i w:val="false"/>
          <w:color w:val="000000"/>
          <w:sz w:val="28"/>
        </w:rPr>
        <w:t>
      31. Референтное государство на основании представленных заявителем документов, указанных в пункте 30 настоящих Правил, с учетом оценки возможных рисков принимает решение о необходимости проведения внеплановой фармацевтической инспекции на соответствие требованиям надлежащей производственной практики Союза в срок проведения регистрационных процедур в отношении лекарственного препарата или о включении инспекции производственной площадки (производственных площадок), на которой осуществляется производство лекарственного препарата, заявленного на регистрацию или на приведение в соответствие с требованиями Союза, в том числе при необходимости фармацевтической субстанции, в план проведения инспекций в первые 3 года после завершения регистрационных процедур.</w:t>
      </w:r>
    </w:p>
    <w:bookmarkEnd w:id="137"/>
    <w:bookmarkStart w:name="z133" w:id="138"/>
    <w:p>
      <w:pPr>
        <w:spacing w:after="0"/>
        <w:ind w:left="0"/>
        <w:jc w:val="both"/>
      </w:pPr>
      <w:r>
        <w:rPr>
          <w:rFonts w:ascii="Times New Roman"/>
          <w:b w:val="false"/>
          <w:i w:val="false"/>
          <w:color w:val="000000"/>
          <w:sz w:val="28"/>
        </w:rPr>
        <w:t>
      32. В случае документального обоснования уполномоченным органом референтного государства невозможности проведения внеплановой инспекции производственной площадки (производственных площадок) лекарственного препарата референтным государством в сроки проведения регистрационных процедур в отношении лекарственного препарата заявитель имеет право по согласованию с референтным государством обратиться в одно из государств-членов с заявлением о проведении инспекции данной производственной площадки (производственных площадок) на соответствие требованиям надлежащей производственной практики Союза.</w:t>
      </w:r>
    </w:p>
    <w:bookmarkEnd w:id="138"/>
    <w:bookmarkStart w:name="z134" w:id="139"/>
    <w:p>
      <w:pPr>
        <w:spacing w:after="0"/>
        <w:ind w:left="0"/>
        <w:jc w:val="both"/>
      </w:pPr>
      <w:r>
        <w:rPr>
          <w:rFonts w:ascii="Times New Roman"/>
          <w:b w:val="false"/>
          <w:i w:val="false"/>
          <w:color w:val="000000"/>
          <w:sz w:val="28"/>
        </w:rPr>
        <w:t>
      В случае письменного отказа уполномоченными органами государств признания в проведении внеплановой инспекции производственной площадки (производственных площадок) лекарственного препарата, уполномоченный орган референтного государства обязан организовать и провести внеплановую инспекцию в сроки проведения регистрационных процедур в отношении лекарственного препарата.</w:t>
      </w:r>
    </w:p>
    <w:bookmarkEnd w:id="139"/>
    <w:bookmarkStart w:name="z135" w:id="140"/>
    <w:p>
      <w:pPr>
        <w:spacing w:after="0"/>
        <w:ind w:left="0"/>
        <w:jc w:val="both"/>
      </w:pPr>
      <w:r>
        <w:rPr>
          <w:rFonts w:ascii="Times New Roman"/>
          <w:b w:val="false"/>
          <w:i w:val="false"/>
          <w:color w:val="000000"/>
          <w:sz w:val="28"/>
        </w:rPr>
        <w:t>
      33. Решение о необходимости проведения внеплановой фармацевтической инспекции на соответствие требованиям надлежащей производственной практики Союза выносится уполномоченным органом референтного государства в процессе осуществления:</w:t>
      </w:r>
    </w:p>
    <w:bookmarkEnd w:id="140"/>
    <w:bookmarkStart w:name="z136" w:id="141"/>
    <w:p>
      <w:pPr>
        <w:spacing w:after="0"/>
        <w:ind w:left="0"/>
        <w:jc w:val="both"/>
      </w:pPr>
      <w:r>
        <w:rPr>
          <w:rFonts w:ascii="Times New Roman"/>
          <w:b w:val="false"/>
          <w:i w:val="false"/>
          <w:color w:val="000000"/>
          <w:sz w:val="28"/>
        </w:rPr>
        <w:t>
      а) процедуры регистрации - для лекарственных препаратов, произведенных на площадках, осуществляющих производство готовой лекарственной формы и выпускающий контроль качества, ранее не подвергавшихся инспектированию уполномоченным органом (организацией) как минимум одного государства-члена;</w:t>
      </w:r>
    </w:p>
    <w:bookmarkEnd w:id="141"/>
    <w:bookmarkStart w:name="z137" w:id="142"/>
    <w:p>
      <w:pPr>
        <w:spacing w:after="0"/>
        <w:ind w:left="0"/>
        <w:jc w:val="both"/>
      </w:pPr>
      <w:r>
        <w:rPr>
          <w:rFonts w:ascii="Times New Roman"/>
          <w:b w:val="false"/>
          <w:i w:val="false"/>
          <w:color w:val="000000"/>
          <w:sz w:val="28"/>
        </w:rPr>
        <w:t>
      б) процедуры приведения в соответствие с требованиями Союза - для лекарственных препаратов, ранее зарегистрированных в государствах-членах, в случае указания (введения, изменения) производственной площадки (производственных площадок), ранее не подвергавшейся инспектированию уполномоченным органом (организацией) как минимум одного государства-члена.</w:t>
      </w:r>
    </w:p>
    <w:bookmarkEnd w:id="142"/>
    <w:bookmarkStart w:name="z138" w:id="143"/>
    <w:p>
      <w:pPr>
        <w:spacing w:after="0"/>
        <w:ind w:left="0"/>
        <w:jc w:val="both"/>
      </w:pPr>
      <w:r>
        <w:rPr>
          <w:rFonts w:ascii="Times New Roman"/>
          <w:b w:val="false"/>
          <w:i w:val="false"/>
          <w:color w:val="000000"/>
          <w:sz w:val="28"/>
        </w:rPr>
        <w:t>
      34. Доклинические исследования безопасности лекарственных средств проводятся в соответствии с требованиями правил надлежащей лабораторной практики Союза, утверждаемых Комиссией.</w:t>
      </w:r>
    </w:p>
    <w:bookmarkEnd w:id="143"/>
    <w:bookmarkStart w:name="z139" w:id="144"/>
    <w:p>
      <w:pPr>
        <w:spacing w:after="0"/>
        <w:ind w:left="0"/>
        <w:jc w:val="both"/>
      </w:pPr>
      <w:r>
        <w:rPr>
          <w:rFonts w:ascii="Times New Roman"/>
          <w:b w:val="false"/>
          <w:i w:val="false"/>
          <w:color w:val="000000"/>
          <w:sz w:val="28"/>
        </w:rPr>
        <w:t>
      Клинические исследования лекарственных препаратов проводятся в соответствии с требованиями правил надлежащей клинической практики Союза, утверждаемых Комиссией.</w:t>
      </w:r>
    </w:p>
    <w:bookmarkEnd w:id="144"/>
    <w:bookmarkStart w:name="z140" w:id="145"/>
    <w:p>
      <w:pPr>
        <w:spacing w:after="0"/>
        <w:ind w:left="0"/>
        <w:jc w:val="both"/>
      </w:pPr>
      <w:r>
        <w:rPr>
          <w:rFonts w:ascii="Times New Roman"/>
          <w:b w:val="false"/>
          <w:i w:val="false"/>
          <w:color w:val="000000"/>
          <w:sz w:val="28"/>
        </w:rPr>
        <w:t>
      35. Доклинические исследования безопасности лекарственных средств, проведенные в государствах, не являющихся членами Союза, рассматриваются в процессе экспертизы лекарственных препаратов при условии, что они спланированы, проведены и описаны в отчете о доклиническом исследовании в соответствии с требованиями надлежащей лабораторной практики, эквивалентными требованиям Союза (или не ниже).</w:t>
      </w:r>
    </w:p>
    <w:bookmarkEnd w:id="145"/>
    <w:bookmarkStart w:name="z141" w:id="146"/>
    <w:p>
      <w:pPr>
        <w:spacing w:after="0"/>
        <w:ind w:left="0"/>
        <w:jc w:val="both"/>
      </w:pPr>
      <w:r>
        <w:rPr>
          <w:rFonts w:ascii="Times New Roman"/>
          <w:b w:val="false"/>
          <w:i w:val="false"/>
          <w:color w:val="000000"/>
          <w:sz w:val="28"/>
        </w:rPr>
        <w:t>
      Клинические исследования лекарственных препаратов, проведенные в государствах, не являющихся членами Союза, рассматриваются в процессе экспертизы лекарственных препаратов при условии, что они спланированы, проведены и описаны в отчете о клиническом исследовании в соответствии с требованиями надлежащей клинической практики, эквивалентными требованиям Союза (или не ниже), а также принципами Хельсинкской декларации Всемирной медицинской ассоциации "Этические принципы медицинских исследований с участием человека в качестве объекта исследования".</w:t>
      </w:r>
    </w:p>
    <w:bookmarkEnd w:id="146"/>
    <w:bookmarkStart w:name="z142" w:id="147"/>
    <w:p>
      <w:pPr>
        <w:spacing w:after="0"/>
        <w:ind w:left="0"/>
        <w:jc w:val="both"/>
      </w:pPr>
      <w:r>
        <w:rPr>
          <w:rFonts w:ascii="Times New Roman"/>
          <w:b w:val="false"/>
          <w:i w:val="false"/>
          <w:color w:val="000000"/>
          <w:sz w:val="28"/>
        </w:rPr>
        <w:t>
      В процессе экспертизы лекарственного препарата уполномоченный орган референтного государства имеет право назначить внеплановую инспекцию на предмет соблюдения правил надлежащей лабораторной практики Союза в случае:</w:t>
      </w:r>
    </w:p>
    <w:bookmarkEnd w:id="147"/>
    <w:bookmarkStart w:name="z143" w:id="148"/>
    <w:p>
      <w:pPr>
        <w:spacing w:after="0"/>
        <w:ind w:left="0"/>
        <w:jc w:val="both"/>
      </w:pPr>
      <w:r>
        <w:rPr>
          <w:rFonts w:ascii="Times New Roman"/>
          <w:b w:val="false"/>
          <w:i w:val="false"/>
          <w:color w:val="000000"/>
          <w:sz w:val="28"/>
        </w:rPr>
        <w:t>
      выявления в ходе проведения экспертизы лекарственного препарата фактов, ставящих под сомнение достоверность результатов, полученных в ходе проведения доклинических исследований;</w:t>
      </w:r>
    </w:p>
    <w:bookmarkEnd w:id="148"/>
    <w:bookmarkStart w:name="z144" w:id="149"/>
    <w:p>
      <w:pPr>
        <w:spacing w:after="0"/>
        <w:ind w:left="0"/>
        <w:jc w:val="both"/>
      </w:pPr>
      <w:r>
        <w:rPr>
          <w:rFonts w:ascii="Times New Roman"/>
          <w:b w:val="false"/>
          <w:i w:val="false"/>
          <w:color w:val="000000"/>
          <w:sz w:val="28"/>
        </w:rPr>
        <w:t>
      выявления сомнительных (неправдоподобных или противоречивых с медико-биологической точки зрения) результатов исследований;</w:t>
      </w:r>
    </w:p>
    <w:bookmarkEnd w:id="149"/>
    <w:bookmarkStart w:name="z145" w:id="150"/>
    <w:p>
      <w:pPr>
        <w:spacing w:after="0"/>
        <w:ind w:left="0"/>
        <w:jc w:val="both"/>
      </w:pPr>
      <w:r>
        <w:rPr>
          <w:rFonts w:ascii="Times New Roman"/>
          <w:b w:val="false"/>
          <w:i w:val="false"/>
          <w:color w:val="000000"/>
          <w:sz w:val="28"/>
        </w:rPr>
        <w:t>
      наличия иных обстоятельств, предусмотренных правилами проведения фармацевтических инспекций, утверждаемыми Комиссией.</w:t>
      </w:r>
    </w:p>
    <w:bookmarkEnd w:id="150"/>
    <w:bookmarkStart w:name="z146" w:id="151"/>
    <w:p>
      <w:pPr>
        <w:spacing w:after="0"/>
        <w:ind w:left="0"/>
        <w:jc w:val="both"/>
      </w:pPr>
      <w:r>
        <w:rPr>
          <w:rFonts w:ascii="Times New Roman"/>
          <w:b w:val="false"/>
          <w:i w:val="false"/>
          <w:color w:val="000000"/>
          <w:sz w:val="28"/>
        </w:rPr>
        <w:t>
      36. При регистрации лекарственного препарата отчеты о проведенных клинических исследованиях, включенные в состав модуля 5 его регистрационного досье, рассматриваются в процессе экспертизы при соблюдении одного из следующих условий:</w:t>
      </w:r>
    </w:p>
    <w:bookmarkEnd w:id="151"/>
    <w:bookmarkStart w:name="z147" w:id="152"/>
    <w:p>
      <w:pPr>
        <w:spacing w:after="0"/>
        <w:ind w:left="0"/>
        <w:jc w:val="both"/>
      </w:pPr>
      <w:r>
        <w:rPr>
          <w:rFonts w:ascii="Times New Roman"/>
          <w:b w:val="false"/>
          <w:i w:val="false"/>
          <w:color w:val="000000"/>
          <w:sz w:val="28"/>
        </w:rPr>
        <w:t>
      клинические исследования проведены в соответствии с законодательством государств-членов и на их территории до 1 января 2016 г. (по дате последнего визита последнего пациента (добровольца)) или продолжали проводиться по состоянию на 1 января 2016 г. (при завершенном наборе пациентов (добровольцев) в исследование);</w:t>
      </w:r>
    </w:p>
    <w:bookmarkEnd w:id="152"/>
    <w:bookmarkStart w:name="z148" w:id="153"/>
    <w:p>
      <w:pPr>
        <w:spacing w:after="0"/>
        <w:ind w:left="0"/>
        <w:jc w:val="both"/>
      </w:pPr>
      <w:r>
        <w:rPr>
          <w:rFonts w:ascii="Times New Roman"/>
          <w:b w:val="false"/>
          <w:i w:val="false"/>
          <w:color w:val="000000"/>
          <w:sz w:val="28"/>
        </w:rPr>
        <w:t>
      клинические исследования проведены частично или полностью на территориях стран региона Международной конференции по гармонизации технических требований к регистрации лекарственных препаратов для медицинского применения (ICH) до 1 января 2016 г. (по дате последнего визита последнего пациента), на основании которых лекарственный препарат зарегистрирован на территориях стран региона Международной конференции по гармонизации технических требований к регистрации лекарственных препаратов для медицинского применения (ICH);</w:t>
      </w:r>
    </w:p>
    <w:bookmarkEnd w:id="153"/>
    <w:bookmarkStart w:name="z149" w:id="154"/>
    <w:p>
      <w:pPr>
        <w:spacing w:after="0"/>
        <w:ind w:left="0"/>
        <w:jc w:val="both"/>
      </w:pPr>
      <w:r>
        <w:rPr>
          <w:rFonts w:ascii="Times New Roman"/>
          <w:b w:val="false"/>
          <w:i w:val="false"/>
          <w:color w:val="000000"/>
          <w:sz w:val="28"/>
        </w:rPr>
        <w:t>
      клинические исследования, инициированные после 1 января 2016 г., проведены в соответствии с международными договорами и актами, составляющими право Союза, при этом как минимум одно из клинических исследований проведено полностью или частично (в отношении данных, полученных от субъектов исследования) на территории Союза.</w:t>
      </w:r>
    </w:p>
    <w:bookmarkEnd w:id="154"/>
    <w:bookmarkStart w:name="z150" w:id="155"/>
    <w:p>
      <w:pPr>
        <w:spacing w:after="0"/>
        <w:ind w:left="0"/>
        <w:jc w:val="both"/>
      </w:pPr>
      <w:r>
        <w:rPr>
          <w:rFonts w:ascii="Times New Roman"/>
          <w:b w:val="false"/>
          <w:i w:val="false"/>
          <w:color w:val="000000"/>
          <w:sz w:val="28"/>
        </w:rPr>
        <w:t>
      Если требования, указанные во втором - четвертом абзацах настоящего пункта, не выполняются, до подачи заявления на регистрацию лекарственного препарата заявитель проводит клинические исследования (как минимум одно исследование по усмотрению заявителя и по согласованию с уполномоченным органом) полностью или частично на территории Союза или при проведении экспертизы регистрационного досье по решению уполномоченного органа назначается внеплановая инспекция одного из клинических центров, в которых проводилось клиническое исследование.</w:t>
      </w:r>
    </w:p>
    <w:bookmarkEnd w:id="155"/>
    <w:bookmarkStart w:name="z151" w:id="156"/>
    <w:p>
      <w:pPr>
        <w:spacing w:after="0"/>
        <w:ind w:left="0"/>
        <w:jc w:val="both"/>
      </w:pPr>
      <w:r>
        <w:rPr>
          <w:rFonts w:ascii="Times New Roman"/>
          <w:b w:val="false"/>
          <w:i w:val="false"/>
          <w:color w:val="000000"/>
          <w:sz w:val="28"/>
        </w:rPr>
        <w:t>
      Положения настоящего пункта не применяются в отношении орфанных лекарственных препаратов.</w:t>
      </w:r>
    </w:p>
    <w:bookmarkEnd w:id="156"/>
    <w:bookmarkStart w:name="z152" w:id="157"/>
    <w:p>
      <w:pPr>
        <w:spacing w:after="0"/>
        <w:ind w:left="0"/>
        <w:jc w:val="both"/>
      </w:pPr>
      <w:r>
        <w:rPr>
          <w:rFonts w:ascii="Times New Roman"/>
          <w:b w:val="false"/>
          <w:i w:val="false"/>
          <w:color w:val="000000"/>
          <w:sz w:val="28"/>
        </w:rPr>
        <w:t>
      37. Уполномоченный орган референтного государства на основании представленных заявителем документов и сведений с учетом оценки возможных рисков принимает решение о необходимости (или отсутствии необходимости) проведения внеплановой инспекции клинических исследований лекарственного препарата, в том числе исследований биоэквивалентности, в срок проведения регистрации лекарственного препарата на соответствие требованиям надлежащей клинической практики Союза или о включении инспекции клинического исследования в план проведения инспекций в первые 3 года после регистрации лекарственного препарата. В этом случае плановая инспекция проводится по меньшей мере в одном исследовательском центре в соответствии с правилами проведения фармацевтических инспекций, утверждаемыми Комиссией.</w:t>
      </w:r>
    </w:p>
    <w:bookmarkEnd w:id="157"/>
    <w:bookmarkStart w:name="z153" w:id="158"/>
    <w:p>
      <w:pPr>
        <w:spacing w:after="0"/>
        <w:ind w:left="0"/>
        <w:jc w:val="both"/>
      </w:pPr>
      <w:r>
        <w:rPr>
          <w:rFonts w:ascii="Times New Roman"/>
          <w:b w:val="false"/>
          <w:i w:val="false"/>
          <w:color w:val="000000"/>
          <w:sz w:val="28"/>
        </w:rPr>
        <w:t>
      38. Решение о необходимости проведения внеплановой инспекции клинического исследования на соответствие требованиям надлежащей клинической практики Союза (или на соответствие требованиям надлежащей лабораторной практики Союза - в отношении применимых пунктов) выносится уполномоченным органом на основании комплексной оценки следующих факторов:</w:t>
      </w:r>
    </w:p>
    <w:bookmarkEnd w:id="158"/>
    <w:bookmarkStart w:name="z154" w:id="159"/>
    <w:p>
      <w:pPr>
        <w:spacing w:after="0"/>
        <w:ind w:left="0"/>
        <w:jc w:val="both"/>
      </w:pPr>
      <w:r>
        <w:rPr>
          <w:rFonts w:ascii="Times New Roman"/>
          <w:b w:val="false"/>
          <w:i w:val="false"/>
          <w:color w:val="000000"/>
          <w:sz w:val="28"/>
        </w:rPr>
        <w:t>
      отсутствие информации об одобрении независимым этическим комитетом клинического исследования;</w:t>
      </w:r>
    </w:p>
    <w:bookmarkEnd w:id="159"/>
    <w:bookmarkStart w:name="z155" w:id="160"/>
    <w:p>
      <w:pPr>
        <w:spacing w:after="0"/>
        <w:ind w:left="0"/>
        <w:jc w:val="both"/>
      </w:pPr>
      <w:r>
        <w:rPr>
          <w:rFonts w:ascii="Times New Roman"/>
          <w:b w:val="false"/>
          <w:i w:val="false"/>
          <w:color w:val="000000"/>
          <w:sz w:val="28"/>
        </w:rPr>
        <w:t>
      выявление фактов нарушения в получении информированного согласия или информации, представляемой субъектам исследования;</w:t>
      </w:r>
    </w:p>
    <w:bookmarkEnd w:id="160"/>
    <w:bookmarkStart w:name="z156" w:id="161"/>
    <w:p>
      <w:pPr>
        <w:spacing w:after="0"/>
        <w:ind w:left="0"/>
        <w:jc w:val="both"/>
      </w:pPr>
      <w:r>
        <w:rPr>
          <w:rFonts w:ascii="Times New Roman"/>
          <w:b w:val="false"/>
          <w:i w:val="false"/>
          <w:color w:val="000000"/>
          <w:sz w:val="28"/>
        </w:rPr>
        <w:t>
      наличие вопросов, связанных с административной структурой клинического исследования (отсутствие или неясность информации);</w:t>
      </w:r>
    </w:p>
    <w:bookmarkEnd w:id="161"/>
    <w:bookmarkStart w:name="z157" w:id="162"/>
    <w:p>
      <w:pPr>
        <w:spacing w:after="0"/>
        <w:ind w:left="0"/>
        <w:jc w:val="both"/>
      </w:pPr>
      <w:r>
        <w:rPr>
          <w:rFonts w:ascii="Times New Roman"/>
          <w:b w:val="false"/>
          <w:i w:val="false"/>
          <w:color w:val="000000"/>
          <w:sz w:val="28"/>
        </w:rPr>
        <w:t>
      наличие существенных поправок, не отраженных в протоколе в ходе исследования в соответствии с правилами надлежащей клинической практики, утверждаемыми Комиссией;</w:t>
      </w:r>
    </w:p>
    <w:bookmarkEnd w:id="162"/>
    <w:bookmarkStart w:name="z158" w:id="163"/>
    <w:p>
      <w:pPr>
        <w:spacing w:after="0"/>
        <w:ind w:left="0"/>
        <w:jc w:val="both"/>
      </w:pPr>
      <w:r>
        <w:rPr>
          <w:rFonts w:ascii="Times New Roman"/>
          <w:b w:val="false"/>
          <w:i w:val="false"/>
          <w:color w:val="000000"/>
          <w:sz w:val="28"/>
        </w:rPr>
        <w:t>
      отсутствие или недостаточность в протоколе и отчете о клиническом исследовании сведений, описывающих определение показателей эффективности и (или) безопасности (относительно отбора, идентификации, обработки клинических образцов, условий количественного определения);</w:t>
      </w:r>
    </w:p>
    <w:bookmarkEnd w:id="163"/>
    <w:bookmarkStart w:name="z159" w:id="164"/>
    <w:p>
      <w:pPr>
        <w:spacing w:after="0"/>
        <w:ind w:left="0"/>
        <w:jc w:val="both"/>
      </w:pPr>
      <w:r>
        <w:rPr>
          <w:rFonts w:ascii="Times New Roman"/>
          <w:b w:val="false"/>
          <w:i w:val="false"/>
          <w:color w:val="000000"/>
          <w:sz w:val="28"/>
        </w:rPr>
        <w:t>
      наличие сведений об исключении данных субъектов исследования из статистического анализа без обоснования причин;</w:t>
      </w:r>
    </w:p>
    <w:bookmarkEnd w:id="164"/>
    <w:bookmarkStart w:name="z160" w:id="165"/>
    <w:p>
      <w:pPr>
        <w:spacing w:after="0"/>
        <w:ind w:left="0"/>
        <w:jc w:val="both"/>
      </w:pPr>
      <w:r>
        <w:rPr>
          <w:rFonts w:ascii="Times New Roman"/>
          <w:b w:val="false"/>
          <w:i w:val="false"/>
          <w:color w:val="000000"/>
          <w:sz w:val="28"/>
        </w:rPr>
        <w:t>
      выявление фактов, ставящих под сомнение достоверность сведений, представленных в регистрационном досье в отношении клинического исследования лекарственного препарата (необоснованные или неясные различия конечных точек эффективности и безопасности в протоколе и отчете клинического исследования; непоследовательность, неточность или неполнота записи данных, изменения протокола не учитываются в других документах клинического исследования, большое количество пропущенных значений, способное повлиять на статистическую мощность исследования);</w:t>
      </w:r>
    </w:p>
    <w:bookmarkEnd w:id="165"/>
    <w:bookmarkStart w:name="z161" w:id="166"/>
    <w:p>
      <w:pPr>
        <w:spacing w:after="0"/>
        <w:ind w:left="0"/>
        <w:jc w:val="both"/>
      </w:pPr>
      <w:r>
        <w:rPr>
          <w:rFonts w:ascii="Times New Roman"/>
          <w:b w:val="false"/>
          <w:i w:val="false"/>
          <w:color w:val="000000"/>
          <w:sz w:val="28"/>
        </w:rPr>
        <w:t>
      неправдоподобность или несоответствие клинических данных (противоречивые результаты по сравнению с известными результатами других исследований, низкая частота сообщений о случаях серьезных нежелательных реакций и (или) неправдоподобные данные в пользу исследуемого препарата по сравнению с результатами других исследователей или других исследований, сомнительных (неправдоподобных или противоречивых) с медико-биологической точки зрения результатов между исследованиями или между исследовательскими центрами);</w:t>
      </w:r>
    </w:p>
    <w:bookmarkEnd w:id="166"/>
    <w:bookmarkStart w:name="z162" w:id="167"/>
    <w:p>
      <w:pPr>
        <w:spacing w:after="0"/>
        <w:ind w:left="0"/>
        <w:jc w:val="both"/>
      </w:pPr>
      <w:r>
        <w:rPr>
          <w:rFonts w:ascii="Times New Roman"/>
          <w:b w:val="false"/>
          <w:i w:val="false"/>
          <w:color w:val="000000"/>
          <w:sz w:val="28"/>
        </w:rPr>
        <w:t>
      критическая зависимость (обоснование эффективности и безопасности препарата, а также соотношения его пользы - риска) от результатов только одного исследования или исследований на малой выборке субъектов;</w:t>
      </w:r>
    </w:p>
    <w:bookmarkEnd w:id="167"/>
    <w:bookmarkStart w:name="z163" w:id="168"/>
    <w:p>
      <w:pPr>
        <w:spacing w:after="0"/>
        <w:ind w:left="0"/>
        <w:jc w:val="both"/>
      </w:pPr>
      <w:r>
        <w:rPr>
          <w:rFonts w:ascii="Times New Roman"/>
          <w:b w:val="false"/>
          <w:i w:val="false"/>
          <w:color w:val="000000"/>
          <w:sz w:val="28"/>
        </w:rPr>
        <w:t>
      предназначение лекарственного препарата для применения широкой популяцией населения (например, вакцины и другие лекарственные препараты, которые предназначены для одновременного применения большими группами населения);</w:t>
      </w:r>
    </w:p>
    <w:bookmarkEnd w:id="168"/>
    <w:bookmarkStart w:name="z164" w:id="169"/>
    <w:p>
      <w:pPr>
        <w:spacing w:after="0"/>
        <w:ind w:left="0"/>
        <w:jc w:val="both"/>
      </w:pPr>
      <w:r>
        <w:rPr>
          <w:rFonts w:ascii="Times New Roman"/>
          <w:b w:val="false"/>
          <w:i w:val="false"/>
          <w:color w:val="000000"/>
          <w:sz w:val="28"/>
        </w:rPr>
        <w:t>
      высокая вероятность возникновения этических проблем (участие в исследовании уязвимых групп населения: дети, лица с когнитивными нарушениями, пациенты с заболеваниями, не имеющими альтернативной терапии, институционализированные пациенты и т.д. в соответствии с требованиями правил надлежащей клинической практики, утверждаемых Комиссией);</w:t>
      </w:r>
    </w:p>
    <w:bookmarkEnd w:id="169"/>
    <w:bookmarkStart w:name="z165" w:id="170"/>
    <w:p>
      <w:pPr>
        <w:spacing w:after="0"/>
        <w:ind w:left="0"/>
        <w:jc w:val="both"/>
      </w:pPr>
      <w:r>
        <w:rPr>
          <w:rFonts w:ascii="Times New Roman"/>
          <w:b w:val="false"/>
          <w:i w:val="false"/>
          <w:color w:val="000000"/>
          <w:sz w:val="28"/>
        </w:rPr>
        <w:t>
      проведение клинического исследования в клиническом центре географического региона, где уровень требований к проведению клинических исследований ниже установленных в рамках Союза;</w:t>
      </w:r>
    </w:p>
    <w:bookmarkEnd w:id="170"/>
    <w:bookmarkStart w:name="z166" w:id="171"/>
    <w:p>
      <w:pPr>
        <w:spacing w:after="0"/>
        <w:ind w:left="0"/>
        <w:jc w:val="both"/>
      </w:pPr>
      <w:r>
        <w:rPr>
          <w:rFonts w:ascii="Times New Roman"/>
          <w:b w:val="false"/>
          <w:i w:val="false"/>
          <w:color w:val="000000"/>
          <w:sz w:val="28"/>
        </w:rPr>
        <w:t>
      наличие сведений уполномоченных органов государств, не являющихся членами Союза, относительно проблем с соблюдением требований надлежащей клинической практики исследовательским центром или спонсором;</w:t>
      </w:r>
    </w:p>
    <w:bookmarkEnd w:id="171"/>
    <w:bookmarkStart w:name="z167" w:id="172"/>
    <w:p>
      <w:pPr>
        <w:spacing w:after="0"/>
        <w:ind w:left="0"/>
        <w:jc w:val="both"/>
      </w:pPr>
      <w:r>
        <w:rPr>
          <w:rFonts w:ascii="Times New Roman"/>
          <w:b w:val="false"/>
          <w:i w:val="false"/>
          <w:color w:val="000000"/>
          <w:sz w:val="28"/>
        </w:rPr>
        <w:t>
      наличие обстоятельств, предусмотренных правилами проведения фармацевтических инспекций, утверждаемыми Комиссией.</w:t>
      </w:r>
    </w:p>
    <w:bookmarkEnd w:id="172"/>
    <w:bookmarkStart w:name="z168" w:id="173"/>
    <w:p>
      <w:pPr>
        <w:spacing w:after="0"/>
        <w:ind w:left="0"/>
        <w:jc w:val="both"/>
      </w:pPr>
      <w:r>
        <w:rPr>
          <w:rFonts w:ascii="Times New Roman"/>
          <w:b w:val="false"/>
          <w:i w:val="false"/>
          <w:color w:val="000000"/>
          <w:sz w:val="28"/>
        </w:rPr>
        <w:t>
      При наличии сомнений относительно качества лекарственного препарата и препаратов сравнения, в том числе плацебо, использованных в клиническом исследовании, принимается решение о проведении фармацевтической инспекции производственной площадки данного лекарственного препарата на соответствие требованиям надлежащей производственной практики Союза.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решениями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9" w:id="174"/>
    <w:p>
      <w:pPr>
        <w:spacing w:after="0"/>
        <w:ind w:left="0"/>
        <w:jc w:val="both"/>
      </w:pPr>
      <w:r>
        <w:rPr>
          <w:rFonts w:ascii="Times New Roman"/>
          <w:b w:val="false"/>
          <w:i w:val="false"/>
          <w:color w:val="000000"/>
          <w:sz w:val="28"/>
        </w:rPr>
        <w:t>
      39. Решение о необходимости проведения внеплановой инспекции в отношении результатов исследований биоэквивалентности выносится уполномоченным органом с учетом требований пунктов 37 и 38 настоящих Правил на основании комплексной оценки следующих факторов:</w:t>
      </w:r>
    </w:p>
    <w:bookmarkEnd w:id="174"/>
    <w:bookmarkStart w:name="z170" w:id="175"/>
    <w:p>
      <w:pPr>
        <w:spacing w:after="0"/>
        <w:ind w:left="0"/>
        <w:jc w:val="both"/>
      </w:pPr>
      <w:r>
        <w:rPr>
          <w:rFonts w:ascii="Times New Roman"/>
          <w:b w:val="false"/>
          <w:i w:val="false"/>
          <w:color w:val="000000"/>
          <w:sz w:val="28"/>
        </w:rPr>
        <w:t>
      а) представление необоснованно однородных (неоднородных) данных исследования биоэквивалентности;</w:t>
      </w:r>
    </w:p>
    <w:bookmarkEnd w:id="175"/>
    <w:bookmarkStart w:name="z171" w:id="176"/>
    <w:p>
      <w:pPr>
        <w:spacing w:after="0"/>
        <w:ind w:left="0"/>
        <w:jc w:val="both"/>
      </w:pPr>
      <w:r>
        <w:rPr>
          <w:rFonts w:ascii="Times New Roman"/>
          <w:b w:val="false"/>
          <w:i w:val="false"/>
          <w:color w:val="000000"/>
          <w:sz w:val="28"/>
        </w:rPr>
        <w:t>
      б) несоответствие количества пропущенных (выпадающих) значений предполагаемым значениям для данного действующего вещества или типа измерений;</w:t>
      </w:r>
    </w:p>
    <w:bookmarkEnd w:id="176"/>
    <w:bookmarkStart w:name="z172" w:id="177"/>
    <w:p>
      <w:pPr>
        <w:spacing w:after="0"/>
        <w:ind w:left="0"/>
        <w:jc w:val="both"/>
      </w:pPr>
      <w:r>
        <w:rPr>
          <w:rFonts w:ascii="Times New Roman"/>
          <w:b w:val="false"/>
          <w:i w:val="false"/>
          <w:color w:val="000000"/>
          <w:sz w:val="28"/>
        </w:rPr>
        <w:t>
      в) неправдоподобность (несогласованность) представленных клинических, статистических или аналитических данных;</w:t>
      </w:r>
    </w:p>
    <w:bookmarkEnd w:id="177"/>
    <w:bookmarkStart w:name="z173" w:id="178"/>
    <w:p>
      <w:pPr>
        <w:spacing w:after="0"/>
        <w:ind w:left="0"/>
        <w:jc w:val="both"/>
      </w:pPr>
      <w:r>
        <w:rPr>
          <w:rFonts w:ascii="Times New Roman"/>
          <w:b w:val="false"/>
          <w:i w:val="false"/>
          <w:color w:val="000000"/>
          <w:sz w:val="28"/>
        </w:rPr>
        <w:t>
      г) наличие противоречивых результатов исследований в отношении фармакокинетических параметров или межиндивидуальной (внутрииндивидуальной) вариабельности.</w:t>
      </w:r>
    </w:p>
    <w:bookmarkEnd w:id="178"/>
    <w:bookmarkStart w:name="z174" w:id="179"/>
    <w:p>
      <w:pPr>
        <w:spacing w:after="0"/>
        <w:ind w:left="0"/>
        <w:jc w:val="both"/>
      </w:pPr>
      <w:r>
        <w:rPr>
          <w:rFonts w:ascii="Times New Roman"/>
          <w:b w:val="false"/>
          <w:i w:val="false"/>
          <w:color w:val="000000"/>
          <w:sz w:val="28"/>
        </w:rPr>
        <w:t>
      40. Внеплановая инспекция системы фармаконадзора держателя регистрационного удостоверения в рамках процедуры регистрации лекарственного препарата проводится в случаях, предусмотренных правилами надлежащей практики фармаконадзора, утверждаемыми Комиссией.</w:t>
      </w:r>
    </w:p>
    <w:bookmarkEnd w:id="179"/>
    <w:bookmarkStart w:name="z175" w:id="180"/>
    <w:p>
      <w:pPr>
        <w:spacing w:after="0"/>
        <w:ind w:left="0"/>
        <w:jc w:val="left"/>
      </w:pPr>
      <w:r>
        <w:rPr>
          <w:rFonts w:ascii="Times New Roman"/>
          <w:b/>
          <w:i w:val="false"/>
          <w:color w:val="000000"/>
        </w:rPr>
        <w:t xml:space="preserve"> IV. Общие принципы экспертизы лекарственных препаратов </w:t>
      </w:r>
    </w:p>
    <w:bookmarkEnd w:id="180"/>
    <w:bookmarkStart w:name="z176" w:id="181"/>
    <w:p>
      <w:pPr>
        <w:spacing w:after="0"/>
        <w:ind w:left="0"/>
        <w:jc w:val="both"/>
      </w:pPr>
      <w:r>
        <w:rPr>
          <w:rFonts w:ascii="Times New Roman"/>
          <w:b w:val="false"/>
          <w:i w:val="false"/>
          <w:color w:val="000000"/>
          <w:sz w:val="28"/>
        </w:rPr>
        <w:t>
      41. Экспертиза лекарственных препаратов проводится для получения научной оценки качества, безопасности и эффективности лекарственных средств и соотношения "польза - риск" лекарственных препаратов и может включать в себя:</w:t>
      </w:r>
    </w:p>
    <w:bookmarkEnd w:id="181"/>
    <w:bookmarkStart w:name="z177" w:id="182"/>
    <w:p>
      <w:pPr>
        <w:spacing w:after="0"/>
        <w:ind w:left="0"/>
        <w:jc w:val="both"/>
      </w:pPr>
      <w:r>
        <w:rPr>
          <w:rFonts w:ascii="Times New Roman"/>
          <w:b w:val="false"/>
          <w:i w:val="false"/>
          <w:color w:val="000000"/>
          <w:sz w:val="28"/>
        </w:rPr>
        <w:t>
      а) оценку документов и сведений, представленных заявителем в регистрационном досье лекарственного препарата (оценка досье);</w:t>
      </w:r>
    </w:p>
    <w:bookmarkEnd w:id="182"/>
    <w:bookmarkStart w:name="z178" w:id="183"/>
    <w:p>
      <w:pPr>
        <w:spacing w:after="0"/>
        <w:ind w:left="0"/>
        <w:jc w:val="both"/>
      </w:pPr>
      <w:r>
        <w:rPr>
          <w:rFonts w:ascii="Times New Roman"/>
          <w:b w:val="false"/>
          <w:i w:val="false"/>
          <w:color w:val="000000"/>
          <w:sz w:val="28"/>
        </w:rPr>
        <w:t>
      б) проведение лабораторных испытаний на соответствие требованиям нормативного документа по качеству и верификации аналитических методик контроля качества;</w:t>
      </w:r>
    </w:p>
    <w:bookmarkEnd w:id="183"/>
    <w:bookmarkStart w:name="z179" w:id="184"/>
    <w:p>
      <w:pPr>
        <w:spacing w:after="0"/>
        <w:ind w:left="0"/>
        <w:jc w:val="both"/>
      </w:pPr>
      <w:r>
        <w:rPr>
          <w:rFonts w:ascii="Times New Roman"/>
          <w:b w:val="false"/>
          <w:i w:val="false"/>
          <w:color w:val="000000"/>
          <w:sz w:val="28"/>
        </w:rPr>
        <w:t>
      в) составление референтным государством экспертного отчета по оценке лекарственного препарата;</w:t>
      </w:r>
    </w:p>
    <w:bookmarkEnd w:id="184"/>
    <w:bookmarkStart w:name="z180" w:id="185"/>
    <w:p>
      <w:pPr>
        <w:spacing w:after="0"/>
        <w:ind w:left="0"/>
        <w:jc w:val="both"/>
      </w:pPr>
      <w:r>
        <w:rPr>
          <w:rFonts w:ascii="Times New Roman"/>
          <w:b w:val="false"/>
          <w:i w:val="false"/>
          <w:color w:val="000000"/>
          <w:sz w:val="28"/>
        </w:rPr>
        <w:t>
      г) оценку государством признания экспертного отчета по оценке с учетом документов и сведений, содержащихся в регистрационном досье лекарственного препарата.</w:t>
      </w:r>
    </w:p>
    <w:bookmarkEnd w:id="185"/>
    <w:bookmarkStart w:name="z181" w:id="186"/>
    <w:p>
      <w:pPr>
        <w:spacing w:after="0"/>
        <w:ind w:left="0"/>
        <w:jc w:val="both"/>
      </w:pPr>
      <w:r>
        <w:rPr>
          <w:rFonts w:ascii="Times New Roman"/>
          <w:b w:val="false"/>
          <w:i w:val="false"/>
          <w:color w:val="000000"/>
          <w:sz w:val="28"/>
        </w:rPr>
        <w:t>
      42. Основными принципами проведения экспертизы лекарственных препаратов при регистрации являются:</w:t>
      </w:r>
    </w:p>
    <w:bookmarkEnd w:id="186"/>
    <w:bookmarkStart w:name="z182" w:id="187"/>
    <w:p>
      <w:pPr>
        <w:spacing w:after="0"/>
        <w:ind w:left="0"/>
        <w:jc w:val="both"/>
      </w:pPr>
      <w:r>
        <w:rPr>
          <w:rFonts w:ascii="Times New Roman"/>
          <w:b w:val="false"/>
          <w:i w:val="false"/>
          <w:color w:val="000000"/>
          <w:sz w:val="28"/>
        </w:rPr>
        <w:t>
      а) независимость и правовая защищенность экспертов при осуществлении ими профессиональной деятельности;</w:t>
      </w:r>
    </w:p>
    <w:bookmarkEnd w:id="187"/>
    <w:bookmarkStart w:name="z183" w:id="188"/>
    <w:p>
      <w:pPr>
        <w:spacing w:after="0"/>
        <w:ind w:left="0"/>
        <w:jc w:val="both"/>
      </w:pPr>
      <w:r>
        <w:rPr>
          <w:rFonts w:ascii="Times New Roman"/>
          <w:b w:val="false"/>
          <w:i w:val="false"/>
          <w:color w:val="000000"/>
          <w:sz w:val="28"/>
        </w:rPr>
        <w:t>
      б) обязательность выполнения требований законодательства государств-членов, международных договоров и актов, составляющих право Союза;</w:t>
      </w:r>
    </w:p>
    <w:bookmarkEnd w:id="188"/>
    <w:bookmarkStart w:name="z184" w:id="189"/>
    <w:p>
      <w:pPr>
        <w:spacing w:after="0"/>
        <w:ind w:left="0"/>
        <w:jc w:val="both"/>
      </w:pPr>
      <w:r>
        <w:rPr>
          <w:rFonts w:ascii="Times New Roman"/>
          <w:b w:val="false"/>
          <w:i w:val="false"/>
          <w:color w:val="000000"/>
          <w:sz w:val="28"/>
        </w:rPr>
        <w:t>
      в) научный подход, полнота, всесторонность и объективность исследований объектов экспертизы, обеспечение обоснованности результатов экспертизы в соответствии с документально установленными критериями приемлемости;</w:t>
      </w:r>
    </w:p>
    <w:bookmarkEnd w:id="189"/>
    <w:bookmarkStart w:name="z185" w:id="190"/>
    <w:p>
      <w:pPr>
        <w:spacing w:after="0"/>
        <w:ind w:left="0"/>
        <w:jc w:val="both"/>
      </w:pPr>
      <w:r>
        <w:rPr>
          <w:rFonts w:ascii="Times New Roman"/>
          <w:b w:val="false"/>
          <w:i w:val="false"/>
          <w:color w:val="000000"/>
          <w:sz w:val="28"/>
        </w:rPr>
        <w:t>
      г) компетентность и высокий профессиональный уровень экспертных организаций и экспертов;</w:t>
      </w:r>
    </w:p>
    <w:bookmarkEnd w:id="190"/>
    <w:bookmarkStart w:name="z186" w:id="191"/>
    <w:p>
      <w:pPr>
        <w:spacing w:after="0"/>
        <w:ind w:left="0"/>
        <w:jc w:val="both"/>
      </w:pPr>
      <w:r>
        <w:rPr>
          <w:rFonts w:ascii="Times New Roman"/>
          <w:b w:val="false"/>
          <w:i w:val="false"/>
          <w:color w:val="000000"/>
          <w:sz w:val="28"/>
        </w:rPr>
        <w:t>
      д) системность организации экспертизы лекарственных препаратов и ее методического обеспечения;</w:t>
      </w:r>
    </w:p>
    <w:bookmarkEnd w:id="191"/>
    <w:bookmarkStart w:name="z187" w:id="192"/>
    <w:p>
      <w:pPr>
        <w:spacing w:after="0"/>
        <w:ind w:left="0"/>
        <w:jc w:val="both"/>
      </w:pPr>
      <w:r>
        <w:rPr>
          <w:rFonts w:ascii="Times New Roman"/>
          <w:b w:val="false"/>
          <w:i w:val="false"/>
          <w:color w:val="000000"/>
          <w:sz w:val="28"/>
        </w:rPr>
        <w:t>
      е) ориентация на мировой уровень развития науки и техники, нормы и правила технической и общественной безопасности;</w:t>
      </w:r>
    </w:p>
    <w:bookmarkEnd w:id="192"/>
    <w:bookmarkStart w:name="z188" w:id="193"/>
    <w:p>
      <w:pPr>
        <w:spacing w:after="0"/>
        <w:ind w:left="0"/>
        <w:jc w:val="both"/>
      </w:pPr>
      <w:r>
        <w:rPr>
          <w:rFonts w:ascii="Times New Roman"/>
          <w:b w:val="false"/>
          <w:i w:val="false"/>
          <w:color w:val="000000"/>
          <w:sz w:val="28"/>
        </w:rPr>
        <w:t>
      ж) гласность результатов экспертизы при условии сохранения государственной, служебной и коммерческой тайны в соответствии с законодательством государств-членов, международными договорами и актами, составляющими право Союза.</w:t>
      </w:r>
    </w:p>
    <w:bookmarkEnd w:id="193"/>
    <w:bookmarkStart w:name="z189" w:id="194"/>
    <w:p>
      <w:pPr>
        <w:spacing w:after="0"/>
        <w:ind w:left="0"/>
        <w:jc w:val="both"/>
      </w:pPr>
      <w:r>
        <w:rPr>
          <w:rFonts w:ascii="Times New Roman"/>
          <w:b w:val="false"/>
          <w:i w:val="false"/>
          <w:color w:val="000000"/>
          <w:sz w:val="28"/>
        </w:rPr>
        <w:t>
      43. При разработке, проведении доклинических (неклинических) и клинических исследований (испытаний) лекарственного препарата, его производстве, осуществлении фармаконадзора и подготовке документов, предусмотренных для проведения процедуры регистрации, подтверждения регистрации (перерегистрации), внесения изменений в регистрационное досье или иных процедур, связанных с регистрацией, разработчики, производители и держатели регистрационных удостоверений лекарственных препаратов и их уполномоченные лица должны соблюдать законодательство государств-членов, международные договоры и акты, составляющие право Союза, а также руководствоваться оптимальными подходами, реализация которых позволит обеспечить выполнение таких требований, и которые изложены в том числе в решениях и рекомендациях, принимаемых Комиссией. В случае несоблюдения указанных рекомендаций заявитель должен представить обоснование допустимости выбранного подхода с точки зрения обеспечения качества, эффективности и безопасности лекарственного препарата. Представленное обоснование должно быть оценено при проведении экспертизы лекарственных препаратов.</w:t>
      </w:r>
    </w:p>
    <w:bookmarkEnd w:id="194"/>
    <w:bookmarkStart w:name="z190" w:id="195"/>
    <w:p>
      <w:pPr>
        <w:spacing w:after="0"/>
        <w:ind w:left="0"/>
        <w:jc w:val="both"/>
      </w:pPr>
      <w:r>
        <w:rPr>
          <w:rFonts w:ascii="Times New Roman"/>
          <w:b w:val="false"/>
          <w:i w:val="false"/>
          <w:color w:val="000000"/>
          <w:sz w:val="28"/>
        </w:rPr>
        <w:t>
      44. Экспертиза лекарственного препарата не прерывается на срок проведения внеплановых фармацевтических инспекций на соответствие требованиям надлежащих практик Союза (производственной, лабораторной, клинической, фармаконадзора), но заключительный экспертный отчет по оценке может быть составлен уполномоченным органом (экспертной организацией) референтного государства только с учетом результатов внеплановых фармацевтических инспекций (в случае их проведения). Указанные инспекции должны быть проведены в срок, не превышающий 180 календарных дней с даты принятия уполномоченным органом решения об инициировании инспекции.</w:t>
      </w:r>
    </w:p>
    <w:bookmarkEnd w:id="195"/>
    <w:bookmarkStart w:name="z191" w:id="196"/>
    <w:p>
      <w:pPr>
        <w:spacing w:after="0"/>
        <w:ind w:left="0"/>
        <w:jc w:val="both"/>
      </w:pPr>
      <w:r>
        <w:rPr>
          <w:rFonts w:ascii="Times New Roman"/>
          <w:b w:val="false"/>
          <w:i w:val="false"/>
          <w:color w:val="000000"/>
          <w:sz w:val="28"/>
        </w:rPr>
        <w:t>
      45. Для лекарственных препаратов, требующих дополнительного мониторинга безопасности в соответствии с требованиями надлежащей практики фармаконадзора Союза, общая характеристика лекарственного препарата для медицинского применения (далее - ОХЛП) и инструкция по медицинскому применению лекарственного препарата (листок-вкладыш) (далее - инструкция по медицинскому применению) должны включать в себя соответствующие формулировки и отметки согласно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утверждаемым Комиссией.</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2" w:id="197"/>
    <w:p>
      <w:pPr>
        <w:spacing w:after="0"/>
        <w:ind w:left="0"/>
        <w:jc w:val="left"/>
      </w:pPr>
      <w:r>
        <w:rPr>
          <w:rFonts w:ascii="Times New Roman"/>
          <w:b/>
          <w:i w:val="false"/>
          <w:color w:val="000000"/>
        </w:rPr>
        <w:t xml:space="preserve"> V. Порядок регистрации и экспертизы лекарственных препаратов по процедуре взаимного признания </w:t>
      </w:r>
    </w:p>
    <w:bookmarkEnd w:id="197"/>
    <w:bookmarkStart w:name="z193" w:id="198"/>
    <w:p>
      <w:pPr>
        <w:spacing w:after="0"/>
        <w:ind w:left="0"/>
        <w:jc w:val="left"/>
      </w:pPr>
      <w:r>
        <w:rPr>
          <w:rFonts w:ascii="Times New Roman"/>
          <w:b/>
          <w:i w:val="false"/>
          <w:color w:val="000000"/>
        </w:rPr>
        <w:t xml:space="preserve"> V.I. Регистрация и экспертиза лекарственного препарата в референтном государстве </w:t>
      </w:r>
    </w:p>
    <w:bookmarkEnd w:id="198"/>
    <w:bookmarkStart w:name="z194" w:id="199"/>
    <w:p>
      <w:pPr>
        <w:spacing w:after="0"/>
        <w:ind w:left="0"/>
        <w:jc w:val="both"/>
      </w:pPr>
      <w:r>
        <w:rPr>
          <w:rFonts w:ascii="Times New Roman"/>
          <w:b w:val="false"/>
          <w:i w:val="false"/>
          <w:color w:val="000000"/>
          <w:sz w:val="28"/>
        </w:rPr>
        <w:t>
      46. Срок проведения регистрации и экспертизы лекарственного препарата в референтном государстве не должен превышать 140 рабочих дней с даты подачи заявления на регистрацию лекарственного препарата по день выдачи регистрационного удостоверения.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5" w:id="200"/>
    <w:p>
      <w:pPr>
        <w:spacing w:after="0"/>
        <w:ind w:left="0"/>
        <w:jc w:val="both"/>
      </w:pPr>
      <w:r>
        <w:rPr>
          <w:rFonts w:ascii="Times New Roman"/>
          <w:b w:val="false"/>
          <w:i w:val="false"/>
          <w:color w:val="000000"/>
          <w:sz w:val="28"/>
        </w:rPr>
        <w:t>
      47. В целях регистрации лекарственного препарата заявитель представляет в уполномоченный орган (экспертную организацию) референтного государства следующие документы и материалы:</w:t>
      </w:r>
    </w:p>
    <w:bookmarkEnd w:id="200"/>
    <w:bookmarkStart w:name="z196" w:id="201"/>
    <w:p>
      <w:pPr>
        <w:spacing w:after="0"/>
        <w:ind w:left="0"/>
        <w:jc w:val="both"/>
      </w:pPr>
      <w:r>
        <w:rPr>
          <w:rFonts w:ascii="Times New Roman"/>
          <w:b w:val="false"/>
          <w:i w:val="false"/>
          <w:color w:val="000000"/>
          <w:sz w:val="28"/>
        </w:rPr>
        <w:t>
      заявление по форме, установленной приложением № 2 к настоящим Правилам, на бумажном носителе или в виде электронного документа, подписанного электронной цифровой подписью (электронной подписью) в соответствии с законодательством государства-члена, в котором осуществляется подача такого заявления (далее – электронная подпись);</w:t>
      </w:r>
    </w:p>
    <w:bookmarkEnd w:id="201"/>
    <w:p>
      <w:pPr>
        <w:spacing w:after="0"/>
        <w:ind w:left="0"/>
        <w:jc w:val="both"/>
      </w:pPr>
      <w:r>
        <w:rPr>
          <w:rFonts w:ascii="Times New Roman"/>
          <w:b w:val="false"/>
          <w:i w:val="false"/>
          <w:color w:val="000000"/>
          <w:sz w:val="28"/>
        </w:rPr>
        <w:t>
      письменное подтверждение намерения заявителя согласовать отсутствие в проекте заключительного экспертного отчета об оценке конфиденциальной информации, содержащейся в регистрационном досье лекарственного препарата (при наличии такого намерения);</w:t>
      </w:r>
    </w:p>
    <w:bookmarkStart w:name="z197" w:id="202"/>
    <w:p>
      <w:pPr>
        <w:spacing w:after="0"/>
        <w:ind w:left="0"/>
        <w:jc w:val="both"/>
      </w:pPr>
      <w:r>
        <w:rPr>
          <w:rFonts w:ascii="Times New Roman"/>
          <w:b w:val="false"/>
          <w:i w:val="false"/>
          <w:color w:val="000000"/>
          <w:sz w:val="28"/>
        </w:rPr>
        <w:t>
      документы, подтверждающие оплату сбора (пошлины) за регистрацию и экспертизу лекарственного препарата в случае и порядке, установленных законодательством референтного государства на бумажном носителе или в виде электронных документов, подписанных электронной подписью;</w:t>
      </w:r>
    </w:p>
    <w:bookmarkEnd w:id="202"/>
    <w:bookmarkStart w:name="z198" w:id="203"/>
    <w:p>
      <w:pPr>
        <w:spacing w:after="0"/>
        <w:ind w:left="0"/>
        <w:jc w:val="both"/>
      </w:pPr>
      <w:r>
        <w:rPr>
          <w:rFonts w:ascii="Times New Roman"/>
          <w:b w:val="false"/>
          <w:i w:val="false"/>
          <w:color w:val="000000"/>
          <w:sz w:val="28"/>
        </w:rPr>
        <w:t>
      регистрационное досье в соответствии с приложениями № 1 – 5 к настоящим Правилам на электронном носителе в виде комплекта электронных документов;</w:t>
      </w:r>
    </w:p>
    <w:bookmarkEnd w:id="203"/>
    <w:bookmarkStart w:name="z199" w:id="204"/>
    <w:p>
      <w:pPr>
        <w:spacing w:after="0"/>
        <w:ind w:left="0"/>
        <w:jc w:val="both"/>
      </w:pPr>
      <w:r>
        <w:rPr>
          <w:rFonts w:ascii="Times New Roman"/>
          <w:b w:val="false"/>
          <w:i w:val="false"/>
          <w:color w:val="000000"/>
          <w:sz w:val="28"/>
        </w:rPr>
        <w:t>
      образцы лекарственных препаратов.</w:t>
      </w:r>
    </w:p>
    <w:bookmarkEnd w:id="204"/>
    <w:bookmarkStart w:name="z200" w:id="205"/>
    <w:p>
      <w:pPr>
        <w:spacing w:after="0"/>
        <w:ind w:left="0"/>
        <w:jc w:val="both"/>
      </w:pPr>
      <w:r>
        <w:rPr>
          <w:rFonts w:ascii="Times New Roman"/>
          <w:b w:val="false"/>
          <w:i w:val="false"/>
          <w:color w:val="000000"/>
          <w:sz w:val="28"/>
        </w:rPr>
        <w:t>
      Образцы лекарственных препаратов, стандартные образцы активных фармацевтических субстанций и родственных примесей, специфические реагенты и другие материалы, необходимые для проведения испытаний образцов лекарственных препаратов, указанных в абзаце пятом настоящего пункта, представляются по согласованию с экспертной организацией.</w:t>
      </w:r>
    </w:p>
    <w:bookmarkEnd w:id="205"/>
    <w:bookmarkStart w:name="z201" w:id="206"/>
    <w:p>
      <w:pPr>
        <w:spacing w:after="0"/>
        <w:ind w:left="0"/>
        <w:jc w:val="both"/>
      </w:pPr>
      <w:r>
        <w:rPr>
          <w:rFonts w:ascii="Times New Roman"/>
          <w:b w:val="false"/>
          <w:i w:val="false"/>
          <w:color w:val="000000"/>
          <w:sz w:val="28"/>
        </w:rPr>
        <w:t>
      Образцы лекарственных препаратов, специфические реагенты и другие материалы представляются в количествах, согласованных с экспертной организацией и необходимых для проведения не более чем 3-кратного анализа в соответствии с требованиями нормативного документа по качеству лекарственных препаратов или иными спецификациями, входящими в состав регистрационного досье, в срок, согласованный уполномоченным органом (экспертной организацией), не входящий в общий срок экспертизы и регистрации лекарственного препарата.</w:t>
      </w:r>
    </w:p>
    <w:bookmarkEnd w:id="206"/>
    <w:bookmarkStart w:name="z202" w:id="207"/>
    <w:p>
      <w:pPr>
        <w:spacing w:after="0"/>
        <w:ind w:left="0"/>
        <w:jc w:val="both"/>
      </w:pPr>
      <w:r>
        <w:rPr>
          <w:rFonts w:ascii="Times New Roman"/>
          <w:b w:val="false"/>
          <w:i w:val="false"/>
          <w:color w:val="000000"/>
          <w:sz w:val="28"/>
        </w:rPr>
        <w:t>
      Не требуется представление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207"/>
    <w:p>
      <w:pPr>
        <w:spacing w:after="0"/>
        <w:ind w:left="0"/>
        <w:jc w:val="both"/>
      </w:pPr>
      <w:r>
        <w:rPr>
          <w:rFonts w:ascii="Times New Roman"/>
          <w:b w:val="false"/>
          <w:i w:val="false"/>
          <w:color w:val="000000"/>
          <w:sz w:val="28"/>
        </w:rPr>
        <w:t xml:space="preserve">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 </w:t>
      </w:r>
    </w:p>
    <w:p>
      <w:pPr>
        <w:spacing w:after="0"/>
        <w:ind w:left="0"/>
        <w:jc w:val="both"/>
      </w:pPr>
      <w:r>
        <w:rPr>
          <w:rFonts w:ascii="Times New Roman"/>
          <w:b w:val="false"/>
          <w:i w:val="false"/>
          <w:color w:val="000000"/>
          <w:sz w:val="28"/>
        </w:rPr>
        <w:t>
      невозможности соблюдения условий транспортировки указанных образцов на территорию государства-члена и (или) их хранения;</w:t>
      </w:r>
    </w:p>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p>
      <w:pPr>
        <w:spacing w:after="0"/>
        <w:ind w:left="0"/>
        <w:jc w:val="both"/>
      </w:pPr>
      <w:r>
        <w:rPr>
          <w:rFonts w:ascii="Times New Roman"/>
          <w:b w:val="false"/>
          <w:i w:val="false"/>
          <w:color w:val="000000"/>
          <w:sz w:val="28"/>
        </w:rPr>
        <w:t>
      и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3" w:id="208"/>
    <w:p>
      <w:pPr>
        <w:spacing w:after="0"/>
        <w:ind w:left="0"/>
        <w:jc w:val="both"/>
      </w:pPr>
      <w:r>
        <w:rPr>
          <w:rFonts w:ascii="Times New Roman"/>
          <w:b w:val="false"/>
          <w:i w:val="false"/>
          <w:color w:val="000000"/>
          <w:sz w:val="28"/>
        </w:rPr>
        <w:t>
      48. В случаях, указанных в абзацах восьмом – одиннадцатом пункта 47 настоящих Правил,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208"/>
    <w:bookmarkStart w:name="z11826" w:id="209"/>
    <w:p>
      <w:pPr>
        <w:spacing w:after="0"/>
        <w:ind w:left="0"/>
        <w:jc w:val="both"/>
      </w:pPr>
      <w:r>
        <w:rPr>
          <w:rFonts w:ascii="Times New Roman"/>
          <w:b w:val="false"/>
          <w:i w:val="false"/>
          <w:color w:val="000000"/>
          <w:sz w:val="28"/>
        </w:rPr>
        <w:t>
      В случаях невозможности проведения лабораторных испытаний в лабораториях контроля качества производителя лекарственного препарата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категорий, указанных в абзацах восьмом – одиннадцатом пункта 47)), по согласованию с уполномоченным органом (экспертной организацией)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4" w:id="210"/>
    <w:p>
      <w:pPr>
        <w:spacing w:after="0"/>
        <w:ind w:left="0"/>
        <w:jc w:val="both"/>
      </w:pPr>
      <w:r>
        <w:rPr>
          <w:rFonts w:ascii="Times New Roman"/>
          <w:b w:val="false"/>
          <w:i w:val="false"/>
          <w:color w:val="000000"/>
          <w:sz w:val="28"/>
        </w:rPr>
        <w:t>
      49. Экспертиза лекарственного препарата в референтном государстве включает в себя:</w:t>
      </w:r>
    </w:p>
    <w:bookmarkEnd w:id="210"/>
    <w:bookmarkStart w:name="z205" w:id="211"/>
    <w:p>
      <w:pPr>
        <w:spacing w:after="0"/>
        <w:ind w:left="0"/>
        <w:jc w:val="both"/>
      </w:pPr>
      <w:r>
        <w:rPr>
          <w:rFonts w:ascii="Times New Roman"/>
          <w:b w:val="false"/>
          <w:i w:val="false"/>
          <w:color w:val="000000"/>
          <w:sz w:val="28"/>
        </w:rPr>
        <w:t>
      а) оценку полноты, комплектности и правильности оформления документов, представленных в регистрационном досье;</w:t>
      </w:r>
    </w:p>
    <w:bookmarkEnd w:id="211"/>
    <w:bookmarkStart w:name="z206" w:id="212"/>
    <w:p>
      <w:pPr>
        <w:spacing w:after="0"/>
        <w:ind w:left="0"/>
        <w:jc w:val="both"/>
      </w:pPr>
      <w:r>
        <w:rPr>
          <w:rFonts w:ascii="Times New Roman"/>
          <w:b w:val="false"/>
          <w:i w:val="false"/>
          <w:color w:val="000000"/>
          <w:sz w:val="28"/>
        </w:rPr>
        <w:t>
      б) оценку документов и сведений, представленных заявителем в регистрационном досье лекарственного препарата, на предмет безопасности, эффективности и качества;</w:t>
      </w:r>
    </w:p>
    <w:bookmarkEnd w:id="212"/>
    <w:bookmarkStart w:name="z207" w:id="213"/>
    <w:p>
      <w:pPr>
        <w:spacing w:after="0"/>
        <w:ind w:left="0"/>
        <w:jc w:val="both"/>
      </w:pPr>
      <w:r>
        <w:rPr>
          <w:rFonts w:ascii="Times New Roman"/>
          <w:b w:val="false"/>
          <w:i w:val="false"/>
          <w:color w:val="000000"/>
          <w:sz w:val="28"/>
        </w:rPr>
        <w:t>
      в) проведение лабораторных испытаний на соответствие требованиям нормативного документа по качеству и воспроизводимости заявленных методик контроля качества, осуществляемых в аккредитованных испытательных лабораториях;</w:t>
      </w:r>
    </w:p>
    <w:bookmarkEnd w:id="213"/>
    <w:bookmarkStart w:name="z208" w:id="214"/>
    <w:p>
      <w:pPr>
        <w:spacing w:after="0"/>
        <w:ind w:left="0"/>
        <w:jc w:val="both"/>
      </w:pPr>
      <w:r>
        <w:rPr>
          <w:rFonts w:ascii="Times New Roman"/>
          <w:b w:val="false"/>
          <w:i w:val="false"/>
          <w:color w:val="000000"/>
          <w:sz w:val="28"/>
        </w:rPr>
        <w:t>
      г) инициирование при необходимости фармацевтической инспекции в случаях, установленных настоящими Правилами;</w:t>
      </w:r>
    </w:p>
    <w:bookmarkEnd w:id="214"/>
    <w:bookmarkStart w:name="z209" w:id="215"/>
    <w:p>
      <w:pPr>
        <w:spacing w:after="0"/>
        <w:ind w:left="0"/>
        <w:jc w:val="both"/>
      </w:pPr>
      <w:r>
        <w:rPr>
          <w:rFonts w:ascii="Times New Roman"/>
          <w:b w:val="false"/>
          <w:i w:val="false"/>
          <w:color w:val="000000"/>
          <w:sz w:val="28"/>
        </w:rPr>
        <w:t>
      д) составление референтным государством экспертного отчета по оценке лекарственного препарата.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0" w:id="216"/>
    <w:p>
      <w:pPr>
        <w:spacing w:after="0"/>
        <w:ind w:left="0"/>
        <w:jc w:val="both"/>
      </w:pPr>
      <w:r>
        <w:rPr>
          <w:rFonts w:ascii="Times New Roman"/>
          <w:b w:val="false"/>
          <w:i w:val="false"/>
          <w:color w:val="000000"/>
          <w:sz w:val="28"/>
        </w:rPr>
        <w:t>
      50. Уполномоченный орган (экспертная организация) референтного государства в течение 10 рабочих дней с даты подачи заявления на регистрацию осуществляет оценку полноты, комплектности и правильности оформления документов, представленных в регистрационном досье, до направления материалов регистрационного досье на экспертизу. Заявителю предоставляется не более 90 рабочих дней, не входящих в срок регистрации и экспертизы лекарственного препарата, на представление материалов, недостающих в регистрационном досье, по замечаниям уполномоченного органа (экспертной организации) референтного государства.</w:t>
      </w:r>
    </w:p>
    <w:bookmarkEnd w:id="216"/>
    <w:bookmarkStart w:name="z11827" w:id="217"/>
    <w:p>
      <w:pPr>
        <w:spacing w:after="0"/>
        <w:ind w:left="0"/>
        <w:jc w:val="both"/>
      </w:pPr>
      <w:r>
        <w:rPr>
          <w:rFonts w:ascii="Times New Roman"/>
          <w:b w:val="false"/>
          <w:i w:val="false"/>
          <w:color w:val="000000"/>
          <w:sz w:val="28"/>
        </w:rPr>
        <w:t>
      Оценка ответа заявителя осуществляется в срок, не превышающий 5 рабочих дней со дня получения ответа заявителя.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1" w:id="218"/>
    <w:p>
      <w:pPr>
        <w:spacing w:after="0"/>
        <w:ind w:left="0"/>
        <w:jc w:val="both"/>
      </w:pPr>
      <w:r>
        <w:rPr>
          <w:rFonts w:ascii="Times New Roman"/>
          <w:b w:val="false"/>
          <w:i w:val="false"/>
          <w:color w:val="000000"/>
          <w:sz w:val="28"/>
        </w:rPr>
        <w:t>
      51. Уполномоченный орган (экспертная организация) референтного государства отклоняет заявление на регистрацию лекарственного препарата в случае непредставления материалов регистрационного досье по замечаниям уполномоченного органа (экспертной организации) референтного государства и (или) неподтверждения оплаты сбора (пошлины) за регистрацию и экспертизу лекарственного препарата в случаях и порядке, установленных законодательством референтного государства.</w:t>
      </w:r>
    </w:p>
    <w:bookmarkEnd w:id="218"/>
    <w:bookmarkStart w:name="z212" w:id="219"/>
    <w:p>
      <w:pPr>
        <w:spacing w:after="0"/>
        <w:ind w:left="0"/>
        <w:jc w:val="both"/>
      </w:pPr>
      <w:r>
        <w:rPr>
          <w:rFonts w:ascii="Times New Roman"/>
          <w:b w:val="false"/>
          <w:i w:val="false"/>
          <w:color w:val="000000"/>
          <w:sz w:val="28"/>
        </w:rPr>
        <w:t>
      52. Уполномоченный орган и (или) экспертная организация референтного государства при проведении регистрации и (или) экспертизы лекарственного препарата вправе направить заявителю запрос в письменном и (или) электронном виде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 том числе предложения о внесении изменений в ОХЛП, инструкцию по медицинскому применению, макеты упаковки лекарственного препарата, нормативную документацию по качеству или иные документы регистрационного досье). После первого запроса последующие запросы допускаются только в случае возникновения дополнительных вопросов, касающихся сведений, представленных заявителем в ответе на предшествующий запрос.</w:t>
      </w:r>
    </w:p>
    <w:bookmarkEnd w:id="219"/>
    <w:bookmarkStart w:name="z11828" w:id="220"/>
    <w:p>
      <w:pPr>
        <w:spacing w:after="0"/>
        <w:ind w:left="0"/>
        <w:jc w:val="both"/>
      </w:pPr>
      <w:r>
        <w:rPr>
          <w:rFonts w:ascii="Times New Roman"/>
          <w:b w:val="false"/>
          <w:i w:val="false"/>
          <w:color w:val="000000"/>
          <w:sz w:val="28"/>
        </w:rPr>
        <w:t>
      Экспертиза, включающая в себя этапы, указанные в подпунктах "б" – "д" пункта 49 настоящих Правил проводится в срок, не превышающий 105 рабочих дней со дня оценки полноты, комплектности и правильности оформления документов, представленных в регистрационном досье или с даты получения экспертной организацией соответствующего задания на проведение экспертизы.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3" w:id="221"/>
    <w:p>
      <w:pPr>
        <w:spacing w:after="0"/>
        <w:ind w:left="0"/>
        <w:jc w:val="both"/>
      </w:pPr>
      <w:r>
        <w:rPr>
          <w:rFonts w:ascii="Times New Roman"/>
          <w:b w:val="false"/>
          <w:i w:val="false"/>
          <w:color w:val="000000"/>
          <w:sz w:val="28"/>
        </w:rPr>
        <w:t>
      53. Срок представления заявителем ответа на указанный в пункте 52 настоящих Правил запрос не должен превышать 90 рабочих дней со дня получения запроса.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4" w:id="222"/>
    <w:p>
      <w:pPr>
        <w:spacing w:after="0"/>
        <w:ind w:left="0"/>
        <w:jc w:val="both"/>
      </w:pPr>
      <w:r>
        <w:rPr>
          <w:rFonts w:ascii="Times New Roman"/>
          <w:b w:val="false"/>
          <w:i w:val="false"/>
          <w:color w:val="000000"/>
          <w:sz w:val="28"/>
        </w:rPr>
        <w:t>
      54. При необходимости на основании соответствующего обоснования заявителя срок, установленный в пункте 53 настоящих Правил, может быть продлен уполномоченным органом (экспертной организацией) референтного государства. Общий срок ответа на запросы не должен превышать 180 рабочих дней.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5" w:id="223"/>
    <w:p>
      <w:pPr>
        <w:spacing w:after="0"/>
        <w:ind w:left="0"/>
        <w:jc w:val="both"/>
      </w:pPr>
      <w:r>
        <w:rPr>
          <w:rFonts w:ascii="Times New Roman"/>
          <w:b w:val="false"/>
          <w:i w:val="false"/>
          <w:color w:val="000000"/>
          <w:sz w:val="28"/>
        </w:rPr>
        <w:t>
      55. Время представления заявителем документов по запросу уполномоченного органа или экспертной организации в процессе экспертизы лекарственного препарата не входит в срок проведения экспертизы и регистрации лекарственного препарата.</w:t>
      </w:r>
    </w:p>
    <w:bookmarkEnd w:id="223"/>
    <w:bookmarkStart w:name="z216" w:id="224"/>
    <w:p>
      <w:pPr>
        <w:spacing w:after="0"/>
        <w:ind w:left="0"/>
        <w:jc w:val="both"/>
      </w:pPr>
      <w:r>
        <w:rPr>
          <w:rFonts w:ascii="Times New Roman"/>
          <w:b w:val="false"/>
          <w:i w:val="false"/>
          <w:color w:val="000000"/>
          <w:sz w:val="28"/>
        </w:rPr>
        <w:t>
      56. При непредставлении заявителем в установленный срок запрошенных документов и сведений экспертиза и регистрация лекарственного препарата прекращаются. О принятом решении уполномоченный орган (экспертная организация) извещает заявителя в письменном и (или) электронном виде в течение 14 рабочих дней со дня принятия этого решения.</w:t>
      </w:r>
    </w:p>
    <w:bookmarkEnd w:id="224"/>
    <w:bookmarkStart w:name="z217" w:id="225"/>
    <w:p>
      <w:pPr>
        <w:spacing w:after="0"/>
        <w:ind w:left="0"/>
        <w:jc w:val="both"/>
      </w:pPr>
      <w:r>
        <w:rPr>
          <w:rFonts w:ascii="Times New Roman"/>
          <w:b w:val="false"/>
          <w:i w:val="false"/>
          <w:color w:val="000000"/>
          <w:sz w:val="28"/>
        </w:rPr>
        <w:t>
      57. Запрос уполномоченного органа (экспертной организации) референтного государства должен быть передан заявителю в электронной форме по телекоммуникационным каналам связи и считается полученным по истечении 1 рабочего дня с даты его направления.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8" w:id="226"/>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Решение об инициировании внеплановой фармацевтической инспекции на соответствие надлежащим фармацевтическим практикам Союза может быть принято уполномоченным органом (экспертной организацией) референтного государства не позднее 70 рабочих дней с даты подачи заявления на регистрацию.</w:t>
      </w:r>
    </w:p>
    <w:bookmarkEnd w:id="226"/>
    <w:p>
      <w:pPr>
        <w:spacing w:after="0"/>
        <w:ind w:left="0"/>
        <w:jc w:val="both"/>
      </w:pPr>
      <w:r>
        <w:rPr>
          <w:rFonts w:ascii="Times New Roman"/>
          <w:b w:val="false"/>
          <w:i w:val="false"/>
          <w:color w:val="000000"/>
          <w:sz w:val="28"/>
        </w:rPr>
        <w:t>
      В случае принятия решения об инициировании внеплановой фармацевтической инспекции уполномоченный орган (экспертная организация) референтного государства направляет заявителю запрос о необходимости организации инспектирования (с указанием причин инициирования и ссылками на акты органов Союза). Представление ответа на указанный запрос осуществляется в срок, указанный в пунктах 53 и 54 настоящих Правил.</w:t>
      </w:r>
    </w:p>
    <w:p>
      <w:pPr>
        <w:spacing w:after="0"/>
        <w:ind w:left="0"/>
        <w:jc w:val="both"/>
      </w:pPr>
      <w:r>
        <w:rPr>
          <w:rFonts w:ascii="Times New Roman"/>
          <w:b w:val="false"/>
          <w:i w:val="false"/>
          <w:color w:val="000000"/>
          <w:sz w:val="28"/>
        </w:rPr>
        <w:t>
      Внеплановая фармацевтическая инспекция с направлением отчета о проведении инспекции должна быть проведена в срок, не превышающий срока регистрации лекарственного препарата (в течение 180 рабочих дней с даты принятия соответствующим уполномоченным органом или экспертной организацией решения об инициировании проведения инспекции).</w:t>
      </w:r>
    </w:p>
    <w:p>
      <w:pPr>
        <w:spacing w:after="0"/>
        <w:ind w:left="0"/>
        <w:jc w:val="both"/>
      </w:pPr>
      <w:r>
        <w:rPr>
          <w:rFonts w:ascii="Times New Roman"/>
          <w:b w:val="false"/>
          <w:i w:val="false"/>
          <w:color w:val="000000"/>
          <w:sz w:val="28"/>
        </w:rPr>
        <w:t>
      Внеплановая фармацевтическая инспекция организуется заявителем в соответствии с правилами проведения фармацевтических инспекций.</w:t>
      </w:r>
    </w:p>
    <w:p>
      <w:pPr>
        <w:spacing w:after="0"/>
        <w:ind w:left="0"/>
        <w:jc w:val="both"/>
      </w:pPr>
      <w:r>
        <w:rPr>
          <w:rFonts w:ascii="Times New Roman"/>
          <w:b w:val="false"/>
          <w:i w:val="false"/>
          <w:color w:val="000000"/>
          <w:sz w:val="28"/>
        </w:rPr>
        <w:t>
      В случае включения фармацевтической инспекции в план проведения инспекций в соответствии с пунктом 31 настоящих Правил, подготовка отчета завершается без учета результатов инспектирования.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Для подготовки экспертного отчета по оценке экспертная организация референтного государства составляет экспертные отчеты по аспектам качества, по оценке нового действующего вещества, содержащегося в лекарственном препарате, по оценке регистрационного досье на действующее вещество, по доклиническим, клиническим аспектам, протокол лабораторных испытаний (если экспертной организацией проведены соответствующие испытания) по формам согласно приложениям № 6 - 10, 12 и 22 к настоящим Правилам.</w:t>
      </w:r>
    </w:p>
    <w:bookmarkStart w:name="z11808" w:id="227"/>
    <w:p>
      <w:pPr>
        <w:spacing w:after="0"/>
        <w:ind w:left="0"/>
        <w:jc w:val="both"/>
      </w:pPr>
      <w:r>
        <w:rPr>
          <w:rFonts w:ascii="Times New Roman"/>
          <w:b w:val="false"/>
          <w:i w:val="false"/>
          <w:color w:val="000000"/>
          <w:sz w:val="28"/>
        </w:rPr>
        <w:t xml:space="preserve">
      По результатам экспертизы регистрационного досье воспроизведенного или гибридного лекарственного препарата экспертная организация референтного государства составляет экспертные отчеты по формам согласно </w:t>
      </w:r>
      <w:r>
        <w:rPr>
          <w:rFonts w:ascii="Times New Roman"/>
          <w:b w:val="false"/>
          <w:i w:val="false"/>
          <w:color w:val="000000"/>
          <w:sz w:val="28"/>
        </w:rPr>
        <w:t>приложениям №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решением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221" w:id="228"/>
    <w:p>
      <w:pPr>
        <w:spacing w:after="0"/>
        <w:ind w:left="0"/>
        <w:jc w:val="both"/>
      </w:pPr>
      <w:r>
        <w:rPr>
          <w:rFonts w:ascii="Times New Roman"/>
          <w:b w:val="false"/>
          <w:i w:val="false"/>
          <w:color w:val="000000"/>
          <w:sz w:val="28"/>
        </w:rPr>
        <w:t>
      60. По результатам экспертизы лекарственного препарата экспертной организацией референтного государства составляется заключительный экспертный отчет по оценке лекарственного препарата, заявленного на регистрацию, включая оценку полученных от заявителя разъяснений, документов и сведений, представленных в ответ на запрос экспертной организации или уполномоченного органа, по форме согласно приложению № 16 к настоящим Правилам.</w:t>
      </w:r>
    </w:p>
    <w:bookmarkEnd w:id="228"/>
    <w:p>
      <w:pPr>
        <w:spacing w:after="0"/>
        <w:ind w:left="0"/>
        <w:jc w:val="both"/>
      </w:pPr>
      <w:r>
        <w:rPr>
          <w:rFonts w:ascii="Times New Roman"/>
          <w:b w:val="false"/>
          <w:i w:val="false"/>
          <w:color w:val="000000"/>
          <w:sz w:val="28"/>
        </w:rPr>
        <w:t>
      При наличии в регистрационном досье документально подтвержденного намерения заявителя согласовать отсутствие в проекте заключительного экспертного отчета об оценке конфиденциальной информации, уполномоченный орган (экспертная организация) референтного государства направляет заявителю проект заключительного экспертного отчета об оценке с целью обеспечения конфиденциальности информации, содержащейся в регистрационном досье лекарственного препарата, при публикации заключительного экспертного отчета об оценке в едином реестре. Проект заключительного экспертного отчета об оценке передается заявителю в электронном виде и считается полученным по истечении 1 рабочего дня с даты его направления.</w:t>
      </w:r>
    </w:p>
    <w:p>
      <w:pPr>
        <w:spacing w:after="0"/>
        <w:ind w:left="0"/>
        <w:jc w:val="both"/>
      </w:pPr>
      <w:r>
        <w:rPr>
          <w:rFonts w:ascii="Times New Roman"/>
          <w:b w:val="false"/>
          <w:i w:val="false"/>
          <w:color w:val="000000"/>
          <w:sz w:val="28"/>
        </w:rPr>
        <w:t xml:space="preserve">
      Заявителю предоставляется не более 10 рабочих дней с даты получения проекта заключительного экспертного отчета об оценке, не входящих в срок регистрации и экспертизы лекарственного препарата, на согласование указанного проекта и представление обоснования изъятия конфиденциальных данных, в том числе составляющих коммерческую тайну. Заявитель вправе самостоятельно отметить конфиденциальную информацию, не подлежащую опубликованию, путем ее выделения в режиме рецензирования в проекте заключительного экспертного отчета об оценке, предназначенного для последующей публикации в едином реестре, и направить этот отчет в уполномоченный орган (экспертную организацию) референтного государства в электронном виде. </w:t>
      </w:r>
    </w:p>
    <w:p>
      <w:pPr>
        <w:spacing w:after="0"/>
        <w:ind w:left="0"/>
        <w:jc w:val="both"/>
      </w:pPr>
      <w:r>
        <w:rPr>
          <w:rFonts w:ascii="Times New Roman"/>
          <w:b w:val="false"/>
          <w:i w:val="false"/>
          <w:color w:val="000000"/>
          <w:sz w:val="28"/>
        </w:rPr>
        <w:t>
      Оценка ответа заявителя осуществляется в срок, не превышающий 5 рабочих дней с даты получения ответа заявителя, и не включается в срок проведения экспертизы и регистрации лекарственного препарата.</w:t>
      </w:r>
      <w:r>
        <w:rPr>
          <w:rFonts w:ascii="Times New Roman"/>
          <w:b w:val="false"/>
          <w:i w:val="false"/>
          <w:strike/>
          <w:color w:val="000000"/>
          <w:sz w:val="28"/>
        </w:rPr>
        <w:t xml:space="preserve"> </w:t>
      </w:r>
    </w:p>
    <w:p>
      <w:pPr>
        <w:spacing w:after="0"/>
        <w:ind w:left="0"/>
        <w:jc w:val="both"/>
      </w:pPr>
      <w:r>
        <w:rPr>
          <w:rFonts w:ascii="Times New Roman"/>
          <w:b w:val="false"/>
          <w:i w:val="false"/>
          <w:color w:val="000000"/>
          <w:sz w:val="28"/>
        </w:rPr>
        <w:t>
      На основании проведенной оценки уполномоченный орган (экспертная организация) вправе принять предложенное заявителем изъятие информации. В этом случае при принятии уполномоченным органом референтного государства положительного решения о регистрации лекарственного препарата уполномоченный орган референтного государства размещает в едином реестре заключительный экспертный отчет об оценке, составленный в соответствии с приложением № 16 к настоящим Правилам, после изъятия конфиденциальных данных. При непредставлении заявителем информации, указанной выше, в установленный срок заключительный экспертный отчет об оценке считается согласованным заявителем.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решением Совета Евразийской экономической комиссии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2" w:id="229"/>
    <w:p>
      <w:pPr>
        <w:spacing w:after="0"/>
        <w:ind w:left="0"/>
        <w:jc w:val="both"/>
      </w:pPr>
      <w:r>
        <w:rPr>
          <w:rFonts w:ascii="Times New Roman"/>
          <w:b w:val="false"/>
          <w:i w:val="false"/>
          <w:color w:val="000000"/>
          <w:sz w:val="28"/>
        </w:rPr>
        <w:t>
      61. Экспертные отчеты по аспектам качества, доклиническим, клиническим аспектам, заключительный экспертный отчет по оценке составляются в соответствии с приложениями № 13 - 15 и 23 к настоящим Правилам.</w:t>
      </w:r>
    </w:p>
    <w:bookmarkEnd w:id="229"/>
    <w:bookmarkStart w:name="z223" w:id="230"/>
    <w:p>
      <w:pPr>
        <w:spacing w:after="0"/>
        <w:ind w:left="0"/>
        <w:jc w:val="both"/>
      </w:pPr>
      <w:r>
        <w:rPr>
          <w:rFonts w:ascii="Times New Roman"/>
          <w:b w:val="false"/>
          <w:i w:val="false"/>
          <w:color w:val="000000"/>
          <w:sz w:val="28"/>
        </w:rPr>
        <w:t>
      62. Экспертный отчет об оценке должен обновляться экспертной организацией референтного государства при появлении новой информации, которая является важной для оценки качества, безопасности и (или) эффективности лекарственного препарата и (или) может повлиять на соотношение "польза – риск" лекарственного препарата, в рамках процедуры внесения в регистрационное досье изменений, оказывающих влияние на ранее сделанные выводы и (или) на информацию, содержащуюся в нем.</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решения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4" w:id="231"/>
    <w:p>
      <w:pPr>
        <w:spacing w:after="0"/>
        <w:ind w:left="0"/>
        <w:jc w:val="both"/>
      </w:pPr>
      <w:r>
        <w:rPr>
          <w:rFonts w:ascii="Times New Roman"/>
          <w:b w:val="false"/>
          <w:i w:val="false"/>
          <w:color w:val="000000"/>
          <w:sz w:val="28"/>
        </w:rPr>
        <w:t>
      63. Если по результатам проведения экспертизы лекарственного препарата уполномоченным органом референтного государства принято положительное решение о регистрации лекарственного препарата, уполномоченный орган референтного государства в срок, не превышающий 10 рабочих дней:</w:t>
      </w:r>
    </w:p>
    <w:bookmarkEnd w:id="231"/>
    <w:bookmarkStart w:name="z225" w:id="232"/>
    <w:p>
      <w:pPr>
        <w:spacing w:after="0"/>
        <w:ind w:left="0"/>
        <w:jc w:val="both"/>
      </w:pPr>
      <w:r>
        <w:rPr>
          <w:rFonts w:ascii="Times New Roman"/>
          <w:b w:val="false"/>
          <w:i w:val="false"/>
          <w:color w:val="000000"/>
          <w:sz w:val="28"/>
        </w:rPr>
        <w:t>
      а) выдает заявителю регистрационное удостоверение лекарственного препарата по форме согласно приложению № 17 к настоящим Правилам, утвержденные ОХЛП, инструкцию по медицинскому применению, нормативный документ по качеству, макеты упаковок, экспертный отчет по оценке (при необходимости заявителю выдаются утвержденные ОХЛП, инструкция по медицинскому применению и макеты упаковок лекарственного препарата на государственном языке референтного государства), согласованный план управления рисками (при необходимости);</w:t>
      </w:r>
    </w:p>
    <w:bookmarkEnd w:id="232"/>
    <w:bookmarkStart w:name="z226" w:id="233"/>
    <w:p>
      <w:pPr>
        <w:spacing w:after="0"/>
        <w:ind w:left="0"/>
        <w:jc w:val="both"/>
      </w:pPr>
      <w:r>
        <w:rPr>
          <w:rFonts w:ascii="Times New Roman"/>
          <w:b w:val="false"/>
          <w:i w:val="false"/>
          <w:color w:val="000000"/>
          <w:sz w:val="28"/>
        </w:rPr>
        <w:t>
      б) размещает сведения о лекарственном препарате и входящих в его состав активных фармацевтических субстанциях в едином реестре с приложением утвержденных ОХЛП, инструкции по медицинскому применению, макетов упаковок, нормативного документа по качеству, а также заключительного экспертного отчета по оценке, составленного в соответствии с приложением № 16 к настоящим Правилам, после изъятия конфиденциальных данных и данных об экспертах, резюме согласованного плана управления рисками при применении лекарственного препарата (при необходимости) в соответствии с порядком формирования и ведения единого реестра.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решением Совета Евразийской экономической комиссии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29" w:id="234"/>
    <w:p>
      <w:pPr>
        <w:spacing w:after="0"/>
        <w:ind w:left="0"/>
        <w:jc w:val="both"/>
      </w:pPr>
      <w:r>
        <w:rPr>
          <w:rFonts w:ascii="Times New Roman"/>
          <w:b w:val="false"/>
          <w:i w:val="false"/>
          <w:color w:val="000000"/>
          <w:sz w:val="28"/>
        </w:rPr>
        <w:t>
      63</w:t>
      </w:r>
      <w:r>
        <w:rPr>
          <w:rFonts w:ascii="Times New Roman"/>
          <w:b w:val="false"/>
          <w:i w:val="false"/>
          <w:color w:val="000000"/>
          <w:vertAlign w:val="superscript"/>
        </w:rPr>
        <w:t>1</w:t>
      </w:r>
      <w:r>
        <w:rPr>
          <w:rFonts w:ascii="Times New Roman"/>
          <w:b w:val="false"/>
          <w:i w:val="false"/>
          <w:color w:val="000000"/>
          <w:sz w:val="28"/>
        </w:rPr>
        <w:t>. Решение по результатам проведения экспертизы лекарственного препарата принимается уполномоченным органом референтного государства в срок, не превышающий 10 рабочих дней со дня подписания экспертного отчета по оценке.</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63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27" w:id="235"/>
    <w:p>
      <w:pPr>
        <w:spacing w:after="0"/>
        <w:ind w:left="0"/>
        <w:jc w:val="both"/>
      </w:pPr>
      <w:r>
        <w:rPr>
          <w:rFonts w:ascii="Times New Roman"/>
          <w:b w:val="false"/>
          <w:i w:val="false"/>
          <w:color w:val="000000"/>
          <w:sz w:val="28"/>
        </w:rPr>
        <w:t>
      64. Уполномоченный орган референтного государства отказывает в регистрации лекарственного препарата по результатам проведения экспертизы в следующих случаях:</w:t>
      </w:r>
    </w:p>
    <w:bookmarkEnd w:id="235"/>
    <w:bookmarkStart w:name="z228" w:id="236"/>
    <w:p>
      <w:pPr>
        <w:spacing w:after="0"/>
        <w:ind w:left="0"/>
        <w:jc w:val="both"/>
      </w:pPr>
      <w:r>
        <w:rPr>
          <w:rFonts w:ascii="Times New Roman"/>
          <w:b w:val="false"/>
          <w:i w:val="false"/>
          <w:color w:val="000000"/>
          <w:sz w:val="28"/>
        </w:rPr>
        <w:t>
      а) соотношение ожидаемой пользы к возможным рискам, связанным с применением лекарственного препарата, не является благоприятным;</w:t>
      </w:r>
    </w:p>
    <w:bookmarkEnd w:id="236"/>
    <w:bookmarkStart w:name="z229" w:id="237"/>
    <w:p>
      <w:pPr>
        <w:spacing w:after="0"/>
        <w:ind w:left="0"/>
        <w:jc w:val="both"/>
      </w:pPr>
      <w:r>
        <w:rPr>
          <w:rFonts w:ascii="Times New Roman"/>
          <w:b w:val="false"/>
          <w:i w:val="false"/>
          <w:color w:val="000000"/>
          <w:sz w:val="28"/>
        </w:rPr>
        <w:t>
      б) эффективность лекарственного препарата не подтверждена представленными заявителем сведениями;</w:t>
      </w:r>
    </w:p>
    <w:bookmarkEnd w:id="237"/>
    <w:bookmarkStart w:name="z230" w:id="238"/>
    <w:p>
      <w:pPr>
        <w:spacing w:after="0"/>
        <w:ind w:left="0"/>
        <w:jc w:val="both"/>
      </w:pPr>
      <w:r>
        <w:rPr>
          <w:rFonts w:ascii="Times New Roman"/>
          <w:b w:val="false"/>
          <w:i w:val="false"/>
          <w:color w:val="000000"/>
          <w:sz w:val="28"/>
        </w:rPr>
        <w:t>
      в) качество лекарственного препарата не подтверждено;</w:t>
      </w:r>
    </w:p>
    <w:bookmarkEnd w:id="238"/>
    <w:bookmarkStart w:name="z231" w:id="239"/>
    <w:p>
      <w:pPr>
        <w:spacing w:after="0"/>
        <w:ind w:left="0"/>
        <w:jc w:val="both"/>
      </w:pPr>
      <w:r>
        <w:rPr>
          <w:rFonts w:ascii="Times New Roman"/>
          <w:b w:val="false"/>
          <w:i w:val="false"/>
          <w:color w:val="000000"/>
          <w:sz w:val="28"/>
        </w:rPr>
        <w:t>
      г) предложенные методы и методики контроля качества не воспроизводимы;</w:t>
      </w:r>
    </w:p>
    <w:bookmarkEnd w:id="239"/>
    <w:bookmarkStart w:name="z232" w:id="240"/>
    <w:p>
      <w:pPr>
        <w:spacing w:after="0"/>
        <w:ind w:left="0"/>
        <w:jc w:val="both"/>
      </w:pPr>
      <w:r>
        <w:rPr>
          <w:rFonts w:ascii="Times New Roman"/>
          <w:b w:val="false"/>
          <w:i w:val="false"/>
          <w:color w:val="000000"/>
          <w:sz w:val="28"/>
        </w:rPr>
        <w:t>
      д) заявителем представлены недостоверные сведения;</w:t>
      </w:r>
    </w:p>
    <w:bookmarkEnd w:id="240"/>
    <w:bookmarkStart w:name="z233" w:id="241"/>
    <w:p>
      <w:pPr>
        <w:spacing w:after="0"/>
        <w:ind w:left="0"/>
        <w:jc w:val="both"/>
      </w:pPr>
      <w:r>
        <w:rPr>
          <w:rFonts w:ascii="Times New Roman"/>
          <w:b w:val="false"/>
          <w:i w:val="false"/>
          <w:color w:val="000000"/>
          <w:sz w:val="28"/>
        </w:rPr>
        <w:t>
      е) по результатам назначенной инспекции в период регистрации лекарственного препарата не подтверждено соответствие надлежащим фармацевтическим практикам Союза.</w:t>
      </w:r>
    </w:p>
    <w:bookmarkEnd w:id="241"/>
    <w:bookmarkStart w:name="z11830" w:id="242"/>
    <w:p>
      <w:pPr>
        <w:spacing w:after="0"/>
        <w:ind w:left="0"/>
        <w:jc w:val="both"/>
      </w:pPr>
      <w:r>
        <w:rPr>
          <w:rFonts w:ascii="Times New Roman"/>
          <w:b w:val="false"/>
          <w:i w:val="false"/>
          <w:color w:val="000000"/>
          <w:sz w:val="28"/>
        </w:rPr>
        <w:t>
      ж) заявителем в установленный срок не представлены документы и сведения, запрошенные уполномоченным органом (организацией).</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34" w:id="243"/>
    <w:p>
      <w:pPr>
        <w:spacing w:after="0"/>
        <w:ind w:left="0"/>
        <w:jc w:val="both"/>
      </w:pPr>
      <w:r>
        <w:rPr>
          <w:rFonts w:ascii="Times New Roman"/>
          <w:b w:val="false"/>
          <w:i w:val="false"/>
          <w:color w:val="000000"/>
          <w:sz w:val="28"/>
        </w:rPr>
        <w:t>
      65. В случае принятия уполномоченным органом референтного государства решения об отказе в регистрации лекарственного препарата уполномоченный орган (экспертная организация) референтного государства извещает об этом заявителя в электронном и (или) письменном виде в течение 10 рабочих дней со дня принятия такого решения.</w:t>
      </w:r>
    </w:p>
    <w:bookmarkEnd w:id="243"/>
    <w:bookmarkStart w:name="z235" w:id="244"/>
    <w:p>
      <w:pPr>
        <w:spacing w:after="0"/>
        <w:ind w:left="0"/>
        <w:jc w:val="left"/>
      </w:pPr>
      <w:r>
        <w:rPr>
          <w:rFonts w:ascii="Times New Roman"/>
          <w:b/>
          <w:i w:val="false"/>
          <w:color w:val="000000"/>
        </w:rPr>
        <w:t xml:space="preserve"> V.II. Регистрация и экспертиза лекарственного препарата по процедуре взаимного признания в государстве (государствах) признания </w:t>
      </w:r>
    </w:p>
    <w:bookmarkEnd w:id="244"/>
    <w:bookmarkStart w:name="z236" w:id="245"/>
    <w:p>
      <w:pPr>
        <w:spacing w:after="0"/>
        <w:ind w:left="0"/>
        <w:jc w:val="both"/>
      </w:pPr>
      <w:r>
        <w:rPr>
          <w:rFonts w:ascii="Times New Roman"/>
          <w:b w:val="false"/>
          <w:i w:val="false"/>
          <w:color w:val="000000"/>
          <w:sz w:val="28"/>
        </w:rPr>
        <w:t>
      66. Заявитель после регистрации лекарственного препарата в референтном государстве может инициировать в порядке процедуры взаимного признания регистрацию в других государствах-членах, выбранных заявителем в качестве государств признания, путем представления в уполномоченные органы (экспертную организацию) таких государств-членов:</w:t>
      </w:r>
    </w:p>
    <w:bookmarkEnd w:id="245"/>
    <w:bookmarkStart w:name="z237" w:id="246"/>
    <w:p>
      <w:pPr>
        <w:spacing w:after="0"/>
        <w:ind w:left="0"/>
        <w:jc w:val="both"/>
      </w:pPr>
      <w:r>
        <w:rPr>
          <w:rFonts w:ascii="Times New Roman"/>
          <w:b w:val="false"/>
          <w:i w:val="false"/>
          <w:color w:val="000000"/>
          <w:sz w:val="28"/>
        </w:rPr>
        <w:t>
      заявления на регистрацию лекарственного препарата по процедуре взаимного признания на бумажном носителе или в виде электронного документа, подписанного электронной подписью, по форме согласно приложению № 2 к настоящим Правилам;</w:t>
      </w:r>
    </w:p>
    <w:bookmarkEnd w:id="246"/>
    <w:bookmarkStart w:name="z238" w:id="247"/>
    <w:p>
      <w:pPr>
        <w:spacing w:after="0"/>
        <w:ind w:left="0"/>
        <w:jc w:val="both"/>
      </w:pPr>
      <w:r>
        <w:rPr>
          <w:rFonts w:ascii="Times New Roman"/>
          <w:b w:val="false"/>
          <w:i w:val="false"/>
          <w:color w:val="000000"/>
          <w:sz w:val="28"/>
        </w:rPr>
        <w:t>
      документов, подтверждающих оплату сбора (пошлины) за регистрацию и экспертизу лекарственного препарата в случае и порядке, установленных законодательством государства признания, на бумажном носителе или в виде электронных документов;</w:t>
      </w:r>
    </w:p>
    <w:bookmarkEnd w:id="247"/>
    <w:bookmarkStart w:name="z239" w:id="248"/>
    <w:p>
      <w:pPr>
        <w:spacing w:after="0"/>
        <w:ind w:left="0"/>
        <w:jc w:val="both"/>
      </w:pPr>
      <w:r>
        <w:rPr>
          <w:rFonts w:ascii="Times New Roman"/>
          <w:b w:val="false"/>
          <w:i w:val="false"/>
          <w:color w:val="000000"/>
          <w:sz w:val="28"/>
        </w:rPr>
        <w:t>
      модуля 1 регистрационного досье на электронном носителе в виде электронных документов (в том числе актуализированных документов, относящихся исключительно к государству признания). В сопроводительном письме заявитель обязан представить сведения обо всех внесенных в регистрационное досье изменениях в случае, если они были инициированы до даты подачи заявления на регистрацию в государства признания (с указанием номеров заявлений и с приложением копий решений (заключений) уполномоченного органа референтного государства).</w:t>
      </w:r>
    </w:p>
    <w:bookmarkEnd w:id="248"/>
    <w:bookmarkStart w:name="z240" w:id="249"/>
    <w:p>
      <w:pPr>
        <w:spacing w:after="0"/>
        <w:ind w:left="0"/>
        <w:jc w:val="both"/>
      </w:pPr>
      <w:r>
        <w:rPr>
          <w:rFonts w:ascii="Times New Roman"/>
          <w:b w:val="false"/>
          <w:i w:val="false"/>
          <w:color w:val="000000"/>
          <w:sz w:val="28"/>
        </w:rPr>
        <w:t>
      При наличии соответствующих требований в законодательстве государства-члена представляются ОХЛП, инструкция по медицинскому применению и макеты упаковок лекарственного препарата на государственном языке государства признания.</w:t>
      </w:r>
    </w:p>
    <w:bookmarkEnd w:id="249"/>
    <w:bookmarkStart w:name="z11831" w:id="250"/>
    <w:p>
      <w:pPr>
        <w:spacing w:after="0"/>
        <w:ind w:left="0"/>
        <w:jc w:val="both"/>
      </w:pPr>
      <w:r>
        <w:rPr>
          <w:rFonts w:ascii="Times New Roman"/>
          <w:b w:val="false"/>
          <w:i w:val="false"/>
          <w:color w:val="000000"/>
          <w:sz w:val="28"/>
        </w:rPr>
        <w:t>
      Заявитель вправе инициировать процедуру внесения изменений в регистрационное досье лекарственного препарата в референтном государстве согласно приложению № 19 к настоящим Правилам до даты завершения процедуры регистрации в государствах признания, в которых эта процедура инициирована. В этом случае после завершения процедуры регистрации в государстве признания заявитель должен представить в уполномоченный орган (экспертную организацию) государства признания заявление о внесении изменений, одобренных референтным государством.</w:t>
      </w:r>
    </w:p>
    <w:bookmarkEnd w:id="250"/>
    <w:bookmarkStart w:name="z11832" w:id="251"/>
    <w:p>
      <w:pPr>
        <w:spacing w:after="0"/>
        <w:ind w:left="0"/>
        <w:jc w:val="both"/>
      </w:pPr>
      <w:r>
        <w:rPr>
          <w:rFonts w:ascii="Times New Roman"/>
          <w:b w:val="false"/>
          <w:i w:val="false"/>
          <w:color w:val="000000"/>
          <w:sz w:val="28"/>
        </w:rPr>
        <w:t>
      При подаче срочных изменений, касающихся безопасности, в референтном государстве заявитель в течение суток обязан уведомить об этом факте осуществляющий процедуру признания уполномоченный орган (экспертную организацию) государства признания.</w:t>
      </w:r>
    </w:p>
    <w:bookmarkEnd w:id="251"/>
    <w:bookmarkStart w:name="z11833" w:id="252"/>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изменениями, внесенными решениями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11834" w:id="253"/>
    <w:p>
      <w:pPr>
        <w:spacing w:after="0"/>
        <w:ind w:left="0"/>
        <w:jc w:val="both"/>
      </w:pPr>
      <w:r>
        <w:rPr>
          <w:rFonts w:ascii="Times New Roman"/>
          <w:b w:val="false"/>
          <w:i w:val="false"/>
          <w:color w:val="000000"/>
          <w:sz w:val="28"/>
        </w:rPr>
        <w:t>
      66</w:t>
      </w:r>
      <w:r>
        <w:rPr>
          <w:rFonts w:ascii="Times New Roman"/>
          <w:b w:val="false"/>
          <w:i w:val="false"/>
          <w:color w:val="000000"/>
          <w:vertAlign w:val="superscript"/>
        </w:rPr>
        <w:t>1</w:t>
      </w:r>
      <w:r>
        <w:rPr>
          <w:rFonts w:ascii="Times New Roman"/>
          <w:b w:val="false"/>
          <w:i w:val="false"/>
          <w:color w:val="000000"/>
          <w:sz w:val="28"/>
        </w:rPr>
        <w:t>. Допускается внесение изменений в регистрационное досье зарегистрированного лекарственного препарата в референтном государстве согласно приложению № 19 до даты инициирования процедуры взаимного признания в государстве (государствах) признания и в процессе указанной процедуры. При этом в государство признания референтным государством должен быть представлен актуализированный экспертный отчет по итогам внесения изменений (если применимо).</w:t>
      </w:r>
    </w:p>
    <w:bookmarkEnd w:id="253"/>
    <w:bookmarkStart w:name="z11835" w:id="254"/>
    <w:p>
      <w:pPr>
        <w:spacing w:after="0"/>
        <w:ind w:left="0"/>
        <w:jc w:val="both"/>
      </w:pPr>
      <w:r>
        <w:rPr>
          <w:rFonts w:ascii="Times New Roman"/>
          <w:b w:val="false"/>
          <w:i w:val="false"/>
          <w:color w:val="000000"/>
          <w:sz w:val="28"/>
        </w:rPr>
        <w:t>
      По выбору заявителя допускается одновременное инициирование процедуры взаимного признания в нескольких государствах признания.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66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241" w:id="255"/>
    <w:p>
      <w:pPr>
        <w:spacing w:after="0"/>
        <w:ind w:left="0"/>
        <w:jc w:val="both"/>
      </w:pPr>
      <w:r>
        <w:rPr>
          <w:rFonts w:ascii="Times New Roman"/>
          <w:b w:val="false"/>
          <w:i w:val="false"/>
          <w:color w:val="000000"/>
          <w:sz w:val="28"/>
        </w:rPr>
        <w:t>
      67. Уполномоченный орган (экспертная организация) референтного государства по запросу заявителя в срок, не превышающий 5 рабочих дней со дня получения данного запроса, обеспечивает доступ для уполномоченных органов (экспертных организаций) государств признания к регистрационному досье лекарственного препарата и экспертному отчету по оценке посредством интегрированной системы с использованием дополнительных документов и сведений, представленных заявителем на запросы уполномоченного органа (экспертной организации) референтного государства.</w:t>
      </w:r>
    </w:p>
    <w:bookmarkEnd w:id="255"/>
    <w:bookmarkStart w:name="z242" w:id="256"/>
    <w:p>
      <w:pPr>
        <w:spacing w:after="0"/>
        <w:ind w:left="0"/>
        <w:jc w:val="both"/>
      </w:pPr>
      <w:r>
        <w:rPr>
          <w:rFonts w:ascii="Times New Roman"/>
          <w:b w:val="false"/>
          <w:i w:val="false"/>
          <w:color w:val="000000"/>
          <w:sz w:val="28"/>
        </w:rPr>
        <w:t>
      68. Регистрация лекарственного препарата в государстве признания при отсутствии разногласий между уполномоченными органами этого государства-члена и референтного государства и наличии заключения о возможности признания экспертного отчета по оценке осуществляется не позднее 60 рабочих дней со дня получения доступа экспертной организации ко всем версиям (последовательностям) электронного регистрационного досье, на основании которого референтным государством подготовлен экспертный отчет по оценке, и к утвержденному экспертному отчету по оценке.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3" w:id="257"/>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 Экспертиза лекарственного препарата при процедуре взаимного признания в государствах признания осуществляется в срок, не превышающий 40 рабочих дней со дня получения доступа к экспертному отчету по оценке, путем:</w:t>
      </w:r>
    </w:p>
    <w:bookmarkEnd w:id="257"/>
    <w:p>
      <w:pPr>
        <w:spacing w:after="0"/>
        <w:ind w:left="0"/>
        <w:jc w:val="both"/>
      </w:pPr>
      <w:r>
        <w:rPr>
          <w:rFonts w:ascii="Times New Roman"/>
          <w:b w:val="false"/>
          <w:i w:val="false"/>
          <w:color w:val="000000"/>
          <w:sz w:val="28"/>
        </w:rPr>
        <w:t>
      рассмотрения заявления, документов и сведений, представленных в регистрационном досье, актуальном (с учетом внесенных изменений в регистрационное досье, при наличии) в референтном государстве на момент подачи заявления в государствах признания;</w:t>
      </w:r>
    </w:p>
    <w:p>
      <w:pPr>
        <w:spacing w:after="0"/>
        <w:ind w:left="0"/>
        <w:jc w:val="both"/>
      </w:pPr>
      <w:r>
        <w:rPr>
          <w:rFonts w:ascii="Times New Roman"/>
          <w:b w:val="false"/>
          <w:i w:val="false"/>
          <w:color w:val="000000"/>
          <w:sz w:val="28"/>
        </w:rPr>
        <w:t xml:space="preserve">
      рассмотрения экспертного отчета об оценке, подготовленного экспертной организацией референтного государства, актуализированного в референтном государстве на момент подачи заявления в государствах признания. </w:t>
      </w:r>
    </w:p>
    <w:p>
      <w:pPr>
        <w:spacing w:after="0"/>
        <w:ind w:left="0"/>
        <w:jc w:val="both"/>
      </w:pPr>
      <w:r>
        <w:rPr>
          <w:rFonts w:ascii="Times New Roman"/>
          <w:b w:val="false"/>
          <w:i w:val="false"/>
          <w:color w:val="000000"/>
          <w:sz w:val="28"/>
        </w:rPr>
        <w:t>
      Экспертная организация государства признания уведомляет уполномоченный орган государства признания и заявителя о получении указанного доступа в полном объеме в течение 1 рабочего дня с даты его получения.</w:t>
      </w:r>
    </w:p>
    <w:p>
      <w:pPr>
        <w:spacing w:after="0"/>
        <w:ind w:left="0"/>
        <w:jc w:val="both"/>
      </w:pPr>
      <w:r>
        <w:rPr>
          <w:rFonts w:ascii="Times New Roman"/>
          <w:b w:val="false"/>
          <w:i w:val="false"/>
          <w:color w:val="000000"/>
          <w:sz w:val="28"/>
        </w:rPr>
        <w:t>
      Заявитель уведомляется о начале экспертизы в электронной форме по телекоммуникационным каналам связи. Уведомление считается полученным по истечении 1 рабочего дня с даты его направления (или опубликования в личном кабинете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6" w:id="258"/>
    <w:p>
      <w:pPr>
        <w:spacing w:after="0"/>
        <w:ind w:left="0"/>
        <w:jc w:val="both"/>
      </w:pPr>
      <w:r>
        <w:rPr>
          <w:rFonts w:ascii="Times New Roman"/>
          <w:b w:val="false"/>
          <w:i w:val="false"/>
          <w:color w:val="000000"/>
          <w:sz w:val="28"/>
        </w:rPr>
        <w:t>
      70. Уполномоченный орган (экспертная организация) государства признания в течение 10 рабочих дней с даты подачи заявления отклоняет заявление на регистрацию лекарственного препарата по процедуре взаимного признания в случае несоответствия заявления требованиям настоящих Правил и (или) неподтверждения оплаты сбора (пошлины) за регистрацию и экспертизу лекарственного препарата в случаях и порядке, предусмотренных законодательством государства признания, или принимает решение о начале экспертизы, указанной в пункте 69 настоящих Правил.</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7" w:id="259"/>
    <w:p>
      <w:pPr>
        <w:spacing w:after="0"/>
        <w:ind w:left="0"/>
        <w:jc w:val="both"/>
      </w:pPr>
      <w:r>
        <w:rPr>
          <w:rFonts w:ascii="Times New Roman"/>
          <w:b w:val="false"/>
          <w:i w:val="false"/>
          <w:color w:val="000000"/>
          <w:sz w:val="28"/>
        </w:rPr>
        <w:t>
      71. При регистрации лекарственного препарата по процедуре взаимного признания уполномоченный орган (экспертная организация) государства признания не позднее 30 рабочих дней после получения доступа к экспертному отчету по оценке в случае необходимости направляет запрос заявителю и в уполномоченный орган (экспертную организацию) референтного государства по форме согласно приложению № 18 к настоящим Правилам.</w:t>
      </w:r>
    </w:p>
    <w:bookmarkEnd w:id="259"/>
    <w:bookmarkStart w:name="z11836" w:id="260"/>
    <w:p>
      <w:pPr>
        <w:spacing w:after="0"/>
        <w:ind w:left="0"/>
        <w:jc w:val="both"/>
      </w:pPr>
      <w:r>
        <w:rPr>
          <w:rFonts w:ascii="Times New Roman"/>
          <w:b w:val="false"/>
          <w:i w:val="false"/>
          <w:color w:val="000000"/>
          <w:sz w:val="28"/>
        </w:rPr>
        <w:t>
      Запрос уполномоченного органа (экспертной организации) государства признания в адрес заявителя может быть передан уполномоченному представителю заявителя лично под подпись,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6 календарных дней с даты направления заказного письма. В случае направления по телекоммуникационным каналам связи запрос считается полученным по истечении 1 календарного дня с даты его направления.</w:t>
      </w:r>
    </w:p>
    <w:bookmarkEnd w:id="260"/>
    <w:bookmarkStart w:name="z11837" w:id="261"/>
    <w:p>
      <w:pPr>
        <w:spacing w:after="0"/>
        <w:ind w:left="0"/>
        <w:jc w:val="both"/>
      </w:pPr>
      <w:r>
        <w:rPr>
          <w:rFonts w:ascii="Times New Roman"/>
          <w:b w:val="false"/>
          <w:i w:val="false"/>
          <w:color w:val="000000"/>
          <w:sz w:val="28"/>
        </w:rPr>
        <w:t>
      Запрос уполномоченного органа (экспертной организации) государства признания в адрес уполномоченного органа референтного государства направляется посредством использования интегрированной системы.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8" w:id="262"/>
    <w:p>
      <w:pPr>
        <w:spacing w:after="0"/>
        <w:ind w:left="0"/>
        <w:jc w:val="both"/>
      </w:pPr>
      <w:r>
        <w:rPr>
          <w:rFonts w:ascii="Times New Roman"/>
          <w:b w:val="false"/>
          <w:i w:val="false"/>
          <w:color w:val="000000"/>
          <w:sz w:val="28"/>
        </w:rPr>
        <w:t>
      72. Заявитель направляет ответ на запрос в уполномоченный орган (экспертную организацию) государства признания в срок, не превышающий 90 рабочих дней. Срок ответа заявителя на запрос не включается в общий срок проведения экспертизы и регистрации лекарственного препарата. Уполномоченный орган (экспертная организация) государства признания в течение 5 рабочих дней с момента получения ответа заявителя обеспечивает к нему доступ уполномоченному органу (экспертной организации) референтного государства посредством интегрированной системы.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9" w:id="263"/>
    <w:p>
      <w:pPr>
        <w:spacing w:after="0"/>
        <w:ind w:left="0"/>
        <w:jc w:val="both"/>
      </w:pPr>
      <w:r>
        <w:rPr>
          <w:rFonts w:ascii="Times New Roman"/>
          <w:b w:val="false"/>
          <w:i w:val="false"/>
          <w:color w:val="000000"/>
          <w:sz w:val="28"/>
        </w:rPr>
        <w:t>
      73. При непредставлении в установленный срок заявителем запрошенных уполномоченным органом (экспертной организацией) государства признания документов и сведений, экспертиза и регистрация лекарственного препарата в данном государстве признания прекращаются.</w:t>
      </w:r>
    </w:p>
    <w:bookmarkEnd w:id="263"/>
    <w:bookmarkStart w:name="z11838" w:id="264"/>
    <w:p>
      <w:pPr>
        <w:spacing w:after="0"/>
        <w:ind w:left="0"/>
        <w:jc w:val="both"/>
      </w:pPr>
      <w:r>
        <w:rPr>
          <w:rFonts w:ascii="Times New Roman"/>
          <w:b w:val="false"/>
          <w:i w:val="false"/>
          <w:color w:val="000000"/>
          <w:sz w:val="28"/>
        </w:rPr>
        <w:t>
      При непредставлении уполномоченным органом референтного государства в течение 100 рабочих дней запрошенных уполномоченным органом (экспертной организацией) государства признания документов и сведений оформляется заключение о невозможности признания экспертного отчета по оценке, подготовленного референтным государством.</w:t>
      </w:r>
    </w:p>
    <w:bookmarkEnd w:id="264"/>
    <w:bookmarkStart w:name="z11839" w:id="265"/>
    <w:p>
      <w:pPr>
        <w:spacing w:after="0"/>
        <w:ind w:left="0"/>
        <w:jc w:val="both"/>
      </w:pPr>
      <w:r>
        <w:rPr>
          <w:rFonts w:ascii="Times New Roman"/>
          <w:b w:val="false"/>
          <w:i w:val="false"/>
          <w:color w:val="000000"/>
          <w:sz w:val="28"/>
        </w:rPr>
        <w:t>
      Указанный отчет направляется государством признания для рассмотрения Экспертным комитетом.</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0" w:id="266"/>
    <w:p>
      <w:pPr>
        <w:spacing w:after="0"/>
        <w:ind w:left="0"/>
        <w:jc w:val="both"/>
      </w:pPr>
      <w:r>
        <w:rPr>
          <w:rFonts w:ascii="Times New Roman"/>
          <w:b w:val="false"/>
          <w:i w:val="false"/>
          <w:color w:val="000000"/>
          <w:sz w:val="28"/>
        </w:rPr>
        <w:t>
      74. О принятом решении уполномоченного органа и (или) экспертной организации заявитель извещается (в электронном и (или) бумажном виде) в течение 10 рабочих дней со дня принятия решения.</w:t>
      </w:r>
    </w:p>
    <w:bookmarkEnd w:id="266"/>
    <w:bookmarkStart w:name="z251" w:id="267"/>
    <w:p>
      <w:pPr>
        <w:spacing w:after="0"/>
        <w:ind w:left="0"/>
        <w:jc w:val="both"/>
      </w:pPr>
      <w:r>
        <w:rPr>
          <w:rFonts w:ascii="Times New Roman"/>
          <w:b w:val="false"/>
          <w:i w:val="false"/>
          <w:color w:val="000000"/>
          <w:sz w:val="28"/>
        </w:rPr>
        <w:t>
      75 Уполномоченный орган (экспертная организация) государства признания по результатам проведения экспертизы лекарственного препарата в течение 5 рабочих дней со дня завершения экспертизы, указанной в пункте 69 настоящих Правил, с использованием интегрированной системы направляет в уполномоченный орган (экспертную организацию) референтного государства заключение о возможности или невозможности признания экспертного отчета по оценке, подготовленного референтным государством. Уполномоченный орган референтного государства доводит полученное заключение до сведения заявителя в электронной форме по телекоммуникационным каналам связи и принимает решение о возможности или невозможности признания экспертного отчета по оценке, подготовленного референтным государством.</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2" w:id="268"/>
    <w:p>
      <w:pPr>
        <w:spacing w:after="0"/>
        <w:ind w:left="0"/>
        <w:jc w:val="both"/>
      </w:pPr>
      <w:r>
        <w:rPr>
          <w:rFonts w:ascii="Times New Roman"/>
          <w:b w:val="false"/>
          <w:i w:val="false"/>
          <w:color w:val="000000"/>
          <w:sz w:val="28"/>
        </w:rPr>
        <w:t>
      76. Если по результатам проведения экспертизы лекарственного препарата уполномоченным органом государства признания принято положительное решение о регистрации лекарственного препарата, уполномоченный орган государства признания не позднее 5 рабочих дней:</w:t>
      </w:r>
    </w:p>
    <w:bookmarkEnd w:id="268"/>
    <w:bookmarkStart w:name="z253" w:id="269"/>
    <w:p>
      <w:pPr>
        <w:spacing w:after="0"/>
        <w:ind w:left="0"/>
        <w:jc w:val="both"/>
      </w:pPr>
      <w:r>
        <w:rPr>
          <w:rFonts w:ascii="Times New Roman"/>
          <w:b w:val="false"/>
          <w:i w:val="false"/>
          <w:color w:val="000000"/>
          <w:sz w:val="28"/>
        </w:rPr>
        <w:t>
      а) выдает заявителю регистрационное удостоверение лекарственного препарата по форме согласно приложению № 17 к настоящим Правилам, а также утвержденные ОХЛП, инструкцию по медицинскому применению, макеты упаковок на государственном языке государства признания при наличии соответствующих требований в законодательстве государства признания;</w:t>
      </w:r>
    </w:p>
    <w:bookmarkEnd w:id="269"/>
    <w:bookmarkStart w:name="z254" w:id="270"/>
    <w:p>
      <w:pPr>
        <w:spacing w:after="0"/>
        <w:ind w:left="0"/>
        <w:jc w:val="both"/>
      </w:pPr>
      <w:r>
        <w:rPr>
          <w:rFonts w:ascii="Times New Roman"/>
          <w:b w:val="false"/>
          <w:i w:val="false"/>
          <w:color w:val="000000"/>
          <w:sz w:val="28"/>
        </w:rPr>
        <w:t>
      б) согласовывает нормативный документ по качеству, выданный референтным государством;</w:t>
      </w:r>
    </w:p>
    <w:bookmarkEnd w:id="270"/>
    <w:bookmarkStart w:name="z255" w:id="271"/>
    <w:p>
      <w:pPr>
        <w:spacing w:after="0"/>
        <w:ind w:left="0"/>
        <w:jc w:val="both"/>
      </w:pPr>
      <w:r>
        <w:rPr>
          <w:rFonts w:ascii="Times New Roman"/>
          <w:b w:val="false"/>
          <w:i w:val="false"/>
          <w:color w:val="000000"/>
          <w:sz w:val="28"/>
        </w:rPr>
        <w:t>
      в) размещает сведения о лекарственном препарате и входящих в его состав активных фармацевтических субстанциях в едином реестре с приложением утвержденных ОХЛП, инструкции по медицинскому применению, макетов упаковок резюме, согласованного плана управления рисками при применении лекарственного препарата (при необходимости) в соответствии с порядком формирования и ведения единого реестра.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изменением, внесенным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6" w:id="272"/>
    <w:p>
      <w:pPr>
        <w:spacing w:after="0"/>
        <w:ind w:left="0"/>
        <w:jc w:val="both"/>
      </w:pPr>
      <w:r>
        <w:rPr>
          <w:rFonts w:ascii="Times New Roman"/>
          <w:b w:val="false"/>
          <w:i w:val="false"/>
          <w:color w:val="000000"/>
          <w:sz w:val="28"/>
        </w:rPr>
        <w:t>
      77. Регистрационное удостоверение лекарственного препарата выдается уполномоченным органом государства признания со сроком действия регистрационного удостоверения, установленным референтным государством.</w:t>
      </w:r>
    </w:p>
    <w:bookmarkEnd w:id="272"/>
    <w:bookmarkStart w:name="z257" w:id="273"/>
    <w:p>
      <w:pPr>
        <w:spacing w:after="0"/>
        <w:ind w:left="0"/>
        <w:jc w:val="both"/>
      </w:pPr>
      <w:r>
        <w:rPr>
          <w:rFonts w:ascii="Times New Roman"/>
          <w:b w:val="false"/>
          <w:i w:val="false"/>
          <w:color w:val="000000"/>
          <w:sz w:val="28"/>
        </w:rPr>
        <w:t>
      78. Регистрация лекарственного препарата, зарегистрированного в соответствии с настоящими Правилами в других государствах-членах, не указанных в первичном заявлении на регистрацию в качестве государств признания, а также в государствах, присоединившихся к Союзу после регистрации лекарственного препарата, осуществляется по процедуре взаимного признания на основе рассмотрения актуальной редакции экспертного отчета по оценке, подготовленного экспертной организацией референтного государства.</w:t>
      </w:r>
    </w:p>
    <w:bookmarkEnd w:id="273"/>
    <w:bookmarkStart w:name="z258" w:id="274"/>
    <w:p>
      <w:pPr>
        <w:spacing w:after="0"/>
        <w:ind w:left="0"/>
        <w:jc w:val="both"/>
      </w:pPr>
      <w:r>
        <w:rPr>
          <w:rFonts w:ascii="Times New Roman"/>
          <w:b w:val="false"/>
          <w:i w:val="false"/>
          <w:color w:val="000000"/>
          <w:sz w:val="28"/>
        </w:rPr>
        <w:t>
      79. В случае невозможности признания экспертного отчета по оценке, подготовленного экспертной организацией референтного государства, уполномоченный орган (экспертная организация) государства признания направляет уполномоченному органу (экспертной организации) референтного государства, других государств признания, участвующих в процедуре регистрации лекарственного препарата, заявителю и в Экспертный комитет заключение о невозможности признания данного экспертного отчета по оценке, с указанием следующих причин:</w:t>
      </w:r>
    </w:p>
    <w:bookmarkEnd w:id="274"/>
    <w:bookmarkStart w:name="z259" w:id="275"/>
    <w:p>
      <w:pPr>
        <w:spacing w:after="0"/>
        <w:ind w:left="0"/>
        <w:jc w:val="both"/>
      </w:pPr>
      <w:r>
        <w:rPr>
          <w:rFonts w:ascii="Times New Roman"/>
          <w:b w:val="false"/>
          <w:i w:val="false"/>
          <w:color w:val="000000"/>
          <w:sz w:val="28"/>
        </w:rPr>
        <w:t>
      а) отношение ожидаемой пользы к возможным рискам, связанным с применением лекарственного препарата, не является благоприятным;</w:t>
      </w:r>
    </w:p>
    <w:bookmarkEnd w:id="275"/>
    <w:bookmarkStart w:name="z260" w:id="276"/>
    <w:p>
      <w:pPr>
        <w:spacing w:after="0"/>
        <w:ind w:left="0"/>
        <w:jc w:val="both"/>
      </w:pPr>
      <w:r>
        <w:rPr>
          <w:rFonts w:ascii="Times New Roman"/>
          <w:b w:val="false"/>
          <w:i w:val="false"/>
          <w:color w:val="000000"/>
          <w:sz w:val="28"/>
        </w:rPr>
        <w:t>
      б) заявителем не доказана эффективность лекарственного препарата;</w:t>
      </w:r>
    </w:p>
    <w:bookmarkEnd w:id="276"/>
    <w:bookmarkStart w:name="z261" w:id="277"/>
    <w:p>
      <w:pPr>
        <w:spacing w:after="0"/>
        <w:ind w:left="0"/>
        <w:jc w:val="both"/>
      </w:pPr>
      <w:r>
        <w:rPr>
          <w:rFonts w:ascii="Times New Roman"/>
          <w:b w:val="false"/>
          <w:i w:val="false"/>
          <w:color w:val="000000"/>
          <w:sz w:val="28"/>
        </w:rPr>
        <w:t>
      в) качество лекарственного препарата не подтверждено;</w:t>
      </w:r>
    </w:p>
    <w:bookmarkEnd w:id="277"/>
    <w:bookmarkStart w:name="z262" w:id="278"/>
    <w:p>
      <w:pPr>
        <w:spacing w:after="0"/>
        <w:ind w:left="0"/>
        <w:jc w:val="both"/>
      </w:pPr>
      <w:r>
        <w:rPr>
          <w:rFonts w:ascii="Times New Roman"/>
          <w:b w:val="false"/>
          <w:i w:val="false"/>
          <w:color w:val="000000"/>
          <w:sz w:val="28"/>
        </w:rPr>
        <w:t>
      г) заявителем представлены недостоверные сведения;</w:t>
      </w:r>
    </w:p>
    <w:bookmarkEnd w:id="278"/>
    <w:bookmarkStart w:name="z263" w:id="279"/>
    <w:p>
      <w:pPr>
        <w:spacing w:after="0"/>
        <w:ind w:left="0"/>
        <w:jc w:val="both"/>
      </w:pPr>
      <w:r>
        <w:rPr>
          <w:rFonts w:ascii="Times New Roman"/>
          <w:b w:val="false"/>
          <w:i w:val="false"/>
          <w:color w:val="000000"/>
          <w:sz w:val="28"/>
        </w:rPr>
        <w:t>
      д) по результатам назначенной инспекции в период регистрации лекарственного препарата выявлено несоответствие надлежащим фармацевтическим практикам Союза, являющееся критическим.</w:t>
      </w:r>
    </w:p>
    <w:bookmarkEnd w:id="279"/>
    <w:bookmarkStart w:name="z264" w:id="280"/>
    <w:p>
      <w:pPr>
        <w:spacing w:after="0"/>
        <w:ind w:left="0"/>
        <w:jc w:val="both"/>
      </w:pPr>
      <w:r>
        <w:rPr>
          <w:rFonts w:ascii="Times New Roman"/>
          <w:b w:val="false"/>
          <w:i w:val="false"/>
          <w:color w:val="000000"/>
          <w:sz w:val="28"/>
        </w:rPr>
        <w:t>
      80. Экспертный комитет в срок, не превышающий 60 календарных дней с даты получения заключения уполномоченного органа государства признания о невозможности признания экспертного отчета по оценке, подготовленного экспертной организацией референтного государства, осуществляет процедуру рассмотрения разногласий в соответствии с порядком, установленным Комиссией.</w:t>
      </w:r>
    </w:p>
    <w:bookmarkEnd w:id="280"/>
    <w:bookmarkStart w:name="z265" w:id="281"/>
    <w:p>
      <w:pPr>
        <w:spacing w:after="0"/>
        <w:ind w:left="0"/>
        <w:jc w:val="both"/>
      </w:pPr>
      <w:r>
        <w:rPr>
          <w:rFonts w:ascii="Times New Roman"/>
          <w:b w:val="false"/>
          <w:i w:val="false"/>
          <w:color w:val="000000"/>
          <w:sz w:val="28"/>
        </w:rPr>
        <w:t>
      81. Уполномоченный орган государства признания отказывает в регистрации лекарственного препарата, если по результатам экспертизы лекарственного препарата и после проведения процедуры урегулирования разногласий в Экспертном комитете им принято решение, что данные, представленные в экспертном отчете по оценке, не могут быть признаны достаточными для подтверждения качества и (или) эффективности, и (или) благоприятного соотношения "польза - риск" лекарственного препарата, а также при непредставлении заявителем в установленный срок документов и сведений, запрошенных уполномоченным органом (экспертной организацией) государства признания.</w:t>
      </w:r>
    </w:p>
    <w:bookmarkEnd w:id="281"/>
    <w:bookmarkStart w:name="z11840" w:id="282"/>
    <w:p>
      <w:pPr>
        <w:spacing w:after="0"/>
        <w:ind w:left="0"/>
        <w:jc w:val="both"/>
      </w:pPr>
      <w:r>
        <w:rPr>
          <w:rFonts w:ascii="Times New Roman"/>
          <w:b w:val="false"/>
          <w:i w:val="false"/>
          <w:color w:val="000000"/>
          <w:sz w:val="28"/>
        </w:rPr>
        <w:t>
      Если после проведения процедуры урегулирования разногласий в Экспертном комитете им принято единогласное решение о том, что данные, представленные в экспертном отчете по оценке, могут быть признаны достаточными для подтверждения качества, и (или) эффективности, и (или) положительного соотношения "польза – риск" лекарственного препарата, уполномоченный орган государства признания не позднее 15 рабочих дней с даты получения решения Экспертного комитета:</w:t>
      </w:r>
    </w:p>
    <w:bookmarkEnd w:id="282"/>
    <w:bookmarkStart w:name="z11841" w:id="283"/>
    <w:p>
      <w:pPr>
        <w:spacing w:after="0"/>
        <w:ind w:left="0"/>
        <w:jc w:val="both"/>
      </w:pPr>
      <w:r>
        <w:rPr>
          <w:rFonts w:ascii="Times New Roman"/>
          <w:b w:val="false"/>
          <w:i w:val="false"/>
          <w:color w:val="000000"/>
          <w:sz w:val="28"/>
        </w:rPr>
        <w:t>
      принимает решение о признании экспертного отчета по оценке, подготовленного экспертной организацией референтного государства;</w:t>
      </w:r>
    </w:p>
    <w:bookmarkEnd w:id="283"/>
    <w:bookmarkStart w:name="z11842" w:id="284"/>
    <w:p>
      <w:pPr>
        <w:spacing w:after="0"/>
        <w:ind w:left="0"/>
        <w:jc w:val="both"/>
      </w:pPr>
      <w:r>
        <w:rPr>
          <w:rFonts w:ascii="Times New Roman"/>
          <w:b w:val="false"/>
          <w:i w:val="false"/>
          <w:color w:val="000000"/>
          <w:sz w:val="28"/>
        </w:rPr>
        <w:t>
      выдает заявителю регистрационное удостоверение лекарственного препарата по форме согласно приложению № 17 к настоящим Правилам, а также утвержденную общую характеристику лекарственного препарата, инструкцию по медицинскому применению, макеты упаковок на государственном языке государства признания при наличии соответствующих требований в законодательстве государства признания;</w:t>
      </w:r>
    </w:p>
    <w:bookmarkEnd w:id="284"/>
    <w:bookmarkStart w:name="z11843" w:id="285"/>
    <w:p>
      <w:pPr>
        <w:spacing w:after="0"/>
        <w:ind w:left="0"/>
        <w:jc w:val="both"/>
      </w:pPr>
      <w:r>
        <w:rPr>
          <w:rFonts w:ascii="Times New Roman"/>
          <w:b w:val="false"/>
          <w:i w:val="false"/>
          <w:color w:val="000000"/>
          <w:sz w:val="28"/>
        </w:rPr>
        <w:t>
      согласовывает нормативный документ по качеству, выданный референтным государством;</w:t>
      </w:r>
    </w:p>
    <w:bookmarkEnd w:id="285"/>
    <w:bookmarkStart w:name="z11844" w:id="286"/>
    <w:p>
      <w:pPr>
        <w:spacing w:after="0"/>
        <w:ind w:left="0"/>
        <w:jc w:val="both"/>
      </w:pPr>
      <w:r>
        <w:rPr>
          <w:rFonts w:ascii="Times New Roman"/>
          <w:b w:val="false"/>
          <w:i w:val="false"/>
          <w:color w:val="000000"/>
          <w:sz w:val="28"/>
        </w:rPr>
        <w:t>
      размещает сведения о лекарственном препарате и входящих в его состав активных фармацевтических субстанциях в едином реестре с приложением утвержденной общей характеристики лекарственного препарата, инструкции по медицинскому применению, макетов упаковок, резюме согласованного плана управления рисками (при необходимости) в соответствии с порядком формирования и ведения единого реестра.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6" w:id="287"/>
    <w:p>
      <w:pPr>
        <w:spacing w:after="0"/>
        <w:ind w:left="0"/>
        <w:jc w:val="both"/>
      </w:pPr>
      <w:r>
        <w:rPr>
          <w:rFonts w:ascii="Times New Roman"/>
          <w:b w:val="false"/>
          <w:i w:val="false"/>
          <w:color w:val="000000"/>
          <w:sz w:val="28"/>
        </w:rPr>
        <w:t>
      82. В случае наличия разногласий уполномоченных органов в части признания экспертного отчета по оценке и их рассмотрения Экспертным комитетом уполномоченный орган государства признания, принявший положительное решение о признании экспертного отчета по оценке, подготовленного экспертной организацией референтного государства, выдает регистрационное удостоверение, утвержденные ОХЛП, инструкцию по медицинскому применению, макеты упаковок и согласовывает план управления рисками (при необходимости), нормативный документ по качеству до решения Экспертного комитета. По просьбе заявителя выдача регистрационного удостоверения уполномоченным органом такого государства признания может быть приостановлена до устранения разногласий уполномоченных органов других государств признания и референтного государства.</w:t>
      </w:r>
    </w:p>
    <w:bookmarkEnd w:id="287"/>
    <w:bookmarkStart w:name="z267" w:id="288"/>
    <w:p>
      <w:pPr>
        <w:spacing w:after="0"/>
        <w:ind w:left="0"/>
        <w:jc w:val="both"/>
      </w:pPr>
      <w:r>
        <w:rPr>
          <w:rFonts w:ascii="Times New Roman"/>
          <w:b w:val="false"/>
          <w:i w:val="false"/>
          <w:color w:val="000000"/>
          <w:sz w:val="28"/>
        </w:rPr>
        <w:t>
      Выданное в таких случаях регистрационное удостоверение действует на территории данного государства признания.</w:t>
      </w:r>
    </w:p>
    <w:bookmarkEnd w:id="288"/>
    <w:bookmarkStart w:name="z268" w:id="289"/>
    <w:p>
      <w:pPr>
        <w:spacing w:after="0"/>
        <w:ind w:left="0"/>
        <w:jc w:val="left"/>
      </w:pPr>
      <w:r>
        <w:rPr>
          <w:rFonts w:ascii="Times New Roman"/>
          <w:b/>
          <w:i w:val="false"/>
          <w:color w:val="000000"/>
        </w:rPr>
        <w:t xml:space="preserve"> VI. Порядок регистрации и экспертизы по децентрализованной процедуре в референтном государстве и государствах признания </w:t>
      </w:r>
    </w:p>
    <w:bookmarkEnd w:id="289"/>
    <w:bookmarkStart w:name="z269" w:id="290"/>
    <w:p>
      <w:pPr>
        <w:spacing w:after="0"/>
        <w:ind w:left="0"/>
        <w:jc w:val="both"/>
      </w:pPr>
      <w:r>
        <w:rPr>
          <w:rFonts w:ascii="Times New Roman"/>
          <w:b w:val="false"/>
          <w:i w:val="false"/>
          <w:color w:val="000000"/>
          <w:sz w:val="28"/>
        </w:rPr>
        <w:t>
      83. В целях регистрации лекарственного препарата по децентрализованной процедуре заявитель выбирает референтное государство и государства признания.</w:t>
      </w:r>
    </w:p>
    <w:bookmarkEnd w:id="290"/>
    <w:bookmarkStart w:name="z270" w:id="291"/>
    <w:p>
      <w:pPr>
        <w:spacing w:after="0"/>
        <w:ind w:left="0"/>
        <w:jc w:val="both"/>
      </w:pPr>
      <w:r>
        <w:rPr>
          <w:rFonts w:ascii="Times New Roman"/>
          <w:b w:val="false"/>
          <w:i w:val="false"/>
          <w:color w:val="000000"/>
          <w:sz w:val="28"/>
        </w:rPr>
        <w:t>
      84. Длительность децентрализованной процедуры регистрации и экспертизы лекарственного препарата не должна превышать 140 рабочих дней со дня подачи заявления на регистрацию лекарственного препарата до дня выдачи регистрационного удостоверения в референтном государстве и не должна превышать 50 рабочих дней в государствах признания, участвующих в децентрализованной процедуре.</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71" w:id="292"/>
    <w:p>
      <w:pPr>
        <w:spacing w:after="0"/>
        <w:ind w:left="0"/>
        <w:jc w:val="both"/>
      </w:pPr>
      <w:r>
        <w:rPr>
          <w:rFonts w:ascii="Times New Roman"/>
          <w:b w:val="false"/>
          <w:i w:val="false"/>
          <w:color w:val="000000"/>
          <w:sz w:val="28"/>
        </w:rPr>
        <w:t>
      85. Процедура регистрации по децентрализованной процедуре состоит из следующих этапов, проводимых одновременно:</w:t>
      </w:r>
    </w:p>
    <w:bookmarkEnd w:id="292"/>
    <w:bookmarkStart w:name="z272" w:id="293"/>
    <w:p>
      <w:pPr>
        <w:spacing w:after="0"/>
        <w:ind w:left="0"/>
        <w:jc w:val="both"/>
      </w:pPr>
      <w:r>
        <w:rPr>
          <w:rFonts w:ascii="Times New Roman"/>
          <w:b w:val="false"/>
          <w:i w:val="false"/>
          <w:color w:val="000000"/>
          <w:sz w:val="28"/>
        </w:rPr>
        <w:t>
      а) регистрация и экспертиза лекарственного препарата в референтном государстве;</w:t>
      </w:r>
    </w:p>
    <w:bookmarkEnd w:id="293"/>
    <w:bookmarkStart w:name="z273" w:id="294"/>
    <w:p>
      <w:pPr>
        <w:spacing w:after="0"/>
        <w:ind w:left="0"/>
        <w:jc w:val="both"/>
      </w:pPr>
      <w:r>
        <w:rPr>
          <w:rFonts w:ascii="Times New Roman"/>
          <w:b w:val="false"/>
          <w:i w:val="false"/>
          <w:color w:val="000000"/>
          <w:sz w:val="28"/>
        </w:rPr>
        <w:t>
      б) рассмотрение экспертного отчета по оценке, подготовленного экспертной организацией референтного государства, в государствах признания.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74" w:id="295"/>
    <w:p>
      <w:pPr>
        <w:spacing w:after="0"/>
        <w:ind w:left="0"/>
        <w:jc w:val="both"/>
      </w:pPr>
      <w:r>
        <w:rPr>
          <w:rFonts w:ascii="Times New Roman"/>
          <w:b w:val="false"/>
          <w:i w:val="false"/>
          <w:color w:val="000000"/>
          <w:sz w:val="28"/>
        </w:rPr>
        <w:t>
      86. В целях регистрации лекарственного препарата заявитель представляет в уполномоченный орган (экспертную организацию) референтного государства следующие документы:</w:t>
      </w:r>
    </w:p>
    <w:bookmarkEnd w:id="295"/>
    <w:bookmarkStart w:name="z275" w:id="296"/>
    <w:p>
      <w:pPr>
        <w:spacing w:after="0"/>
        <w:ind w:left="0"/>
        <w:jc w:val="both"/>
      </w:pPr>
      <w:r>
        <w:rPr>
          <w:rFonts w:ascii="Times New Roman"/>
          <w:b w:val="false"/>
          <w:i w:val="false"/>
          <w:color w:val="000000"/>
          <w:sz w:val="28"/>
        </w:rPr>
        <w:t>
      заявление о регистрации лекарственного препарата на бумажном носителе или в виде электронного документа, подписанного электронной подписью, по форме в соответствии с приложением № 2 к настоящим Правилам;</w:t>
      </w:r>
    </w:p>
    <w:bookmarkEnd w:id="296"/>
    <w:p>
      <w:pPr>
        <w:spacing w:after="0"/>
        <w:ind w:left="0"/>
        <w:jc w:val="both"/>
      </w:pPr>
      <w:r>
        <w:rPr>
          <w:rFonts w:ascii="Times New Roman"/>
          <w:b w:val="false"/>
          <w:i w:val="false"/>
          <w:color w:val="000000"/>
          <w:sz w:val="28"/>
        </w:rPr>
        <w:t>
      письменное подтверждение намерения заявителя согласовать отсутствие в проекте заключительного экспертного отчета об оценке конфиденциальной информации, содержащейся в регистрационном досье лекарственного препарата (при наличии такого намерения);</w:t>
      </w:r>
    </w:p>
    <w:bookmarkStart w:name="z276" w:id="297"/>
    <w:p>
      <w:pPr>
        <w:spacing w:after="0"/>
        <w:ind w:left="0"/>
        <w:jc w:val="both"/>
      </w:pPr>
      <w:r>
        <w:rPr>
          <w:rFonts w:ascii="Times New Roman"/>
          <w:b w:val="false"/>
          <w:i w:val="false"/>
          <w:color w:val="000000"/>
          <w:sz w:val="28"/>
        </w:rPr>
        <w:t>
      документы, подтверждающие оплату сбора (пошлины) за регистрацию и экспертизу лекарственного препарата в случае и порядке, установленных законодательством референтного государства, на бумажном носителе или в виде электронных документов,;</w:t>
      </w:r>
    </w:p>
    <w:bookmarkEnd w:id="297"/>
    <w:bookmarkStart w:name="z277" w:id="298"/>
    <w:p>
      <w:pPr>
        <w:spacing w:after="0"/>
        <w:ind w:left="0"/>
        <w:jc w:val="both"/>
      </w:pPr>
      <w:r>
        <w:rPr>
          <w:rFonts w:ascii="Times New Roman"/>
          <w:b w:val="false"/>
          <w:i w:val="false"/>
          <w:color w:val="000000"/>
          <w:sz w:val="28"/>
        </w:rPr>
        <w:t>
      регистрационное досье в соответствии с приложениями № 1 – 5 к настоящим Правилам на электронном носителе в виде комплекта электронных документов;</w:t>
      </w:r>
    </w:p>
    <w:bookmarkEnd w:id="298"/>
    <w:bookmarkStart w:name="z278" w:id="299"/>
    <w:p>
      <w:pPr>
        <w:spacing w:after="0"/>
        <w:ind w:left="0"/>
        <w:jc w:val="both"/>
      </w:pPr>
      <w:r>
        <w:rPr>
          <w:rFonts w:ascii="Times New Roman"/>
          <w:b w:val="false"/>
          <w:i w:val="false"/>
          <w:color w:val="000000"/>
          <w:sz w:val="28"/>
        </w:rPr>
        <w:t>
      образцы лекарственных препаратов.</w:t>
      </w:r>
    </w:p>
    <w:bookmarkEnd w:id="299"/>
    <w:bookmarkStart w:name="z279" w:id="300"/>
    <w:p>
      <w:pPr>
        <w:spacing w:after="0"/>
        <w:ind w:left="0"/>
        <w:jc w:val="both"/>
      </w:pPr>
      <w:r>
        <w:rPr>
          <w:rFonts w:ascii="Times New Roman"/>
          <w:b w:val="false"/>
          <w:i w:val="false"/>
          <w:color w:val="000000"/>
          <w:sz w:val="28"/>
        </w:rPr>
        <w:t>
      Образцы лекарственных препаратов, стандартные образцы активных фармацевтических субстанций и родственных примесей, специфические реагенты и другие материалы, необходимые для проведения испытаний образцов, указанных в абзаце пятом настоящего пункта, представляются по согласованию с экспертной организацией.</w:t>
      </w:r>
    </w:p>
    <w:bookmarkEnd w:id="300"/>
    <w:bookmarkStart w:name="z280" w:id="301"/>
    <w:p>
      <w:pPr>
        <w:spacing w:after="0"/>
        <w:ind w:left="0"/>
        <w:jc w:val="both"/>
      </w:pPr>
      <w:r>
        <w:rPr>
          <w:rFonts w:ascii="Times New Roman"/>
          <w:b w:val="false"/>
          <w:i w:val="false"/>
          <w:color w:val="000000"/>
          <w:sz w:val="28"/>
        </w:rPr>
        <w:t>
      Образцы, специфические реагенты и другие материалы представляются в количествах, согласованных с экспертной организацией, необходимых для проведения не более чем 3-кратного анализа в соответствии с требованиями нормативного документа по качеству лекарственных препаратов в срок, согласованный уполномоченным органом (экспертной организацией) и не входящий в общий срок экспертизы и регистрации лекарственного препарата.</w:t>
      </w:r>
    </w:p>
    <w:bookmarkEnd w:id="301"/>
    <w:bookmarkStart w:name="z281" w:id="302"/>
    <w:p>
      <w:pPr>
        <w:spacing w:after="0"/>
        <w:ind w:left="0"/>
        <w:jc w:val="both"/>
      </w:pPr>
      <w:r>
        <w:rPr>
          <w:rFonts w:ascii="Times New Roman"/>
          <w:b w:val="false"/>
          <w:i w:val="false"/>
          <w:color w:val="000000"/>
          <w:sz w:val="28"/>
        </w:rPr>
        <w:t>
      Не требуется представление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302"/>
    <w:p>
      <w:pPr>
        <w:spacing w:after="0"/>
        <w:ind w:left="0"/>
        <w:jc w:val="both"/>
      </w:pPr>
      <w:r>
        <w:rPr>
          <w:rFonts w:ascii="Times New Roman"/>
          <w:b w:val="false"/>
          <w:i w:val="false"/>
          <w:color w:val="000000"/>
          <w:sz w:val="28"/>
        </w:rPr>
        <w:t xml:space="preserve">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 </w:t>
      </w:r>
    </w:p>
    <w:p>
      <w:pPr>
        <w:spacing w:after="0"/>
        <w:ind w:left="0"/>
        <w:jc w:val="both"/>
      </w:pPr>
      <w:r>
        <w:rPr>
          <w:rFonts w:ascii="Times New Roman"/>
          <w:b w:val="false"/>
          <w:i w:val="false"/>
          <w:color w:val="000000"/>
          <w:sz w:val="28"/>
        </w:rPr>
        <w:t xml:space="preserve">
      невозможности соблюдения условий транспортировки указанных образцов на территорию государства-члена и (или) их хранения; </w:t>
      </w:r>
    </w:p>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p>
      <w:pPr>
        <w:spacing w:after="0"/>
        <w:ind w:left="0"/>
        <w:jc w:val="both"/>
      </w:pPr>
      <w:r>
        <w:rPr>
          <w:rFonts w:ascii="Times New Roman"/>
          <w:b w:val="false"/>
          <w:i w:val="false"/>
          <w:color w:val="000000"/>
          <w:sz w:val="28"/>
        </w:rPr>
        <w:t>
      и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предоставление документов, указанных в абзацах 2 – 4 настоящего пункта может осуществляться в форме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решениями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2" w:id="303"/>
    <w:p>
      <w:pPr>
        <w:spacing w:after="0"/>
        <w:ind w:left="0"/>
        <w:jc w:val="both"/>
      </w:pPr>
      <w:r>
        <w:rPr>
          <w:rFonts w:ascii="Times New Roman"/>
          <w:b w:val="false"/>
          <w:i w:val="false"/>
          <w:color w:val="000000"/>
          <w:sz w:val="28"/>
        </w:rPr>
        <w:t>
      87. В случае, указанном в абзаце восьмом пункта 86 настоящих Правил, лабораторные испытания проводятся в лаборатории контроля качества производителя лекарственного препарата или в контрактной лаборатории, используемой производителем, в присутствии представителей экспертной организации.</w:t>
      </w:r>
    </w:p>
    <w:bookmarkEnd w:id="303"/>
    <w:bookmarkStart w:name="z11845" w:id="304"/>
    <w:p>
      <w:pPr>
        <w:spacing w:after="0"/>
        <w:ind w:left="0"/>
        <w:jc w:val="both"/>
      </w:pPr>
      <w:r>
        <w:rPr>
          <w:rFonts w:ascii="Times New Roman"/>
          <w:b w:val="false"/>
          <w:i w:val="false"/>
          <w:color w:val="000000"/>
          <w:sz w:val="28"/>
        </w:rPr>
        <w:t>
      В случае невозможности проведения лабораторных испытаний в лабораториях контроля качества производителя или контрактных лабораториях, используемых производителем (в условиях угрозы возникновения, возникновения и ликвидации чрезвычайной ситуации и (или) при возникновении угрозы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относящегося к категориям, указанным в абзацах восьмом – двенадцатом пункта 86 настоящих Правил)), по согласованию с уполномоченным органом (экспертной организацией) референтного государства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83" w:id="305"/>
    <w:p>
      <w:pPr>
        <w:spacing w:after="0"/>
        <w:ind w:left="0"/>
        <w:jc w:val="both"/>
      </w:pPr>
      <w:r>
        <w:rPr>
          <w:rFonts w:ascii="Times New Roman"/>
          <w:b w:val="false"/>
          <w:i w:val="false"/>
          <w:color w:val="000000"/>
          <w:sz w:val="28"/>
        </w:rPr>
        <w:t>
      88. В срок не более 14 рабочих дней со дня подачи документов в уполномоченный орган (экспертную организацию) референтного государства заявитель представляет в уполномоченные органы (экспертные организации) государств признания:</w:t>
      </w:r>
    </w:p>
    <w:bookmarkEnd w:id="305"/>
    <w:bookmarkStart w:name="z285" w:id="306"/>
    <w:p>
      <w:pPr>
        <w:spacing w:after="0"/>
        <w:ind w:left="0"/>
        <w:jc w:val="both"/>
      </w:pPr>
      <w:r>
        <w:rPr>
          <w:rFonts w:ascii="Times New Roman"/>
          <w:b w:val="false"/>
          <w:i w:val="false"/>
          <w:color w:val="000000"/>
          <w:sz w:val="28"/>
        </w:rPr>
        <w:t>
      заявление на бумажном носителе или в виде электронного документа, подписанного электронной подписью, по форме в соответствии с приложением № 2 к настоящим Правилам;</w:t>
      </w:r>
    </w:p>
    <w:bookmarkEnd w:id="306"/>
    <w:p>
      <w:pPr>
        <w:spacing w:after="0"/>
        <w:ind w:left="0"/>
        <w:jc w:val="both"/>
      </w:pPr>
      <w:r>
        <w:rPr>
          <w:rFonts w:ascii="Times New Roman"/>
          <w:b w:val="false"/>
          <w:i w:val="false"/>
          <w:color w:val="000000"/>
          <w:sz w:val="28"/>
        </w:rPr>
        <w:t>
      модуль 1 регистрационного досье на электронном носителе в виде комплекта электронных документов;</w:t>
      </w:r>
    </w:p>
    <w:bookmarkStart w:name="z286" w:id="307"/>
    <w:p>
      <w:pPr>
        <w:spacing w:after="0"/>
        <w:ind w:left="0"/>
        <w:jc w:val="both"/>
      </w:pPr>
      <w:r>
        <w:rPr>
          <w:rFonts w:ascii="Times New Roman"/>
          <w:b w:val="false"/>
          <w:i w:val="false"/>
          <w:color w:val="000000"/>
          <w:sz w:val="28"/>
        </w:rPr>
        <w:t>
      документы, подтверждающие оплату сбора (пошлины) за регистрацию и экспертизу в случае и порядке, установленных в соответствии с законодательством государства признания в виде электронных документов.</w:t>
      </w:r>
    </w:p>
    <w:bookmarkEnd w:id="307"/>
    <w:bookmarkStart w:name="z287" w:id="308"/>
    <w:p>
      <w:pPr>
        <w:spacing w:after="0"/>
        <w:ind w:left="0"/>
        <w:jc w:val="both"/>
      </w:pPr>
      <w:r>
        <w:rPr>
          <w:rFonts w:ascii="Times New Roman"/>
          <w:b w:val="false"/>
          <w:i w:val="false"/>
          <w:color w:val="000000"/>
          <w:sz w:val="28"/>
        </w:rPr>
        <w:t>
      При наличии соответствующих требований в законодательстве государства-члена представляются ОХЛП, инструкция по медицинскому применению и макеты упаковок лекарственного препарата на государственном языке государства признания.</w:t>
      </w:r>
    </w:p>
    <w:bookmarkEnd w:id="308"/>
    <w:bookmarkStart w:name="z11846" w:id="309"/>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88" w:id="310"/>
    <w:p>
      <w:pPr>
        <w:spacing w:after="0"/>
        <w:ind w:left="0"/>
        <w:jc w:val="both"/>
      </w:pPr>
      <w:r>
        <w:rPr>
          <w:rFonts w:ascii="Times New Roman"/>
          <w:b w:val="false"/>
          <w:i w:val="false"/>
          <w:color w:val="000000"/>
          <w:sz w:val="28"/>
        </w:rPr>
        <w:t>
      89. Экспертиза лекарственного препарата в референтном государстве при децентрализованной процедуре регистрации включает в себя:</w:t>
      </w:r>
    </w:p>
    <w:bookmarkEnd w:id="310"/>
    <w:bookmarkStart w:name="z289" w:id="311"/>
    <w:p>
      <w:pPr>
        <w:spacing w:after="0"/>
        <w:ind w:left="0"/>
        <w:jc w:val="both"/>
      </w:pPr>
      <w:r>
        <w:rPr>
          <w:rFonts w:ascii="Times New Roman"/>
          <w:b w:val="false"/>
          <w:i w:val="false"/>
          <w:color w:val="000000"/>
          <w:sz w:val="28"/>
        </w:rPr>
        <w:t>
      а) оценку полноты, комплектности и правильности оформления представленных документов регистрационного досье;</w:t>
      </w:r>
    </w:p>
    <w:bookmarkEnd w:id="311"/>
    <w:bookmarkStart w:name="z290" w:id="312"/>
    <w:p>
      <w:pPr>
        <w:spacing w:after="0"/>
        <w:ind w:left="0"/>
        <w:jc w:val="both"/>
      </w:pPr>
      <w:r>
        <w:rPr>
          <w:rFonts w:ascii="Times New Roman"/>
          <w:b w:val="false"/>
          <w:i w:val="false"/>
          <w:color w:val="000000"/>
          <w:sz w:val="28"/>
        </w:rPr>
        <w:t>
      б) оценку документов и данных, представленных заявителем в регистрационном досье лекарственного препарата, на предмет безопасности, эффективности и качества;</w:t>
      </w:r>
    </w:p>
    <w:bookmarkEnd w:id="312"/>
    <w:bookmarkStart w:name="z291" w:id="313"/>
    <w:p>
      <w:pPr>
        <w:spacing w:after="0"/>
        <w:ind w:left="0"/>
        <w:jc w:val="both"/>
      </w:pPr>
      <w:r>
        <w:rPr>
          <w:rFonts w:ascii="Times New Roman"/>
          <w:b w:val="false"/>
          <w:i w:val="false"/>
          <w:color w:val="000000"/>
          <w:sz w:val="28"/>
        </w:rPr>
        <w:t>
      в) проведение лабораторных испытаний на соответствие требованиям нормативного документа по качеству и воспроизводимости заявленных методик контроля качества, осуществляемых в аккредитованных испытательных лабораториях;</w:t>
      </w:r>
    </w:p>
    <w:bookmarkEnd w:id="313"/>
    <w:bookmarkStart w:name="z292" w:id="314"/>
    <w:p>
      <w:pPr>
        <w:spacing w:after="0"/>
        <w:ind w:left="0"/>
        <w:jc w:val="both"/>
      </w:pPr>
      <w:r>
        <w:rPr>
          <w:rFonts w:ascii="Times New Roman"/>
          <w:b w:val="false"/>
          <w:i w:val="false"/>
          <w:color w:val="000000"/>
          <w:sz w:val="28"/>
        </w:rPr>
        <w:t>
      г) инициирование при необходимости фармацевтической инспекции в случаях, установленных настоящими Правилами;</w:t>
      </w:r>
    </w:p>
    <w:bookmarkEnd w:id="314"/>
    <w:bookmarkStart w:name="z293" w:id="315"/>
    <w:p>
      <w:pPr>
        <w:spacing w:after="0"/>
        <w:ind w:left="0"/>
        <w:jc w:val="both"/>
      </w:pPr>
      <w:r>
        <w:rPr>
          <w:rFonts w:ascii="Times New Roman"/>
          <w:b w:val="false"/>
          <w:i w:val="false"/>
          <w:color w:val="000000"/>
          <w:sz w:val="28"/>
        </w:rPr>
        <w:t>
      д) составление экспертного отчета по оценке лекарственного препарата референтным государством.</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4" w:id="316"/>
    <w:p>
      <w:pPr>
        <w:spacing w:after="0"/>
        <w:ind w:left="0"/>
        <w:jc w:val="both"/>
      </w:pPr>
      <w:r>
        <w:rPr>
          <w:rFonts w:ascii="Times New Roman"/>
          <w:b w:val="false"/>
          <w:i w:val="false"/>
          <w:color w:val="000000"/>
          <w:sz w:val="28"/>
        </w:rPr>
        <w:t>
      90. Экспертиза лекарственного препарата в государствах признания при децентрализованной процедуре регистрации осуществляется путем рассмотрения:</w:t>
      </w:r>
    </w:p>
    <w:bookmarkEnd w:id="316"/>
    <w:bookmarkStart w:name="z295" w:id="317"/>
    <w:p>
      <w:pPr>
        <w:spacing w:after="0"/>
        <w:ind w:left="0"/>
        <w:jc w:val="both"/>
      </w:pPr>
      <w:r>
        <w:rPr>
          <w:rFonts w:ascii="Times New Roman"/>
          <w:b w:val="false"/>
          <w:i w:val="false"/>
          <w:color w:val="000000"/>
          <w:sz w:val="28"/>
        </w:rPr>
        <w:t>
      а) заявления, документов и данных регистрационного досье;</w:t>
      </w:r>
    </w:p>
    <w:bookmarkEnd w:id="317"/>
    <w:bookmarkStart w:name="z296" w:id="318"/>
    <w:p>
      <w:pPr>
        <w:spacing w:after="0"/>
        <w:ind w:left="0"/>
        <w:jc w:val="both"/>
      </w:pPr>
      <w:r>
        <w:rPr>
          <w:rFonts w:ascii="Times New Roman"/>
          <w:b w:val="false"/>
          <w:i w:val="false"/>
          <w:color w:val="000000"/>
          <w:sz w:val="28"/>
        </w:rPr>
        <w:t>
      б) экспертного отчета по оценке, подготовленного референтным государством.</w:t>
      </w:r>
    </w:p>
    <w:bookmarkEnd w:id="318"/>
    <w:bookmarkStart w:name="z297" w:id="319"/>
    <w:p>
      <w:pPr>
        <w:spacing w:after="0"/>
        <w:ind w:left="0"/>
        <w:jc w:val="both"/>
      </w:pPr>
      <w:r>
        <w:rPr>
          <w:rFonts w:ascii="Times New Roman"/>
          <w:b w:val="false"/>
          <w:i w:val="false"/>
          <w:color w:val="000000"/>
          <w:sz w:val="28"/>
        </w:rPr>
        <w:t>
      91. Уполномоченный орган (экспертная организация) референтного государства в течение 10 рабочих дней с даты подачи заявления на регистрацию осуществляет оценку полноты, комплектности и правильности оформления представленных документов регистрационного досье до направления материалов регистрационного досье на экспертизу. Заявителю предоставляется не более 90 рабочих дней, не входящих в срок регистрации и экспертизы лекарственного препарата, на представление недостающих материалов регистрационного досье по запросу уполномоченного органа (экспертной организации) референтного государства.</w:t>
      </w:r>
    </w:p>
    <w:bookmarkEnd w:id="319"/>
    <w:bookmarkStart w:name="z298" w:id="320"/>
    <w:p>
      <w:pPr>
        <w:spacing w:after="0"/>
        <w:ind w:left="0"/>
        <w:jc w:val="both"/>
      </w:pPr>
      <w:r>
        <w:rPr>
          <w:rFonts w:ascii="Times New Roman"/>
          <w:b w:val="false"/>
          <w:i w:val="false"/>
          <w:color w:val="000000"/>
          <w:sz w:val="28"/>
        </w:rPr>
        <w:t xml:space="preserve">
      Запрос уполномоченного органа (экспертной организации) референтного государства должен быть передан заявителю в электронной форме по телекоммуникационным каналам связи и считается полученным по истечении 1 календарного дня с даты его направления. </w:t>
      </w:r>
    </w:p>
    <w:bookmarkEnd w:id="320"/>
    <w:p>
      <w:pPr>
        <w:spacing w:after="0"/>
        <w:ind w:left="0"/>
        <w:jc w:val="both"/>
      </w:pPr>
      <w:r>
        <w:rPr>
          <w:rFonts w:ascii="Times New Roman"/>
          <w:b w:val="false"/>
          <w:i w:val="false"/>
          <w:color w:val="000000"/>
          <w:sz w:val="28"/>
        </w:rPr>
        <w:t xml:space="preserve">
      Оценка ответа заявителя осуществляется в срок, не превышающий 5 рабочих дней со дня получения ответа заявителя. </w:t>
      </w:r>
    </w:p>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не позднее 14 рабочих дней со дня завершения оценки комплектности и полноты представленных материалов регистрационного досье предоставляет доступ к регистрационному досье лекарственного препарата уполномоченным органам (экспертным организациям) государств признания, участвующим в процедуре децентрализованной регистрации лекарственного препарата посредством использования интегрированной системы или уведомляет об отклонении заявления в порядке, установленном пунктом 92 настоящих Правил.</w:t>
      </w:r>
    </w:p>
    <w:p>
      <w:pPr>
        <w:spacing w:after="0"/>
        <w:ind w:left="0"/>
        <w:jc w:val="both"/>
      </w:pPr>
      <w:r>
        <w:rPr>
          <w:rFonts w:ascii="Times New Roman"/>
          <w:b w:val="false"/>
          <w:i w:val="false"/>
          <w:color w:val="000000"/>
          <w:sz w:val="28"/>
        </w:rPr>
        <w:t>
      Экспертиза, включающая в себя этапы, указанные в подпунктах "б" – "д" пункта 89 настоящих Правил, проводится в срок, не превышающий 105 рабочих дней со дня оценки полноты, комплектности и правильности оформления документов, представленных в регистрационном досье, или с даты получения экспертной организацией соответствующего задания на проведение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решениями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9" w:id="321"/>
    <w:p>
      <w:pPr>
        <w:spacing w:after="0"/>
        <w:ind w:left="0"/>
        <w:jc w:val="both"/>
      </w:pPr>
      <w:r>
        <w:rPr>
          <w:rFonts w:ascii="Times New Roman"/>
          <w:b w:val="false"/>
          <w:i w:val="false"/>
          <w:color w:val="000000"/>
          <w:sz w:val="28"/>
        </w:rPr>
        <w:t>
      92. Уполномоченный орган (экспертная организация) референтного государства отклоняет заявление на регистрацию лекарственного препарата в случае непредставления в установленный срок документов и материалов регистрационного досье по замечаниям уполномоченного органа (экспертной организации) референтного государства и (или) неподтверждения оплаты сбора (пошлины) за регистрацию и экспертизу лекарственного препарата в случаях и порядке, установленных законодательством референтного государства, и информирует заявителя и уполномоченные органы (экспертные организации) государств признания посредством интегрированной системы в срок не более 5 рабочих дней с момента принятия решения.</w:t>
      </w:r>
    </w:p>
    <w:bookmarkEnd w:id="321"/>
    <w:bookmarkStart w:name="z300" w:id="322"/>
    <w:p>
      <w:pPr>
        <w:spacing w:after="0"/>
        <w:ind w:left="0"/>
        <w:jc w:val="both"/>
      </w:pPr>
      <w:r>
        <w:rPr>
          <w:rFonts w:ascii="Times New Roman"/>
          <w:b w:val="false"/>
          <w:i w:val="false"/>
          <w:color w:val="000000"/>
          <w:sz w:val="28"/>
        </w:rPr>
        <w:t>
      93. Уполномоченный орган (экспертная организация) референтного государства при проведении регистрации и экспертизы лекарственного препарата вправе направить заявителю запрос в письменном и (или) электронном виде о представлении недостающей дополнительной информации, необходимых разъяснений или уточнений, касающихся представленных документов и данных регистрационного досье (в том числе предложения о внесении изменений в ОХЛП, инструкцию по медицинскому применению, макеты упаковки лекарственного препарата, нормативный документ по качеству или иные документы регистрационного досье).</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1" w:id="323"/>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Уполномоченный орган (экспертная организация) референтного государства в течение 60 рабочих дней с даты начала экспертизы направляет в уполномоченные органы (экспертные организации) государств признания копии отчетов с формулировкой замечаний по форме в соответствии с приложениями № 6 – 8 к настоящим Правилам или предварительный отчет по оценке по форме согласно приложению № 11 к настоящим Правилам или копии запросов заявителю.</w:t>
      </w:r>
    </w:p>
    <w:bookmarkEnd w:id="323"/>
    <w:p>
      <w:pPr>
        <w:spacing w:after="0"/>
        <w:ind w:left="0"/>
        <w:jc w:val="both"/>
      </w:pPr>
      <w:r>
        <w:rPr>
          <w:rFonts w:ascii="Times New Roman"/>
          <w:b w:val="false"/>
          <w:i w:val="false"/>
          <w:color w:val="000000"/>
          <w:sz w:val="28"/>
        </w:rPr>
        <w:t>
      Экспертиза в референтном государстве приостанавливается до дня получения от всех государств признания, участвующих в процедуре, дополнительных замечаний или информации о согласии с предварительным отчетом или запросом референтного государства.</w:t>
      </w:r>
    </w:p>
    <w:p>
      <w:pPr>
        <w:spacing w:after="0"/>
        <w:ind w:left="0"/>
        <w:jc w:val="both"/>
      </w:pPr>
      <w:r>
        <w:rPr>
          <w:rFonts w:ascii="Times New Roman"/>
          <w:b w:val="false"/>
          <w:i w:val="false"/>
          <w:color w:val="000000"/>
          <w:sz w:val="28"/>
        </w:rPr>
        <w:t>
      В случае проведения экспертизы регистрационного досье воспроизведенного или гибридного лекарственного препарата уполномоченный орган (экспертная организация) референтного государства в течение 60 рабочих дней с даты начала экспертизы направляет в уполномоченные органы (экспертные организации) государств признания копии отчетов с формулировкой замечаний и запросов заявителю по форме в соответствии с приложениями № 8 и 22 к настоящим Правилам или предварительный отчет по оценке по форме согласно приложению № 11 к настоящим Правилам, или копии запросов заявителю.</w:t>
      </w:r>
    </w:p>
    <w:p>
      <w:pPr>
        <w:spacing w:after="0"/>
        <w:ind w:left="0"/>
        <w:jc w:val="both"/>
      </w:pPr>
      <w:r>
        <w:rPr>
          <w:rFonts w:ascii="Times New Roman"/>
          <w:b w:val="false"/>
          <w:i w:val="false"/>
          <w:color w:val="000000"/>
          <w:sz w:val="28"/>
        </w:rPr>
        <w:t>
      В случае наличия дополнительных замечаний в адрес заявителя, уполномоченный орган (экспертная организация) государства признания не позднее 30 рабочих дней с даты получения предварительного отчета по оценке референтного государства направляет запросы уполномоченному органу (экспертной организации) референтного государства, который в течение 20 рабочих дней с даты получения последнего запроса от государства признания или информации о согласии с предварительным отчетом референтного государства формирует единый запрос и направляет его заявителю в соответствии с пунктом 93 настоящих Правил.</w:t>
      </w:r>
    </w:p>
    <w:p>
      <w:pPr>
        <w:spacing w:after="0"/>
        <w:ind w:left="0"/>
        <w:jc w:val="both"/>
      </w:pPr>
      <w:r>
        <w:rPr>
          <w:rFonts w:ascii="Times New Roman"/>
          <w:b w:val="false"/>
          <w:i w:val="false"/>
          <w:color w:val="000000"/>
          <w:sz w:val="28"/>
        </w:rPr>
        <w:t>
      Запрос уполномоченного органа (экспертной организации) референтного государства должен быть передан заявителю в электронной форме по телекоммуникационным каналам связи и считается полученным по истечении 1 календарного дня с даты его направления.</w:t>
      </w:r>
    </w:p>
    <w:bookmarkStart w:name="z303" w:id="324"/>
    <w:p>
      <w:pPr>
        <w:spacing w:after="0"/>
        <w:ind w:left="0"/>
        <w:jc w:val="both"/>
      </w:pPr>
      <w:r>
        <w:rPr>
          <w:rFonts w:ascii="Times New Roman"/>
          <w:b w:val="false"/>
          <w:i w:val="false"/>
          <w:color w:val="000000"/>
          <w:sz w:val="28"/>
        </w:rPr>
        <w:t>
      Со дня направления замечаний заявителю дальнейшая экспертиза приостанавливается. После первого запроса последующие запросы допускаются только в случае возникновения дополнительных вопросов по данным, представленным заявителем в ответе на предшествующий запрос.</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изменениями, внесенными решениями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4" w:id="325"/>
    <w:p>
      <w:pPr>
        <w:spacing w:after="0"/>
        <w:ind w:left="0"/>
        <w:jc w:val="both"/>
      </w:pPr>
      <w:r>
        <w:rPr>
          <w:rFonts w:ascii="Times New Roman"/>
          <w:b w:val="false"/>
          <w:i w:val="false"/>
          <w:color w:val="000000"/>
          <w:sz w:val="28"/>
        </w:rPr>
        <w:t>
      95. Срок представления заявителем ответа на указанный запрос не должен превышать 90 рабочих дней. Процедуры направления запросов и представления ответов устанавливаются требованиями законодательства государств-членов.</w:t>
      </w:r>
    </w:p>
    <w:bookmarkEnd w:id="325"/>
    <w:bookmarkStart w:name="z305" w:id="326"/>
    <w:p>
      <w:pPr>
        <w:spacing w:after="0"/>
        <w:ind w:left="0"/>
        <w:jc w:val="both"/>
      </w:pPr>
      <w:r>
        <w:rPr>
          <w:rFonts w:ascii="Times New Roman"/>
          <w:b w:val="false"/>
          <w:i w:val="false"/>
          <w:color w:val="000000"/>
          <w:sz w:val="28"/>
        </w:rPr>
        <w:t>
      При необходимости на основании соответствующего заявления заявителя срок ответа на запрос может быть продлен уполномоченным органом референтного государства. Общий предельный срок ответа на запросы не должен превышать 180 рабочих дней.</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6" w:id="327"/>
    <w:p>
      <w:pPr>
        <w:spacing w:after="0"/>
        <w:ind w:left="0"/>
        <w:jc w:val="both"/>
      </w:pPr>
      <w:r>
        <w:rPr>
          <w:rFonts w:ascii="Times New Roman"/>
          <w:b w:val="false"/>
          <w:i w:val="false"/>
          <w:color w:val="000000"/>
          <w:sz w:val="28"/>
        </w:rPr>
        <w:t>
      96. Общий срок представления заявителем ответов на запросы уполномоченного органа (экспертной организации) в процессе проведения процедуры регистрации не должен превышать 180 рабочих дней.</w:t>
      </w:r>
    </w:p>
    <w:bookmarkEnd w:id="327"/>
    <w:bookmarkStart w:name="z307" w:id="328"/>
    <w:p>
      <w:pPr>
        <w:spacing w:after="0"/>
        <w:ind w:left="0"/>
        <w:jc w:val="both"/>
      </w:pPr>
      <w:r>
        <w:rPr>
          <w:rFonts w:ascii="Times New Roman"/>
          <w:b w:val="false"/>
          <w:i w:val="false"/>
          <w:color w:val="000000"/>
          <w:sz w:val="28"/>
        </w:rPr>
        <w:t>
      Время представления заявителем документов по запросу уполномоченного органа (экспертной организации) в процессе экспертизы лекарственного препарата не входит в сроки проведения экспертизы и регистрации лекарственного препарата.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8" w:id="329"/>
    <w:p>
      <w:pPr>
        <w:spacing w:after="0"/>
        <w:ind w:left="0"/>
        <w:jc w:val="both"/>
      </w:pPr>
      <w:r>
        <w:rPr>
          <w:rFonts w:ascii="Times New Roman"/>
          <w:b w:val="false"/>
          <w:i w:val="false"/>
          <w:color w:val="000000"/>
          <w:sz w:val="28"/>
        </w:rPr>
        <w:t>
      97. После представления заявителем уполномоченному органу (экспертной организации) референтного государства ответов на запросы экспертиза возобновляется.</w:t>
      </w:r>
    </w:p>
    <w:bookmarkEnd w:id="329"/>
    <w:bookmarkStart w:name="z309" w:id="330"/>
    <w:p>
      <w:pPr>
        <w:spacing w:after="0"/>
        <w:ind w:left="0"/>
        <w:jc w:val="both"/>
      </w:pPr>
      <w:r>
        <w:rPr>
          <w:rFonts w:ascii="Times New Roman"/>
          <w:b w:val="false"/>
          <w:i w:val="false"/>
          <w:color w:val="000000"/>
          <w:sz w:val="28"/>
        </w:rPr>
        <w:t>
      98. При непредставлении в установленный срок заявителем запрошенных уполномоченным органом (экспертной организацией) документов и материалов экспертиза и регистрация лекарственного препарата прекращаются. О принятом решении уполномоченный орган (экспертная организация) извещает заявителя и уполномоченные органы (экспертные организации) в течение 14 рабочих дней с даты принятия такого решения в письменном и (или) электронном виде.</w:t>
      </w:r>
    </w:p>
    <w:bookmarkEnd w:id="330"/>
    <w:bookmarkStart w:name="z310" w:id="331"/>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Решение об инициировании внеплановой фармацевтической инспекции на соответствие надлежащим фармацевтическим практикам Союза может быть принято уполномоченным органом (экспертной организацией) референтного государства не позднее 70 рабочих дней с даты подачи заявления на регистрацию.</w:t>
      </w:r>
    </w:p>
    <w:bookmarkEnd w:id="331"/>
    <w:p>
      <w:pPr>
        <w:spacing w:after="0"/>
        <w:ind w:left="0"/>
        <w:jc w:val="both"/>
      </w:pPr>
      <w:r>
        <w:rPr>
          <w:rFonts w:ascii="Times New Roman"/>
          <w:b w:val="false"/>
          <w:i w:val="false"/>
          <w:color w:val="000000"/>
          <w:sz w:val="28"/>
        </w:rPr>
        <w:t>
      В случае принятия решения об инициировании внеплановой фармацевтической инспекции уполномоченный орган (экспертная организация) референтного государства направляет заявителю запрос о необходимости организации инспектирования с подробным указанием причин инициирования и ссылками на акты органов Союза.</w:t>
      </w:r>
    </w:p>
    <w:p>
      <w:pPr>
        <w:spacing w:after="0"/>
        <w:ind w:left="0"/>
        <w:jc w:val="both"/>
      </w:pPr>
      <w:r>
        <w:rPr>
          <w:rFonts w:ascii="Times New Roman"/>
          <w:b w:val="false"/>
          <w:i w:val="false"/>
          <w:color w:val="000000"/>
          <w:sz w:val="28"/>
        </w:rPr>
        <w:t xml:space="preserve">
      Внеплановая фармацевтическая инспекция с направлением отчета о проведенной инспекции должна быть проведена в срок, не превышающий срока регистрации лекарственного препарата, (в течение 180 рабочих дней с даты принятия соответствующим уполномоченным органом решения об инициировании проведения инспекции). </w:t>
      </w:r>
    </w:p>
    <w:p>
      <w:pPr>
        <w:spacing w:after="0"/>
        <w:ind w:left="0"/>
        <w:jc w:val="both"/>
      </w:pPr>
      <w:r>
        <w:rPr>
          <w:rFonts w:ascii="Times New Roman"/>
          <w:b w:val="false"/>
          <w:i w:val="false"/>
          <w:color w:val="000000"/>
          <w:sz w:val="28"/>
        </w:rPr>
        <w:t>
      Внеплановая фармацевтическая инспекция организуется заявителем в соответствии с правилами проведения фармацевтических инспекций.</w:t>
      </w:r>
    </w:p>
    <w:p>
      <w:pPr>
        <w:spacing w:after="0"/>
        <w:ind w:left="0"/>
        <w:jc w:val="both"/>
      </w:pPr>
      <w:r>
        <w:rPr>
          <w:rFonts w:ascii="Times New Roman"/>
          <w:b w:val="false"/>
          <w:i w:val="false"/>
          <w:color w:val="000000"/>
          <w:sz w:val="28"/>
        </w:rPr>
        <w:t>
      В случае включения фармацевтической инспекции в план проведения инспекций в соответствии с пунктом 31 настоящих Правил, подготовка отчета завершается без учета результатов инспектирования.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12" w:id="332"/>
    <w:p>
      <w:pPr>
        <w:spacing w:after="0"/>
        <w:ind w:left="0"/>
        <w:jc w:val="both"/>
      </w:pPr>
      <w:r>
        <w:rPr>
          <w:rFonts w:ascii="Times New Roman"/>
          <w:b w:val="false"/>
          <w:i w:val="false"/>
          <w:color w:val="000000"/>
          <w:sz w:val="28"/>
        </w:rPr>
        <w:t>
      100. Взаимодействие между уполномоченными органами (экспертными организациями) при направлении запросов заявителю осуществляется в электронном виде по форме в соответствии с приложением № 18 к настоящим Правилам с использованием средств интегрированной системы.</w:t>
      </w:r>
    </w:p>
    <w:bookmarkEnd w:id="332"/>
    <w:bookmarkStart w:name="z313" w:id="333"/>
    <w:p>
      <w:pPr>
        <w:spacing w:after="0"/>
        <w:ind w:left="0"/>
        <w:jc w:val="both"/>
      </w:pPr>
      <w:r>
        <w:rPr>
          <w:rFonts w:ascii="Times New Roman"/>
          <w:b w:val="false"/>
          <w:i w:val="false"/>
          <w:color w:val="000000"/>
          <w:sz w:val="28"/>
        </w:rPr>
        <w:t>
      101. В случае отсутствия дополнительных замечаний от какого-либо государства признания в отношении экспертизы лекарственного препарата (представление замечаний, результатов рассмотрения предварительного отчета по оценке) данное государство признания представляет референтному государству информацию о том, что согласно с заключением (включая замечания, если применимо), содержащимся в предварительном отчете по оценке в соответствии с пунктом 94 настоящих Правил.</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14" w:id="334"/>
    <w:p>
      <w:pPr>
        <w:spacing w:after="0"/>
        <w:ind w:left="0"/>
        <w:jc w:val="both"/>
      </w:pPr>
      <w:r>
        <w:rPr>
          <w:rFonts w:ascii="Times New Roman"/>
          <w:b w:val="false"/>
          <w:i w:val="false"/>
          <w:color w:val="000000"/>
          <w:sz w:val="28"/>
        </w:rPr>
        <w:t>
      102. Письменные консультации между уполномоченными органами (экспертными организациями) референтного государства и государств признания при необходимости осуществляются в электронном виде с использованием средств интегрированной системы.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5" w:id="335"/>
    <w:p>
      <w:pPr>
        <w:spacing w:after="0"/>
        <w:ind w:left="0"/>
        <w:jc w:val="both"/>
      </w:pPr>
      <w:r>
        <w:rPr>
          <w:rFonts w:ascii="Times New Roman"/>
          <w:b w:val="false"/>
          <w:i w:val="false"/>
          <w:color w:val="000000"/>
          <w:sz w:val="28"/>
        </w:rPr>
        <w:t>
      103. Для подготовки заключительного экспертного отчета по оценке экспертная организация референтного государства составляет экспертные отчеты по аспектам качества, оценке нового действующего вещества, содержащегося в лекарственном препарате, оценке регистрационного досье на действующее вещество, доклиническим, клиническим аспектам, протокол лабораторных испытаний (если экспертной организацией проведены соответствующие испытания) по формам в соответствии с приложениями № 6 - 10, 12 и 22 к настоящим Правилам.</w:t>
      </w:r>
    </w:p>
    <w:bookmarkEnd w:id="335"/>
    <w:p>
      <w:pPr>
        <w:spacing w:after="0"/>
        <w:ind w:left="0"/>
        <w:jc w:val="both"/>
      </w:pPr>
      <w:r>
        <w:rPr>
          <w:rFonts w:ascii="Times New Roman"/>
          <w:b w:val="false"/>
          <w:i w:val="false"/>
          <w:color w:val="000000"/>
          <w:sz w:val="28"/>
        </w:rPr>
        <w:t xml:space="preserve">
      По результатам экспертизы регистрационного досье воспроизведенного или гибридного лекарственного препарата экспертная организация референтного государства составляет экспертные отчеты по формам в соответствии с </w:t>
      </w:r>
      <w:r>
        <w:rPr>
          <w:rFonts w:ascii="Times New Roman"/>
          <w:b w:val="false"/>
          <w:i w:val="false"/>
          <w:color w:val="000000"/>
          <w:sz w:val="28"/>
        </w:rPr>
        <w:t>приложениями № 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w:t>
      </w:r>
    </w:p>
    <w:bookmarkStart w:name="z316" w:id="336"/>
    <w:p>
      <w:pPr>
        <w:spacing w:after="0"/>
        <w:ind w:left="0"/>
        <w:jc w:val="both"/>
      </w:pPr>
      <w:r>
        <w:rPr>
          <w:rFonts w:ascii="Times New Roman"/>
          <w:b w:val="false"/>
          <w:i w:val="false"/>
          <w:color w:val="000000"/>
          <w:sz w:val="28"/>
        </w:rPr>
        <w:t>
      Экспертные отчеты по аспектам качества, доклиническим, клиническим аспектам, заключительный экспертный отчет по оценке составляются в соответствии с указаниями, приведенными в приложениях № 13 - 15 и 23 к настоящим Правилам.</w:t>
      </w:r>
    </w:p>
    <w:bookmarkEnd w:id="336"/>
    <w:bookmarkStart w:name="z317" w:id="337"/>
    <w:p>
      <w:pPr>
        <w:spacing w:after="0"/>
        <w:ind w:left="0"/>
        <w:jc w:val="both"/>
      </w:pPr>
      <w:r>
        <w:rPr>
          <w:rFonts w:ascii="Times New Roman"/>
          <w:b w:val="false"/>
          <w:i w:val="false"/>
          <w:color w:val="000000"/>
          <w:sz w:val="28"/>
        </w:rPr>
        <w:t>
      Заключительный экспертный отчет по оценке референтного государства составляется по форме согласно приложению № 16 к настоящим Правилам.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с изменением, внесенным решением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318" w:id="338"/>
    <w:p>
      <w:pPr>
        <w:spacing w:after="0"/>
        <w:ind w:left="0"/>
        <w:jc w:val="both"/>
      </w:pPr>
      <w:r>
        <w:rPr>
          <w:rFonts w:ascii="Times New Roman"/>
          <w:b w:val="false"/>
          <w:i w:val="false"/>
          <w:color w:val="000000"/>
          <w:sz w:val="28"/>
        </w:rPr>
        <w:t>
      104. В срок не позднее 90 рабочих дней с даты подачи заявления на регистрацию уполномоченным органом (экспертной организацией) референтного государства могут быть направлены в государства признания и заявителю проект заключительного экспертного отчета по оценке по форме в соответствии с приложением № 16 к настоящим Правилам вместе с ответами заявителя на запросы, проект общей характеристики лекарственного препарата, проект инструкции по медицинскому применению (листок-вкладыш), проект макетов упаковок, проект нормативного документа по качеству, а также при необходимости проект плана управления рисками.</w:t>
      </w:r>
    </w:p>
    <w:bookmarkEnd w:id="338"/>
    <w:bookmarkStart w:name="z319" w:id="339"/>
    <w:p>
      <w:pPr>
        <w:spacing w:after="0"/>
        <w:ind w:left="0"/>
        <w:jc w:val="both"/>
      </w:pPr>
      <w:r>
        <w:rPr>
          <w:rFonts w:ascii="Times New Roman"/>
          <w:b w:val="false"/>
          <w:i w:val="false"/>
          <w:color w:val="000000"/>
          <w:sz w:val="28"/>
        </w:rPr>
        <w:t>
      В случае если экспертной организацией референтного государства подготовлен отрицательный проект заключительного экспертного отчета по оценке и принято решение об отказе в регистрации в соответствии с пунктом 114 настоящих Правил, экспертиза и регистрация лекарственного препарата прекращаются. О принятом решении уполномоченный орган (экспертная организация) извещает заявителя в течение 14 рабочих дней с даты принятия такого решения в письменном и (или) электронном виде с приложением указанного заключительного экспертного отчета по оценке.</w:t>
      </w:r>
    </w:p>
    <w:bookmarkEnd w:id="339"/>
    <w:bookmarkStart w:name="z320" w:id="340"/>
    <w:p>
      <w:pPr>
        <w:spacing w:after="0"/>
        <w:ind w:left="0"/>
        <w:jc w:val="both"/>
      </w:pPr>
      <w:r>
        <w:rPr>
          <w:rFonts w:ascii="Times New Roman"/>
          <w:b w:val="false"/>
          <w:i w:val="false"/>
          <w:color w:val="000000"/>
          <w:sz w:val="28"/>
        </w:rPr>
        <w:t>
      В случае если экспертной организацией референтного государства подготовлен положительный проект заключительного экспертного отчета по оценке, его рассмотрение проводят уполномоченные органы (экспертные организации) государств признания.</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1" w:id="341"/>
    <w:p>
      <w:pPr>
        <w:spacing w:after="0"/>
        <w:ind w:left="0"/>
        <w:jc w:val="both"/>
      </w:pPr>
      <w:r>
        <w:rPr>
          <w:rFonts w:ascii="Times New Roman"/>
          <w:b w:val="false"/>
          <w:i w:val="false"/>
          <w:color w:val="000000"/>
          <w:sz w:val="28"/>
        </w:rPr>
        <w:t>
      105. При отсутствии замечаний со стороны уполномоченных органов (экспертных организаций) государств признания или после их снятия в соответствии с пунктом 106 настоящих Правил уполномоченный орган (экспертная организация) референтного государства и государств признания завершают процедуру экспертизы лекарственного препарата в течение 10 рабочих дней (117-й рабочий день с даты подачи заявления на регистрацию).</w:t>
      </w:r>
    </w:p>
    <w:bookmarkEnd w:id="341"/>
    <w:p>
      <w:pPr>
        <w:spacing w:after="0"/>
        <w:ind w:left="0"/>
        <w:jc w:val="both"/>
      </w:pPr>
      <w:r>
        <w:rPr>
          <w:rFonts w:ascii="Times New Roman"/>
          <w:b w:val="false"/>
          <w:i w:val="false"/>
          <w:color w:val="000000"/>
          <w:sz w:val="28"/>
        </w:rPr>
        <w:t xml:space="preserve">
      При наличии в регистрационном досье документально подтвержденного намерения заявителя согласовать отсутствие в проекте заключительного экспертного отчета об оценке конфиденциальной информации, заявителю предоставляется не более 10 рабочих дней с даты получения проекта заключительного экспертного отчета об оценке, не входящих в срок регистрации и экспертизы лекарственного препарата, на согласование с целью обеспечения конфиденциальности информации, содержащейся в регистрационном досье лекарственного препарата и предоставление обоснования изъятия конфиденциальных данных, в том числе составляющих коммерческую тайну. </w:t>
      </w:r>
    </w:p>
    <w:p>
      <w:pPr>
        <w:spacing w:after="0"/>
        <w:ind w:left="0"/>
        <w:jc w:val="both"/>
      </w:pPr>
      <w:r>
        <w:rPr>
          <w:rFonts w:ascii="Times New Roman"/>
          <w:b w:val="false"/>
          <w:i w:val="false"/>
          <w:color w:val="000000"/>
          <w:sz w:val="28"/>
        </w:rPr>
        <w:t xml:space="preserve">
      Заявитель вправе самостоятельно отметить конфиденциальную информацию, не подлежащую опубликованию, путем ее выделения в режиме рецензирования, в проекте заключительного экспертного отчета об оценке, предназначенного для последующей публикации в едином реестре, и направить этот отчет в уполномоченный орган (экспертную организацию) в электронном виде. </w:t>
      </w:r>
    </w:p>
    <w:p>
      <w:pPr>
        <w:spacing w:after="0"/>
        <w:ind w:left="0"/>
        <w:jc w:val="both"/>
      </w:pPr>
      <w:r>
        <w:rPr>
          <w:rFonts w:ascii="Times New Roman"/>
          <w:b w:val="false"/>
          <w:i w:val="false"/>
          <w:color w:val="000000"/>
          <w:sz w:val="28"/>
        </w:rPr>
        <w:t>
      Оценка ответа заявителя осуществляется в срок, не превышающий 5 рабочих дней с даты получения ответа заявителя, и не включается в срок проведения экспертизы и регистрации лекарственного препарата.</w:t>
      </w:r>
      <w:r>
        <w:rPr>
          <w:rFonts w:ascii="Times New Roman"/>
          <w:b w:val="false"/>
          <w:i w:val="false"/>
          <w:strike/>
          <w:color w:val="000000"/>
          <w:sz w:val="28"/>
        </w:rPr>
        <w:t xml:space="preserve"> </w:t>
      </w:r>
    </w:p>
    <w:p>
      <w:pPr>
        <w:spacing w:after="0"/>
        <w:ind w:left="0"/>
        <w:jc w:val="both"/>
      </w:pPr>
      <w:r>
        <w:rPr>
          <w:rFonts w:ascii="Times New Roman"/>
          <w:b w:val="false"/>
          <w:i w:val="false"/>
          <w:color w:val="000000"/>
          <w:sz w:val="28"/>
        </w:rPr>
        <w:t>
      На основании проведенной оценки уполномоченный орган (экспертная организация) вправе принять предложенное заявителем изъятие информации. В этом случае при принятии уполномоченным органом референтного государства положительного решения о регистрации лекарственного препарата, в едином реестре уполномоченный орган референтного государства размещает заключительный экспертный отчет об оценке, составленный в соответствии с приложением № 16 к настоящим Правилам, после изъятия конфиденциальных данных. При непредставлении заявителем информации, указанной выше, в установленный срок заключительный экспертный отчет об оценке считается согласованным заявителем.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2" w:id="342"/>
    <w:p>
      <w:pPr>
        <w:spacing w:after="0"/>
        <w:ind w:left="0"/>
        <w:jc w:val="both"/>
      </w:pPr>
      <w:r>
        <w:rPr>
          <w:rFonts w:ascii="Times New Roman"/>
          <w:b w:val="false"/>
          <w:i w:val="false"/>
          <w:color w:val="000000"/>
          <w:sz w:val="28"/>
        </w:rPr>
        <w:t>
      106. При наличии замечаний со стороны уполномоченных органов (экспертных организаций) государств признания к проекту заключительного экспертного отчета по оценке, проекту ОХЛП, проекту инструкции по медицинскому применению, проекту макетов упаковок или проекту нормативного документа по качеству, проекту плана управления рисками при применении лекарственного препарата (при необходимости) уполномоченные органы (экспертные организации) государств признания при необходимости осуществляют консультации с уполномоченным органом (экспертной организацией) референтного государства или государств признания в электронном виде в течение 10 рабочих дней по форме в соответствии с приложением № 18 к настоящим Правилам (110-й рабочий день с даты подачи заявления на регистрацию).</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3" w:id="343"/>
    <w:p>
      <w:pPr>
        <w:spacing w:after="0"/>
        <w:ind w:left="0"/>
        <w:jc w:val="both"/>
      </w:pPr>
      <w:r>
        <w:rPr>
          <w:rFonts w:ascii="Times New Roman"/>
          <w:b w:val="false"/>
          <w:i w:val="false"/>
          <w:color w:val="000000"/>
          <w:sz w:val="28"/>
        </w:rPr>
        <w:t>
      107. При наличии неурегулированных разногласий в рамках взаимных консультаций уполномоченный орган (экспертная организация) государства признания в срок, не превышающий 10 рабочих дней с даты получения заключительного экспертного отчета по оценке референтного государства, с учетом условий пункта 106 настоящих Правил с использованием средств интегрированной системы направляет заключение о невозможности признания экспертного отчета по оценке, подготовленного экспертной организацией референтного государства, с обоснованием причин отрицательного решения в уполномоченный орган (экспертную организацию) референтного государства и государств признания, а также - в Экспертный комитет, в том числе на бумажном носителе.</w:t>
      </w:r>
    </w:p>
    <w:bookmarkEnd w:id="343"/>
    <w:bookmarkStart w:name="z324" w:id="344"/>
    <w:p>
      <w:pPr>
        <w:spacing w:after="0"/>
        <w:ind w:left="0"/>
        <w:jc w:val="both"/>
      </w:pPr>
      <w:r>
        <w:rPr>
          <w:rFonts w:ascii="Times New Roman"/>
          <w:b w:val="false"/>
          <w:i w:val="false"/>
          <w:color w:val="000000"/>
          <w:sz w:val="28"/>
        </w:rPr>
        <w:t>
      108. Экспертным комитетом в срок, не превышающий 60 календарных дней с даты направления государствами признания заключения о невозможности признания положительного экспертного отчета по оценке, подготовленного экспертной организацией референтного государства, проводится процедура урегулирования разногласий в соответствии с порядком, установленным Комиссией.</w:t>
      </w:r>
    </w:p>
    <w:bookmarkEnd w:id="344"/>
    <w:bookmarkStart w:name="z325" w:id="345"/>
    <w:p>
      <w:pPr>
        <w:spacing w:after="0"/>
        <w:ind w:left="0"/>
        <w:jc w:val="both"/>
      </w:pPr>
      <w:r>
        <w:rPr>
          <w:rFonts w:ascii="Times New Roman"/>
          <w:b w:val="false"/>
          <w:i w:val="false"/>
          <w:color w:val="000000"/>
          <w:sz w:val="28"/>
        </w:rPr>
        <w:t>
      В случае если разногласия между уполномоченными органами референтного государства и государств признания в части признания экспертного отчета по оценке урегулированы, они переходят к завершению процедуры экспертизы и процедуре выдачи итоговых документов в соответствии с пунктами 105 и 109 - 113 настоящих Правил.</w:t>
      </w:r>
    </w:p>
    <w:bookmarkEnd w:id="345"/>
    <w:bookmarkStart w:name="z326" w:id="346"/>
    <w:p>
      <w:pPr>
        <w:spacing w:after="0"/>
        <w:ind w:left="0"/>
        <w:jc w:val="both"/>
      </w:pPr>
      <w:r>
        <w:rPr>
          <w:rFonts w:ascii="Times New Roman"/>
          <w:b w:val="false"/>
          <w:i w:val="false"/>
          <w:color w:val="000000"/>
          <w:sz w:val="28"/>
        </w:rPr>
        <w:t>
      В случае если разногласия между уполномоченными органами референтного государства и государств признания в части признания экспертного отчета по оценке не урегулированы, уполномоченные органы референтного государства и государств признания, принявшие положительное решение о признании экспертного отчета по оценке, переходят к завершению процедуры экспертизы и процедуре выдачи итоговых документов в соответствии с пунктами 105 и 109 - 113 настоящих Правил. По просьбе заявителя выдача регистрационного удостоверения уполномоченными органами таких государств-членов может быть приостановлена до устранения разногласий уполномоченных органов других государств признания и референтного государства.</w:t>
      </w:r>
    </w:p>
    <w:bookmarkEnd w:id="346"/>
    <w:bookmarkStart w:name="z327" w:id="347"/>
    <w:p>
      <w:pPr>
        <w:spacing w:after="0"/>
        <w:ind w:left="0"/>
        <w:jc w:val="both"/>
      </w:pPr>
      <w:r>
        <w:rPr>
          <w:rFonts w:ascii="Times New Roman"/>
          <w:b w:val="false"/>
          <w:i w:val="false"/>
          <w:color w:val="000000"/>
          <w:sz w:val="28"/>
        </w:rPr>
        <w:t>
      109. Уполномоченные органы (экспертные организации) референтного государства и государств признания, принявшие положительное решение по результатам экспертизы о возможности регистрации лекарственного препарата в соответствии с пунктами 105 и 108 настоящих Правил, переходят к процедуре выдачи итоговых документов в срок не более 20 рабочих дней.</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8" w:id="348"/>
    <w:p>
      <w:pPr>
        <w:spacing w:after="0"/>
        <w:ind w:left="0"/>
        <w:jc w:val="both"/>
      </w:pPr>
      <w:r>
        <w:rPr>
          <w:rFonts w:ascii="Times New Roman"/>
          <w:b w:val="false"/>
          <w:i w:val="false"/>
          <w:color w:val="000000"/>
          <w:sz w:val="28"/>
        </w:rPr>
        <w:t>
      110. Не позднее 20 рабочих дней с даты принятия уполномоченным органом положительного решения о регистрации:</w:t>
      </w:r>
    </w:p>
    <w:bookmarkEnd w:id="348"/>
    <w:bookmarkStart w:name="z329" w:id="349"/>
    <w:p>
      <w:pPr>
        <w:spacing w:after="0"/>
        <w:ind w:left="0"/>
        <w:jc w:val="both"/>
      </w:pPr>
      <w:r>
        <w:rPr>
          <w:rFonts w:ascii="Times New Roman"/>
          <w:b w:val="false"/>
          <w:i w:val="false"/>
          <w:color w:val="000000"/>
          <w:sz w:val="28"/>
        </w:rPr>
        <w:t>
      а) уполномоченный орган референтного государства выдает заявителю регистрационное удостоверение лекарственного препарата по форме в соответствии с приложением № 17 к настоящим Правилам, утвержденные ОХЛП, инструкцию по медицинскому применению, нормативный документ по качеству, макеты упаковок, экспертный отчет по оценке (при необходимости заявителю выдаются утвержденные ОХЛП, инструкция по медицинскому применению и макеты упаковок лекарственного препарата на государственном языке референтного государства), а также при необходимости согласованный план управления рисками;</w:t>
      </w:r>
    </w:p>
    <w:bookmarkEnd w:id="349"/>
    <w:bookmarkStart w:name="z330" w:id="350"/>
    <w:p>
      <w:pPr>
        <w:spacing w:after="0"/>
        <w:ind w:left="0"/>
        <w:jc w:val="both"/>
      </w:pPr>
      <w:r>
        <w:rPr>
          <w:rFonts w:ascii="Times New Roman"/>
          <w:b w:val="false"/>
          <w:i w:val="false"/>
          <w:color w:val="000000"/>
          <w:sz w:val="28"/>
        </w:rPr>
        <w:t>
      б) уполномоченные органы государств признания выдают заявителю регистрационные удостоверения лекарственного препарата по форме в соответствии с приложением № 17 к настоящим Правилам, утвержденные ОХЛП, инструкцию по медицинскому применению, макеты упаковок на государственных языках государств признания (при наличии соответствующих требований в законодательстве государств-членов), а также при необходимости согласованный план управления рисками.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1" w:id="351"/>
    <w:p>
      <w:pPr>
        <w:spacing w:after="0"/>
        <w:ind w:left="0"/>
        <w:jc w:val="both"/>
      </w:pPr>
      <w:r>
        <w:rPr>
          <w:rFonts w:ascii="Times New Roman"/>
          <w:b w:val="false"/>
          <w:i w:val="false"/>
          <w:color w:val="000000"/>
          <w:sz w:val="28"/>
        </w:rPr>
        <w:t>
      111. Уполномоченные органы референтного государства и государств признания размещают сведения о регистрации лекарственного препарата и входящих в его состав активных фармацевтических субстанциях в едином реестре с приложением утвержденных ОХЛП, инструкции по медицинскому применению, макетов упаковок, нормативного документа по качеству, а также заключительного экспертного отчета по оценке, составленного в соответствии с приложением № 16 к настоящим Правилам, после изъятия конфиденциальных данных и данных об экспертах, резюме согласованного плана управления рисками при применении лекарственного препарата (при необходимости) в соответствии с порядком формирования и ведения единого реестра.</w:t>
      </w:r>
    </w:p>
    <w:bookmarkEnd w:id="351"/>
    <w:bookmarkStart w:name="z332" w:id="352"/>
    <w:p>
      <w:pPr>
        <w:spacing w:after="0"/>
        <w:ind w:left="0"/>
        <w:jc w:val="both"/>
      </w:pPr>
      <w:r>
        <w:rPr>
          <w:rFonts w:ascii="Times New Roman"/>
          <w:b w:val="false"/>
          <w:i w:val="false"/>
          <w:color w:val="000000"/>
          <w:sz w:val="28"/>
        </w:rPr>
        <w:t>
      112. Регистрационное удостоверение лекарственного препарата выдается уполномоченным органом государства признания со сроком действия регистрационного удостоверения, установленным уполномоченным органом референтного государства.</w:t>
      </w:r>
    </w:p>
    <w:bookmarkEnd w:id="352"/>
    <w:bookmarkStart w:name="z333" w:id="353"/>
    <w:p>
      <w:pPr>
        <w:spacing w:after="0"/>
        <w:ind w:left="0"/>
        <w:jc w:val="both"/>
      </w:pPr>
      <w:r>
        <w:rPr>
          <w:rFonts w:ascii="Times New Roman"/>
          <w:b w:val="false"/>
          <w:i w:val="false"/>
          <w:color w:val="000000"/>
          <w:sz w:val="28"/>
        </w:rPr>
        <w:t>
      113. Обновление экспертного отчета осуществляется в соответствии с пунктом 62 настоящих Правил.</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решения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4" w:id="354"/>
    <w:p>
      <w:pPr>
        <w:spacing w:after="0"/>
        <w:ind w:left="0"/>
        <w:jc w:val="both"/>
      </w:pPr>
      <w:r>
        <w:rPr>
          <w:rFonts w:ascii="Times New Roman"/>
          <w:b w:val="false"/>
          <w:i w:val="false"/>
          <w:color w:val="000000"/>
          <w:sz w:val="28"/>
        </w:rPr>
        <w:t>
      114. Уполномоченный орган референтного государства отказывает в регистрации по децентрализованной процедуре в следующих случаях:</w:t>
      </w:r>
    </w:p>
    <w:bookmarkEnd w:id="354"/>
    <w:bookmarkStart w:name="z335" w:id="355"/>
    <w:p>
      <w:pPr>
        <w:spacing w:after="0"/>
        <w:ind w:left="0"/>
        <w:jc w:val="both"/>
      </w:pPr>
      <w:r>
        <w:rPr>
          <w:rFonts w:ascii="Times New Roman"/>
          <w:b w:val="false"/>
          <w:i w:val="false"/>
          <w:color w:val="000000"/>
          <w:sz w:val="28"/>
        </w:rPr>
        <w:t>
      а) отношение ожидаемой пользы к возможным рискам, связанным с применением лекарственного препарата, не является благоприятным;</w:t>
      </w:r>
    </w:p>
    <w:bookmarkEnd w:id="355"/>
    <w:bookmarkStart w:name="z336" w:id="356"/>
    <w:p>
      <w:pPr>
        <w:spacing w:after="0"/>
        <w:ind w:left="0"/>
        <w:jc w:val="both"/>
      </w:pPr>
      <w:r>
        <w:rPr>
          <w:rFonts w:ascii="Times New Roman"/>
          <w:b w:val="false"/>
          <w:i w:val="false"/>
          <w:color w:val="000000"/>
          <w:sz w:val="28"/>
        </w:rPr>
        <w:t>
      б) эффективность лекарственного препарата не подтверждена представленными заявителем данными;</w:t>
      </w:r>
    </w:p>
    <w:bookmarkEnd w:id="356"/>
    <w:bookmarkStart w:name="z337" w:id="357"/>
    <w:p>
      <w:pPr>
        <w:spacing w:after="0"/>
        <w:ind w:left="0"/>
        <w:jc w:val="both"/>
      </w:pPr>
      <w:r>
        <w:rPr>
          <w:rFonts w:ascii="Times New Roman"/>
          <w:b w:val="false"/>
          <w:i w:val="false"/>
          <w:color w:val="000000"/>
          <w:sz w:val="28"/>
        </w:rPr>
        <w:t>
      в) качество лекарственного препарата не подтверждено;</w:t>
      </w:r>
    </w:p>
    <w:bookmarkEnd w:id="357"/>
    <w:bookmarkStart w:name="z338" w:id="358"/>
    <w:p>
      <w:pPr>
        <w:spacing w:after="0"/>
        <w:ind w:left="0"/>
        <w:jc w:val="both"/>
      </w:pPr>
      <w:r>
        <w:rPr>
          <w:rFonts w:ascii="Times New Roman"/>
          <w:b w:val="false"/>
          <w:i w:val="false"/>
          <w:color w:val="000000"/>
          <w:sz w:val="28"/>
        </w:rPr>
        <w:t>
      г) предложенные методы и методики контроля качества не воспроизводимы;</w:t>
      </w:r>
    </w:p>
    <w:bookmarkEnd w:id="358"/>
    <w:bookmarkStart w:name="z339" w:id="359"/>
    <w:p>
      <w:pPr>
        <w:spacing w:after="0"/>
        <w:ind w:left="0"/>
        <w:jc w:val="both"/>
      </w:pPr>
      <w:r>
        <w:rPr>
          <w:rFonts w:ascii="Times New Roman"/>
          <w:b w:val="false"/>
          <w:i w:val="false"/>
          <w:color w:val="000000"/>
          <w:sz w:val="28"/>
        </w:rPr>
        <w:t>
      д) заявителем представлены недостоверные сведения;</w:t>
      </w:r>
    </w:p>
    <w:bookmarkEnd w:id="359"/>
    <w:bookmarkStart w:name="z340" w:id="360"/>
    <w:p>
      <w:pPr>
        <w:spacing w:after="0"/>
        <w:ind w:left="0"/>
        <w:jc w:val="both"/>
      </w:pPr>
      <w:r>
        <w:rPr>
          <w:rFonts w:ascii="Times New Roman"/>
          <w:b w:val="false"/>
          <w:i w:val="false"/>
          <w:color w:val="000000"/>
          <w:sz w:val="28"/>
        </w:rPr>
        <w:t>
      е) по результатам назначенной инспекции в период регистрации лекарственного препарата не подтверждено соответствие надлежащим фармацевтическим практикам Союза.</w:t>
      </w:r>
    </w:p>
    <w:bookmarkEnd w:id="360"/>
    <w:bookmarkStart w:name="z11847" w:id="361"/>
    <w:p>
      <w:pPr>
        <w:spacing w:after="0"/>
        <w:ind w:left="0"/>
        <w:jc w:val="both"/>
      </w:pPr>
      <w:r>
        <w:rPr>
          <w:rFonts w:ascii="Times New Roman"/>
          <w:b w:val="false"/>
          <w:i w:val="false"/>
          <w:color w:val="000000"/>
          <w:sz w:val="28"/>
        </w:rPr>
        <w:t>
      ж) заявителем в установленный срок не представлен ответ на запрос, направленный в соответствии с пунктом 94 настоящих Правил.</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41" w:id="362"/>
    <w:p>
      <w:pPr>
        <w:spacing w:after="0"/>
        <w:ind w:left="0"/>
        <w:jc w:val="both"/>
      </w:pPr>
      <w:r>
        <w:rPr>
          <w:rFonts w:ascii="Times New Roman"/>
          <w:b w:val="false"/>
          <w:i w:val="false"/>
          <w:color w:val="000000"/>
          <w:sz w:val="28"/>
        </w:rPr>
        <w:t>
      115. Уполномоченный орган государства признания не признает экспертный отчет по оценке, подготовленный экспертной организацией референтного государства, и тем самым отказывает в регистрации по децентрализованной процедуре в случае, если по результатам экспертизы регистрационного досье лекарственного препарата и после проведения процедуры урегулирования разногласий в Экспертном комитете им принято решение, что данные, представленные в экспертном отчете по оценке, не могут быть признаны достаточными для подтверждения качества, и (или) эффективности, и (или) благоприятного соотношения "польза - риск" лекарственного препарата.</w:t>
      </w:r>
    </w:p>
    <w:bookmarkEnd w:id="362"/>
    <w:bookmarkStart w:name="z11848" w:id="363"/>
    <w:p>
      <w:pPr>
        <w:spacing w:after="0"/>
        <w:ind w:left="0"/>
        <w:jc w:val="left"/>
      </w:pPr>
      <w:r>
        <w:rPr>
          <w:rFonts w:ascii="Times New Roman"/>
          <w:b/>
          <w:i w:val="false"/>
          <w:color w:val="000000"/>
        </w:rPr>
        <w:t xml:space="preserve"> VII. Установление пострегистрационных мер</w:t>
      </w:r>
    </w:p>
    <w:bookmarkEnd w:id="363"/>
    <w:p>
      <w:pPr>
        <w:spacing w:after="0"/>
        <w:ind w:left="0"/>
        <w:jc w:val="both"/>
      </w:pPr>
      <w:r>
        <w:rPr>
          <w:rFonts w:ascii="Times New Roman"/>
          <w:b w:val="false"/>
          <w:i w:val="false"/>
          <w:color w:val="ff0000"/>
          <w:sz w:val="28"/>
        </w:rPr>
        <w:t xml:space="preserve">
      Сноска. Раздел VII – в редакции решения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1849" w:id="364"/>
    <w:p>
      <w:pPr>
        <w:spacing w:after="0"/>
        <w:ind w:left="0"/>
        <w:jc w:val="left"/>
      </w:pPr>
      <w:r>
        <w:rPr>
          <w:rFonts w:ascii="Times New Roman"/>
          <w:b/>
          <w:i w:val="false"/>
          <w:color w:val="000000"/>
        </w:rPr>
        <w:t xml:space="preserve"> VII.I. Регистрация лекарственного препарата с установлением дополнительных требований</w:t>
      </w:r>
    </w:p>
    <w:bookmarkEnd w:id="364"/>
    <w:bookmarkStart w:name="z11850" w:id="365"/>
    <w:p>
      <w:pPr>
        <w:spacing w:after="0"/>
        <w:ind w:left="0"/>
        <w:jc w:val="both"/>
      </w:pPr>
      <w:r>
        <w:rPr>
          <w:rFonts w:ascii="Times New Roman"/>
          <w:b w:val="false"/>
          <w:i w:val="false"/>
          <w:color w:val="000000"/>
          <w:sz w:val="28"/>
        </w:rPr>
        <w:t>
      116. Уполномоченным органом (экспертной организацией) референтного государства в отношении лекарственного препарата при его регистрации и осуществлении процедур, связанных с регистрацией, могут устанавливаться одно или несколько из следующих дополнительных требований:</w:t>
      </w:r>
    </w:p>
    <w:bookmarkEnd w:id="365"/>
    <w:bookmarkStart w:name="z11851" w:id="366"/>
    <w:p>
      <w:pPr>
        <w:spacing w:after="0"/>
        <w:ind w:left="0"/>
        <w:jc w:val="both"/>
      </w:pPr>
      <w:r>
        <w:rPr>
          <w:rFonts w:ascii="Times New Roman"/>
          <w:b w:val="false"/>
          <w:i w:val="false"/>
          <w:color w:val="000000"/>
          <w:sz w:val="28"/>
        </w:rPr>
        <w:t>
      включение в систему управления рисками определенных мер для обеспечения безопасного применения лекарственного препарата;</w:t>
      </w:r>
    </w:p>
    <w:bookmarkEnd w:id="366"/>
    <w:bookmarkStart w:name="z11852" w:id="367"/>
    <w:p>
      <w:pPr>
        <w:spacing w:after="0"/>
        <w:ind w:left="0"/>
        <w:jc w:val="both"/>
      </w:pPr>
      <w:r>
        <w:rPr>
          <w:rFonts w:ascii="Times New Roman"/>
          <w:b w:val="false"/>
          <w:i w:val="false"/>
          <w:color w:val="000000"/>
          <w:sz w:val="28"/>
        </w:rPr>
        <w:t>
      проведение пострегистрационных исследований безопасности лекарственного препарата;</w:t>
      </w:r>
    </w:p>
    <w:bookmarkEnd w:id="367"/>
    <w:bookmarkStart w:name="z11853" w:id="368"/>
    <w:p>
      <w:pPr>
        <w:spacing w:after="0"/>
        <w:ind w:left="0"/>
        <w:jc w:val="both"/>
      </w:pPr>
      <w:r>
        <w:rPr>
          <w:rFonts w:ascii="Times New Roman"/>
          <w:b w:val="false"/>
          <w:i w:val="false"/>
          <w:color w:val="000000"/>
          <w:sz w:val="28"/>
        </w:rPr>
        <w:t>
      установление дополнительных требований к регистрации лекарственного препарата и подаче сообщений о подозреваемых нежелательных реакциях;</w:t>
      </w:r>
    </w:p>
    <w:bookmarkEnd w:id="368"/>
    <w:bookmarkStart w:name="z11854" w:id="369"/>
    <w:p>
      <w:pPr>
        <w:spacing w:after="0"/>
        <w:ind w:left="0"/>
        <w:jc w:val="both"/>
      </w:pPr>
      <w:r>
        <w:rPr>
          <w:rFonts w:ascii="Times New Roman"/>
          <w:b w:val="false"/>
          <w:i w:val="false"/>
          <w:color w:val="000000"/>
          <w:sz w:val="28"/>
        </w:rPr>
        <w:t>
      проведение пострегистрационных исследований эффективности лекарственного препарата, при необходимости – исследований различных аспектов эффективности лекарственного препарата, которые не могут быть исследованы до начала реализации лекарственного препарата;</w:t>
      </w:r>
    </w:p>
    <w:bookmarkEnd w:id="369"/>
    <w:bookmarkStart w:name="z11855" w:id="370"/>
    <w:p>
      <w:pPr>
        <w:spacing w:after="0"/>
        <w:ind w:left="0"/>
        <w:jc w:val="both"/>
      </w:pPr>
      <w:r>
        <w:rPr>
          <w:rFonts w:ascii="Times New Roman"/>
          <w:b w:val="false"/>
          <w:i w:val="false"/>
          <w:color w:val="000000"/>
          <w:sz w:val="28"/>
        </w:rPr>
        <w:t>
      другие условия или ограничения в целях безопасного и эффективного применения лекарственного препарата в соответствии с требованиями Правил надлежащей практики фармаконадзора Евразийского экономического союза.</w:t>
      </w:r>
    </w:p>
    <w:bookmarkEnd w:id="370"/>
    <w:bookmarkStart w:name="z11856" w:id="371"/>
    <w:p>
      <w:pPr>
        <w:spacing w:after="0"/>
        <w:ind w:left="0"/>
        <w:jc w:val="both"/>
      </w:pPr>
      <w:r>
        <w:rPr>
          <w:rFonts w:ascii="Times New Roman"/>
          <w:b w:val="false"/>
          <w:i w:val="false"/>
          <w:color w:val="000000"/>
          <w:sz w:val="28"/>
        </w:rPr>
        <w:t>
      Установленные условия и ограничения, а также сроки их выполнения указываются в регистрационном удостоверении, едином реестре, в ОХЛП и в инструкции по медицинскому применению.</w:t>
      </w:r>
    </w:p>
    <w:bookmarkEnd w:id="371"/>
    <w:bookmarkStart w:name="z11857" w:id="372"/>
    <w:p>
      <w:pPr>
        <w:spacing w:after="0"/>
        <w:ind w:left="0"/>
        <w:jc w:val="both"/>
      </w:pPr>
      <w:r>
        <w:rPr>
          <w:rFonts w:ascii="Times New Roman"/>
          <w:b w:val="false"/>
          <w:i w:val="false"/>
          <w:color w:val="000000"/>
          <w:sz w:val="28"/>
        </w:rPr>
        <w:t>
      117. Уполномоченный орган (экспертная организация) референтного государства вправе отменить действие регистрационного удостоверения лекарственного препарата в случае невыполнения держателем регистрационного удостоверения дополнительных требований, установленных уполномоченным органом (экспертной организацией) референтного государства в отношении данного лекарственного препарата при его регистрации и осуществлении процедур, связанных с регистрацией в соответствии с пунктом 116 настоящих Правил.</w:t>
      </w:r>
    </w:p>
    <w:bookmarkEnd w:id="372"/>
    <w:bookmarkStart w:name="z11858" w:id="373"/>
    <w:p>
      <w:pPr>
        <w:spacing w:after="0"/>
        <w:ind w:left="0"/>
        <w:jc w:val="both"/>
      </w:pPr>
      <w:r>
        <w:rPr>
          <w:rFonts w:ascii="Times New Roman"/>
          <w:b w:val="false"/>
          <w:i w:val="false"/>
          <w:color w:val="000000"/>
          <w:sz w:val="28"/>
        </w:rPr>
        <w:t>
      118. Условием регистрации и подтверждения регистрации (перерегистрации) лекарственного препарата уполномоченным органом (экспертной организацией) может быть установлено обязательство по проведению держателем регистрационного удостоверения:</w:t>
      </w:r>
    </w:p>
    <w:bookmarkEnd w:id="373"/>
    <w:bookmarkStart w:name="z11859" w:id="374"/>
    <w:p>
      <w:pPr>
        <w:spacing w:after="0"/>
        <w:ind w:left="0"/>
        <w:jc w:val="both"/>
      </w:pPr>
      <w:r>
        <w:rPr>
          <w:rFonts w:ascii="Times New Roman"/>
          <w:b w:val="false"/>
          <w:i w:val="false"/>
          <w:color w:val="000000"/>
          <w:sz w:val="28"/>
        </w:rPr>
        <w:t>
      а) пострегистрационных исследований безопасности лекарственного препарата в случае наличия опасений по поводу рисков, связанных с применением данного лекарственного препарата. В случае если риски относятся более чем к одному лекарственному препарату, уполномоченные органы государств-членов способствуют проведению держателями регистрационных удостоверений таких лекарственных препаратов совместных пострегистрационных исследований безопасности;</w:t>
      </w:r>
    </w:p>
    <w:bookmarkEnd w:id="374"/>
    <w:bookmarkStart w:name="z11860" w:id="375"/>
    <w:p>
      <w:pPr>
        <w:spacing w:after="0"/>
        <w:ind w:left="0"/>
        <w:jc w:val="both"/>
      </w:pPr>
      <w:r>
        <w:rPr>
          <w:rFonts w:ascii="Times New Roman"/>
          <w:b w:val="false"/>
          <w:i w:val="false"/>
          <w:color w:val="000000"/>
          <w:sz w:val="28"/>
        </w:rPr>
        <w:t>
      б) пострегистрационных исследований эффективности лекарственного препарата, если понимание заболевания или клиническая методология показывают, что предыдущие оценки эффективности требуют существенного пересмотра.</w:t>
      </w:r>
    </w:p>
    <w:bookmarkEnd w:id="375"/>
    <w:bookmarkStart w:name="z11861" w:id="376"/>
    <w:p>
      <w:pPr>
        <w:spacing w:after="0"/>
        <w:ind w:left="0"/>
        <w:jc w:val="both"/>
      </w:pPr>
      <w:r>
        <w:rPr>
          <w:rFonts w:ascii="Times New Roman"/>
          <w:b w:val="false"/>
          <w:i w:val="false"/>
          <w:color w:val="000000"/>
          <w:sz w:val="28"/>
        </w:rPr>
        <w:t>
      119. Держатель регистрационного удостоверения вправе представить письменное объяснение на бумажном носителе или в виде электронного документа, подписанного электронной подписью, в ответ на введение обязательства, предусмотренного пунктом 118 настоящих Правил, в течение 90 рабочих дней со дня получения соответствующего уведомления от уполномоченного органа (экспертной организации) о введении обязательства.</w:t>
      </w:r>
    </w:p>
    <w:bookmarkEnd w:id="376"/>
    <w:bookmarkStart w:name="z11862" w:id="377"/>
    <w:p>
      <w:pPr>
        <w:spacing w:after="0"/>
        <w:ind w:left="0"/>
        <w:jc w:val="both"/>
      </w:pPr>
      <w:r>
        <w:rPr>
          <w:rFonts w:ascii="Times New Roman"/>
          <w:b w:val="false"/>
          <w:i w:val="false"/>
          <w:color w:val="000000"/>
          <w:sz w:val="28"/>
        </w:rPr>
        <w:t>
      120. На основании письменного объяснения, представленного держателем регистрационного удостоверения лекарственного препарата в соответствии с пунктом 119 настоящих Правил, уполномоченный орган (экспертная организация) должен снять или подтвердить обязательство по проведению исследований, указанных в пункте 118 настоящих Правил, в течение 20 рабочих дней. В случае подтверждения указанного обязательства, должны быть изменены условия регистрации лекарственного препарата (путем включения в них соответствующих положений), а также системы управления рисками.</w:t>
      </w:r>
    </w:p>
    <w:bookmarkEnd w:id="377"/>
    <w:bookmarkStart w:name="z11863" w:id="378"/>
    <w:p>
      <w:pPr>
        <w:spacing w:after="0"/>
        <w:ind w:left="0"/>
        <w:jc w:val="left"/>
      </w:pPr>
      <w:r>
        <w:rPr>
          <w:rFonts w:ascii="Times New Roman"/>
          <w:b/>
          <w:i w:val="false"/>
          <w:color w:val="000000"/>
        </w:rPr>
        <w:t xml:space="preserve"> VII.II. Регистрация лекарственного препарата в исключительных случаях</w:t>
      </w:r>
    </w:p>
    <w:bookmarkEnd w:id="378"/>
    <w:bookmarkStart w:name="z11864" w:id="379"/>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В исключительных случаях после консультации с заявителем регистрация может быть осуществлена на определенных условиях, в частности затрагивающих безопасность лекарственного препарата, уведомление уполномоченных органов государств-членов о каждом инциденте в связи с его применением и о принимаемых мерах.</w:t>
      </w:r>
    </w:p>
    <w:bookmarkEnd w:id="379"/>
    <w:bookmarkStart w:name="z11865" w:id="380"/>
    <w:p>
      <w:pPr>
        <w:spacing w:after="0"/>
        <w:ind w:left="0"/>
        <w:jc w:val="both"/>
      </w:pPr>
      <w:r>
        <w:rPr>
          <w:rFonts w:ascii="Times New Roman"/>
          <w:b w:val="false"/>
          <w:i w:val="false"/>
          <w:color w:val="000000"/>
          <w:sz w:val="28"/>
        </w:rPr>
        <w:t>
      Регистрация может быть осуществлена в случае, если заявитель сможет доказать, что он не способен предоставить исчерпывающие данные об эффективности и безопасности лекарственного препарата в нормальных условиях его применения в силу объективных проверяемых причин, которые должны соответствовать одному из оснований, установленных в разделе 11 приложения № 1 к настоящим Правилам.</w:t>
      </w:r>
    </w:p>
    <w:bookmarkEnd w:id="380"/>
    <w:bookmarkStart w:name="z11866" w:id="381"/>
    <w:p>
      <w:pPr>
        <w:spacing w:after="0"/>
        <w:ind w:left="0"/>
        <w:jc w:val="both"/>
      </w:pPr>
      <w:r>
        <w:rPr>
          <w:rFonts w:ascii="Times New Roman"/>
          <w:b w:val="false"/>
          <w:i w:val="false"/>
          <w:color w:val="000000"/>
          <w:sz w:val="28"/>
        </w:rPr>
        <w:t>
      Продолжение нахождения лекарственного препарата, являющегося объектом процедур, описанных в настоящем пункте, на рынке Союза должно зависеть от переоценки таких условий, ежегодно проводимой уполномоченным органом (экспертной организацией) референтного государства-члена, с подготовкой экспертного отчета об оценке лекарственного препарата.</w:t>
      </w:r>
    </w:p>
    <w:bookmarkEnd w:id="381"/>
    <w:bookmarkStart w:name="z11867" w:id="382"/>
    <w:p>
      <w:pPr>
        <w:spacing w:after="0"/>
        <w:ind w:left="0"/>
        <w:jc w:val="both"/>
      </w:pPr>
      <w:r>
        <w:rPr>
          <w:rFonts w:ascii="Times New Roman"/>
          <w:b w:val="false"/>
          <w:i w:val="false"/>
          <w:color w:val="000000"/>
          <w:sz w:val="28"/>
        </w:rPr>
        <w:t>
      Процессуальные особенности применения настоящего пункта приведены в приложении № 25 к настоящим Правилам.</w:t>
      </w:r>
    </w:p>
    <w:bookmarkEnd w:id="382"/>
    <w:bookmarkStart w:name="z11868" w:id="383"/>
    <w:p>
      <w:pPr>
        <w:spacing w:after="0"/>
        <w:ind w:left="0"/>
        <w:jc w:val="left"/>
      </w:pPr>
      <w:r>
        <w:rPr>
          <w:rFonts w:ascii="Times New Roman"/>
          <w:b/>
          <w:i w:val="false"/>
          <w:color w:val="000000"/>
        </w:rPr>
        <w:t xml:space="preserve"> VII.III. Условная регистрация лекарственного препарата</w:t>
      </w:r>
    </w:p>
    <w:bookmarkEnd w:id="383"/>
    <w:bookmarkStart w:name="z11869" w:id="38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В случае обоснования необходимости обеспечения неудовлетворенных медицинских потребностей для лекарственных препаратов, предназначенных для лечения, профилактики или диагностики серьезных (тяжелых) инвалидизирующих или угрожающих жизни заболеваний, регистрация может быть осуществлена до представления на момент подачи заявления о регистрации исчерпывающих клинических данных, предусмотренных разделом 5 приложения № 1 к настоящим Правилам, при условии, что польза от более ранней доступности рассматриваемого лекарственного препарата на рынке превышает риск, связанный с отсутствием исчерпывающих данных. При экстренной необходимости в подобных лекарственных препаратах их регистрация может быть проведена без предоставления исчерпывающих доклинических или биофармацевтических данных.</w:t>
      </w:r>
    </w:p>
    <w:bookmarkEnd w:id="384"/>
    <w:bookmarkStart w:name="z11870" w:id="385"/>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В целях настоящего подраздела под "неудовлетворенными медицинскими потребностями" понимается состояние, для которого в Союзе нет одобренного уполномоченными органами разрешенного и признанного эффективного метода диагностики, профилактики или лечения либо применение подаваемого на условную регистрацию лекарственного препарата будет обладать существенным преимуществом перед уже одобренным уполномоченными органами методом диагностики, профилактики или лечения.</w:t>
      </w:r>
    </w:p>
    <w:bookmarkEnd w:id="385"/>
    <w:bookmarkStart w:name="z11871" w:id="386"/>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sz w:val="28"/>
        </w:rPr>
        <w:t>. Условная регистрация может осуществляться, только если соотношение "польза – риск" лекарственного препарата положительное, а также если заявитель вероятно сможет после проведения процедуры условной регистрации представить исчерпывающие недостающие данные по безопасности, эффективности и качеству лекарственного средства.</w:t>
      </w:r>
    </w:p>
    <w:bookmarkEnd w:id="386"/>
    <w:bookmarkStart w:name="z11872" w:id="38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Условная регистрация должна сопровождаться выполнением держателем регистрационного удостоверения особых условий. Эти особые условия и предельный срок их выполнения в качестве условий регистрации устанавливаются уполномоченным органом государства-члена и подлежат ежегодной оценке этим уполномоченным органом.</w:t>
      </w:r>
    </w:p>
    <w:bookmarkEnd w:id="387"/>
    <w:bookmarkStart w:name="z11873" w:id="388"/>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В рамках особых условий, указанных в пункте 120</w:t>
      </w:r>
      <w:r>
        <w:rPr>
          <w:rFonts w:ascii="Times New Roman"/>
          <w:b w:val="false"/>
          <w:i w:val="false"/>
          <w:color w:val="000000"/>
          <w:vertAlign w:val="superscript"/>
        </w:rPr>
        <w:t>5</w:t>
      </w:r>
      <w:r>
        <w:rPr>
          <w:rFonts w:ascii="Times New Roman"/>
          <w:b w:val="false"/>
          <w:i w:val="false"/>
          <w:color w:val="000000"/>
          <w:sz w:val="28"/>
        </w:rPr>
        <w:t>, держателя регистрационного удостоверения, выданного в соответствии с настоящим разделом, необходимо обязать завершить проводимые исследования или провести новые исследования с целью подтверждения положительного соотношения "польза – риск".</w:t>
      </w:r>
    </w:p>
    <w:bookmarkEnd w:id="388"/>
    <w:bookmarkStart w:name="z11874" w:id="389"/>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ОХЛП и инструкция по медицинскому применению (листок-вкладыш), должны содержать понятную формулировку о том, что регистрация лекарственного препарата осуществлена с условием выполнения особых условий в соответствии с пунктом 120</w:t>
      </w:r>
      <w:r>
        <w:rPr>
          <w:rFonts w:ascii="Times New Roman"/>
          <w:b w:val="false"/>
          <w:i w:val="false"/>
          <w:color w:val="000000"/>
          <w:vertAlign w:val="superscript"/>
        </w:rPr>
        <w:t>5</w:t>
      </w:r>
      <w:r>
        <w:rPr>
          <w:rFonts w:ascii="Times New Roman"/>
          <w:b w:val="false"/>
          <w:i w:val="false"/>
          <w:color w:val="000000"/>
          <w:sz w:val="28"/>
        </w:rPr>
        <w:t xml:space="preserve"> настоящих Правил.</w:t>
      </w:r>
    </w:p>
    <w:bookmarkEnd w:id="389"/>
    <w:bookmarkStart w:name="z11875" w:id="39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Регистрация, осуществленная в соответствии с настоящим разделом, действительна в течение 1 года и требует подтверждения регистрации (перерегистрации) с переоценкой соотношения "польза – риск" на ежегодной основе.</w:t>
      </w:r>
    </w:p>
    <w:bookmarkEnd w:id="390"/>
    <w:bookmarkStart w:name="z11876" w:id="39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9</w:t>
      </w:r>
      <w:r>
        <w:rPr>
          <w:rFonts w:ascii="Times New Roman"/>
          <w:b w:val="false"/>
          <w:i w:val="false"/>
          <w:color w:val="000000"/>
          <w:sz w:val="28"/>
        </w:rPr>
        <w:t>. Если особые условия, указанные в пункте 120</w:t>
      </w:r>
      <w:r>
        <w:rPr>
          <w:rFonts w:ascii="Times New Roman"/>
          <w:b w:val="false"/>
          <w:i w:val="false"/>
          <w:color w:val="000000"/>
          <w:vertAlign w:val="superscript"/>
        </w:rPr>
        <w:t>5</w:t>
      </w:r>
      <w:r>
        <w:rPr>
          <w:rFonts w:ascii="Times New Roman"/>
          <w:b w:val="false"/>
          <w:i w:val="false"/>
          <w:color w:val="000000"/>
          <w:sz w:val="28"/>
        </w:rPr>
        <w:t xml:space="preserve"> настоящих Правил, выполнены, уполномоченный орган государства-члена вправе по заявлению держателя регистрационного удостоверения и после получения положительного заключения экспертной организации выдать регистрационное удостоверение, действительное в течение 5 лет и подлежащее перерегистрации в соответствии с разделом VIII настоящих Правил.</w:t>
      </w:r>
    </w:p>
    <w:bookmarkEnd w:id="391"/>
    <w:bookmarkStart w:name="z11877" w:id="39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10</w:t>
      </w:r>
      <w:r>
        <w:rPr>
          <w:rFonts w:ascii="Times New Roman"/>
          <w:b w:val="false"/>
          <w:i w:val="false"/>
          <w:color w:val="000000"/>
          <w:sz w:val="28"/>
        </w:rPr>
        <w:t>. Характеристика процедур, критериев и требований к регистрации в соответствии с настоящим разделом приведена в приложении № 26 к настоящим Правилам.</w:t>
      </w:r>
    </w:p>
    <w:bookmarkEnd w:id="392"/>
    <w:bookmarkStart w:name="z11878" w:id="393"/>
    <w:p>
      <w:pPr>
        <w:spacing w:after="0"/>
        <w:ind w:left="0"/>
        <w:jc w:val="left"/>
      </w:pPr>
      <w:r>
        <w:rPr>
          <w:rFonts w:ascii="Times New Roman"/>
          <w:b/>
          <w:i w:val="false"/>
          <w:color w:val="000000"/>
        </w:rPr>
        <w:t xml:space="preserve"> VII.IV. Ускоренная экспертиза лекарственного препарата</w:t>
      </w:r>
    </w:p>
    <w:bookmarkEnd w:id="393"/>
    <w:bookmarkStart w:name="z11879" w:id="39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11</w:t>
      </w:r>
      <w:r>
        <w:rPr>
          <w:rFonts w:ascii="Times New Roman"/>
          <w:b w:val="false"/>
          <w:i w:val="false"/>
          <w:color w:val="000000"/>
          <w:sz w:val="28"/>
        </w:rPr>
        <w:t>. Ускоренная экспертиза лекарственных препаратов применяется в отношении:</w:t>
      </w:r>
    </w:p>
    <w:bookmarkEnd w:id="394"/>
    <w:bookmarkStart w:name="z11880" w:id="395"/>
    <w:p>
      <w:pPr>
        <w:spacing w:after="0"/>
        <w:ind w:left="0"/>
        <w:jc w:val="both"/>
      </w:pPr>
      <w:r>
        <w:rPr>
          <w:rFonts w:ascii="Times New Roman"/>
          <w:b w:val="false"/>
          <w:i w:val="false"/>
          <w:color w:val="000000"/>
          <w:sz w:val="28"/>
        </w:rPr>
        <w:t>
      орфанных лекарственных препаратов;</w:t>
      </w:r>
    </w:p>
    <w:bookmarkEnd w:id="395"/>
    <w:bookmarkStart w:name="z11881" w:id="396"/>
    <w:p>
      <w:pPr>
        <w:spacing w:after="0"/>
        <w:ind w:left="0"/>
        <w:jc w:val="both"/>
      </w:pPr>
      <w:r>
        <w:rPr>
          <w:rFonts w:ascii="Times New Roman"/>
          <w:b w:val="false"/>
          <w:i w:val="false"/>
          <w:color w:val="000000"/>
          <w:sz w:val="28"/>
        </w:rPr>
        <w:t>
      лекарственных препаратов, предназначенных исключительно для применения несовершеннолетними;</w:t>
      </w:r>
    </w:p>
    <w:bookmarkEnd w:id="396"/>
    <w:bookmarkStart w:name="z11882" w:id="397"/>
    <w:p>
      <w:pPr>
        <w:spacing w:after="0"/>
        <w:ind w:left="0"/>
        <w:jc w:val="both"/>
      </w:pPr>
      <w:r>
        <w:rPr>
          <w:rFonts w:ascii="Times New Roman"/>
          <w:b w:val="false"/>
          <w:i w:val="false"/>
          <w:color w:val="000000"/>
          <w:sz w:val="28"/>
        </w:rPr>
        <w:t>
      лекарственных препаратов, представляющих особую значимость для здоровья населения, в частности, при отсутствии эффективных методов оказания медицинской помощи в государствах-членах, определяемых Экспертным комитетом по лекарственным средствам на основании обращения уполномоченного органа государства-члена, в котором подано обращение заявителя об особой значимости лекарственного препарата до подачи заявления на регистрацию.</w:t>
      </w:r>
    </w:p>
    <w:bookmarkEnd w:id="397"/>
    <w:bookmarkStart w:name="z11883" w:id="398"/>
    <w:p>
      <w:pPr>
        <w:spacing w:after="0"/>
        <w:ind w:left="0"/>
        <w:jc w:val="both"/>
      </w:pPr>
      <w:r>
        <w:rPr>
          <w:rFonts w:ascii="Times New Roman"/>
          <w:b w:val="false"/>
          <w:i w:val="false"/>
          <w:color w:val="000000"/>
          <w:sz w:val="28"/>
        </w:rPr>
        <w:t>
      Срок проведения регистрации и экспертизы лекарственного препарата в референтном государстве не должен превышать 100 рабочих дней с даты подачи заявления на регистрацию лекарственного препарата до дня выдачи регистрационного удостоверения.</w:t>
      </w:r>
    </w:p>
    <w:bookmarkEnd w:id="398"/>
    <w:bookmarkStart w:name="z11884" w:id="399"/>
    <w:p>
      <w:pPr>
        <w:spacing w:after="0"/>
        <w:ind w:left="0"/>
        <w:jc w:val="both"/>
      </w:pPr>
      <w:r>
        <w:rPr>
          <w:rFonts w:ascii="Times New Roman"/>
          <w:b w:val="false"/>
          <w:i w:val="false"/>
          <w:color w:val="000000"/>
          <w:sz w:val="28"/>
        </w:rPr>
        <w:t>
      Процедура рассмотрения обращения о проведении ускоренной экспертизы лекарственного препарата приведен в приложении № 27 к настоящим Правилам.</w:t>
      </w:r>
    </w:p>
    <w:bookmarkEnd w:id="399"/>
    <w:bookmarkStart w:name="z11885" w:id="400"/>
    <w:p>
      <w:pPr>
        <w:spacing w:after="0"/>
        <w:ind w:left="0"/>
        <w:jc w:val="left"/>
      </w:pPr>
      <w:r>
        <w:rPr>
          <w:rFonts w:ascii="Times New Roman"/>
          <w:b/>
          <w:i w:val="false"/>
          <w:color w:val="000000"/>
        </w:rPr>
        <w:t xml:space="preserve"> VII.V. Общие положения</w:t>
      </w:r>
    </w:p>
    <w:bookmarkEnd w:id="400"/>
    <w:bookmarkStart w:name="z11886" w:id="40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12</w:t>
      </w:r>
      <w:r>
        <w:rPr>
          <w:rFonts w:ascii="Times New Roman"/>
          <w:b w:val="false"/>
          <w:i w:val="false"/>
          <w:color w:val="000000"/>
          <w:sz w:val="28"/>
        </w:rPr>
        <w:t>. Уполномоченный орган (экспертная организация) референтного государства действует в соответствии с положениями раздела X настоящих Правил в случае невыполнения держателем регистрационного удостоверения дополнительных требований или обязательств, установленных уполномоченным органом (экспертной организацией) референтного государства в отношении рассматриваемого лекарственного препарата при его регистрации и осуществлении процедур, связанных с регистрацией, в соответствии с положениями настоящего раздела.</w:t>
      </w:r>
    </w:p>
    <w:bookmarkEnd w:id="401"/>
    <w:bookmarkStart w:name="z12656" w:id="402"/>
    <w:p>
      <w:pPr>
        <w:spacing w:after="0"/>
        <w:ind w:left="0"/>
        <w:jc w:val="left"/>
      </w:pPr>
      <w:r>
        <w:rPr>
          <w:rFonts w:ascii="Times New Roman"/>
          <w:b/>
          <w:i w:val="false"/>
          <w:color w:val="000000"/>
        </w:rPr>
        <w:t xml:space="preserve"> VII.VI. Процедура регистрации лекарственного препарата по инициативе уполномоченного органа государства-члена</w:t>
      </w:r>
    </w:p>
    <w:bookmarkEnd w:id="402"/>
    <w:p>
      <w:pPr>
        <w:spacing w:after="0"/>
        <w:ind w:left="0"/>
        <w:jc w:val="both"/>
      </w:pPr>
      <w:r>
        <w:rPr>
          <w:rFonts w:ascii="Times New Roman"/>
          <w:b w:val="false"/>
          <w:i w:val="false"/>
          <w:color w:val="ff0000"/>
          <w:sz w:val="28"/>
        </w:rPr>
        <w:t xml:space="preserve">
      Сноска. Раздел VII дополнен подразделом VII.VI в соответствии с решением Совета Евразийской экономической комиссии от 29.11.2024 </w:t>
      </w:r>
      <w:r>
        <w:rPr>
          <w:rFonts w:ascii="Times New Roman"/>
          <w:b w:val="false"/>
          <w:i w:val="false"/>
          <w:color w:val="ff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2657" w:id="403"/>
    <w:p>
      <w:pPr>
        <w:spacing w:after="0"/>
        <w:ind w:left="0"/>
        <w:jc w:val="both"/>
      </w:pPr>
      <w:r>
        <w:rPr>
          <w:rFonts w:ascii="Times New Roman"/>
          <w:b w:val="false"/>
          <w:i w:val="false"/>
          <w:color w:val="000000"/>
          <w:sz w:val="28"/>
        </w:rPr>
        <w:t>
      120.13. Уполномоченный орган государства-члена вправе зарегистрировать лекарственный препарат в соответствии с настоящим подразделом при одновременном выполнении следующих условий:</w:t>
      </w:r>
    </w:p>
    <w:bookmarkEnd w:id="403"/>
    <w:p>
      <w:pPr>
        <w:spacing w:after="0"/>
        <w:ind w:left="0"/>
        <w:jc w:val="both"/>
      </w:pPr>
      <w:r>
        <w:rPr>
          <w:rFonts w:ascii="Times New Roman"/>
          <w:b w:val="false"/>
          <w:i w:val="false"/>
          <w:color w:val="000000"/>
          <w:sz w:val="28"/>
        </w:rPr>
        <w:t>
      а) лекарственный препарат не зарегистрирован в данном государстве-члене, а также отсутствует регистрация его аналогов по международному непатентованному наименованию (МНН) (по составу действующих веществ) и коду АТХ (химическо-терапевтическо-фармакологическая подгруппа четвертого уровня классификации);</w:t>
      </w:r>
    </w:p>
    <w:p>
      <w:pPr>
        <w:spacing w:after="0"/>
        <w:ind w:left="0"/>
        <w:jc w:val="both"/>
      </w:pPr>
      <w:r>
        <w:rPr>
          <w:rFonts w:ascii="Times New Roman"/>
          <w:b w:val="false"/>
          <w:i w:val="false"/>
          <w:color w:val="000000"/>
          <w:sz w:val="28"/>
        </w:rPr>
        <w:t>
      б) уполномоченный орган государства-члена в порядке, установленном законодательством этого государства, принял решение о необходимости регистрации указанного лекарственного препарата;</w:t>
      </w:r>
    </w:p>
    <w:p>
      <w:pPr>
        <w:spacing w:after="0"/>
        <w:ind w:left="0"/>
        <w:jc w:val="both"/>
      </w:pPr>
      <w:r>
        <w:rPr>
          <w:rFonts w:ascii="Times New Roman"/>
          <w:b w:val="false"/>
          <w:i w:val="false"/>
          <w:color w:val="000000"/>
          <w:sz w:val="28"/>
        </w:rPr>
        <w:t>
      в) при получении письменного согласия держателя регистрационного удостоверения на регистрацию лекарственного препарата по инициативе уполномоченного органа государства-члена, а также на предоставление доступа к регистрационному досье уполномоченному органу государства, инициировавшему указанную процедуру, и при получении заявления по форме, установленной приложением № 2 к настоящим Правилам, на бумажном носителе или в виде электронного документа, подписанного электронной подписью;</w:t>
      </w:r>
    </w:p>
    <w:p>
      <w:pPr>
        <w:spacing w:after="0"/>
        <w:ind w:left="0"/>
        <w:jc w:val="both"/>
      </w:pPr>
      <w:r>
        <w:rPr>
          <w:rFonts w:ascii="Times New Roman"/>
          <w:b w:val="false"/>
          <w:i w:val="false"/>
          <w:color w:val="000000"/>
          <w:sz w:val="28"/>
        </w:rPr>
        <w:t>
      г) при отсутствии в государстве-члене установленной процедуры регистрации такого лекарственного препарата с учетом положений, предусмотренных пунктом 3 настоящих Правил;</w:t>
      </w:r>
    </w:p>
    <w:p>
      <w:pPr>
        <w:spacing w:after="0"/>
        <w:ind w:left="0"/>
        <w:jc w:val="both"/>
      </w:pPr>
      <w:r>
        <w:rPr>
          <w:rFonts w:ascii="Times New Roman"/>
          <w:b w:val="false"/>
          <w:i w:val="false"/>
          <w:color w:val="000000"/>
          <w:sz w:val="28"/>
        </w:rPr>
        <w:t>
      д) лекарственный препарат зарегистрирован в референтном государстве в соответствии с подразделом V.I, разделами VI, VII и XIII настоящих Правил.</w:t>
      </w:r>
    </w:p>
    <w:bookmarkStart w:name="z12658" w:id="404"/>
    <w:p>
      <w:pPr>
        <w:spacing w:after="0"/>
        <w:ind w:left="0"/>
        <w:jc w:val="both"/>
      </w:pPr>
      <w:r>
        <w:rPr>
          <w:rFonts w:ascii="Times New Roman"/>
          <w:b w:val="false"/>
          <w:i w:val="false"/>
          <w:color w:val="000000"/>
          <w:sz w:val="28"/>
        </w:rPr>
        <w:t xml:space="preserve">
      120.14. Признание по инициативе уполномоченного органа государства-члена результатов регистрации лекарственного препарата, зарегистрированного в референтном государстве, осуществляется на основе данных регистрационного досье, поданного в референтное государство, актуальной редакции экспертного отчета об оценке, подготовленного экспертной организацией референтного государства, размещенного в едином реестре, а также с учетом открытой общедоступной информации о лекарственном препарате. </w:t>
      </w:r>
    </w:p>
    <w:bookmarkEnd w:id="404"/>
    <w:p>
      <w:pPr>
        <w:spacing w:after="0"/>
        <w:ind w:left="0"/>
        <w:jc w:val="both"/>
      </w:pPr>
      <w:r>
        <w:rPr>
          <w:rFonts w:ascii="Times New Roman"/>
          <w:b w:val="false"/>
          <w:i w:val="false"/>
          <w:color w:val="000000"/>
          <w:sz w:val="28"/>
        </w:rPr>
        <w:t xml:space="preserve">
      Уполномоченный орган государства-члена вправе запросить у уполномоченного органа (экспертной организации) референтного государства: </w:t>
      </w:r>
    </w:p>
    <w:p>
      <w:pPr>
        <w:spacing w:after="0"/>
        <w:ind w:left="0"/>
        <w:jc w:val="both"/>
      </w:pPr>
      <w:r>
        <w:rPr>
          <w:rFonts w:ascii="Times New Roman"/>
          <w:b w:val="false"/>
          <w:i w:val="false"/>
          <w:color w:val="000000"/>
          <w:sz w:val="28"/>
        </w:rPr>
        <w:t>
      актуальный экспертный отчет, указанный в пунктах 60, 103 или 178 настоящих Правил;</w:t>
      </w:r>
    </w:p>
    <w:p>
      <w:pPr>
        <w:spacing w:after="0"/>
        <w:ind w:left="0"/>
        <w:jc w:val="both"/>
      </w:pPr>
      <w:r>
        <w:rPr>
          <w:rFonts w:ascii="Times New Roman"/>
          <w:b w:val="false"/>
          <w:i w:val="false"/>
          <w:color w:val="000000"/>
          <w:sz w:val="28"/>
        </w:rPr>
        <w:t>
      утвержденные ОХЛП, инструкцию по медицинскому применению (листок-вкладыш), макеты упаковок и нормативный документ по качеству;</w:t>
      </w:r>
    </w:p>
    <w:p>
      <w:pPr>
        <w:spacing w:after="0"/>
        <w:ind w:left="0"/>
        <w:jc w:val="both"/>
      </w:pPr>
      <w:r>
        <w:rPr>
          <w:rFonts w:ascii="Times New Roman"/>
          <w:b w:val="false"/>
          <w:i w:val="false"/>
          <w:color w:val="000000"/>
          <w:sz w:val="28"/>
        </w:rPr>
        <w:t>
      все версии (последовательности) регистрационного досье в референтном государстве на период действия регистрационного удостоверения в государстве, инициировавшем процедуру регистрации по инициативе уполномоченного органа государства-члена.</w:t>
      </w:r>
    </w:p>
    <w:p>
      <w:pPr>
        <w:spacing w:after="0"/>
        <w:ind w:left="0"/>
        <w:jc w:val="both"/>
      </w:pPr>
      <w:r>
        <w:rPr>
          <w:rFonts w:ascii="Times New Roman"/>
          <w:b w:val="false"/>
          <w:i w:val="false"/>
          <w:color w:val="000000"/>
          <w:sz w:val="28"/>
        </w:rPr>
        <w:t>
      К запросу должны быть приложены копии заявления и письменного согласия держателя регистрационного удостоверения, предусмотренных подпунктом "в" пункта 120.13 настоящих Правил. При этом запрашиваемые документы должны быть представлены уполномоченным органом (экспертной организацией) референтного государства в срок, не превышающий 5 рабочих дней с даты получения данного запроса.</w:t>
      </w:r>
    </w:p>
    <w:bookmarkStart w:name="z12659" w:id="405"/>
    <w:p>
      <w:pPr>
        <w:spacing w:after="0"/>
        <w:ind w:left="0"/>
        <w:jc w:val="both"/>
      </w:pPr>
      <w:r>
        <w:rPr>
          <w:rFonts w:ascii="Times New Roman"/>
          <w:b w:val="false"/>
          <w:i w:val="false"/>
          <w:color w:val="000000"/>
          <w:sz w:val="28"/>
        </w:rPr>
        <w:t xml:space="preserve">
      120.15. Срок процедуры регистрации по инициативе уполномоченного органа государства-члена исчисляется с даты получения уполномоченным органом (экспертной организацией) письменного согласия держателя регистрационного удостоверения, а также заявления, указанного в подпункте "в" пункта 120.13 настоящих Правил, и не должен превышать 40 рабочих дней до даты выдачи регистрационного удостоверения. Срок включения сведений в единый реестр не должен превышать 10 рабочих дней с даты выдачи регистрационного удостоверения. </w:t>
      </w:r>
    </w:p>
    <w:bookmarkEnd w:id="405"/>
    <w:bookmarkStart w:name="z12660" w:id="406"/>
    <w:p>
      <w:pPr>
        <w:spacing w:after="0"/>
        <w:ind w:left="0"/>
        <w:jc w:val="both"/>
      </w:pPr>
      <w:r>
        <w:rPr>
          <w:rFonts w:ascii="Times New Roman"/>
          <w:b w:val="false"/>
          <w:i w:val="false"/>
          <w:color w:val="000000"/>
          <w:sz w:val="28"/>
        </w:rPr>
        <w:t>
      120.16. Регистрационное удостоверение лекарственного препарата, зарегистрированного в соответствии с настоящим подразделом, выдается по форме согласно приложению № 17 к настоящим Правилам со сроком действия, указанным в регистрационном удостоверении, выданном референтным государством, если действие этого удостоверения не отменяется до истечения указанного срока. В едином реестре приводятся отметка о том, что лекарственный препарат в государстве-члене зарегистрирован в соответствии с настоящим подразделом, и ссылка на утвержденные референтным государством экспертный отчет об оценке и информацию о лекарственном препарате.</w:t>
      </w:r>
    </w:p>
    <w:bookmarkEnd w:id="406"/>
    <w:bookmarkStart w:name="z12661" w:id="407"/>
    <w:p>
      <w:pPr>
        <w:spacing w:after="0"/>
        <w:ind w:left="0"/>
        <w:jc w:val="both"/>
      </w:pPr>
      <w:r>
        <w:rPr>
          <w:rFonts w:ascii="Times New Roman"/>
          <w:b w:val="false"/>
          <w:i w:val="false"/>
          <w:color w:val="000000"/>
          <w:sz w:val="28"/>
        </w:rPr>
        <w:t>
      120.17. Срок действия регистрационного удостоверения лекарственного препарата, указанный в пункте 120.16 настоящих Правил, может быть установлен менее срока, установленного референтным государством.</w:t>
      </w:r>
    </w:p>
    <w:bookmarkEnd w:id="407"/>
    <w:bookmarkStart w:name="z12662" w:id="408"/>
    <w:p>
      <w:pPr>
        <w:spacing w:after="0"/>
        <w:ind w:left="0"/>
        <w:jc w:val="both"/>
      </w:pPr>
      <w:r>
        <w:rPr>
          <w:rFonts w:ascii="Times New Roman"/>
          <w:b w:val="false"/>
          <w:i w:val="false"/>
          <w:color w:val="000000"/>
          <w:sz w:val="28"/>
        </w:rPr>
        <w:t>
      120.18. Уполномоченный орган государства-члена, зарегистрировавший лекарственный препарат в соответствии с настоящим подразделом, имеет доступ к регистрационному досье лекарственного препарата, представленному в уполномоченный орган (экспертную организацию) референтного государства, и ко всем изменениям на протяжении жизненного цикла лекарственного препарата, в случае необходимости применяет требования о переводе ОХЛП, инструкции по медицинскому применению (листка-вкладыша) и макетов упаковок на государственный язык своего государства-члена, согласует приемлемую для держателя регистрационного удостоверения процедуру осуществления фармаконадзора.</w:t>
      </w:r>
    </w:p>
    <w:bookmarkEnd w:id="408"/>
    <w:bookmarkStart w:name="z357" w:id="409"/>
    <w:p>
      <w:pPr>
        <w:spacing w:after="0"/>
        <w:ind w:left="0"/>
        <w:jc w:val="left"/>
      </w:pPr>
      <w:r>
        <w:rPr>
          <w:rFonts w:ascii="Times New Roman"/>
          <w:b/>
          <w:i w:val="false"/>
          <w:color w:val="000000"/>
        </w:rPr>
        <w:t xml:space="preserve"> VIII. Подтверждение регистрации (перерегистрации) лекарственного препарата </w:t>
      </w:r>
    </w:p>
    <w:bookmarkEnd w:id="409"/>
    <w:bookmarkStart w:name="z358" w:id="410"/>
    <w:p>
      <w:pPr>
        <w:spacing w:after="0"/>
        <w:ind w:left="0"/>
        <w:jc w:val="both"/>
      </w:pPr>
      <w:r>
        <w:rPr>
          <w:rFonts w:ascii="Times New Roman"/>
          <w:b w:val="false"/>
          <w:i w:val="false"/>
          <w:color w:val="000000"/>
          <w:sz w:val="28"/>
        </w:rPr>
        <w:t>
      121. Дата подтверждения регистрации (перерегистрации) лекарственного препарата для всех государств-членов, в которых зарегистрирован лекарственный препарат, определяется датой регистрации лекарственного препарата в референтном государстве по процедуре взаимного признания или децентрализованной процедуре.</w:t>
      </w:r>
    </w:p>
    <w:bookmarkEnd w:id="410"/>
    <w:bookmarkStart w:name="z359" w:id="411"/>
    <w:p>
      <w:pPr>
        <w:spacing w:after="0"/>
        <w:ind w:left="0"/>
        <w:jc w:val="both"/>
      </w:pPr>
      <w:r>
        <w:rPr>
          <w:rFonts w:ascii="Times New Roman"/>
          <w:b w:val="false"/>
          <w:i w:val="false"/>
          <w:color w:val="000000"/>
          <w:sz w:val="28"/>
        </w:rPr>
        <w:t>
      Для лекарственных препаратов, которые не признаны в качестве орфанных на территории какого-либо государства-члена в соответствии с его законодательством, дата подтверждения регистрации (перерегистрации) определяется по дате регистрации этого лекарственного препарата в данном государстве-члене Союза по процедуре взаимного признания.</w:t>
      </w:r>
    </w:p>
    <w:bookmarkEnd w:id="411"/>
    <w:bookmarkStart w:name="z360" w:id="412"/>
    <w:p>
      <w:pPr>
        <w:spacing w:after="0"/>
        <w:ind w:left="0"/>
        <w:jc w:val="both"/>
      </w:pPr>
      <w:r>
        <w:rPr>
          <w:rFonts w:ascii="Times New Roman"/>
          <w:b w:val="false"/>
          <w:i w:val="false"/>
          <w:color w:val="000000"/>
          <w:sz w:val="28"/>
        </w:rPr>
        <w:t>
      122. Подтверждение регистрации (перерегистрация) осуществляется на основании переоценки соотношения "польза - риск", проводимой уполномоченным органом (экспертной организацией) референтного государства-члена, с подготовкой экспертного отчета по оценке лекарственного препарата.</w:t>
      </w:r>
    </w:p>
    <w:bookmarkEnd w:id="412"/>
    <w:bookmarkStart w:name="z361" w:id="413"/>
    <w:p>
      <w:pPr>
        <w:spacing w:after="0"/>
        <w:ind w:left="0"/>
        <w:jc w:val="both"/>
      </w:pPr>
      <w:r>
        <w:rPr>
          <w:rFonts w:ascii="Times New Roman"/>
          <w:b w:val="false"/>
          <w:i w:val="false"/>
          <w:color w:val="000000"/>
          <w:sz w:val="28"/>
        </w:rPr>
        <w:t>
      Экспертиза лекарственного препарата при подтверждении регистрации (перерегистрации) в государствах признания осуществляется путем:</w:t>
      </w:r>
    </w:p>
    <w:bookmarkEnd w:id="413"/>
    <w:bookmarkStart w:name="z362" w:id="414"/>
    <w:p>
      <w:pPr>
        <w:spacing w:after="0"/>
        <w:ind w:left="0"/>
        <w:jc w:val="both"/>
      </w:pPr>
      <w:r>
        <w:rPr>
          <w:rFonts w:ascii="Times New Roman"/>
          <w:b w:val="false"/>
          <w:i w:val="false"/>
          <w:color w:val="000000"/>
          <w:sz w:val="28"/>
        </w:rPr>
        <w:t>
      рассмотрения заявления, документов и данных регистрационного досье;</w:t>
      </w:r>
    </w:p>
    <w:bookmarkEnd w:id="414"/>
    <w:bookmarkStart w:name="z363" w:id="415"/>
    <w:p>
      <w:pPr>
        <w:spacing w:after="0"/>
        <w:ind w:left="0"/>
        <w:jc w:val="both"/>
      </w:pPr>
      <w:r>
        <w:rPr>
          <w:rFonts w:ascii="Times New Roman"/>
          <w:b w:val="false"/>
          <w:i w:val="false"/>
          <w:color w:val="000000"/>
          <w:sz w:val="28"/>
        </w:rPr>
        <w:t>
      рассмотрения экспертного отчета по оценке, подготовленного референтным государством.</w:t>
      </w:r>
    </w:p>
    <w:bookmarkEnd w:id="415"/>
    <w:bookmarkStart w:name="z364" w:id="416"/>
    <w:p>
      <w:pPr>
        <w:spacing w:after="0"/>
        <w:ind w:left="0"/>
        <w:jc w:val="both"/>
      </w:pPr>
      <w:r>
        <w:rPr>
          <w:rFonts w:ascii="Times New Roman"/>
          <w:b w:val="false"/>
          <w:i w:val="false"/>
          <w:color w:val="000000"/>
          <w:sz w:val="28"/>
        </w:rPr>
        <w:t>
      В период проведения процедуры подтверждения регистрации (перерегистрации) лекарственного препарата допускается его обращение на территории Союза.</w:t>
      </w:r>
    </w:p>
    <w:bookmarkEnd w:id="416"/>
    <w:bookmarkStart w:name="z365" w:id="417"/>
    <w:p>
      <w:pPr>
        <w:spacing w:after="0"/>
        <w:ind w:left="0"/>
        <w:jc w:val="both"/>
      </w:pPr>
      <w:r>
        <w:rPr>
          <w:rFonts w:ascii="Times New Roman"/>
          <w:b w:val="false"/>
          <w:i w:val="false"/>
          <w:color w:val="000000"/>
          <w:sz w:val="28"/>
        </w:rPr>
        <w:t>
      123. Заявитель подает заявления на подтверждение регистрации (перерегистрацию) во все государства-члены, в которых зарегистрирован лекарственный препарат.</w:t>
      </w:r>
    </w:p>
    <w:bookmarkEnd w:id="417"/>
    <w:p>
      <w:pPr>
        <w:spacing w:after="0"/>
        <w:ind w:left="0"/>
        <w:jc w:val="both"/>
      </w:pPr>
      <w:r>
        <w:rPr>
          <w:rFonts w:ascii="Times New Roman"/>
          <w:b w:val="false"/>
          <w:i w:val="false"/>
          <w:color w:val="000000"/>
          <w:sz w:val="28"/>
        </w:rPr>
        <w:t xml:space="preserve">
      Заявитель вправе отозвать свое заявление в любое время до окончания осуществления процедуры подтверждения регистрации (перерегистрации) лекарственного препарата, письменно уведомив об отзыве уполномоченный орган государства-члена, в котором рассматривается заявление. </w:t>
      </w:r>
    </w:p>
    <w:p>
      <w:pPr>
        <w:spacing w:after="0"/>
        <w:ind w:left="0"/>
        <w:jc w:val="both"/>
      </w:pPr>
      <w:r>
        <w:rPr>
          <w:rFonts w:ascii="Times New Roman"/>
          <w:b w:val="false"/>
          <w:i w:val="false"/>
          <w:color w:val="000000"/>
          <w:sz w:val="28"/>
        </w:rPr>
        <w:t>
      В случае отзыва заявления уполномоченный орган государства-члена, в котором рассматривается заявление, прекращает его рассмотрение по существу и возвращает заявителю оригиналы представленных вместе с заявлением документов и (или)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изменением, внесенным решением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366" w:id="418"/>
    <w:p>
      <w:pPr>
        <w:spacing w:after="0"/>
        <w:ind w:left="0"/>
        <w:jc w:val="both"/>
      </w:pPr>
      <w:r>
        <w:rPr>
          <w:rFonts w:ascii="Times New Roman"/>
          <w:b w:val="false"/>
          <w:i w:val="false"/>
          <w:color w:val="000000"/>
          <w:sz w:val="28"/>
        </w:rPr>
        <w:t>
      124. В случае если держатель регистрационного удостоверения лекарственного препарата не подает заявление на подтверждение регистрации (перерегистрацию) до окончания срока действия регистрационного удостоверения, регистрационное удостоверение лекарственного препарата признается недействительным.</w:t>
      </w:r>
    </w:p>
    <w:bookmarkEnd w:id="418"/>
    <w:bookmarkStart w:name="z367" w:id="419"/>
    <w:p>
      <w:pPr>
        <w:spacing w:after="0"/>
        <w:ind w:left="0"/>
        <w:jc w:val="both"/>
      </w:pPr>
      <w:r>
        <w:rPr>
          <w:rFonts w:ascii="Times New Roman"/>
          <w:b w:val="false"/>
          <w:i w:val="false"/>
          <w:color w:val="000000"/>
          <w:sz w:val="28"/>
        </w:rPr>
        <w:t>
      125. Процедура подтверждения регистрации (перерегистрации) не должна превышать 80 рабочих дней с даты подачи заявления на подтверждение регистрации (перерегистрацию) в референтном государстве и 50 рабочих дней в каждом из государств признания, участвующих в процедуре.</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68" w:id="420"/>
    <w:p>
      <w:pPr>
        <w:spacing w:after="0"/>
        <w:ind w:left="0"/>
        <w:jc w:val="both"/>
      </w:pPr>
      <w:r>
        <w:rPr>
          <w:rFonts w:ascii="Times New Roman"/>
          <w:b w:val="false"/>
          <w:i w:val="false"/>
          <w:color w:val="000000"/>
          <w:sz w:val="28"/>
        </w:rPr>
        <w:t>
      126. Заявление на подтверждение регистрации (перерегистрацию) лекарственного препарата должно быть подано не ранее 260 рабочих дней до истечения срока действия регистрационного удостоверения лекарственного препарата в референтном государстве, но не позднее даты истечения срока действия регистрационного удостоверения.</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69" w:id="421"/>
    <w:p>
      <w:pPr>
        <w:spacing w:after="0"/>
        <w:ind w:left="0"/>
        <w:jc w:val="both"/>
      </w:pPr>
      <w:r>
        <w:rPr>
          <w:rFonts w:ascii="Times New Roman"/>
          <w:b w:val="false"/>
          <w:i w:val="false"/>
          <w:color w:val="000000"/>
          <w:sz w:val="28"/>
        </w:rPr>
        <w:t>
      127. В целях подтверждения регистрации (перерегистрации) лекарственного препарата заявитель представляет в уполномоченный орган (экспертную организацию) референтного государства следующие документы:</w:t>
      </w:r>
    </w:p>
    <w:bookmarkEnd w:id="421"/>
    <w:bookmarkStart w:name="z370" w:id="422"/>
    <w:p>
      <w:pPr>
        <w:spacing w:after="0"/>
        <w:ind w:left="0"/>
        <w:jc w:val="both"/>
      </w:pPr>
      <w:r>
        <w:rPr>
          <w:rFonts w:ascii="Times New Roman"/>
          <w:b w:val="false"/>
          <w:i w:val="false"/>
          <w:color w:val="000000"/>
          <w:sz w:val="28"/>
        </w:rPr>
        <w:t>
      а) заявление на регистрацию (перерегистрацию) лекарственного препарата на бумажном носителе или в виде электронного документа, подписанного электронной подписью, по форме в соответствии приложением № 2 к настоящим Правилам;</w:t>
      </w:r>
    </w:p>
    <w:bookmarkEnd w:id="422"/>
    <w:bookmarkStart w:name="z371" w:id="423"/>
    <w:p>
      <w:pPr>
        <w:spacing w:after="0"/>
        <w:ind w:left="0"/>
        <w:jc w:val="both"/>
      </w:pPr>
      <w:r>
        <w:rPr>
          <w:rFonts w:ascii="Times New Roman"/>
          <w:b w:val="false"/>
          <w:i w:val="false"/>
          <w:color w:val="000000"/>
          <w:sz w:val="28"/>
        </w:rPr>
        <w:t>
      б) документы, подтверждающие оплату сбора (пошлины) за подтверждение регистрации (перерегистрацию) и экспертизу в случае и порядке, установленных в соответствии с законодательством референтного государства, на бумажном носителе или в виде электронного документа;</w:t>
      </w:r>
    </w:p>
    <w:bookmarkEnd w:id="423"/>
    <w:p>
      <w:pPr>
        <w:spacing w:after="0"/>
        <w:ind w:left="0"/>
        <w:jc w:val="both"/>
      </w:pPr>
      <w:r>
        <w:rPr>
          <w:rFonts w:ascii="Times New Roman"/>
          <w:b w:val="false"/>
          <w:i w:val="false"/>
          <w:color w:val="000000"/>
          <w:sz w:val="28"/>
        </w:rPr>
        <w:t>
      в) модули 1 и 2 регистрационного досье, подготовленные в соответствии с приложениями № 1 - 5 к настоящим Правилам, на электронном носителе. В случае если представляется заявление на подтверждение регистрации лекарственного препарата по документам регистрационного досье, приведенного в соответствие с требованиями Союза и имеющего обязательства пострегистрационного периода, предусмотренные разделом VII настоящих Правил, по запросу уполномоченного органа (экспертной организации) заявителем дополнительно могут представляться не представленные ранее в регистрационном досье документы модулей 1 и 3, а также модулей 4 и 5 (при необходимости);</w:t>
      </w:r>
    </w:p>
    <w:bookmarkStart w:name="z11887" w:id="424"/>
    <w:p>
      <w:pPr>
        <w:spacing w:after="0"/>
        <w:ind w:left="0"/>
        <w:jc w:val="both"/>
      </w:pPr>
      <w:r>
        <w:rPr>
          <w:rFonts w:ascii="Times New Roman"/>
          <w:b w:val="false"/>
          <w:i w:val="false"/>
          <w:color w:val="000000"/>
          <w:sz w:val="28"/>
        </w:rPr>
        <w:t>
      г) в соответствии с требованиями законодательства государства-члена представление документов, указанных в подпунктах "а" – "в"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bookmarkStart w:name="z373" w:id="425"/>
    <w:p>
      <w:pPr>
        <w:spacing w:after="0"/>
        <w:ind w:left="0"/>
        <w:jc w:val="both"/>
      </w:pPr>
      <w:r>
        <w:rPr>
          <w:rFonts w:ascii="Times New Roman"/>
          <w:b w:val="false"/>
          <w:i w:val="false"/>
          <w:color w:val="000000"/>
          <w:sz w:val="28"/>
        </w:rPr>
        <w:t>
      128. Уполномоченный орган (экспертная организация) референтного государства в срок, не превышающий 5 рабочих дней с даты подачи заявителем документов, указанных в пункте 127 настоящих Правил, обеспечивает для уполномоченных органов (экспертных организаций) государств признания доступ к регистрационному досье лекарственного препарата с использованием средств интегрированной системы.</w:t>
      </w:r>
    </w:p>
    <w:bookmarkEnd w:id="425"/>
    <w:bookmarkStart w:name="z374" w:id="426"/>
    <w:p>
      <w:pPr>
        <w:spacing w:after="0"/>
        <w:ind w:left="0"/>
        <w:jc w:val="both"/>
      </w:pPr>
      <w:r>
        <w:rPr>
          <w:rFonts w:ascii="Times New Roman"/>
          <w:b w:val="false"/>
          <w:i w:val="false"/>
          <w:color w:val="000000"/>
          <w:sz w:val="28"/>
        </w:rPr>
        <w:t>
      Уполномоченные органы (экспертные организации) государств признания получают регистрационное досье лекарственного препарата с использованием средств интегрированной системы.</w:t>
      </w:r>
    </w:p>
    <w:bookmarkEnd w:id="426"/>
    <w:bookmarkStart w:name="z375" w:id="427"/>
    <w:p>
      <w:pPr>
        <w:spacing w:after="0"/>
        <w:ind w:left="0"/>
        <w:jc w:val="both"/>
      </w:pPr>
      <w:r>
        <w:rPr>
          <w:rFonts w:ascii="Times New Roman"/>
          <w:b w:val="false"/>
          <w:i w:val="false"/>
          <w:color w:val="000000"/>
          <w:sz w:val="28"/>
        </w:rPr>
        <w:t>
      129. Не позднее 14 рабочих дней с даты представления заявления о подтверждении регистрации (перерегистрации) в референтное государство заявитель представляет в уполномоченный орган (экспертную организацию) каждого государства признания следующие документы:</w:t>
      </w:r>
    </w:p>
    <w:bookmarkEnd w:id="427"/>
    <w:bookmarkStart w:name="z376" w:id="428"/>
    <w:p>
      <w:pPr>
        <w:spacing w:after="0"/>
        <w:ind w:left="0"/>
        <w:jc w:val="both"/>
      </w:pPr>
      <w:r>
        <w:rPr>
          <w:rFonts w:ascii="Times New Roman"/>
          <w:b w:val="false"/>
          <w:i w:val="false"/>
          <w:color w:val="000000"/>
          <w:sz w:val="28"/>
        </w:rPr>
        <w:t>
      а) заявление на бумажном носителе или в виде электронного документа, подписанного электронной подписью, по установленной форме в соответствии с приложением № 2 к настоящим Правилам;</w:t>
      </w:r>
    </w:p>
    <w:bookmarkEnd w:id="428"/>
    <w:bookmarkStart w:name="z377" w:id="429"/>
    <w:p>
      <w:pPr>
        <w:spacing w:after="0"/>
        <w:ind w:left="0"/>
        <w:jc w:val="both"/>
      </w:pPr>
      <w:r>
        <w:rPr>
          <w:rFonts w:ascii="Times New Roman"/>
          <w:b w:val="false"/>
          <w:i w:val="false"/>
          <w:color w:val="000000"/>
          <w:sz w:val="28"/>
        </w:rPr>
        <w:t>
      б) документы, подтверждающие оплату сбора (пошлины) за подтверждение регистрации (перерегистрацию) и экспертизу в случае и порядке, установленных в соответствии с законодательством государств признания, на бумажном носителе или в виде электронного документа;</w:t>
      </w:r>
    </w:p>
    <w:bookmarkEnd w:id="429"/>
    <w:bookmarkStart w:name="z378" w:id="430"/>
    <w:p>
      <w:pPr>
        <w:spacing w:after="0"/>
        <w:ind w:left="0"/>
        <w:jc w:val="both"/>
      </w:pPr>
      <w:r>
        <w:rPr>
          <w:rFonts w:ascii="Times New Roman"/>
          <w:b w:val="false"/>
          <w:i w:val="false"/>
          <w:color w:val="000000"/>
          <w:sz w:val="28"/>
        </w:rPr>
        <w:t>
      в) модуль 1 регистрационного досье, на электронном носителе в виде электронных документов;</w:t>
      </w:r>
    </w:p>
    <w:bookmarkEnd w:id="430"/>
    <w:bookmarkStart w:name="z379" w:id="431"/>
    <w:p>
      <w:pPr>
        <w:spacing w:after="0"/>
        <w:ind w:left="0"/>
        <w:jc w:val="both"/>
      </w:pPr>
      <w:r>
        <w:rPr>
          <w:rFonts w:ascii="Times New Roman"/>
          <w:b w:val="false"/>
          <w:i w:val="false"/>
          <w:color w:val="000000"/>
          <w:sz w:val="28"/>
        </w:rPr>
        <w:t>
      г) при наличии соответствующих требований в законодательстве государства-члена также представляются ОХЛП, инструкция по медицинскому применению и макеты упаковок лекарственного препарата на государственном языке государства признания.</w:t>
      </w:r>
    </w:p>
    <w:bookmarkEnd w:id="431"/>
    <w:bookmarkStart w:name="z11888" w:id="432"/>
    <w:p>
      <w:pPr>
        <w:spacing w:after="0"/>
        <w:ind w:left="0"/>
        <w:jc w:val="both"/>
      </w:pPr>
      <w:r>
        <w:rPr>
          <w:rFonts w:ascii="Times New Roman"/>
          <w:b w:val="false"/>
          <w:i w:val="false"/>
          <w:color w:val="000000"/>
          <w:sz w:val="28"/>
        </w:rPr>
        <w:t>
      д) в соответствии с требованиями законодательства государства-члена представление документов, указанных в подпунктах "а" – "г"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0" w:id="433"/>
    <w:p>
      <w:pPr>
        <w:spacing w:after="0"/>
        <w:ind w:left="0"/>
        <w:jc w:val="both"/>
      </w:pPr>
      <w:r>
        <w:rPr>
          <w:rFonts w:ascii="Times New Roman"/>
          <w:b w:val="false"/>
          <w:i w:val="false"/>
          <w:color w:val="000000"/>
          <w:sz w:val="28"/>
        </w:rPr>
        <w:t>
      130. Уполномоченный орган (экспертная организация) референтного государства в течение 10 рабочих дней с даты подачи заявления на подтверждение регистрации (перерегистрацию) осуществляет оценку полноты, комплектности и правильности оформления представленных документов регистрационного досье до направления материалов регистрационного досье на экспертизу. Заявителю предоставляется не более 90 рабочих дней, не входящих в срок подтверждения регистрации (перерегистрации) и экспертизы лекарственного препарата, на представление недостающих материалов регистрационного досье по замечаниям уполномоченного органа (экспертной организации) референтного государства.</w:t>
      </w:r>
    </w:p>
    <w:bookmarkEnd w:id="433"/>
    <w:bookmarkStart w:name="z11889" w:id="434"/>
    <w:p>
      <w:pPr>
        <w:spacing w:after="0"/>
        <w:ind w:left="0"/>
        <w:jc w:val="both"/>
      </w:pPr>
      <w:r>
        <w:rPr>
          <w:rFonts w:ascii="Times New Roman"/>
          <w:b w:val="false"/>
          <w:i w:val="false"/>
          <w:color w:val="000000"/>
          <w:sz w:val="28"/>
        </w:rPr>
        <w:t>
      Запрос уполномоченного органа (экспертной организации) заявителю должен быть передан в электронной форме по телекоммуникационным каналам связи и считается полученным по истечении 1 дня с даты его направления.</w:t>
      </w:r>
    </w:p>
    <w:bookmarkEnd w:id="434"/>
    <w:bookmarkStart w:name="z11890" w:id="435"/>
    <w:p>
      <w:pPr>
        <w:spacing w:after="0"/>
        <w:ind w:left="0"/>
        <w:jc w:val="both"/>
      </w:pPr>
      <w:r>
        <w:rPr>
          <w:rFonts w:ascii="Times New Roman"/>
          <w:b w:val="false"/>
          <w:i w:val="false"/>
          <w:color w:val="000000"/>
          <w:sz w:val="28"/>
        </w:rPr>
        <w:t>
      Оценка ответа заявителя осуществляется в срок, не превышающий 5 рабочих дней с даты получения ответа заявителя.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1" w:id="436"/>
    <w:p>
      <w:pPr>
        <w:spacing w:after="0"/>
        <w:ind w:left="0"/>
        <w:jc w:val="both"/>
      </w:pPr>
      <w:r>
        <w:rPr>
          <w:rFonts w:ascii="Times New Roman"/>
          <w:b w:val="false"/>
          <w:i w:val="false"/>
          <w:color w:val="000000"/>
          <w:sz w:val="28"/>
        </w:rPr>
        <w:t>
      131. Уполномоченный орган (экспертная организация) референтного государства отклоняет заявление на подтверждение регистрации (перерегистрации) лекарственного препарата в случаях непредставления недостающих материалов регистрационного досье по ранее выставленным замечаниям в установленный срок и (или) неподтверждения оплаты сбора (пошлины) за подтверждение регистрации (перерегистрацию) и экспертизу лекарственного препарата в случаях и порядке, установленных законодательством референтного государства, а также в связи с нарушением срока подачи заявления о подтверждении регистрации (перерегистрации), указанного в пункте 126 настоящих Правил, и извещает об этом уполномоченные органы (экспертные организации) государств признания и заявителя в письменном и (или) электронном виде.</w:t>
      </w:r>
    </w:p>
    <w:bookmarkEnd w:id="436"/>
    <w:bookmarkStart w:name="z382" w:id="437"/>
    <w:p>
      <w:pPr>
        <w:spacing w:after="0"/>
        <w:ind w:left="0"/>
        <w:jc w:val="both"/>
      </w:pPr>
      <w:r>
        <w:rPr>
          <w:rFonts w:ascii="Times New Roman"/>
          <w:b w:val="false"/>
          <w:i w:val="false"/>
          <w:color w:val="000000"/>
          <w:sz w:val="28"/>
        </w:rPr>
        <w:t>
      132. С даты начала предметной экспертизы или получения соответствующего задания на проведение экспертизы в течение 30 рабочих дней уполномоченным органом (экспертной организацией) референтного государства составляется предварительный экспертный отчет с формулировкой замечаний по форме согласно приложению № 11 к настоящим Правилам или проект запроса заявителю и направляется с использованием средств интегрированной системы уполномоченным органам (экспертным организациям) государств признания.</w:t>
      </w:r>
    </w:p>
    <w:bookmarkEnd w:id="437"/>
    <w:p>
      <w:pPr>
        <w:spacing w:after="0"/>
        <w:ind w:left="0"/>
        <w:jc w:val="both"/>
      </w:pPr>
      <w:r>
        <w:rPr>
          <w:rFonts w:ascii="Times New Roman"/>
          <w:b w:val="false"/>
          <w:i w:val="false"/>
          <w:color w:val="000000"/>
          <w:sz w:val="28"/>
        </w:rPr>
        <w:t>
      Экспертиза в референтном государстве приостанавливается до дня получения от всех государств признания, участвующих в процедуре, дополнительных замечаний или информации о согласии с предварительным отчетом или запросом референтного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3" w:id="438"/>
    <w:p>
      <w:pPr>
        <w:spacing w:after="0"/>
        <w:ind w:left="0"/>
        <w:jc w:val="both"/>
      </w:pPr>
      <w:r>
        <w:rPr>
          <w:rFonts w:ascii="Times New Roman"/>
          <w:b w:val="false"/>
          <w:i w:val="false"/>
          <w:color w:val="000000"/>
          <w:sz w:val="28"/>
        </w:rPr>
        <w:t>
      133. В случае несогласия с выводами, представленными в предварительном экспертном отчете по оценке референтного государства в отношении соотношения "польза - риск" лекарственного препарата, или при наличии требования со стороны уполномоченных органов (экспертных организаций) государств признания о внесении изменений в ОХЛП, инструкцию по медицинскому применению, макеты упаковок лекарственного препарата или иные документы регистрационного досье, уполномоченный орган (экспертная организация) государства признания не позднее 20 рабочих дней с даты получения уполномоченным органом (экспертной организацией) референтного государства предварительного экспертного отчета по оценке направляет с использованием средств интегрированной системы соответствующий обоснованный запрос уполномоченному органу (экспертной организации) референтного государства.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4" w:id="439"/>
    <w:p>
      <w:pPr>
        <w:spacing w:after="0"/>
        <w:ind w:left="0"/>
        <w:jc w:val="both"/>
      </w:pPr>
      <w:r>
        <w:rPr>
          <w:rFonts w:ascii="Times New Roman"/>
          <w:b w:val="false"/>
          <w:i w:val="false"/>
          <w:color w:val="000000"/>
          <w:sz w:val="28"/>
        </w:rPr>
        <w:t>
      134. В ходе рассмотрения уполномоченными органами (экспертными организациями) государств признания предварительного экспертного отчета по оценке, подготовленного экспертной организацией референтного государства, рассмотрения уполномоченными органами (экспертными организациями) референтного государства запросов уполномоченных органов (экспертных организаций) государств признания и рассмотрения уполномоченными органами (экспертными организациями) государств признания заключительного экспертного отчета по оценке, подготовленного экспертной организацией референтного государства, между уполномоченными органами (экспертными организациями) государств-членов, участвующими в процедуре, с использованием средств интегрированной системы в срок, указанный в пункте 133 настоящих Правил, могут осуществляться консультации по форме в соответствии с приложением № 18 к настоящим Правилам в целях согласования заключительного экспертного отчета по оценке, который будет подготовлен экспертной организацией референтного государства по результатам процедуры.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5" w:id="440"/>
    <w:p>
      <w:pPr>
        <w:spacing w:after="0"/>
        <w:ind w:left="0"/>
        <w:jc w:val="both"/>
      </w:pPr>
      <w:r>
        <w:rPr>
          <w:rFonts w:ascii="Times New Roman"/>
          <w:b w:val="false"/>
          <w:i w:val="false"/>
          <w:color w:val="000000"/>
          <w:sz w:val="28"/>
        </w:rPr>
        <w:t>
      135. Уполномоченный орган (экспертная организация) референтного государства при проведении процедуры подтверждения регистрации (перерегистрации) и экспертизы лекарственного препарата не позднее 10 рабочих дней с даты получения дополнительных замечаний от уполномоченных органов (экспертных организаций) государств признания или информации о согласии с предварительным экспертным отчетом, подготовленным референтным государством вправе направить заявителю в письменном и (или) электронном виде сводный запрос о представлении недостающей дополнительной информации, необходимых разъяснений или уточнений, касающихся представленных документов и данных регистрационного досье (в том числе предложения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нормативный документ по качеству или иные документы регистрационного досье).</w:t>
      </w:r>
    </w:p>
    <w:bookmarkEnd w:id="440"/>
    <w:bookmarkStart w:name="z386" w:id="441"/>
    <w:p>
      <w:pPr>
        <w:spacing w:after="0"/>
        <w:ind w:left="0"/>
        <w:jc w:val="both"/>
      </w:pPr>
      <w:r>
        <w:rPr>
          <w:rFonts w:ascii="Times New Roman"/>
          <w:b w:val="false"/>
          <w:i w:val="false"/>
          <w:color w:val="000000"/>
          <w:sz w:val="28"/>
        </w:rPr>
        <w:t>
      Срок представления заявителем ответа на указанный запрос не должен превышать 90 рабочих дней. Время представления заявителем документов по запросу уполномоченного органа (экспертной организации) референтного государства в процессе подтверждения регистрации (перерегистрации) и экспертизы лекарственного препарата не входит в сроки проведения подтверждения регистрации (перерегистрации) и экспертизы лекарственного препарата.</w:t>
      </w:r>
    </w:p>
    <w:bookmarkEnd w:id="441"/>
    <w:bookmarkStart w:name="z387" w:id="442"/>
    <w:p>
      <w:pPr>
        <w:spacing w:after="0"/>
        <w:ind w:left="0"/>
        <w:jc w:val="both"/>
      </w:pPr>
      <w:r>
        <w:rPr>
          <w:rFonts w:ascii="Times New Roman"/>
          <w:b w:val="false"/>
          <w:i w:val="false"/>
          <w:color w:val="000000"/>
          <w:sz w:val="28"/>
        </w:rPr>
        <w:t>
      Экспертная организация референтного государства в рамках экспертизы лекарственного препарата проводит рассмотрение ответа заявителя и подготовку заключительного экспертного отчета по форме в соответствии с приложением № 16 к настоящим Правилам в срок не более 20 рабочих дней.</w:t>
      </w:r>
    </w:p>
    <w:bookmarkEnd w:id="442"/>
    <w:bookmarkStart w:name="z388" w:id="443"/>
    <w:p>
      <w:pPr>
        <w:spacing w:after="0"/>
        <w:ind w:left="0"/>
        <w:jc w:val="both"/>
      </w:pPr>
      <w:r>
        <w:rPr>
          <w:rFonts w:ascii="Times New Roman"/>
          <w:b w:val="false"/>
          <w:i w:val="false"/>
          <w:color w:val="000000"/>
          <w:sz w:val="28"/>
        </w:rPr>
        <w:t>
      При непредставлении заявителем в установленный срок запрошенных документов и данных экспертиза и подтверждение регистрации (перерегистрация) лекарственного препарата прекращаются. О принятом решении уполномоченный орган (экспертная организация) референтного государства извещает уполномоченные органы (экспертные организации) государств признания и заявителя в течение 14 рабочих дней с даты принятия такого решения в письменном и (или) электронном виде.</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9" w:id="444"/>
    <w:p>
      <w:pPr>
        <w:spacing w:after="0"/>
        <w:ind w:left="0"/>
        <w:jc w:val="both"/>
      </w:pPr>
      <w:r>
        <w:rPr>
          <w:rFonts w:ascii="Times New Roman"/>
          <w:b w:val="false"/>
          <w:i w:val="false"/>
          <w:color w:val="000000"/>
          <w:sz w:val="28"/>
        </w:rPr>
        <w:t>
      136. По результатам экспертизы лекарственного препарата уполномоченным органом (экспертной организацией) референтного государства составляется и утверждается по форме в соответствии с приложением № 16 к настоящим Правилам заключительный экспертный отчет по оценке, который направляется с использованием интегрированной системы уполномоченным органам (экспертным организациям) всех государств признания, участвующих в процедуре подтверждения регистрации (перерегистрации) лекарственного препарата. Экспертный отчет по оценке составляется в соответствии с приложениями № 13 – 15 и 23 к настоящим Правилам.</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0" w:id="445"/>
    <w:p>
      <w:pPr>
        <w:spacing w:after="0"/>
        <w:ind w:left="0"/>
        <w:jc w:val="both"/>
      </w:pPr>
      <w:r>
        <w:rPr>
          <w:rFonts w:ascii="Times New Roman"/>
          <w:b w:val="false"/>
          <w:i w:val="false"/>
          <w:color w:val="000000"/>
          <w:sz w:val="28"/>
        </w:rPr>
        <w:t>
      137. Уполномоченным органом (экспертной организацией) государства признания по результатам экспертизы лекарственного препарата в срок, не превышающий 20 рабочих дней с даты получения заключительного экспертного отчета по оценке референтного государства, составляется, утверждается и с использованием средств интегрированной системы направляется в уполномоченный орган (экспертную организацию) референтного государства заключение о возможности или невозможности признания экспертного отчета по оценке референтного государства по форме в соответствии с приложением № 18 к настоящим Правилам.</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1" w:id="446"/>
    <w:p>
      <w:pPr>
        <w:spacing w:after="0"/>
        <w:ind w:left="0"/>
        <w:jc w:val="both"/>
      </w:pPr>
      <w:r>
        <w:rPr>
          <w:rFonts w:ascii="Times New Roman"/>
          <w:b w:val="false"/>
          <w:i w:val="false"/>
          <w:color w:val="000000"/>
          <w:sz w:val="28"/>
        </w:rPr>
        <w:t>
      138. Предложения уполномоченных органов (экспертных организаций) референтного государства и государств признания о внесении изменений в ОХЛП, инструкцию по медицинскому применению, макеты упаковок лекарственного препарата или иные документы регистрационного досье в случае согласия с ними заявителя не могут служить основанием для отказа в подтверждении регистрации (перерегистрации) лекарственного препарата.</w:t>
      </w:r>
    </w:p>
    <w:bookmarkEnd w:id="446"/>
    <w:bookmarkStart w:name="z392" w:id="447"/>
    <w:p>
      <w:pPr>
        <w:spacing w:after="0"/>
        <w:ind w:left="0"/>
        <w:jc w:val="both"/>
      </w:pPr>
      <w:r>
        <w:rPr>
          <w:rFonts w:ascii="Times New Roman"/>
          <w:b w:val="false"/>
          <w:i w:val="false"/>
          <w:color w:val="000000"/>
          <w:sz w:val="28"/>
        </w:rPr>
        <w:t>
      139. Если по результатам экспертизы лекарственного препарата в референтном государстве установлено, что соотношение "польза - риск" оценивается положительно и регистрационное досье с учетом внесенных изменений соответствует предъявляемым требованиям:</w:t>
      </w:r>
    </w:p>
    <w:bookmarkEnd w:id="447"/>
    <w:bookmarkStart w:name="z393" w:id="448"/>
    <w:p>
      <w:pPr>
        <w:spacing w:after="0"/>
        <w:ind w:left="0"/>
        <w:jc w:val="both"/>
      </w:pPr>
      <w:r>
        <w:rPr>
          <w:rFonts w:ascii="Times New Roman"/>
          <w:b w:val="false"/>
          <w:i w:val="false"/>
          <w:color w:val="000000"/>
          <w:sz w:val="28"/>
        </w:rPr>
        <w:t>
      а) уполномоченный орган (экспертная организация) референтного государства в срок не более 10 рабочих дней с даты получения экспертного отчета по оценке выдает заявителю бессрочное регистрационное удостоверение лекарственного препарата по форме в соответствии с приложением № 17 к настоящим Правилам, утвержденные ОХЛП, инструкцию по медицинскому применению, нормативный документ по качеству, макеты упаковок лекарственного препарата, экспертный отчет по оценке (а также утвержденные ОХЛП, инструкцию по медицинскому применению и макеты упаковок лекарственного препарата на государственном языке референтного государства, при наличии данного требования в законодательстве государства-члена) и при необходимости согласованный план управления рисками;</w:t>
      </w:r>
    </w:p>
    <w:bookmarkEnd w:id="448"/>
    <w:bookmarkStart w:name="z394" w:id="449"/>
    <w:p>
      <w:pPr>
        <w:spacing w:after="0"/>
        <w:ind w:left="0"/>
        <w:jc w:val="both"/>
      </w:pPr>
      <w:r>
        <w:rPr>
          <w:rFonts w:ascii="Times New Roman"/>
          <w:b w:val="false"/>
          <w:i w:val="false"/>
          <w:color w:val="000000"/>
          <w:sz w:val="28"/>
        </w:rPr>
        <w:t>
      б) уполномоченные органы государств признания в срок не более 10 рабочих дней с даты получения экспертного отчета по оценке выдают заявителю бессрочные регистрационные удостоверения лекарственного препарата по форме в соответствии с приложением № 17 к настоящим Правилам, а также при необходимости утвержденные ОХЛП, инструкцию по медицинскому применению, макеты упаковок лекарственного препарата на государственном языке государств признания при наличии соответствующих требований в законодательстве этих государств;</w:t>
      </w:r>
    </w:p>
    <w:bookmarkEnd w:id="449"/>
    <w:bookmarkStart w:name="z395" w:id="450"/>
    <w:p>
      <w:pPr>
        <w:spacing w:after="0"/>
        <w:ind w:left="0"/>
        <w:jc w:val="both"/>
      </w:pPr>
      <w:r>
        <w:rPr>
          <w:rFonts w:ascii="Times New Roman"/>
          <w:b w:val="false"/>
          <w:i w:val="false"/>
          <w:color w:val="000000"/>
          <w:sz w:val="28"/>
        </w:rPr>
        <w:t>
      в) уполномоченные органы государств-членов, участвующих в процедуре подтверждения регистрации (перерегистрации), в срок не более 10 рабочих дней с даты получения экспертного отчета по оценке размещают необходимую информацию о лекарственном препарате и входящих в его состав активных фармацевтических субстанциях в едином реестре, резюме согласованного плана управления рисками при применении лекарственного препарата (при необходимости).</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6" w:id="451"/>
    <w:p>
      <w:pPr>
        <w:spacing w:after="0"/>
        <w:ind w:left="0"/>
        <w:jc w:val="both"/>
      </w:pPr>
      <w:r>
        <w:rPr>
          <w:rFonts w:ascii="Times New Roman"/>
          <w:b w:val="false"/>
          <w:i w:val="false"/>
          <w:color w:val="000000"/>
          <w:sz w:val="28"/>
        </w:rPr>
        <w:t>
      140. В случае невозможности признания экспертного отчета по оценке, подготовленного экспертной организацией референтного государства, уполномоченный орган (экспертная организация) государства признания направляет в электронном и (или) бумажном виде заключение о невозможности признания этого экспертного отчета с обоснованием принятого решения уполномоченным органом (экспертной организацией) референтного государства и государств признания, участвующих в процедуре подтверждения регистрации (перерегистрации) лекарственного препарата, заявителю и Экспертному комитету в срок, указанный в пункте 137 настоящих Правил.</w:t>
      </w:r>
    </w:p>
    <w:bookmarkEnd w:id="451"/>
    <w:bookmarkStart w:name="z397" w:id="452"/>
    <w:p>
      <w:pPr>
        <w:spacing w:after="0"/>
        <w:ind w:left="0"/>
        <w:jc w:val="both"/>
      </w:pPr>
      <w:r>
        <w:rPr>
          <w:rFonts w:ascii="Times New Roman"/>
          <w:b w:val="false"/>
          <w:i w:val="false"/>
          <w:color w:val="000000"/>
          <w:sz w:val="28"/>
        </w:rPr>
        <w:t>
      141. Экспертный комитет в срок, не превышающий 60 календарных дней с даты получения заключения уполномоченного органа государства признания о невозможности признания экспертного отчета по оценке референтного государства, осуществляет процедуру рассмотрения разногласий в соответствии с порядком, установленным Комиссией.</w:t>
      </w:r>
    </w:p>
    <w:bookmarkEnd w:id="452"/>
    <w:bookmarkStart w:name="z398" w:id="453"/>
    <w:p>
      <w:pPr>
        <w:spacing w:after="0"/>
        <w:ind w:left="0"/>
        <w:jc w:val="both"/>
      </w:pPr>
      <w:r>
        <w:rPr>
          <w:rFonts w:ascii="Times New Roman"/>
          <w:b w:val="false"/>
          <w:i w:val="false"/>
          <w:color w:val="000000"/>
          <w:sz w:val="28"/>
        </w:rPr>
        <w:t>
      Уполномоченный орган государства признания отказывает в подтверждении регистрации (перерегистрации) лекарственного препарата, если по результатам экспертизы лекарственного препарата и после проведения процедуры урегулирования разногласий в Экспертном комитете установлено, что экспертный отчет по оценке, подготовленный экспертной организацией референтного государства, не может быть признан уполномоченным органом (экспертной организацией) государства признания по причинам, указанным в пункте 146 настоящих Правил.</w:t>
      </w:r>
    </w:p>
    <w:bookmarkEnd w:id="453"/>
    <w:bookmarkStart w:name="z399" w:id="454"/>
    <w:p>
      <w:pPr>
        <w:spacing w:after="0"/>
        <w:ind w:left="0"/>
        <w:jc w:val="both"/>
      </w:pPr>
      <w:r>
        <w:rPr>
          <w:rFonts w:ascii="Times New Roman"/>
          <w:b w:val="false"/>
          <w:i w:val="false"/>
          <w:color w:val="000000"/>
          <w:sz w:val="28"/>
        </w:rPr>
        <w:t>
      142. При подтверждении регистрации (перерегистрации) лекарственного препарата уполномоченным органом (экспертной организацией) государства-члена осуществляется анализ выполнения держателем регистрационного удостоверения условий, связанных с регистрацией лекарственного препарата, изложенных в разделе VII настоящих Правил, если данные обязательства были применены к этому держателю регистрационного удостоверения. При выявлении новых данных по безопасности и эффективности лекарственного препарата уполномоченным органом могут вноситься изменения в условия регистрации и (или) могут быть выдвинуты новые условия.</w:t>
      </w:r>
    </w:p>
    <w:bookmarkEnd w:id="454"/>
    <w:bookmarkStart w:name="z400" w:id="455"/>
    <w:p>
      <w:pPr>
        <w:spacing w:after="0"/>
        <w:ind w:left="0"/>
        <w:jc w:val="both"/>
      </w:pPr>
      <w:r>
        <w:rPr>
          <w:rFonts w:ascii="Times New Roman"/>
          <w:b w:val="false"/>
          <w:i w:val="false"/>
          <w:color w:val="000000"/>
          <w:sz w:val="28"/>
        </w:rPr>
        <w:t>
      В ходе оценки регистрационного досье лекарственного препарата в процессе подтверждения регистрации (перерегистрации) лекарственного препарата уполномоченными органами (экспертными организациями) государств-членов проверяется выполнение держателем регистрационного удостоверения обязательств по поддержанию информации о лекарственном препарате в актуальном виде в свете современных научных знаний с учетом заключений по результатам оценок и рекомендаций уполномоченного органа (экспертной организации).</w:t>
      </w:r>
    </w:p>
    <w:bookmarkEnd w:id="455"/>
    <w:bookmarkStart w:name="z401" w:id="456"/>
    <w:p>
      <w:pPr>
        <w:spacing w:after="0"/>
        <w:ind w:left="0"/>
        <w:jc w:val="both"/>
      </w:pPr>
      <w:r>
        <w:rPr>
          <w:rFonts w:ascii="Times New Roman"/>
          <w:b w:val="false"/>
          <w:i w:val="false"/>
          <w:color w:val="000000"/>
          <w:sz w:val="28"/>
        </w:rPr>
        <w:t>
      143. Если уполномоченным органом (экспертной организацией) референтного государства выявлено в процессе экспертизы лекарственного препарата при подтверждении его регистрации (перерегистрации), что обязательства, указанные в пункте 142 настоящих Правил, не выполнены по объективным причинам и требуется внесение изменений в регистрационное досье лекарственного препарата, то после принятия референтным государством положительного заключения о подтверждении регистрации (перерегистрации) лекарственного препарата нормативный документ по качеству, ОХЛП, инструкцию по медицинскому применению и план управления рисками (если применимо) следует обновить посредством инициирования держателем регистрационного удостоверения соответствующей процедуры внесения изменений в регистрационное досье в срок, не превышающий 120 рабочих дней с даты направления запроса уполномоченным органом (экспертной организацией) референтного государства о необходимости внесения изменений в регистрационное досье.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02" w:id="457"/>
    <w:p>
      <w:pPr>
        <w:spacing w:after="0"/>
        <w:ind w:left="0"/>
        <w:jc w:val="both"/>
      </w:pPr>
      <w:r>
        <w:rPr>
          <w:rFonts w:ascii="Times New Roman"/>
          <w:b w:val="false"/>
          <w:i w:val="false"/>
          <w:color w:val="000000"/>
          <w:sz w:val="28"/>
        </w:rPr>
        <w:t>
      144. Допускается внесение в регистрационное досье изменений IА типа, IА</w:t>
      </w:r>
      <w:r>
        <w:rPr>
          <w:rFonts w:ascii="Times New Roman"/>
          <w:b w:val="false"/>
          <w:i w:val="false"/>
          <w:color w:val="000000"/>
          <w:vertAlign w:val="subscript"/>
        </w:rPr>
        <w:t xml:space="preserve">НУ </w:t>
      </w:r>
      <w:r>
        <w:rPr>
          <w:rFonts w:ascii="Times New Roman"/>
          <w:b w:val="false"/>
          <w:i w:val="false"/>
          <w:color w:val="000000"/>
          <w:sz w:val="28"/>
        </w:rPr>
        <w:t>типа и (или) IB типа в соответствии с дополнением V к приложению № 19 к настоящим Правилам в рамках процедуры подтверждения регистрации (перерегистрации) лекарственного препарата без дополнительной подачи заявления о внесении изменений в регистрационное досье.</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решения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03" w:id="458"/>
    <w:p>
      <w:pPr>
        <w:spacing w:after="0"/>
        <w:ind w:left="0"/>
        <w:jc w:val="both"/>
      </w:pPr>
      <w:r>
        <w:rPr>
          <w:rFonts w:ascii="Times New Roman"/>
          <w:b w:val="false"/>
          <w:i w:val="false"/>
          <w:color w:val="000000"/>
          <w:sz w:val="28"/>
        </w:rPr>
        <w:t>
      145. На основании данных фармаконадзора, а также с учетом обстоятельств, указанных в пунктах 143 и 144 настоящих Правил, при подтверждении регистрации (перерегистрации) лекарственного препарата уполномоченным органом референтного государства по итогам экспертизы лекарственного препарата может быть принято решение о выдаче регистрационного удостоверения со сроком действия 5 лет с необходимостью последующего подтверждения регистрации (перерегистрации) по истечении указанного срока действия регистрационного удостоверения.</w:t>
      </w:r>
    </w:p>
    <w:bookmarkEnd w:id="458"/>
    <w:bookmarkStart w:name="z404" w:id="459"/>
    <w:p>
      <w:pPr>
        <w:spacing w:after="0"/>
        <w:ind w:left="0"/>
        <w:jc w:val="both"/>
      </w:pPr>
      <w:r>
        <w:rPr>
          <w:rFonts w:ascii="Times New Roman"/>
          <w:b w:val="false"/>
          <w:i w:val="false"/>
          <w:color w:val="000000"/>
          <w:sz w:val="28"/>
        </w:rPr>
        <w:t>
      146. Основаниями для отказа в подтверждении регистрации (перерегистрации) лекарственного препарата уполномоченным органом референтного государства и признании уполномоченным органом государства признания экспертного отчета по оценке являются:</w:t>
      </w:r>
    </w:p>
    <w:bookmarkEnd w:id="459"/>
    <w:bookmarkStart w:name="z405" w:id="460"/>
    <w:p>
      <w:pPr>
        <w:spacing w:after="0"/>
        <w:ind w:left="0"/>
        <w:jc w:val="both"/>
      </w:pPr>
      <w:r>
        <w:rPr>
          <w:rFonts w:ascii="Times New Roman"/>
          <w:b w:val="false"/>
          <w:i w:val="false"/>
          <w:color w:val="000000"/>
          <w:sz w:val="28"/>
        </w:rPr>
        <w:t>
      а) сохранение следующих серьезных рисков для здоровья, связанных с применением лекарственного препарата на момент подтверждения регистрации (перерегистрации):</w:t>
      </w:r>
    </w:p>
    <w:bookmarkEnd w:id="460"/>
    <w:bookmarkStart w:name="z406" w:id="461"/>
    <w:p>
      <w:pPr>
        <w:spacing w:after="0"/>
        <w:ind w:left="0"/>
        <w:jc w:val="both"/>
      </w:pPr>
      <w:r>
        <w:rPr>
          <w:rFonts w:ascii="Times New Roman"/>
          <w:b w:val="false"/>
          <w:i w:val="false"/>
          <w:color w:val="000000"/>
          <w:sz w:val="28"/>
        </w:rPr>
        <w:t>
      доказанное неблагоприятное соотношение "польза - риск" или выявленное отсутствие терапевтической эффективности при соблюдении условий применения лекарственного препарата, описанных в утвержденной ОХЛП;</w:t>
      </w:r>
    </w:p>
    <w:bookmarkEnd w:id="461"/>
    <w:bookmarkStart w:name="z407" w:id="462"/>
    <w:p>
      <w:pPr>
        <w:spacing w:after="0"/>
        <w:ind w:left="0"/>
        <w:jc w:val="both"/>
      </w:pPr>
      <w:r>
        <w:rPr>
          <w:rFonts w:ascii="Times New Roman"/>
          <w:b w:val="false"/>
          <w:i w:val="false"/>
          <w:color w:val="000000"/>
          <w:sz w:val="28"/>
        </w:rPr>
        <w:t>
      установленные по данным фармаконадзора факты, указывающие на неблагоприятное соотношение пользы - риска (в том числе значительное превышение частоты репортирования тех или иных нежелательных реакций по сравнению с данными, указанными в утвержденной ОХЛП);</w:t>
      </w:r>
    </w:p>
    <w:bookmarkEnd w:id="462"/>
    <w:bookmarkStart w:name="z408" w:id="463"/>
    <w:p>
      <w:pPr>
        <w:spacing w:after="0"/>
        <w:ind w:left="0"/>
        <w:jc w:val="both"/>
      </w:pPr>
      <w:r>
        <w:rPr>
          <w:rFonts w:ascii="Times New Roman"/>
          <w:b w:val="false"/>
          <w:i w:val="false"/>
          <w:color w:val="000000"/>
          <w:sz w:val="28"/>
        </w:rPr>
        <w:t>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Союза заявленному на момент его регистрации;</w:t>
      </w:r>
    </w:p>
    <w:bookmarkEnd w:id="463"/>
    <w:bookmarkStart w:name="z409" w:id="464"/>
    <w:p>
      <w:pPr>
        <w:spacing w:after="0"/>
        <w:ind w:left="0"/>
        <w:jc w:val="both"/>
      </w:pPr>
      <w:r>
        <w:rPr>
          <w:rFonts w:ascii="Times New Roman"/>
          <w:b w:val="false"/>
          <w:i w:val="false"/>
          <w:color w:val="000000"/>
          <w:sz w:val="28"/>
        </w:rPr>
        <w:t>
      недостоверные или неактуализированные данные регистрационного досье, сопровождающие заявление на подтверждение регистрации (перерегистрацию);</w:t>
      </w:r>
    </w:p>
    <w:bookmarkEnd w:id="464"/>
    <w:bookmarkStart w:name="z410" w:id="465"/>
    <w:p>
      <w:pPr>
        <w:spacing w:after="0"/>
        <w:ind w:left="0"/>
        <w:jc w:val="both"/>
      </w:pPr>
      <w:r>
        <w:rPr>
          <w:rFonts w:ascii="Times New Roman"/>
          <w:b w:val="false"/>
          <w:i w:val="false"/>
          <w:color w:val="000000"/>
          <w:sz w:val="28"/>
        </w:rPr>
        <w:t>
      б) неустранение держателем регистрационного удостоверения замечаний или непредставление в течение отведенного времени ответа на вопросы, возникшие во время проведения экспертизы лекарственного препарата;</w:t>
      </w:r>
    </w:p>
    <w:bookmarkEnd w:id="465"/>
    <w:bookmarkStart w:name="z411" w:id="466"/>
    <w:p>
      <w:pPr>
        <w:spacing w:after="0"/>
        <w:ind w:left="0"/>
        <w:jc w:val="both"/>
      </w:pPr>
      <w:r>
        <w:rPr>
          <w:rFonts w:ascii="Times New Roman"/>
          <w:b w:val="false"/>
          <w:i w:val="false"/>
          <w:color w:val="000000"/>
          <w:sz w:val="28"/>
        </w:rPr>
        <w:t>
      в) невыполнение держателем регистрационного удостоверения обязательств по фармаконадзору или обязательств в рамках процедуры регистрации на условиях.</w:t>
      </w:r>
    </w:p>
    <w:bookmarkEnd w:id="466"/>
    <w:bookmarkStart w:name="z412" w:id="467"/>
    <w:p>
      <w:pPr>
        <w:spacing w:after="0"/>
        <w:ind w:left="0"/>
        <w:jc w:val="left"/>
      </w:pPr>
      <w:r>
        <w:rPr>
          <w:rFonts w:ascii="Times New Roman"/>
          <w:b/>
          <w:i w:val="false"/>
          <w:color w:val="000000"/>
        </w:rPr>
        <w:t xml:space="preserve"> IX. Внесение изменений в регистрационное досье зарегистрированного лекарственного препарата </w:t>
      </w:r>
    </w:p>
    <w:bookmarkEnd w:id="467"/>
    <w:bookmarkStart w:name="z413" w:id="468"/>
    <w:p>
      <w:pPr>
        <w:spacing w:after="0"/>
        <w:ind w:left="0"/>
        <w:jc w:val="both"/>
      </w:pPr>
      <w:r>
        <w:rPr>
          <w:rFonts w:ascii="Times New Roman"/>
          <w:b w:val="false"/>
          <w:i w:val="false"/>
          <w:color w:val="000000"/>
          <w:sz w:val="28"/>
        </w:rPr>
        <w:t>
      147. После регистрации лекарственного препарата в референтном государстве держатель регистрационного удостоверения должен вносить изменения в регистрационное досье зарегистрированного лекарственного препарата (далее - внесение изменений), которые могут потребоваться в целях обеспечения соответствия производства и контроля качества лекарственного средства современному уровню общепринятых научных методов.</w:t>
      </w:r>
    </w:p>
    <w:bookmarkEnd w:id="468"/>
    <w:bookmarkStart w:name="z414" w:id="469"/>
    <w:p>
      <w:pPr>
        <w:spacing w:after="0"/>
        <w:ind w:left="0"/>
        <w:jc w:val="both"/>
      </w:pPr>
      <w:r>
        <w:rPr>
          <w:rFonts w:ascii="Times New Roman"/>
          <w:b w:val="false"/>
          <w:i w:val="false"/>
          <w:color w:val="000000"/>
          <w:sz w:val="28"/>
        </w:rPr>
        <w:t>
      Такие изменения должны утверждаться уполномоченным органом государства-члена, в котором зарегистрирован лекарственный препарат (либо этот уполномоченный орган должен уведомляться о них в соответствии с утвержденной процедурой). При этом внесение изменений в регистрационное досье лекарственного препарата должно инициироваться заявителем через уполномоченный орган (экспертную организацию) того же референтного государства, которое осуществляло регистрацию лекарственного препарата, за исключением случаев, предусмотренных пунктом 2.1.5 приложения № 19 к настоящим Правилам.</w:t>
      </w:r>
    </w:p>
    <w:bookmarkEnd w:id="469"/>
    <w:bookmarkStart w:name="z11891" w:id="470"/>
    <w:p>
      <w:pPr>
        <w:spacing w:after="0"/>
        <w:ind w:left="0"/>
        <w:jc w:val="both"/>
      </w:pPr>
      <w:r>
        <w:rPr>
          <w:rFonts w:ascii="Times New Roman"/>
          <w:b w:val="false"/>
          <w:i w:val="false"/>
          <w:color w:val="000000"/>
          <w:sz w:val="28"/>
        </w:rPr>
        <w:t>
      Допускается внесение изменений в регистрационное досье лекарственного препарата, зарегистрированного по процедуре взаимного признания в референтном государстве, до даты инициирования процедуры взаимного признания в государстве (государствах) признания в соответствии с пунктами 66 и 66</w:t>
      </w:r>
      <w:r>
        <w:rPr>
          <w:rFonts w:ascii="Times New Roman"/>
          <w:b w:val="false"/>
          <w:i w:val="false"/>
          <w:color w:val="000000"/>
          <w:vertAlign w:val="superscript"/>
        </w:rPr>
        <w:t>1</w:t>
      </w:r>
      <w:r>
        <w:rPr>
          <w:rFonts w:ascii="Times New Roman"/>
          <w:b w:val="false"/>
          <w:i w:val="false"/>
          <w:color w:val="000000"/>
          <w:sz w:val="28"/>
        </w:rPr>
        <w:t xml:space="preserve"> настоящих Правил и в процессе указанной процедуры.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415" w:id="471"/>
    <w:p>
      <w:pPr>
        <w:spacing w:after="0"/>
        <w:ind w:left="0"/>
        <w:jc w:val="both"/>
      </w:pPr>
      <w:r>
        <w:rPr>
          <w:rFonts w:ascii="Times New Roman"/>
          <w:b w:val="false"/>
          <w:i w:val="false"/>
          <w:color w:val="000000"/>
          <w:sz w:val="28"/>
        </w:rPr>
        <w:t>
      148. Держатель регистрационного удостоверения обязан сообщать уполномоченному органу государства-члена обо всех новых сведениях, которые могут потребовать изменения документов и данных, содержащихся в регистрационном досье лекарственного препарата. В случаях, предусмотренных пунктом 2.1.5 приложения № 19 к настоящим Правилам, держатель регистрационного удостоверения сообщает об указанных сведениях только уполномоченному органу государства признания.</w:t>
      </w:r>
    </w:p>
    <w:bookmarkEnd w:id="471"/>
    <w:bookmarkStart w:name="z416" w:id="472"/>
    <w:p>
      <w:pPr>
        <w:spacing w:after="0"/>
        <w:ind w:left="0"/>
        <w:jc w:val="both"/>
      </w:pPr>
      <w:r>
        <w:rPr>
          <w:rFonts w:ascii="Times New Roman"/>
          <w:b w:val="false"/>
          <w:i w:val="false"/>
          <w:color w:val="000000"/>
          <w:sz w:val="28"/>
        </w:rPr>
        <w:t>
      Держатель регистрационного удостоверения должен незамедлительно уведомить уполномоченный орган государства-члена о любом запрете или ограничении медицинского применения лекарственного препарата, наложенном уполномоченными органами какого-либо государства, на рынке которого находится лекарственный препарат, и обо всех прочих сведениях, которые могут повлиять на оценку соотношения "польза - риск" рассматриваемого лекарственного препарата. Сведения должны включать в себя как положительные, так и отрицательные результаты клинических исследований или иных исследований (в том числе содержащие доказательства, полученные на основе данных реальной клинической практики) по всем показаниям и во всех группах пациентов независимо от включения их в регистрационное досье, а также данные о применении лекарственного препарата, если такое применение не соответствует условиям регистрации.</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7" w:id="473"/>
    <w:p>
      <w:pPr>
        <w:spacing w:after="0"/>
        <w:ind w:left="0"/>
        <w:jc w:val="both"/>
      </w:pPr>
      <w:r>
        <w:rPr>
          <w:rFonts w:ascii="Times New Roman"/>
          <w:b w:val="false"/>
          <w:i w:val="false"/>
          <w:color w:val="000000"/>
          <w:sz w:val="28"/>
        </w:rPr>
        <w:t>
      149. Держатель регистрационного удостоверения должен обеспечить соответствие информации о лекарственном препарате текущим научно обоснованным медицинским стандартам, включая заключения экспертиз и рекомендаций уполномоченных органов в сфере обращения лекарственных средств других стран.</w:t>
      </w:r>
    </w:p>
    <w:bookmarkEnd w:id="473"/>
    <w:bookmarkStart w:name="z418" w:id="474"/>
    <w:p>
      <w:pPr>
        <w:spacing w:after="0"/>
        <w:ind w:left="0"/>
        <w:jc w:val="both"/>
      </w:pPr>
      <w:r>
        <w:rPr>
          <w:rFonts w:ascii="Times New Roman"/>
          <w:b w:val="false"/>
          <w:i w:val="false"/>
          <w:color w:val="000000"/>
          <w:sz w:val="28"/>
        </w:rPr>
        <w:t>
      150. Для обеспечения непрерывной оценки соотношения пользы и риска зарегистрированного лекарственного препарата уполномоченный орган государства-члена (в том числе по запросу экспертной организации) вправе направить держателю регистрационного удостоверения на зарегистрированный лекарственный препарат запрос о представлении данных, подтверждающих, что соотношение "польза - риск" зарегистрированного лекарственного препарата остается благоприятным. Держатель регистрационного удостоверения обязан представить этому уполномоченному органу (экспертной организации) необходимые материалы в максимально короткий срок, но не позднее 20 рабочих дней с даты получения соответствующего запроса.</w:t>
      </w:r>
    </w:p>
    <w:bookmarkEnd w:id="474"/>
    <w:bookmarkStart w:name="z419" w:id="475"/>
    <w:p>
      <w:pPr>
        <w:spacing w:after="0"/>
        <w:ind w:left="0"/>
        <w:jc w:val="both"/>
      </w:pPr>
      <w:r>
        <w:rPr>
          <w:rFonts w:ascii="Times New Roman"/>
          <w:b w:val="false"/>
          <w:i w:val="false"/>
          <w:color w:val="000000"/>
          <w:sz w:val="28"/>
        </w:rPr>
        <w:t>
      Уполномоченный орган государства-члена (в том числе по запросу экспертной организации) вправе направить держателю регистрационного удостоверения на зарегистрированный лекарственный препарат запрос о представлении копии мастер-файла системы фармаконадзора. Держатель регистрационного удостоверения должен представить соответствующую копию в течение 10 рабочих дней с даты получения данного запроса.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20" w:id="476"/>
    <w:p>
      <w:pPr>
        <w:spacing w:after="0"/>
        <w:ind w:left="0"/>
        <w:jc w:val="both"/>
      </w:pPr>
      <w:r>
        <w:rPr>
          <w:rFonts w:ascii="Times New Roman"/>
          <w:b w:val="false"/>
          <w:i w:val="false"/>
          <w:color w:val="000000"/>
          <w:sz w:val="28"/>
        </w:rPr>
        <w:t>
      151. Вносимые изменения в регистрационное досье зарегистрированного лекарственного препарата не должны менять положительное соотношение "польза - риск" лекарственного препарата.</w:t>
      </w:r>
    </w:p>
    <w:bookmarkEnd w:id="476"/>
    <w:bookmarkStart w:name="z12663" w:id="477"/>
    <w:p>
      <w:pPr>
        <w:spacing w:after="0"/>
        <w:ind w:left="0"/>
        <w:jc w:val="both"/>
      </w:pPr>
      <w:r>
        <w:rPr>
          <w:rFonts w:ascii="Times New Roman"/>
          <w:b w:val="false"/>
          <w:i w:val="false"/>
          <w:color w:val="000000"/>
          <w:sz w:val="28"/>
        </w:rPr>
        <w:t>
      152. Внесение изменений в регистрационное досье зарегистрированного лекарственного препарата и экспертиза вносимых изменений осуществляются в соответствии с классификацией изменений и правилами их внесения, предусмотренными приложением № 19 к настоящим Правилам.</w:t>
      </w:r>
    </w:p>
    <w:bookmarkEnd w:id="477"/>
    <w:p>
      <w:pPr>
        <w:spacing w:after="0"/>
        <w:ind w:left="0"/>
        <w:jc w:val="both"/>
      </w:pPr>
      <w:r>
        <w:rPr>
          <w:rFonts w:ascii="Times New Roman"/>
          <w:b w:val="false"/>
          <w:i w:val="false"/>
          <w:color w:val="000000"/>
          <w:sz w:val="28"/>
        </w:rPr>
        <w:t>
      Заявитель вправе отозвать свое заявление в любое время до окончания осуществления процедуры внесения изменений в регистрационное досье зарегистрированного лекарственного препарата, письменно уведомив об отзыве уполномоченный орган государства-члена, в котором рассматривается заявление.</w:t>
      </w:r>
    </w:p>
    <w:p>
      <w:pPr>
        <w:spacing w:after="0"/>
        <w:ind w:left="0"/>
        <w:jc w:val="both"/>
      </w:pPr>
      <w:r>
        <w:rPr>
          <w:rFonts w:ascii="Times New Roman"/>
          <w:b w:val="false"/>
          <w:i w:val="false"/>
          <w:color w:val="000000"/>
          <w:sz w:val="28"/>
        </w:rPr>
        <w:t>
      В случае отзыва заявления уполномоченный орган государства-члена, в котором рассматривается заявление, прекращает его рассмотрение по существу и возвращает заявителю оригиналы представленных вместе с заявлением документов и (или) сведений.</w:t>
      </w:r>
    </w:p>
    <w:bookmarkStart w:name="z11892" w:id="478"/>
    <w:p>
      <w:pPr>
        <w:spacing w:after="0"/>
        <w:ind w:left="0"/>
        <w:jc w:val="both"/>
      </w:pPr>
      <w:r>
        <w:rPr>
          <w:rFonts w:ascii="Times New Roman"/>
          <w:b w:val="false"/>
          <w:i w:val="false"/>
          <w:color w:val="000000"/>
          <w:sz w:val="28"/>
        </w:rPr>
        <w:t xml:space="preserve">
      Экспертный отчет по оценке изменений в регистрационное досье лекарственного препарата составляется экспертной организацией референтного государства по результатам данной экспертизы в соответствии с приложением № 21 к настоящим Правилам в случае внесения изменений типа I, за исключением административных изменений. </w:t>
      </w:r>
    </w:p>
    <w:bookmarkEnd w:id="478"/>
    <w:bookmarkStart w:name="z11893" w:id="479"/>
    <w:p>
      <w:pPr>
        <w:spacing w:after="0"/>
        <w:ind w:left="0"/>
        <w:jc w:val="both"/>
      </w:pPr>
      <w:r>
        <w:rPr>
          <w:rFonts w:ascii="Times New Roman"/>
          <w:b w:val="false"/>
          <w:i w:val="false"/>
          <w:color w:val="000000"/>
          <w:sz w:val="28"/>
        </w:rPr>
        <w:t xml:space="preserve">
      Для принятия решения о возможности внесения в регистрационное досье административного изменения заявителем вместе с заявлением о внесении данного изменения должно быть представлено на бумажном носителе или в электронном виде подтверждение уполномоченного органа (экспертной организации) референтного государства о том, что соответствующая версия (последовательность) регистрационного досье валидна и приобщена к электронному регистрационному досье. В случаях, предусмотренных пунктом 2.1.5 приложения № 19 к настоящим Правилам, указанное подтверждение не представляется. </w:t>
      </w:r>
    </w:p>
    <w:bookmarkEnd w:id="479"/>
    <w:bookmarkStart w:name="z11894" w:id="480"/>
    <w:p>
      <w:pPr>
        <w:spacing w:after="0"/>
        <w:ind w:left="0"/>
        <w:jc w:val="both"/>
      </w:pPr>
      <w:r>
        <w:rPr>
          <w:rFonts w:ascii="Times New Roman"/>
          <w:b w:val="false"/>
          <w:i w:val="false"/>
          <w:color w:val="000000"/>
          <w:sz w:val="28"/>
        </w:rPr>
        <w:t xml:space="preserve">
      По результатам экспертизы изменений типа II экспертной организацией референтного государства в случае одобрения заявленного изменения должен быть актуализирован экспертный отчет по оценке в соответствии с приложением № 16 к настоящим Правилам. </w:t>
      </w:r>
    </w:p>
    <w:bookmarkEnd w:id="480"/>
    <w:bookmarkStart w:name="z11895" w:id="481"/>
    <w:p>
      <w:pPr>
        <w:spacing w:after="0"/>
        <w:ind w:left="0"/>
        <w:jc w:val="both"/>
      </w:pPr>
      <w:r>
        <w:rPr>
          <w:rFonts w:ascii="Times New Roman"/>
          <w:b w:val="false"/>
          <w:i w:val="false"/>
          <w:color w:val="000000"/>
          <w:sz w:val="28"/>
        </w:rPr>
        <w:t>
      По результатам экспертизы изменений типа II экспертной организацией референтного государства в случае неодобрения заявленного изменения в уполномоченный орган направляется информация с мотивированной позицией экспертов.</w:t>
      </w:r>
    </w:p>
    <w:bookmarkEnd w:id="481"/>
    <w:bookmarkStart w:name="z12310" w:id="482"/>
    <w:p>
      <w:pPr>
        <w:spacing w:after="0"/>
        <w:ind w:left="0"/>
        <w:jc w:val="both"/>
      </w:pPr>
      <w:r>
        <w:rPr>
          <w:rFonts w:ascii="Times New Roman"/>
          <w:b w:val="false"/>
          <w:i w:val="false"/>
          <w:color w:val="000000"/>
          <w:sz w:val="28"/>
        </w:rPr>
        <w:t>
      В целях актуализации информации о лекарственном препарате по результатам экспертизы изменений II типа, вносимых в регистрационное досье лекарственного препарата, приведенное в соответствие с требованиями Союза, экспертной организацией референтного государства в заключительном экспертном отчете по оценке лекарственного препарата могут устанавливаться одно или несколько дополнительных требований в соответствии с пунктом 116 настоящих Правил.</w:t>
      </w:r>
    </w:p>
    <w:bookmarkEnd w:id="482"/>
    <w:p>
      <w:pPr>
        <w:spacing w:after="0"/>
        <w:ind w:left="0"/>
        <w:jc w:val="both"/>
      </w:pPr>
      <w:r>
        <w:rPr>
          <w:rFonts w:ascii="Times New Roman"/>
          <w:b w:val="false"/>
          <w:i w:val="false"/>
          <w:color w:val="000000"/>
          <w:sz w:val="28"/>
        </w:rPr>
        <w:t>
      При актуализации уполномоченным органом (экспертной организацией) референтного государства экспертного отчета об оценке после внесения изменений в регистрационное досье ранее согласованные с заявителем конфиденциальные данные также подлежат изъятию. В случае если вносимые изменения в регистрационное досье затрагивают разделы экспертного отчета об оценке, которые требуют изъятия конфиденциальных данных, изъятие таких данных осуществляется в соответствии с процедурой и сроками взаимодействия с заявителем, указанными в пункте 60 – в случае регистрации только в референтном государстве и пункте 105 – в случае регистрации в нескольких государствах-членах.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с изменениями, внесенными решениями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2" w:id="483"/>
    <w:p>
      <w:pPr>
        <w:spacing w:after="0"/>
        <w:ind w:left="0"/>
        <w:jc w:val="both"/>
      </w:pPr>
      <w:r>
        <w:rPr>
          <w:rFonts w:ascii="Times New Roman"/>
          <w:b w:val="false"/>
          <w:i w:val="false"/>
          <w:color w:val="000000"/>
          <w:sz w:val="28"/>
        </w:rPr>
        <w:t>
      153. При положительном решении уполномоченного органа (экспертной организации) о внесении изменений в регистрационное досье заявителю выдается новое регистрационное удостоверение лекарственного препарата под прежним номером на оставшийся срок действия регистрации лекарственного препарата (для регистрационных удостоверений лекарственных препаратов с ограниченным сроком действия) или без ограничения срока действия (для бессрочных регистрационных удостоверений лекарственных препаратов) в случае, если вносимые изменения касаются информации, содержащейся в регистрационном удостоверении лекарственного препарата. В едином реестре приводятся сведения о дате решения уполномоченного органа (экспертной организации) по каждому одобренному изменению с указанием номера (номеров) версии (последовательности) подачи документов электронного регистрационного досье, за исключением случая, указанного в абзаце четвертом пункта 17 настоящих Правил.</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решения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22.01.2025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3" w:id="484"/>
    <w:p>
      <w:pPr>
        <w:spacing w:after="0"/>
        <w:ind w:left="0"/>
        <w:jc w:val="both"/>
      </w:pPr>
      <w:r>
        <w:rPr>
          <w:rFonts w:ascii="Times New Roman"/>
          <w:b w:val="false"/>
          <w:i w:val="false"/>
          <w:color w:val="000000"/>
          <w:sz w:val="28"/>
        </w:rPr>
        <w:t>
      154. В случае внесения в регистрационное досье лекарственного препарата изменений IА типа в соответствии с дополнением V к приложению № 19 к настоящим Правилам, не затрагивающих информацию о лекарственном препарате, за 60 рабочих дней и менее до окончания действия регистрационного удостоверения лекарственного препарата допускается внесение таких изменений в ходе проведения экспертизы лекарственного препарата при подтверждении его регистрации (перерегистрации).</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решения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4" w:id="485"/>
    <w:p>
      <w:pPr>
        <w:spacing w:after="0"/>
        <w:ind w:left="0"/>
        <w:jc w:val="both"/>
      </w:pPr>
      <w:r>
        <w:rPr>
          <w:rFonts w:ascii="Times New Roman"/>
          <w:b w:val="false"/>
          <w:i w:val="false"/>
          <w:color w:val="000000"/>
          <w:sz w:val="28"/>
        </w:rPr>
        <w:t>
      155. При подаче заявления о внесении изменений в регистрационное досье лекарственного препарата, зарегистрированного в референтном государстве и государствах признания, за исключением случаев, предусмотренных пунктом 2.1.5 приложения № 19 к настоящим Правилам, заявитель должен представить в уполномоченный орган (экспертную организацию) референтного государства информацию о предшествующих датах подачи и номерах версий (последовательностей) подачи документов на внесение изменений в регистрационное досье в государства признания (при наличии).</w:t>
      </w:r>
    </w:p>
    <w:bookmarkEnd w:id="485"/>
    <w:bookmarkStart w:name="z425" w:id="486"/>
    <w:p>
      <w:pPr>
        <w:spacing w:after="0"/>
        <w:ind w:left="0"/>
        <w:jc w:val="both"/>
      </w:pPr>
      <w:r>
        <w:rPr>
          <w:rFonts w:ascii="Times New Roman"/>
          <w:b w:val="false"/>
          <w:i w:val="false"/>
          <w:color w:val="000000"/>
          <w:sz w:val="28"/>
        </w:rPr>
        <w:t>
      При изменении держателя регистрационного удостоверения во всех или в нескольких (одном) государствах-членах, зарегистрировавших лекарственный препарат, заявитель представляет в уполномоченный орган (экспертную организацию) этих государств-членов заявление на внесение изменений в соответствии с приложением № 2 к настоящим Правилам и соответствующие документы модуля 1 регистрационного досье, а также (при необходимости) документ, формируемый уполномоченным органом (экспертной организацией), подтверждающий валидность соответствующей версии (последовательности) подачи документов электронного регистрационного досье. Изменение держателя регистрационного удостоверения рассматривается в соответствии с дополнением V к приложению № 19 к настоящим Правилам.</w:t>
      </w:r>
    </w:p>
    <w:bookmarkEnd w:id="486"/>
    <w:bookmarkStart w:name="z11896" w:id="487"/>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настоящем пункте,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6" w:id="488"/>
    <w:p>
      <w:pPr>
        <w:spacing w:after="0"/>
        <w:ind w:left="0"/>
        <w:jc w:val="both"/>
      </w:pPr>
      <w:r>
        <w:rPr>
          <w:rFonts w:ascii="Times New Roman"/>
          <w:b w:val="false"/>
          <w:i w:val="false"/>
          <w:color w:val="000000"/>
          <w:sz w:val="28"/>
        </w:rPr>
        <w:t>
      156. Экспертная организация и уполномоченный орган государства-члена при проведении экспертизы лекарственного препарата при внесении изменений в регистрационное досье лекарственного препарата вправе направить заявителю запрос в письменном и (или) электронном виде о представлении недостающей дополнительной информации, необходимых разъяснений или уточнений, касающихся представленных документов и данных регистрационного досье (в том числе предложения о внесении изменений в ОХЛП, инструкцию по медицинскому применению, макеты упаковок лекарственного препарата, нормативный документ по качеству или иные документы регистрационного досье).</w:t>
      </w:r>
    </w:p>
    <w:bookmarkEnd w:id="488"/>
    <w:bookmarkStart w:name="z427" w:id="489"/>
    <w:p>
      <w:pPr>
        <w:spacing w:after="0"/>
        <w:ind w:left="0"/>
        <w:jc w:val="both"/>
      </w:pPr>
      <w:r>
        <w:rPr>
          <w:rFonts w:ascii="Times New Roman"/>
          <w:b w:val="false"/>
          <w:i w:val="false"/>
          <w:color w:val="000000"/>
          <w:sz w:val="28"/>
        </w:rPr>
        <w:t>
      Срок представления заявителем ответа на указанный запрос не должен превышать 90 рабочих дней. Время представления заявителем документов по запросу уполномоченного органа или экспертной организации в процессе внесения изменений и экспертизы лекарственного препарата не входит в сроки проведения экспертизы и процедуры внесения изменений лекарственного препарата.</w:t>
      </w:r>
    </w:p>
    <w:bookmarkEnd w:id="489"/>
    <w:bookmarkStart w:name="z428" w:id="490"/>
    <w:p>
      <w:pPr>
        <w:spacing w:after="0"/>
        <w:ind w:left="0"/>
        <w:jc w:val="both"/>
      </w:pPr>
      <w:r>
        <w:rPr>
          <w:rFonts w:ascii="Times New Roman"/>
          <w:b w:val="false"/>
          <w:i w:val="false"/>
          <w:color w:val="000000"/>
          <w:sz w:val="28"/>
        </w:rPr>
        <w:t>
      При непредставлении в установленный срок заявителем запрошенных документов и данных экспертиза и процедура внесения изменений в регистрационное досье лекарственного препарата прекращаются. О принятом решении уполномоченный орган (экспертная организация) извещает заявителя в течение 14 рабочих дней со дня принятия такого решения в письменном и (или) электронном виде.</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9" w:id="491"/>
    <w:p>
      <w:pPr>
        <w:spacing w:after="0"/>
        <w:ind w:left="0"/>
        <w:jc w:val="both"/>
      </w:pPr>
      <w:r>
        <w:rPr>
          <w:rFonts w:ascii="Times New Roman"/>
          <w:b w:val="false"/>
          <w:i w:val="false"/>
          <w:color w:val="000000"/>
          <w:sz w:val="28"/>
        </w:rPr>
        <w:t>
      157. При внесении изменений в регистрационное досье в части изменений в инструкцию по медицинскому применению лекарственного препарата уполномоченным органом утверждается и выдается заявителю новая инструкция по медицинскому применению.</w:t>
      </w:r>
    </w:p>
    <w:bookmarkEnd w:id="491"/>
    <w:bookmarkStart w:name="z430" w:id="492"/>
    <w:p>
      <w:pPr>
        <w:spacing w:after="0"/>
        <w:ind w:left="0"/>
        <w:jc w:val="both"/>
      </w:pPr>
      <w:r>
        <w:rPr>
          <w:rFonts w:ascii="Times New Roman"/>
          <w:b w:val="false"/>
          <w:i w:val="false"/>
          <w:color w:val="000000"/>
          <w:sz w:val="28"/>
        </w:rPr>
        <w:t>
      158. В случае подтверждения регистрации (перерегистрации) лекарственного препарата или внесения изменений в регистрационное досье разрешается производство лекарственного препарата в течение 180 календарных дней с даты подтверждения регистрации (перерегистрации) или внесения изменений в регистрационное досье в соответствии с информацией, содержащейся в документах регистрационного досье лекарственного препарата, до даты подтверждения регистрации (перерегистрации) или внесения изменений, за исключением:</w:t>
      </w:r>
    </w:p>
    <w:bookmarkEnd w:id="492"/>
    <w:p>
      <w:pPr>
        <w:spacing w:after="0"/>
        <w:ind w:left="0"/>
        <w:jc w:val="both"/>
      </w:pPr>
      <w:r>
        <w:rPr>
          <w:rFonts w:ascii="Times New Roman"/>
          <w:b w:val="false"/>
          <w:i w:val="false"/>
          <w:color w:val="000000"/>
          <w:sz w:val="28"/>
        </w:rPr>
        <w:t>
      неотложных ограничений по безопасности, вводимых держателем регистрационного удостоверения или уполномоченным органом, согласно пункту 4.1.4 приложения № 19 к настоящим Правилам;</w:t>
      </w:r>
    </w:p>
    <w:p>
      <w:pPr>
        <w:spacing w:after="0"/>
        <w:ind w:left="0"/>
        <w:jc w:val="both"/>
      </w:pPr>
      <w:r>
        <w:rPr>
          <w:rFonts w:ascii="Times New Roman"/>
          <w:b w:val="false"/>
          <w:i w:val="false"/>
          <w:color w:val="000000"/>
          <w:sz w:val="28"/>
        </w:rPr>
        <w:t>
      принятия решения уполномоченным органом государства-члена о невозможности дальнейшего производства лекарственного препарата в соответствии с ранее утвержденными (согласованными) документами и информацией регистрационного досье.</w:t>
      </w:r>
    </w:p>
    <w:p>
      <w:pPr>
        <w:spacing w:after="0"/>
        <w:ind w:left="0"/>
        <w:jc w:val="both"/>
      </w:pPr>
      <w:r>
        <w:rPr>
          <w:rFonts w:ascii="Times New Roman"/>
          <w:b w:val="false"/>
          <w:i w:val="false"/>
          <w:color w:val="000000"/>
          <w:sz w:val="28"/>
        </w:rPr>
        <w:t>
      Допускается ввоз, одновременная реализация и медицинское применение лекарственного препарата до окончания его срока годности (срока хранения), соответствующего документам и данным регистрационного досье до и после внесения в него изменений, если это не противоречит требованиям правил надлежащей практики фармаконадзора Союза, утверждаемым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31" w:id="493"/>
    <w:p>
      <w:pPr>
        <w:spacing w:after="0"/>
        <w:ind w:left="0"/>
        <w:jc w:val="left"/>
      </w:pPr>
      <w:r>
        <w:rPr>
          <w:rFonts w:ascii="Times New Roman"/>
          <w:b/>
          <w:i w:val="false"/>
          <w:color w:val="000000"/>
        </w:rPr>
        <w:t xml:space="preserve"> X. Приостановка, отзыв (отмена) регистрационного удостоверения, или ограничение применения, или внесение изменений в условия регистрационного удостоверения </w:t>
      </w:r>
    </w:p>
    <w:bookmarkEnd w:id="493"/>
    <w:bookmarkStart w:name="z432" w:id="494"/>
    <w:p>
      <w:pPr>
        <w:spacing w:after="0"/>
        <w:ind w:left="0"/>
        <w:jc w:val="both"/>
      </w:pPr>
      <w:r>
        <w:rPr>
          <w:rFonts w:ascii="Times New Roman"/>
          <w:b w:val="false"/>
          <w:i w:val="false"/>
          <w:color w:val="000000"/>
          <w:sz w:val="28"/>
        </w:rPr>
        <w:t>
      159. Уполномоченный орган приостанавливает действие регистрационного удостоверения или ограничивает применение лекарственного препарата в следующих случаях:</w:t>
      </w:r>
    </w:p>
    <w:bookmarkEnd w:id="494"/>
    <w:bookmarkStart w:name="z433" w:id="495"/>
    <w:p>
      <w:pPr>
        <w:spacing w:after="0"/>
        <w:ind w:left="0"/>
        <w:jc w:val="both"/>
      </w:pPr>
      <w:r>
        <w:rPr>
          <w:rFonts w:ascii="Times New Roman"/>
          <w:b w:val="false"/>
          <w:i w:val="false"/>
          <w:color w:val="000000"/>
          <w:sz w:val="28"/>
        </w:rPr>
        <w:t>
      имеются документально подтвержденные факты несоответствия качественного и количественного состава выпущенных серий лекарственного препарата заявленному составу;</w:t>
      </w:r>
    </w:p>
    <w:bookmarkEnd w:id="495"/>
    <w:bookmarkStart w:name="z434" w:id="496"/>
    <w:p>
      <w:pPr>
        <w:spacing w:after="0"/>
        <w:ind w:left="0"/>
        <w:jc w:val="both"/>
      </w:pPr>
      <w:r>
        <w:rPr>
          <w:rFonts w:ascii="Times New Roman"/>
          <w:b w:val="false"/>
          <w:i w:val="false"/>
          <w:color w:val="000000"/>
          <w:sz w:val="28"/>
        </w:rPr>
        <w:t>
      лекарственный препарат является опасным (наносит серьезный или непоправимый вред здоровью человека (обоснование серьезности или непоправимости вреда здоровью должно быть подкреплено экспертным заключением уполномоченного органа (экспертной организации) со ссылками на документальные свидетельства));</w:t>
      </w:r>
    </w:p>
    <w:bookmarkEnd w:id="496"/>
    <w:bookmarkStart w:name="z435" w:id="497"/>
    <w:p>
      <w:pPr>
        <w:spacing w:after="0"/>
        <w:ind w:left="0"/>
        <w:jc w:val="both"/>
      </w:pPr>
      <w:r>
        <w:rPr>
          <w:rFonts w:ascii="Times New Roman"/>
          <w:b w:val="false"/>
          <w:i w:val="false"/>
          <w:color w:val="000000"/>
          <w:sz w:val="28"/>
        </w:rPr>
        <w:t>
      доказано неблагоприятное соотношение "польза - риск" или выявлена документально подтвержденная недостаточная терапевтическая эффективность лекарственного препарата при соблюдении условий его применения, описанных в утвержденной ОХЛП;</w:t>
      </w:r>
    </w:p>
    <w:bookmarkEnd w:id="497"/>
    <w:bookmarkStart w:name="z436" w:id="498"/>
    <w:p>
      <w:pPr>
        <w:spacing w:after="0"/>
        <w:ind w:left="0"/>
        <w:jc w:val="both"/>
      </w:pPr>
      <w:r>
        <w:rPr>
          <w:rFonts w:ascii="Times New Roman"/>
          <w:b w:val="false"/>
          <w:i w:val="false"/>
          <w:color w:val="000000"/>
          <w:sz w:val="28"/>
        </w:rPr>
        <w:t>
      не подтверждено положительное соотношение "польза - риск" при переоценке соотношения "польза - риск", проводимой ежегодно уполномоченным органом (экспертной организацией) в соответствии с пунктом 117 настоящих Правил;</w:t>
      </w:r>
    </w:p>
    <w:bookmarkEnd w:id="498"/>
    <w:bookmarkStart w:name="z437" w:id="499"/>
    <w:p>
      <w:pPr>
        <w:spacing w:after="0"/>
        <w:ind w:left="0"/>
        <w:jc w:val="both"/>
      </w:pPr>
      <w:r>
        <w:rPr>
          <w:rFonts w:ascii="Times New Roman"/>
          <w:b w:val="false"/>
          <w:i w:val="false"/>
          <w:color w:val="000000"/>
          <w:sz w:val="28"/>
        </w:rPr>
        <w:t>
      в регистрационном досье содержатся недостоверные документы и данные;</w:t>
      </w:r>
    </w:p>
    <w:bookmarkEnd w:id="499"/>
    <w:bookmarkStart w:name="z438" w:id="500"/>
    <w:p>
      <w:pPr>
        <w:spacing w:after="0"/>
        <w:ind w:left="0"/>
        <w:jc w:val="both"/>
      </w:pPr>
      <w:r>
        <w:rPr>
          <w:rFonts w:ascii="Times New Roman"/>
          <w:b w:val="false"/>
          <w:i w:val="false"/>
          <w:color w:val="000000"/>
          <w:sz w:val="28"/>
        </w:rPr>
        <w:t>
      производитель не устранил выявленные во время инспекции несоответствия производства и методов контроля, заявленные в регистрационном досье, в согласованные с уполномоченным органом (экспертной организацией) сроки;</w:t>
      </w:r>
    </w:p>
    <w:bookmarkEnd w:id="500"/>
    <w:bookmarkStart w:name="z439" w:id="501"/>
    <w:p>
      <w:pPr>
        <w:spacing w:after="0"/>
        <w:ind w:left="0"/>
        <w:jc w:val="both"/>
      </w:pPr>
      <w:r>
        <w:rPr>
          <w:rFonts w:ascii="Times New Roman"/>
          <w:b w:val="false"/>
          <w:i w:val="false"/>
          <w:color w:val="000000"/>
          <w:sz w:val="28"/>
        </w:rPr>
        <w:t>
      не выполнены обязательства по фармаконадзору держателем регистрационного удостоверения;</w:t>
      </w:r>
    </w:p>
    <w:bookmarkEnd w:id="501"/>
    <w:bookmarkStart w:name="z440" w:id="502"/>
    <w:p>
      <w:pPr>
        <w:spacing w:after="0"/>
        <w:ind w:left="0"/>
        <w:jc w:val="both"/>
      </w:pPr>
      <w:r>
        <w:rPr>
          <w:rFonts w:ascii="Times New Roman"/>
          <w:b w:val="false"/>
          <w:i w:val="false"/>
          <w:color w:val="000000"/>
          <w:sz w:val="28"/>
        </w:rPr>
        <w:t>
      не выполнены держателем регистрационного удостоверения обязательства в соответствии с пунктами 116 и 118 настоящих Правил, установленные уполномоченным органом (экспертной организацией);</w:t>
      </w:r>
    </w:p>
    <w:bookmarkEnd w:id="502"/>
    <w:p>
      <w:pPr>
        <w:spacing w:after="0"/>
        <w:ind w:left="0"/>
        <w:jc w:val="both"/>
      </w:pPr>
      <w:r>
        <w:rPr>
          <w:rFonts w:ascii="Times New Roman"/>
          <w:b w:val="false"/>
          <w:i w:val="false"/>
          <w:color w:val="000000"/>
          <w:sz w:val="28"/>
        </w:rPr>
        <w:t>
      отсутствие действующего документа, подтверждающего соответствие производственной площадки (площадок) требованиям надлежащей производственной практики Союза для лекарственного препарата, заявленного в соответствии с пунктом 30 настоящих Правил на регистрацию или на приведение в соответствие с требованиями Союза, по истечении 3 лет после завершения регистрационных процедур в отношении лекарственных препаратов, произведенных на производственной площадке (площадках), включенной в план проведения инспекций в соответствии с пунктом 31 настоящих Правил, но не прошедшей инспекцию.</w:t>
      </w:r>
    </w:p>
    <w:bookmarkStart w:name="z441" w:id="503"/>
    <w:p>
      <w:pPr>
        <w:spacing w:after="0"/>
        <w:ind w:left="0"/>
        <w:jc w:val="both"/>
      </w:pPr>
      <w:r>
        <w:rPr>
          <w:rFonts w:ascii="Times New Roman"/>
          <w:b w:val="false"/>
          <w:i w:val="false"/>
          <w:color w:val="000000"/>
          <w:sz w:val="28"/>
        </w:rPr>
        <w:t>
      В случаях приостановления действия регистрационного удостоверения, указанных в абзацах втором - четвертом настоящего пункта, уполномоченный орган (экспертная организация) направляет держателю регистрационного удостоверения требование о внесении изменений в соответствующие документы регистрационного досье с указанием срока выполнения такого требования.</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с изменением, внесенным решением Совета Евразийской экономической комиссии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2" w:id="504"/>
    <w:p>
      <w:pPr>
        <w:spacing w:after="0"/>
        <w:ind w:left="0"/>
        <w:jc w:val="both"/>
      </w:pPr>
      <w:r>
        <w:rPr>
          <w:rFonts w:ascii="Times New Roman"/>
          <w:b w:val="false"/>
          <w:i w:val="false"/>
          <w:color w:val="000000"/>
          <w:sz w:val="28"/>
        </w:rPr>
        <w:t>
      160. Решение об отзыве (отмене) регистрационного удостоверения лекарственного препарата и исключении лекарственного препарата из единого реестра принимается уполномоченным органом (экспертной организацией) в случае:</w:t>
      </w:r>
    </w:p>
    <w:bookmarkEnd w:id="504"/>
    <w:bookmarkStart w:name="z443" w:id="505"/>
    <w:p>
      <w:pPr>
        <w:spacing w:after="0"/>
        <w:ind w:left="0"/>
        <w:jc w:val="both"/>
      </w:pPr>
      <w:r>
        <w:rPr>
          <w:rFonts w:ascii="Times New Roman"/>
          <w:b w:val="false"/>
          <w:i w:val="false"/>
          <w:color w:val="000000"/>
          <w:sz w:val="28"/>
        </w:rPr>
        <w:t>
      а) подачи держателем регистрационного удостоверения лекарственного препарата или юридическим лицом, уполномоченным держателем регистрационного удостоверения лекарственного препарата, заявления об отмене регистрации лекарственного препарата;</w:t>
      </w:r>
    </w:p>
    <w:bookmarkEnd w:id="505"/>
    <w:bookmarkStart w:name="z444" w:id="506"/>
    <w:p>
      <w:pPr>
        <w:spacing w:after="0"/>
        <w:ind w:left="0"/>
        <w:jc w:val="both"/>
      </w:pPr>
      <w:r>
        <w:rPr>
          <w:rFonts w:ascii="Times New Roman"/>
          <w:b w:val="false"/>
          <w:i w:val="false"/>
          <w:color w:val="000000"/>
          <w:sz w:val="28"/>
        </w:rPr>
        <w:t>
      б) невыполнения держателем регистрационного удостоверения лекарственного препарата требований уполномоченного органа (экспертной организации), указанных в абзацах втором - десятом пункта 159 настоящих Правил;</w:t>
      </w:r>
    </w:p>
    <w:bookmarkEnd w:id="506"/>
    <w:bookmarkStart w:name="z445" w:id="507"/>
    <w:p>
      <w:pPr>
        <w:spacing w:after="0"/>
        <w:ind w:left="0"/>
        <w:jc w:val="both"/>
      </w:pPr>
      <w:r>
        <w:rPr>
          <w:rFonts w:ascii="Times New Roman"/>
          <w:b w:val="false"/>
          <w:i w:val="false"/>
          <w:color w:val="000000"/>
          <w:sz w:val="28"/>
        </w:rPr>
        <w:t>
      в) представления уполномоченным органом (экспертной организацией) заключения о неустранении держателем регистрационного удостоверения выявленных в ходе инспекции несоответствий производства и методов контроля, заявленных в регистрационном досье, в установленный срок.</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изменением, внесенным решением Совета Евразийской экономической комиссии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6" w:id="508"/>
    <w:p>
      <w:pPr>
        <w:spacing w:after="0"/>
        <w:ind w:left="0"/>
        <w:jc w:val="both"/>
      </w:pPr>
      <w:r>
        <w:rPr>
          <w:rFonts w:ascii="Times New Roman"/>
          <w:b w:val="false"/>
          <w:i w:val="false"/>
          <w:color w:val="000000"/>
          <w:sz w:val="28"/>
        </w:rPr>
        <w:t>
      161. Уполномоченные органы государств-членов в случаях, указанных в пунктах 159 и 160 настоящих Правил, принимают соответствующие меры (действия) для того, чтобы поставка лекарственного препарата была прекращена и лекарственный препарат был изъят из обращения.</w:t>
      </w:r>
    </w:p>
    <w:bookmarkEnd w:id="508"/>
    <w:bookmarkStart w:name="z447" w:id="509"/>
    <w:p>
      <w:pPr>
        <w:spacing w:after="0"/>
        <w:ind w:left="0"/>
        <w:jc w:val="both"/>
      </w:pPr>
      <w:r>
        <w:rPr>
          <w:rFonts w:ascii="Times New Roman"/>
          <w:b w:val="false"/>
          <w:i w:val="false"/>
          <w:color w:val="000000"/>
          <w:sz w:val="28"/>
        </w:rPr>
        <w:t>
      162. В исключительных случаях в течение ограниченного периода времени уполномоченный орган может разрешить обращение лекарственного препарата, реализация которого запрещена или который был отозван с рынка, исключительно для его контролируемого применения у пациентов, которые использовали данный лекарственный препарат по жизненным показаниям.</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48" w:id="510"/>
    <w:p>
      <w:pPr>
        <w:spacing w:after="0"/>
        <w:ind w:left="0"/>
        <w:jc w:val="left"/>
      </w:pPr>
      <w:r>
        <w:rPr>
          <w:rFonts w:ascii="Times New Roman"/>
          <w:b/>
          <w:i w:val="false"/>
          <w:color w:val="000000"/>
        </w:rPr>
        <w:t xml:space="preserve"> XI. Условия обращения лекарственных препаратов в государствах-членах </w:t>
      </w:r>
    </w:p>
    <w:bookmarkEnd w:id="510"/>
    <w:bookmarkStart w:name="z449" w:id="511"/>
    <w:p>
      <w:pPr>
        <w:spacing w:after="0"/>
        <w:ind w:left="0"/>
        <w:jc w:val="both"/>
      </w:pPr>
      <w:r>
        <w:rPr>
          <w:rFonts w:ascii="Times New Roman"/>
          <w:b w:val="false"/>
          <w:i w:val="false"/>
          <w:color w:val="000000"/>
          <w:sz w:val="28"/>
        </w:rPr>
        <w:t>
      163. Лекарственные препараты, прошедшие регистрацию в соответствии с настоящими Правилами и включенные в единый реестр, реализуются в пределах тех государств-членов, в которых они зарегистрированы.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с изменением, внесенным решением Совета Евразийской экономической комиссии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0" w:id="512"/>
    <w:p>
      <w:pPr>
        <w:spacing w:after="0"/>
        <w:ind w:left="0"/>
        <w:jc w:val="both"/>
      </w:pPr>
      <w:r>
        <w:rPr>
          <w:rFonts w:ascii="Times New Roman"/>
          <w:b w:val="false"/>
          <w:i w:val="false"/>
          <w:color w:val="000000"/>
          <w:sz w:val="28"/>
        </w:rPr>
        <w:t>
      164. Лекарственные препараты, произведенные на территории третьих стран и ввезенные на таможенную территорию Союза в период действия регистрационного удостоверения, в отношении которых не подано в референтное государство заявление о приведении в соответствие с требованиями Союза с применением процедуры, установленной разделом XIII настоящих Правил, реализуются после 31 декабря 2025 г. на территории этого государства-члена в соответствии с законодательством данного государства-члена.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в редакции решения Совета Евразийской экономической комиссии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1" w:id="513"/>
    <w:p>
      <w:pPr>
        <w:spacing w:after="0"/>
        <w:ind w:left="0"/>
        <w:jc w:val="both"/>
      </w:pPr>
      <w:r>
        <w:rPr>
          <w:rFonts w:ascii="Times New Roman"/>
          <w:b w:val="false"/>
          <w:i w:val="false"/>
          <w:color w:val="000000"/>
          <w:sz w:val="28"/>
        </w:rPr>
        <w:t>
      165. В государствах-членах разрешается реализация лекарственных препаратов, срок действия регистрационных удостоверений которых истек, до окончания срока годности (срока хранения) этих лекарственных препаратов, если они были произведены до окончания срока действия регистрационного удостоверения.</w:t>
      </w:r>
    </w:p>
    <w:bookmarkEnd w:id="513"/>
    <w:p>
      <w:pPr>
        <w:spacing w:after="0"/>
        <w:ind w:left="0"/>
        <w:jc w:val="both"/>
      </w:pPr>
      <w:r>
        <w:rPr>
          <w:rFonts w:ascii="Times New Roman"/>
          <w:b w:val="false"/>
          <w:i w:val="false"/>
          <w:color w:val="000000"/>
          <w:sz w:val="28"/>
        </w:rPr>
        <w:t xml:space="preserve">
      В государствах-членах разрешается реализация лекарственных препаратов, срок действия регистрационных удостоверений которых продлен на период до приведения в соответствие с требованиями Союза в каждом из государств-членов в соответствии с положениями подпункта "е" </w:t>
      </w:r>
      <w:r>
        <w:rPr>
          <w:rFonts w:ascii="Times New Roman"/>
          <w:b w:val="false"/>
          <w:i w:val="false"/>
          <w:color w:val="000000"/>
          <w:sz w:val="28"/>
        </w:rPr>
        <w:t>пункта 2</w:t>
      </w:r>
      <w:r>
        <w:rPr>
          <w:rFonts w:ascii="Times New Roman"/>
          <w:b w:val="false"/>
          <w:i w:val="false"/>
          <w:color w:val="000000"/>
          <w:sz w:val="28"/>
        </w:rPr>
        <w:t xml:space="preserve"> Решения Совета Евразийской экономической комиссии от 3 ноября 2016 г. № 78 "О Правилах регистрации и экспертизы лекарственных средств для медицинского применения" (далее – Решение Совета), до окончания срока годности (срока хранения) этих лекарственных препаратов.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452" w:id="514"/>
    <w:p>
      <w:pPr>
        <w:spacing w:after="0"/>
        <w:ind w:left="0"/>
        <w:jc w:val="left"/>
      </w:pPr>
      <w:r>
        <w:rPr>
          <w:rFonts w:ascii="Times New Roman"/>
          <w:b/>
          <w:i w:val="false"/>
          <w:color w:val="000000"/>
        </w:rPr>
        <w:t xml:space="preserve"> XII. Обязанности держателей регистрационных удостоверений </w:t>
      </w:r>
    </w:p>
    <w:bookmarkEnd w:id="514"/>
    <w:bookmarkStart w:name="z453" w:id="515"/>
    <w:p>
      <w:pPr>
        <w:spacing w:after="0"/>
        <w:ind w:left="0"/>
        <w:jc w:val="both"/>
      </w:pPr>
      <w:r>
        <w:rPr>
          <w:rFonts w:ascii="Times New Roman"/>
          <w:b w:val="false"/>
          <w:i w:val="false"/>
          <w:color w:val="000000"/>
          <w:sz w:val="28"/>
        </w:rPr>
        <w:t>
      166. Держатель регистрационного удостоверения должен оперативно представлять полную информацию по запросу уполномоченного органа любого государства-члена, в котором зарегистрирован лекарственный препарат.</w:t>
      </w:r>
    </w:p>
    <w:bookmarkEnd w:id="515"/>
    <w:bookmarkStart w:name="z454" w:id="516"/>
    <w:p>
      <w:pPr>
        <w:spacing w:after="0"/>
        <w:ind w:left="0"/>
        <w:jc w:val="both"/>
      </w:pPr>
      <w:r>
        <w:rPr>
          <w:rFonts w:ascii="Times New Roman"/>
          <w:b w:val="false"/>
          <w:i w:val="false"/>
          <w:color w:val="000000"/>
          <w:sz w:val="28"/>
        </w:rPr>
        <w:t>
      167. Держатель регистрационного удостоверения должен с указанием причин уведомить уполномоченный орган государства-члена о планируемом прекращении производства или реализации лекарственного препарата на рынке Союза не менее чем за 60 календарных дней до такого прекращения производства или реализации.</w:t>
      </w:r>
    </w:p>
    <w:bookmarkEnd w:id="516"/>
    <w:bookmarkStart w:name="z455" w:id="517"/>
    <w:p>
      <w:pPr>
        <w:spacing w:after="0"/>
        <w:ind w:left="0"/>
        <w:jc w:val="both"/>
      </w:pPr>
      <w:r>
        <w:rPr>
          <w:rFonts w:ascii="Times New Roman"/>
          <w:b w:val="false"/>
          <w:i w:val="false"/>
          <w:color w:val="000000"/>
          <w:sz w:val="28"/>
        </w:rPr>
        <w:t>
      168. В случае смены держателя регистрационного удостоверения в референтном государстве или государстве признания новый держатель регистрационного удостоверения должен представить документальное обоснование такой смены (трансфера) и подтверждение возможности осуществления взаимодействия с держателями регистрационного удостоверения в других государствах-членах, обеспечивающего надлежащее выполнение им всех обязанностей держателя регистрационного удостоверения.</w:t>
      </w:r>
    </w:p>
    <w:bookmarkEnd w:id="517"/>
    <w:bookmarkStart w:name="z456" w:id="518"/>
    <w:p>
      <w:pPr>
        <w:spacing w:after="0"/>
        <w:ind w:left="0"/>
        <w:jc w:val="both"/>
      </w:pPr>
      <w:r>
        <w:rPr>
          <w:rFonts w:ascii="Times New Roman"/>
          <w:b w:val="false"/>
          <w:i w:val="false"/>
          <w:color w:val="000000"/>
          <w:sz w:val="28"/>
        </w:rPr>
        <w:t>
      169. В период действия регистрационного удостоверения лекарственного препарата, выданного на неограниченный срок, осуществляется периодическая оценка соотношения "польза – риск" на основании фармаконадзора, а также для актуализации информации о лекарственном препарате (с учетом заключений по результатам оценки и рекомендаций уполномоченного органа (экспертной организации) государства-члена или Экспертного комитета).</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решения Совета Евразийской экономической комиссии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bookmarkStart w:name="z457" w:id="519"/>
    <w:p>
      <w:pPr>
        <w:spacing w:after="0"/>
        <w:ind w:left="0"/>
        <w:jc w:val="left"/>
      </w:pPr>
      <w:r>
        <w:rPr>
          <w:rFonts w:ascii="Times New Roman"/>
          <w:b/>
          <w:i w:val="false"/>
          <w:color w:val="000000"/>
        </w:rPr>
        <w:t xml:space="preserve"> XIII. Процедура приведения регистрационного досье лекарственного препарата, зарегистрированного по правилам государства-члена, в соответствие с требованиями Союза</w:t>
      </w:r>
    </w:p>
    <w:bookmarkEnd w:id="519"/>
    <w:p>
      <w:pPr>
        <w:spacing w:after="0"/>
        <w:ind w:left="0"/>
        <w:jc w:val="both"/>
      </w:pPr>
      <w:r>
        <w:rPr>
          <w:rFonts w:ascii="Times New Roman"/>
          <w:b w:val="false"/>
          <w:i w:val="false"/>
          <w:color w:val="ff0000"/>
          <w:sz w:val="28"/>
        </w:rPr>
        <w:t xml:space="preserve">
      Сноска.  Наименование раздела XIII – в редакции решения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458" w:id="520"/>
    <w:p>
      <w:pPr>
        <w:spacing w:after="0"/>
        <w:ind w:left="0"/>
        <w:jc w:val="both"/>
      </w:pPr>
      <w:r>
        <w:rPr>
          <w:rFonts w:ascii="Times New Roman"/>
          <w:b w:val="false"/>
          <w:i w:val="false"/>
          <w:color w:val="000000"/>
          <w:sz w:val="28"/>
        </w:rPr>
        <w:t xml:space="preserve">
      170. Заявление о приведении в соответствие с требованиями Союза регистрационного досье лекарственного препарата, зарегистрированного по правилам государств-членов, должно быть представлено в уполномоченный орган (экспертную организацию) референтного государства до 31 декабря 2025 г. </w:t>
      </w:r>
    </w:p>
    <w:bookmarkEnd w:id="520"/>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5 рабочих дней информирует о заявлениях о приведении в соответствие с требованиями Союза регистрационного досье лекарственного препарата, поданных по состоянию на 31 декабря 2025 г. (включая заявления о внесении изменений в регистрационное досье лекарственного препарата с указанием государств признания, в которых лекарственный препарат был ранее зарегистрирован), уполномоченные органы (экспертные организации) государств-членов, указанных в заявлении в качестве государств признания, и в последующем о принимаемых решениях в период проведения процедуры приведения в соответствие с требованиями Союза.</w:t>
      </w:r>
    </w:p>
    <w:p>
      <w:pPr>
        <w:spacing w:after="0"/>
        <w:ind w:left="0"/>
        <w:jc w:val="both"/>
      </w:pPr>
      <w:r>
        <w:rPr>
          <w:rFonts w:ascii="Times New Roman"/>
          <w:b w:val="false"/>
          <w:i w:val="false"/>
          <w:color w:val="000000"/>
          <w:sz w:val="28"/>
        </w:rPr>
        <w:t>
      В случае отказа в приведении в соответствие с требованиями Союза, внесении изменений в регистрационное досье лекарственного препарата с указанием государств признания, в которых лекарственный препарат был ранее зарегистрирован, или в случае отзыва заявителем заявления о приведении в соответствие с требованиями Союза в референтном государстве заявитель должен проинформировать уполномоченные органы (экспертные организации) государств признания, указанных в заявлении, о дальнейших намерениях в отношении регистрационного досье этого лекарственного препарата.</w:t>
      </w:r>
    </w:p>
    <w:p>
      <w:pPr>
        <w:spacing w:after="0"/>
        <w:ind w:left="0"/>
        <w:jc w:val="both"/>
      </w:pPr>
      <w:r>
        <w:rPr>
          <w:rFonts w:ascii="Times New Roman"/>
          <w:b w:val="false"/>
          <w:i w:val="false"/>
          <w:color w:val="000000"/>
          <w:sz w:val="28"/>
        </w:rPr>
        <w:t>
      В период проведения процедуры приведения в соответствие с требованиями Союза (в том числе при проведении процедуры внесения изменений в регистрационное досье лекарственного препарата, предусмотренной приложением № 19 к настоящим Правилам, или процедуры внесения изменений в регистрационное досье лекарственного препарата с указанием государств признания, в которых лекарственный препарат был ранее зарегистрирован) действие регистрационного удостоверения, выданного в соответствии с законодательством государства-члена, в которое представлено заявление, в данном государстве-члене и в других государствах-членах, указанных в графе "иные государства – члены Евразийского экономического союза для подачи заявления (при наличии)" в заявлении по форме, предусмотренной приложением № 2 к настоящим Правилам, продлевается на сроки, предусмотренные подпунктом "е" пункта 2 Решения Совета, в каждом из государств-членов, где данный препарат зарегистрирован в соответствии с его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в редакции решения Совета Евразийской экономической комиссии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 с изменениями, внесенными решением Совета Евразийской экономической комиссии от 12.09.2025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459" w:id="521"/>
    <w:p>
      <w:pPr>
        <w:spacing w:after="0"/>
        <w:ind w:left="0"/>
        <w:jc w:val="both"/>
      </w:pPr>
      <w:r>
        <w:rPr>
          <w:rFonts w:ascii="Times New Roman"/>
          <w:b w:val="false"/>
          <w:i w:val="false"/>
          <w:color w:val="000000"/>
          <w:sz w:val="28"/>
        </w:rPr>
        <w:t>
      171. Приведение регистрационного досье в соответствие с требованиями Союза включает в себя представление документов регистрационного досье на зарегистрированный лекарственный препарат в формате общего технического документа в соответствии с приложением № 1 к настоящим Правилам.</w:t>
      </w:r>
    </w:p>
    <w:bookmarkEnd w:id="521"/>
    <w:p>
      <w:pPr>
        <w:spacing w:after="0"/>
        <w:ind w:left="0"/>
        <w:jc w:val="both"/>
      </w:pPr>
      <w:r>
        <w:rPr>
          <w:rFonts w:ascii="Times New Roman"/>
          <w:b w:val="false"/>
          <w:i w:val="false"/>
          <w:color w:val="000000"/>
          <w:sz w:val="28"/>
        </w:rPr>
        <w:t>
      При инициировании процедуры приведения в соответствие с требованиями Союза заявитель представляет в уполномоченный орган (экспертную организацию) референтного государства письменное подтверждение, что документы и данные, содержащиеся в представленном обновленном регистрационном досье в формате общего технического документа, соответствуют по своему содержанию данным регистрационного досье зарегистрированного в государствах-членах (государстве-члене) лекарственного препарата и не содержат изменений регистрационного досье, влияющих на качество, эффективность, безопасность или соотношение "польза - риск" лекарственного препарата, в виде документа "К сведению экспертов", предусмотренного пунктом 1.0 приложения № 1 к настоящим Правилам.</w:t>
      </w:r>
    </w:p>
    <w:p>
      <w:pPr>
        <w:spacing w:after="0"/>
        <w:ind w:left="0"/>
        <w:jc w:val="both"/>
      </w:pPr>
      <w:r>
        <w:rPr>
          <w:rFonts w:ascii="Times New Roman"/>
          <w:b w:val="false"/>
          <w:i w:val="false"/>
          <w:color w:val="000000"/>
          <w:sz w:val="28"/>
        </w:rPr>
        <w:t>
      Приведение регистрационного досье в соответствие с требованиями Союза в части приведения проектов макетов упаковки, общей характеристики лекарственного препарата, инструкции по медицинскому применению (листка-вкладыша) и нормативного документа по качеству в соответствие с актами Комиссии не рассматривается как изменение, требующее переоценки соотношения "польза – риск", и не является изменением, влияющим на соответствие содержания данных регистрационного досье, приводимого в соответствие с требованиями Союза, содержанию данных регистрационного досье зарегистрированного лекарственного препарата.</w:t>
      </w:r>
    </w:p>
    <w:bookmarkStart w:name="z11897" w:id="522"/>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первом и втором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с изменениями, внесенными решениями Совета Евразийской экономической комиссии от 23.04.2021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При приведении в соответствие с требованиями Союза, заявителем могут одновременно вноситься изменения в регистрационное досье зарегистрированного лекарственного препарата. В этом случае процедура внесения таких изменений и оценка досье на соответствие актам, входящим в право Союза, осуществляется в соответствии с приложением № 19 к настоящим Правилам.</w:t>
      </w:r>
    </w:p>
    <w:bookmarkStart w:name="z12311" w:id="523"/>
    <w:p>
      <w:pPr>
        <w:spacing w:after="0"/>
        <w:ind w:left="0"/>
        <w:jc w:val="both"/>
      </w:pPr>
      <w:r>
        <w:rPr>
          <w:rFonts w:ascii="Times New Roman"/>
          <w:b w:val="false"/>
          <w:i w:val="false"/>
          <w:color w:val="000000"/>
          <w:sz w:val="28"/>
        </w:rPr>
        <w:t>
      Перечень изменений, которые в соответствии с настоящим пунктом могут вноситься заявителем одновременно с приведением в соответствие с требованиями Союза, указан в дополнении VI к приложению № 19 к настоящим Правилам и содержит неклассифицируемые изменения IB типа. При этом уполномоченный орган (экспертная организация) референтного государства вправе рассматривать вносимые одновременно изменения в сроки, предусмотренные для процедуры приведения в соответствие с требованиями Союза.</w:t>
      </w:r>
    </w:p>
    <w:bookmarkEnd w:id="523"/>
    <w:bookmarkStart w:name="z11898" w:id="524"/>
    <w:p>
      <w:pPr>
        <w:spacing w:after="0"/>
        <w:ind w:left="0"/>
        <w:jc w:val="both"/>
      </w:pPr>
      <w:r>
        <w:rPr>
          <w:rFonts w:ascii="Times New Roman"/>
          <w:b w:val="false"/>
          <w:i w:val="false"/>
          <w:color w:val="000000"/>
          <w:sz w:val="28"/>
        </w:rPr>
        <w:t>
      Допускается внесение заявителем изменений по процедуре, предусмотренной приложением № 19 к настоящим Правилам, по окончании процедуры приведения в соответствие с требованиями Союза в референтном государстве до даты инициирования процедуры взаимного признания и в процессе указанной процедуры в государстве (государствах) признания (до или после подачи соответствующего заявления в уполномоченные органы (экспертные организации) государства признания).</w:t>
      </w:r>
    </w:p>
    <w:bookmarkEnd w:id="524"/>
    <w:p>
      <w:pPr>
        <w:spacing w:after="0"/>
        <w:ind w:left="0"/>
        <w:jc w:val="both"/>
      </w:pPr>
      <w:r>
        <w:rPr>
          <w:rFonts w:ascii="Times New Roman"/>
          <w:b w:val="false"/>
          <w:i w:val="false"/>
          <w:color w:val="000000"/>
          <w:sz w:val="28"/>
        </w:rPr>
        <w:t xml:space="preserve">
      В этих случаях после завершения процедуры взаимного признания в государстве признания заявитель должен представить в уполномоченный орган (экспертную организацию) государства признания заявление о внесении изменений, которые не были внесены в регистрационное досье в референтном государстве до инициирования процедуры взаимного признания в государстве (государствах) признания. </w:t>
      </w:r>
    </w:p>
    <w:p>
      <w:pPr>
        <w:spacing w:after="0"/>
        <w:ind w:left="0"/>
        <w:jc w:val="both"/>
      </w:pPr>
      <w:r>
        <w:rPr>
          <w:rFonts w:ascii="Times New Roman"/>
          <w:b w:val="false"/>
          <w:i w:val="false"/>
          <w:color w:val="000000"/>
          <w:sz w:val="28"/>
        </w:rPr>
        <w:t>
      По согласованию с уполномоченным органом (экспертной организацией) государства признания заявитель во время проведения процедуры взаимного признания в государстве (государствах) признания вправе подать заявление о внесении изменений, которые не были внесены в регистрационное досье в референтном государстве.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462" w:id="525"/>
    <w:p>
      <w:pPr>
        <w:spacing w:after="0"/>
        <w:ind w:left="0"/>
        <w:jc w:val="both"/>
      </w:pPr>
      <w:r>
        <w:rPr>
          <w:rFonts w:ascii="Times New Roman"/>
          <w:b w:val="false"/>
          <w:i w:val="false"/>
          <w:color w:val="000000"/>
          <w:sz w:val="28"/>
        </w:rPr>
        <w:t>
      173. Длительность процедуры приведения регистрационного досье лекарственного препарата в соответствие с актами, входящими в право Союза, не превышает 70 рабочих дней с даты подачи соответствующего заявления на приведение регистрационного досье в соответствие с актами, входящими в право Союза.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В случае если лекарственный препарат зарегистрирован более чем в одном государстве-члене, заявитель выбирает одно из них в качестве референтного государства, в уполномоченный орган (экспертную организацию) которого направляет заявление, документы и данные регистрационного досье в соответствии с пунктом 175 настоящих Правил. При принятии положительного решения о приведении регистрационного досье лекарственного препарата в соответствие с актами, входящими в право Союза, уполномоченным органом (экспертной организацией) референтного государства процедура приведения в соответствие регистрационного досье лекарственного препарата в государствах признания осуществляется по типу взаимного признания регистрации в соответствии с процедурами, указанными в пунктах 66 - 82 настоящих Правил.</w:t>
      </w:r>
    </w:p>
    <w:bookmarkStart w:name="z11900" w:id="526"/>
    <w:p>
      <w:pPr>
        <w:spacing w:after="0"/>
        <w:ind w:left="0"/>
        <w:jc w:val="both"/>
      </w:pPr>
      <w:r>
        <w:rPr>
          <w:rFonts w:ascii="Times New Roman"/>
          <w:b w:val="false"/>
          <w:i w:val="false"/>
          <w:color w:val="000000"/>
          <w:sz w:val="28"/>
        </w:rPr>
        <w:t>
      Допускается одновременное инициирование процедуры взаимного признания в нескольких государствах признания.</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464" w:id="527"/>
    <w:p>
      <w:pPr>
        <w:spacing w:after="0"/>
        <w:ind w:left="0"/>
        <w:jc w:val="both"/>
      </w:pPr>
      <w:r>
        <w:rPr>
          <w:rFonts w:ascii="Times New Roman"/>
          <w:b w:val="false"/>
          <w:i w:val="false"/>
          <w:color w:val="000000"/>
          <w:sz w:val="28"/>
        </w:rPr>
        <w:t>
      175. Для приведения регистрационного досье лекарственного препарата в соответствие с требованиями Союза и продолжения обращения лекарственного препарата на территориях государств-членов, в которых он зарегистрирован, заявитель подает в уполномоченный орган (экспертную организацию) референтного государства, в котором зарегистрирован лекарственный препарат:</w:t>
      </w:r>
    </w:p>
    <w:bookmarkEnd w:id="527"/>
    <w:bookmarkStart w:name="z12312" w:id="528"/>
    <w:p>
      <w:pPr>
        <w:spacing w:after="0"/>
        <w:ind w:left="0"/>
        <w:jc w:val="both"/>
      </w:pPr>
      <w:r>
        <w:rPr>
          <w:rFonts w:ascii="Times New Roman"/>
          <w:b w:val="false"/>
          <w:i w:val="false"/>
          <w:color w:val="000000"/>
          <w:sz w:val="28"/>
        </w:rPr>
        <w:t xml:space="preserve">
      заявление на бумажном носителе или в виде электронного документа, подписанного электронной подписью, по форме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настоящим Правилам;</w:t>
      </w:r>
    </w:p>
    <w:bookmarkEnd w:id="528"/>
    <w:bookmarkStart w:name="z12313" w:id="529"/>
    <w:p>
      <w:pPr>
        <w:spacing w:after="0"/>
        <w:ind w:left="0"/>
        <w:jc w:val="both"/>
      </w:pPr>
      <w:r>
        <w:rPr>
          <w:rFonts w:ascii="Times New Roman"/>
          <w:b w:val="false"/>
          <w:i w:val="false"/>
          <w:color w:val="000000"/>
          <w:sz w:val="28"/>
        </w:rPr>
        <w:t>
      документы, подтверждающие оплату сбора (пошлины) за приведение в соответствие с требованиями Союза в случае и порядке, которые установлены в соответствии с законодательством государств признания, на бумажном носителе или в виде электронного документа;</w:t>
      </w:r>
    </w:p>
    <w:bookmarkEnd w:id="529"/>
    <w:bookmarkStart w:name="z12314" w:id="530"/>
    <w:p>
      <w:pPr>
        <w:spacing w:after="0"/>
        <w:ind w:left="0"/>
        <w:jc w:val="both"/>
      </w:pPr>
      <w:r>
        <w:rPr>
          <w:rFonts w:ascii="Times New Roman"/>
          <w:b w:val="false"/>
          <w:i w:val="false"/>
          <w:color w:val="000000"/>
          <w:sz w:val="28"/>
        </w:rPr>
        <w:t>
      модули 1 – 3 регистрационного досье лекарственного препарата на электронном носителе и (или) в виде электронных документов в соответствии с приложениями № 1 – 5 к настоящим Правилам.</w:t>
      </w:r>
    </w:p>
    <w:bookmarkEnd w:id="530"/>
    <w:bookmarkStart w:name="z12315" w:id="531"/>
    <w:p>
      <w:pPr>
        <w:spacing w:after="0"/>
        <w:ind w:left="0"/>
        <w:jc w:val="both"/>
      </w:pPr>
      <w:r>
        <w:rPr>
          <w:rFonts w:ascii="Times New Roman"/>
          <w:b w:val="false"/>
          <w:i w:val="false"/>
          <w:color w:val="000000"/>
          <w:sz w:val="28"/>
        </w:rPr>
        <w:t>
      При этом модуль 2 регистрационного досье допускается представлять в виде обзорных частей с необходимой актуализацией изменений (в форме приложений) в соответствующих разделах 2.3 – 2.5 модуля 2 регистрационного досье.</w:t>
      </w:r>
    </w:p>
    <w:bookmarkEnd w:id="531"/>
    <w:bookmarkStart w:name="z12316" w:id="532"/>
    <w:p>
      <w:pPr>
        <w:spacing w:after="0"/>
        <w:ind w:left="0"/>
        <w:jc w:val="both"/>
      </w:pPr>
      <w:r>
        <w:rPr>
          <w:rFonts w:ascii="Times New Roman"/>
          <w:b w:val="false"/>
          <w:i w:val="false"/>
          <w:color w:val="000000"/>
          <w:sz w:val="28"/>
        </w:rPr>
        <w:t>
      При наличии отличий регистрационного досье лекарственного препарата, на основании которого лекарственный препарат зарегистрирован в разных государствах-членах, в дозировках, производственных площадках заявитель в модуле 1 регистрационного досье представляет актуализированную информацию об имеющихся отличиях и их обоснованиях в виде документа "К сведению экспертов", предусмотренного пунктом 1.0 приложения № 1 к настоящим Правилам.</w:t>
      </w:r>
    </w:p>
    <w:bookmarkEnd w:id="532"/>
    <w:bookmarkStart w:name="z12317" w:id="533"/>
    <w:p>
      <w:pPr>
        <w:spacing w:after="0"/>
        <w:ind w:left="0"/>
        <w:jc w:val="both"/>
      </w:pPr>
      <w:r>
        <w:rPr>
          <w:rFonts w:ascii="Times New Roman"/>
          <w:b w:val="false"/>
          <w:i w:val="false"/>
          <w:color w:val="000000"/>
          <w:sz w:val="28"/>
        </w:rPr>
        <w:t>
      В случае наличия разных производственных площадок необходимо представлять в уполномоченный орган (экспертную организацию) государства-члена сравнительные сопоставимые исследования.</w:t>
      </w:r>
    </w:p>
    <w:bookmarkEnd w:id="533"/>
    <w:bookmarkStart w:name="z12318" w:id="534"/>
    <w:p>
      <w:pPr>
        <w:spacing w:after="0"/>
        <w:ind w:left="0"/>
        <w:jc w:val="both"/>
      </w:pPr>
      <w:r>
        <w:rPr>
          <w:rFonts w:ascii="Times New Roman"/>
          <w:b w:val="false"/>
          <w:i w:val="false"/>
          <w:color w:val="000000"/>
          <w:sz w:val="28"/>
        </w:rPr>
        <w:t>
      При наличии отличий в показаниях к применению, дозировках и путях введения лекарственного препарата в разных государствах-членах заявитель в разделах 2.4 и 2.5 модуля 2 регистрационного досье лекарственного препарата представляет актуализированную информацию об имеющихся отличиях и их обоснованиях, а в модулях 4 и (или) 5 регистрационного досье лекарственного препарата – отчеты о проведении соответствующих исследований.</w:t>
      </w:r>
    </w:p>
    <w:bookmarkEnd w:id="534"/>
    <w:bookmarkStart w:name="z12319" w:id="535"/>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втором – четвертом настоящего пункта, может осуществляться с использованием системы электронного документооборота без представления соответствующих документов и сведений на бумажном носителе, подписанных и (или) заверенных электронной подписью заявителя.</w:t>
      </w:r>
    </w:p>
    <w:bookmarkEnd w:id="535"/>
    <w:bookmarkStart w:name="z12320" w:id="536"/>
    <w:p>
      <w:pPr>
        <w:spacing w:after="0"/>
        <w:ind w:left="0"/>
        <w:jc w:val="both"/>
      </w:pPr>
      <w:r>
        <w:rPr>
          <w:rFonts w:ascii="Times New Roman"/>
          <w:b w:val="false"/>
          <w:i w:val="false"/>
          <w:color w:val="000000"/>
          <w:sz w:val="28"/>
        </w:rPr>
        <w:t xml:space="preserve">
      Данные доклинических и клинических исследований, проведенных в соответствии с требованиями законодательства государств-членов, представляются в модулях 4 и 5 регистрационного досье лекарственного препарата (без обязательного приведения отчетов о доклинических (неклинических) исследованиях и клинических исследованиях (испытаниях) лекарственного препарата в соответствие с правилами оформления таких отчетов, установленными актами органов Союза) в виде соответствующих отчетов. </w:t>
      </w:r>
    </w:p>
    <w:bookmarkEnd w:id="536"/>
    <w:bookmarkStart w:name="z12321" w:id="537"/>
    <w:p>
      <w:pPr>
        <w:spacing w:after="0"/>
        <w:ind w:left="0"/>
        <w:jc w:val="both"/>
      </w:pPr>
      <w:r>
        <w:rPr>
          <w:rFonts w:ascii="Times New Roman"/>
          <w:b w:val="false"/>
          <w:i w:val="false"/>
          <w:color w:val="000000"/>
          <w:sz w:val="28"/>
        </w:rPr>
        <w:t>
      Заявитель вправе отозвать свое заявление в любое время до окончания процедуры приведения в соответствие с требованиями Союза, письменно уведомив об этом уполномоченный орган государства-члена, в котором рассматривается заявление.</w:t>
      </w:r>
    </w:p>
    <w:bookmarkEnd w:id="537"/>
    <w:bookmarkStart w:name="z12322" w:id="538"/>
    <w:p>
      <w:pPr>
        <w:spacing w:after="0"/>
        <w:ind w:left="0"/>
        <w:jc w:val="both"/>
      </w:pPr>
      <w:r>
        <w:rPr>
          <w:rFonts w:ascii="Times New Roman"/>
          <w:b w:val="false"/>
          <w:i w:val="false"/>
          <w:color w:val="000000"/>
          <w:sz w:val="28"/>
        </w:rPr>
        <w:t>
      В случае отзыва заявления уполномоченный орган государства-члена, в котором рассматривается заявление, прекращает рассмотрение заявления по существу и возвращает заявителю оригиналы представленных вместе с заявлением документов и (или) сведений.</w:t>
      </w:r>
    </w:p>
    <w:bookmarkEnd w:id="538"/>
    <w:bookmarkStart w:name="z12323" w:id="539"/>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при проведении экспертизы регистрационного досье лекарственного препарата в рамках процедуры приведения в соответствие с требованиями Союза при отсутствии необходимых данных в модулях 4 и 5 регистрационного досье лекарственного препарата либо при наличии новой актуальной информации по безопасности данного лекарственного препарата по итогам проведения экспертизы вправе устанавливать дополнительные обязательства держателя регистрационного удостоверения, предусмотренные разделом VII настоящих Правил (включая ограниченный (срочный) срок действия регистрационного удостоверения).</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решения Совета Евразийской экономической комиссии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w:t>
      </w:r>
      <w:r>
        <w:rPr>
          <w:rFonts w:ascii="Times New Roman"/>
          <w:b w:val="false"/>
          <w:i w:val="false"/>
          <w:color w:val="000000"/>
          <w:vertAlign w:val="superscript"/>
        </w:rPr>
        <w:t>1</w:t>
      </w:r>
      <w:r>
        <w:rPr>
          <w:rFonts w:ascii="Times New Roman"/>
          <w:b w:val="false"/>
          <w:i w:val="false"/>
          <w:color w:val="000000"/>
          <w:sz w:val="28"/>
        </w:rPr>
        <w:t xml:space="preserve">. В случае если лекарственный препарат зарегистрирован в одном государстве-члене и предназначен для обращения только на его территории, заявитель вправе представить на государственном языке (государственных языках) этого государства-члена или на ином языке (если это предусмотрено законодательством государства-члена) без перевода на русский язык (в случае если русский язык не является государственным языком этого государства-члена) только модули 1 – 3 регистрационного досье лекарственного препарата (в электронном виде в соответствии с </w:t>
      </w:r>
      <w:r>
        <w:rPr>
          <w:rFonts w:ascii="Times New Roman"/>
          <w:b w:val="false"/>
          <w:i w:val="false"/>
          <w:color w:val="000000"/>
          <w:sz w:val="28"/>
        </w:rPr>
        <w:t>приложениями №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Start w:name="z12324" w:id="540"/>
    <w:p>
      <w:pPr>
        <w:spacing w:after="0"/>
        <w:ind w:left="0"/>
        <w:jc w:val="both"/>
      </w:pPr>
      <w:r>
        <w:rPr>
          <w:rFonts w:ascii="Times New Roman"/>
          <w:b w:val="false"/>
          <w:i w:val="false"/>
          <w:color w:val="000000"/>
          <w:sz w:val="28"/>
        </w:rPr>
        <w:t>
      Модуль 2 регистрационного досье лекарственного препарата представляется в виде обзоров (разделы 2.3 – 2.5) с актуализацией изменений в виде приложения к исходным документам регистрационного досье.</w:t>
      </w:r>
    </w:p>
    <w:bookmarkEnd w:id="540"/>
    <w:bookmarkStart w:name="z12325" w:id="541"/>
    <w:p>
      <w:pPr>
        <w:spacing w:after="0"/>
        <w:ind w:left="0"/>
        <w:jc w:val="both"/>
      </w:pPr>
      <w:r>
        <w:rPr>
          <w:rFonts w:ascii="Times New Roman"/>
          <w:b w:val="false"/>
          <w:i w:val="false"/>
          <w:color w:val="000000"/>
          <w:sz w:val="28"/>
        </w:rPr>
        <w:t>
      При наличии документов модулей 4 и 5 регистрационного досье лекарственного препарата заявитель вправе представить их в составе регистрационного досье лекарственного препарата без представления разделов 2.4 и 2.5 модуля 2 регистрационного досье лекарственного препарата. Уполномоченный орган (экспертная организация) вправе истребовать документы модулей 4 и 5 регистрационного досье на основании запроса.</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175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23.04.2021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в редакции решения Совета Евразийской экономической комиссии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bookmarkStart w:name="z469" w:id="542"/>
    <w:p>
      <w:pPr>
        <w:spacing w:after="0"/>
        <w:ind w:left="0"/>
        <w:jc w:val="both"/>
      </w:pPr>
      <w:r>
        <w:rPr>
          <w:rFonts w:ascii="Times New Roman"/>
          <w:b w:val="false"/>
          <w:i w:val="false"/>
          <w:color w:val="000000"/>
          <w:sz w:val="28"/>
        </w:rPr>
        <w:t>
      176. Уполномоченный орган (экспертная организация) референтного государства-члена осуществляет оценку полноты, комплектности и правильности оформления представленных документов регистрационного досье лекарственного препарата до направления материалов регистрационного досье лекарственного препарата на экспертизу в течение 10 рабочих дней. Заявителю предоставляется не более 90 рабочих дней, не входящих в срок экспертизы, на представление недостающих материалов регистрационного досье лекарственного препарата по замечаниям уполномоченного органа (экспертной организации) референтного государства.</w:t>
      </w:r>
    </w:p>
    <w:bookmarkEnd w:id="542"/>
    <w:bookmarkStart w:name="z470" w:id="543"/>
    <w:p>
      <w:pPr>
        <w:spacing w:after="0"/>
        <w:ind w:left="0"/>
        <w:jc w:val="both"/>
      </w:pPr>
      <w:r>
        <w:rPr>
          <w:rFonts w:ascii="Times New Roman"/>
          <w:b w:val="false"/>
          <w:i w:val="false"/>
          <w:color w:val="000000"/>
          <w:sz w:val="28"/>
        </w:rPr>
        <w:t>
      Уполномоченный орган (экспертная организация) государства-члена отклоняет заявление на приведение регистрационного досье лекарственного препарата в соответствие с требованиями Союза в случае непредставления недостающих материалов регистрационного досье лекарственного препарата по замечаниям уполномоченного органа (экспертной организации) референтного государства и (или) неподтверждения оплаты сбора (пошлины) за приведение регистрационного досье лекарственного препарата в соответствие с требованиями Союза в случаях и порядке, установленных законодательством референтного государства.</w:t>
      </w:r>
    </w:p>
    <w:bookmarkEnd w:id="543"/>
    <w:bookmarkStart w:name="z11901" w:id="544"/>
    <w:p>
      <w:pPr>
        <w:spacing w:after="0"/>
        <w:ind w:left="0"/>
        <w:jc w:val="both"/>
      </w:pPr>
      <w:r>
        <w:rPr>
          <w:rFonts w:ascii="Times New Roman"/>
          <w:b w:val="false"/>
          <w:i w:val="false"/>
          <w:color w:val="000000"/>
          <w:sz w:val="28"/>
        </w:rPr>
        <w:t>
      Запрос уполномоченного органа (экспертной организации) заявителю должен быть передан в электронной форме по телекоммуникационным каналам связи и считается полученным по истечении 1 календарного дня с даты его направления.</w:t>
      </w:r>
    </w:p>
    <w:bookmarkEnd w:id="544"/>
    <w:bookmarkStart w:name="z11902" w:id="545"/>
    <w:p>
      <w:pPr>
        <w:spacing w:after="0"/>
        <w:ind w:left="0"/>
        <w:jc w:val="both"/>
      </w:pPr>
      <w:r>
        <w:rPr>
          <w:rFonts w:ascii="Times New Roman"/>
          <w:b w:val="false"/>
          <w:i w:val="false"/>
          <w:color w:val="000000"/>
          <w:sz w:val="28"/>
        </w:rPr>
        <w:t xml:space="preserve">
      Оценка ответа заявителя осуществляется в срок, не превышающий 5 рабочих дней с даты получения ответа заявителя. </w:t>
      </w:r>
    </w:p>
    <w:bookmarkEnd w:id="545"/>
    <w:bookmarkStart w:name="z11903" w:id="546"/>
    <w:p>
      <w:pPr>
        <w:spacing w:after="0"/>
        <w:ind w:left="0"/>
        <w:jc w:val="both"/>
      </w:pPr>
      <w:r>
        <w:rPr>
          <w:rFonts w:ascii="Times New Roman"/>
          <w:b w:val="false"/>
          <w:i w:val="false"/>
          <w:color w:val="000000"/>
          <w:sz w:val="28"/>
        </w:rPr>
        <w:t>
      Экспертиза, указанная в настоящем пункте, проводится в срок, не превышающий 45 рабочих дней с даты проведения оценки полноты, комплектности и правильности оформления документов, представленных в регистрационном досье, или с даты получения экспертной организацией соответствующего задания на проведение экспертизы.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изменениями, внесенными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71" w:id="547"/>
    <w:p>
      <w:pPr>
        <w:spacing w:after="0"/>
        <w:ind w:left="0"/>
        <w:jc w:val="both"/>
      </w:pPr>
      <w:r>
        <w:rPr>
          <w:rFonts w:ascii="Times New Roman"/>
          <w:b w:val="false"/>
          <w:i w:val="false"/>
          <w:color w:val="000000"/>
          <w:sz w:val="28"/>
        </w:rPr>
        <w:t>
      177. Уполномоченный орган (экспертная организация) референтного государства при проведении экспертизы лекарственного препарата в ходе процедуры приведения регистрационного досье лекарственного препарата в соответствие вправе направить заявителю запрос в письменном и (или) электронном виде о представлении дополнительной информации, необходимых разъяснений или уточнений, касающихся представленных документов и данных регистрационного досье лекарственного препарата (в том числе предложения о внесении изменений в ОХЛП, инструкцию по медицинскому применению, макеты упаковок лекарственного препарата, нормативный документ по качеству или иные документы регистрационного досье).</w:t>
      </w:r>
    </w:p>
    <w:bookmarkEnd w:id="547"/>
    <w:bookmarkStart w:name="z12326" w:id="548"/>
    <w:p>
      <w:pPr>
        <w:spacing w:after="0"/>
        <w:ind w:left="0"/>
        <w:jc w:val="both"/>
      </w:pPr>
      <w:r>
        <w:rPr>
          <w:rFonts w:ascii="Times New Roman"/>
          <w:b w:val="false"/>
          <w:i w:val="false"/>
          <w:color w:val="000000"/>
          <w:sz w:val="28"/>
        </w:rPr>
        <w:t>
      После первого запроса последующие запросы допускаются только в случае возникновения дополнительных вопросов, касающихся сведений, представленных заявителем в ответ на предшествующий запрос. Общий срок ответа на запросы не должен превышать 180 рабочих дней.</w:t>
      </w:r>
    </w:p>
    <w:bookmarkEnd w:id="548"/>
    <w:bookmarkStart w:name="z472" w:id="549"/>
    <w:p>
      <w:pPr>
        <w:spacing w:after="0"/>
        <w:ind w:left="0"/>
        <w:jc w:val="both"/>
      </w:pPr>
      <w:r>
        <w:rPr>
          <w:rFonts w:ascii="Times New Roman"/>
          <w:b w:val="false"/>
          <w:i w:val="false"/>
          <w:color w:val="000000"/>
          <w:sz w:val="28"/>
        </w:rPr>
        <w:t>
      Срок представления заявителем ответа на указанный запрос не должен превышать 90 рабочих дней. Время представления заявителем документов по запросу уполномоченного органа или экспертной организации в процессе экспертизы лекарственного препарата не входит в сроки проведения экспертизы лекарственного препарата при приведении регистрационного досье лекарственного препарата в соответствии с требованиями Союза.</w:t>
      </w:r>
    </w:p>
    <w:bookmarkEnd w:id="549"/>
    <w:bookmarkStart w:name="z473" w:id="550"/>
    <w:p>
      <w:pPr>
        <w:spacing w:after="0"/>
        <w:ind w:left="0"/>
        <w:jc w:val="both"/>
      </w:pPr>
      <w:r>
        <w:rPr>
          <w:rFonts w:ascii="Times New Roman"/>
          <w:b w:val="false"/>
          <w:i w:val="false"/>
          <w:color w:val="000000"/>
          <w:sz w:val="28"/>
        </w:rPr>
        <w:t>
      При непредставлении в установленный срок заявителем запрошенных документов и данных, экспертиза и процедура приведения регистрационного досье лекарственного препарата в соответствии с требованиями Союза прекращаются. О принятом решении уполномоченный орган (экспертная организация) референтного государства извещает заявителя и уполномоченные органы (экспертные организации) государств признания (при наличии) в течение 14 рабочих дней со дня принятия решения в письменном и (или) электронном виде.</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bookmarkStart w:name="z474" w:id="551"/>
    <w:p>
      <w:pPr>
        <w:spacing w:after="0"/>
        <w:ind w:left="0"/>
        <w:jc w:val="both"/>
      </w:pPr>
      <w:r>
        <w:rPr>
          <w:rFonts w:ascii="Times New Roman"/>
          <w:b w:val="false"/>
          <w:i w:val="false"/>
          <w:color w:val="000000"/>
          <w:sz w:val="28"/>
        </w:rPr>
        <w:t>
      178. По результатам экспертизы регистрационного досье лекарственного препарата уполномоченным органом (экспертной организацией) референтного государства составляется и утверждается экспертный отчет по оценке по форме в соответствии с приложением № 16 к настоящим Правилам на основании экспертизы представленных заявителем документов регистрационного досье лекарственного препарата в соответствии с пунктами 175 и 175</w:t>
      </w:r>
      <w:r>
        <w:rPr>
          <w:rFonts w:ascii="Times New Roman"/>
          <w:b w:val="false"/>
          <w:i w:val="false"/>
          <w:color w:val="000000"/>
          <w:vertAlign w:val="superscript"/>
        </w:rPr>
        <w:t>1</w:t>
      </w:r>
      <w:r>
        <w:rPr>
          <w:rFonts w:ascii="Times New Roman"/>
          <w:b w:val="false"/>
          <w:i w:val="false"/>
          <w:color w:val="000000"/>
          <w:sz w:val="28"/>
        </w:rPr>
        <w:t xml:space="preserve"> настоящих Правил, включая оценку полученных от заявителя разъяснений, документов и данных, представленных в ответ на запрос экспертной организации или уполномоченного органа.</w:t>
      </w:r>
    </w:p>
    <w:bookmarkEnd w:id="551"/>
    <w:bookmarkStart w:name="z475" w:id="552"/>
    <w:p>
      <w:pPr>
        <w:spacing w:after="0"/>
        <w:ind w:left="0"/>
        <w:jc w:val="both"/>
      </w:pPr>
      <w:r>
        <w:rPr>
          <w:rFonts w:ascii="Times New Roman"/>
          <w:b w:val="false"/>
          <w:i w:val="false"/>
          <w:color w:val="000000"/>
          <w:sz w:val="28"/>
        </w:rPr>
        <w:t>
      При проведении экспертизы регистрационного досье лекарственного препарата в рамках процедуры приведения регистрационного досье лекарственного препарата в соответствие с требованиями Союза переоценка соотношения "польза - риск" не проводится за исключением случаев, указанных в пункте 181 настоящих Правил.</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решения Совета Евразийской экономической комиссии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bookmarkStart w:name="z476" w:id="553"/>
    <w:p>
      <w:pPr>
        <w:spacing w:after="0"/>
        <w:ind w:left="0"/>
        <w:jc w:val="both"/>
      </w:pPr>
      <w:r>
        <w:rPr>
          <w:rFonts w:ascii="Times New Roman"/>
          <w:b w:val="false"/>
          <w:i w:val="false"/>
          <w:color w:val="000000"/>
          <w:sz w:val="28"/>
        </w:rPr>
        <w:t>
      179. Уполномоченный орган референтного государства отказывает в приведении регистрационного досье лекарственного препарата в соответствие с требованиями Союза, если по результатам экспертизы регистрационного досье лекарственного препарата установлено, что его качество не подтверждено, или в соответствии с частью второй пункта 178 настоящих Правил выявлено неблагоприятное соотношение "польза - риск".</w:t>
      </w:r>
    </w:p>
    <w:bookmarkEnd w:id="553"/>
    <w:bookmarkStart w:name="z477" w:id="554"/>
    <w:p>
      <w:pPr>
        <w:spacing w:after="0"/>
        <w:ind w:left="0"/>
        <w:jc w:val="both"/>
      </w:pPr>
      <w:r>
        <w:rPr>
          <w:rFonts w:ascii="Times New Roman"/>
          <w:b w:val="false"/>
          <w:i w:val="false"/>
          <w:color w:val="000000"/>
          <w:sz w:val="28"/>
        </w:rPr>
        <w:t>
      180. Если по результатам проведения экспертизы лекарственного препарата уполномоченным органом референтного государства принято положительное решение о соответствии регистрационного досье лекарственного препарата требованиям настоящих Правил, уполномоченный орган референтного государства в срок, не превышающий 10 рабочих дней с даты принятия решения, выдает заявителю регистрационное удостоверение лекарственного препарата по форме согласно приложению № 17 к настоящим Правилам, утвержденные ОХЛП, инструкцию по медицинскому применению, нормативный документ по качеству, макеты упаковок, экспертный отчет об оценке (при необходимости заявителю выдаются утвержденные ОХЛП, инструкция по медицинскому применению и макеты упаковок лекарственного препарата на государственном языке референтного государства), резюме согласованного плана управления рисками (при необходимости) и вносит сведения о регистрации лекарственного препарата в единый реестр.</w:t>
      </w:r>
    </w:p>
    <w:bookmarkEnd w:id="554"/>
    <w:bookmarkStart w:name="z478" w:id="555"/>
    <w:p>
      <w:pPr>
        <w:spacing w:after="0"/>
        <w:ind w:left="0"/>
        <w:jc w:val="both"/>
      </w:pPr>
      <w:r>
        <w:rPr>
          <w:rFonts w:ascii="Times New Roman"/>
          <w:b w:val="false"/>
          <w:i w:val="false"/>
          <w:color w:val="000000"/>
          <w:sz w:val="28"/>
        </w:rPr>
        <w:t>
      При приведении в соответствие с требованиями Союза для лекарственного препарата, зарегистрированного в соответствии с законодательством государства-члена на протяжении 5 лет и более, выдается бессрочное регистрационное удостоверение в случае, если лекарственный препарат предполагается к обращению на рынке только этого государства-члена. По итогам процедуры приведения в соответствие с требованиями Союза регистрационное удостоверение лекарственного препарата, зарегистрированного в соответствии с законодательством государств-членов, указанных в заявлении о приведении в соответствие с требованиями Союза, и зарегистрированного на протяжении 5 лет и более на рынке референтного государства, выдается на неограниченный срок в рамках процедуры приведения в соответствие с требованиями Союза согласно разделу XIII настоящих Правил. В случае если с момента регистрации лекарственного препарата в референтном государстве прошло менее 5 лет, уполномоченный орган референтного государства по итогам процедуры приведения в соответствие с требованиями Союза выдает заявителю регистрационное удостоверение со сроком действия 5 лет, регистрацию (перерегистрацию) лекарственного препарата необходимо будет подтвердить по окончании срока действия регистрационного удостоверения. В этом случае уполномоченные органы государств-членов, в которые подано заявление о приведении в соответствие с требованиями Союза, выдают заявителю регистрационное удостоверение со сроком действия, установленным референтным государством.</w:t>
      </w:r>
    </w:p>
    <w:bookmarkEnd w:id="555"/>
    <w:bookmarkStart w:name="z9373" w:id="556"/>
    <w:p>
      <w:pPr>
        <w:spacing w:after="0"/>
        <w:ind w:left="0"/>
        <w:jc w:val="both"/>
      </w:pPr>
      <w:r>
        <w:rPr>
          <w:rFonts w:ascii="Times New Roman"/>
          <w:b w:val="false"/>
          <w:i w:val="false"/>
          <w:color w:val="000000"/>
          <w:sz w:val="28"/>
        </w:rPr>
        <w:t>
      После приведения регистрационного досье лекарственного препарата в соответствие с требованиями Союза допускается производство лекарственного препарата в государства-членах и третьих странах с регистрационным удостоверением, выданным в соответствии с законодательством государства-члена, в течение 180 календарных дней с даты приведения регистрационного досье в соответствие с требованиями Союза (датой завершения процедуры приведения в соответствие с требованиями Союза в каждом отдельном государстве-члене, указанном в заявлении в соответствии с пунктом 170 настоящих Правил, считается дата, указанная в регистрационном удостоверении лекарственного препарата)</w:t>
      </w:r>
    </w:p>
    <w:bookmarkEnd w:id="556"/>
    <w:p>
      <w:pPr>
        <w:spacing w:after="0"/>
        <w:ind w:left="0"/>
        <w:jc w:val="both"/>
      </w:pPr>
      <w:r>
        <w:rPr>
          <w:rFonts w:ascii="Times New Roman"/>
          <w:b w:val="false"/>
          <w:i w:val="false"/>
          <w:color w:val="000000"/>
          <w:sz w:val="28"/>
        </w:rPr>
        <w:t>
      В период проведения процедуры приведения в соответствие с требованиями Союза допускается обращение лекарственного препарата с регистрационным удостоверением, выданным в соответствии с законодательством государства-члена.</w:t>
      </w:r>
    </w:p>
    <w:bookmarkStart w:name="z9374" w:id="557"/>
    <w:p>
      <w:pPr>
        <w:spacing w:after="0"/>
        <w:ind w:left="0"/>
        <w:jc w:val="both"/>
      </w:pPr>
      <w:r>
        <w:rPr>
          <w:rFonts w:ascii="Times New Roman"/>
          <w:b w:val="false"/>
          <w:i w:val="false"/>
          <w:color w:val="000000"/>
          <w:sz w:val="28"/>
        </w:rPr>
        <w:t>
      Допускаются ввоз, одновременная реализация и медицинское применение лекарственных препаратов, указанных в абзаце третьем настоящего пункта, до окончания срока их годности (срока хранения), соответствующих документам и сведениям регистрационного досье, утвержденного в соответствии с законодательством государств-членов, и регистрационного досье, приведенного в соответствие с требованиями Союза.</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с изменениями, внесенными решениями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12327" w:id="558"/>
    <w:p>
      <w:pPr>
        <w:spacing w:after="0"/>
        <w:ind w:left="0"/>
        <w:jc w:val="both"/>
      </w:pPr>
      <w:r>
        <w:rPr>
          <w:rFonts w:ascii="Times New Roman"/>
          <w:b w:val="false"/>
          <w:i w:val="false"/>
          <w:color w:val="000000"/>
          <w:sz w:val="28"/>
        </w:rPr>
        <w:t>
      180</w:t>
      </w:r>
      <w:r>
        <w:rPr>
          <w:rFonts w:ascii="Times New Roman"/>
          <w:b w:val="false"/>
          <w:i w:val="false"/>
          <w:color w:val="000000"/>
          <w:vertAlign w:val="superscript"/>
        </w:rPr>
        <w:t>1</w:t>
      </w:r>
      <w:r>
        <w:rPr>
          <w:rFonts w:ascii="Times New Roman"/>
          <w:b w:val="false"/>
          <w:i w:val="false"/>
          <w:color w:val="000000"/>
          <w:sz w:val="28"/>
        </w:rPr>
        <w:t>. С целью гармонизации требований, предъявляемых к документам регистрационного досье лекарственного препарата, зарегистрированного в разных государствах-членах (при наличии отличий в сведениях регистрационного досье лекарственного препарата, зарегистрированного в соответствии с законодательством государств-членов), в рамках проведения процедуры приведения в соответствие с требованиями Союза допускается внесение существенных изменений в регистрационное досье лекарственного препарата в референтном государстве в соответствии с дополнением V к приложению № 19 к настоящим Правилам в случае, если в регистрационном досье лекарственного препарата, зарегистрированного в соответствии с законодательством государств-членов, содержатся документы и данные, в которые необходимо внести изменения. В этом случае уполномоченные органы (экспертные организации) государств-членов, в которых данный препарат зарегистрирован и в которые подано заявление о приведении в соответствие с требованиями Союза, принимают решение о приведении регистрационного досье лекарственного препарата в соответствие с требованиями Союза на основании оценки документов, указанных в пункте 69 настоящих Правил, в соответствии с пунктом 180 настоящих Правил. В таком случае заявитель представляет в уполномоченный орган (экспертную организацию) референтного государства регистрационное досье лекарственного препарата и информацию об имеющихся отличиях регистрационного досье лекарственного препарата, зарегистрированного в соответствии с законодательством государств-членов, и их обоснованиях в виде документа "К сведению экспертов", предусмотренного пунктом 1.0 приложения № 1 к настоящим Правилам.</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180</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Лекарственные препараты могут быть заявлены на регистрацию по процедуре взаимного признания в государствах-членах, в которых данный лекарственный препарат не был зарегистрирован в соответствии с законодательством государств-членов, после приведения его регистрационного досье в соответствие с требованиями Союза в референтном государстве.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с изменениями, внесенными решением Совета Евразийской экономической комиссии от 20.10.2023 </w:t>
      </w:r>
      <w:r>
        <w:rPr>
          <w:rFonts w:ascii="Times New Roman"/>
          <w:b w:val="false"/>
          <w:i w:val="false"/>
          <w:color w:val="000000"/>
          <w:sz w:val="28"/>
        </w:rPr>
        <w:t>№ 114</w:t>
      </w:r>
      <w:r>
        <w:rPr>
          <w:rFonts w:ascii="Times New Roman"/>
          <w:b w:val="false"/>
          <w:i w:val="false"/>
          <w:color w:val="ff0000"/>
          <w:sz w:val="28"/>
        </w:rPr>
        <w:t xml:space="preserve"> (вступает в силу с 20.12.2023).</w:t>
      </w:r>
      <w:r>
        <w:br/>
      </w:r>
      <w:r>
        <w:rPr>
          <w:rFonts w:ascii="Times New Roman"/>
          <w:b w:val="false"/>
          <w:i w:val="false"/>
          <w:color w:val="000000"/>
          <w:sz w:val="28"/>
        </w:rPr>
        <w:t>
</w:t>
      </w:r>
    </w:p>
    <w:bookmarkStart w:name="z480" w:id="559"/>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В рамках процедуры приведения в соответствие с требованиями Союза для последующей регистрации по процедуре взаимного признания в государстве-члене, в котором данный лекарственный препарат не был зарегистрирован или подан на регистрацию в соответствии с законодательством государства-члена, заявитель подает в уполномоченный орган (экспертную организацию) референтного государства:</w:t>
      </w:r>
    </w:p>
    <w:bookmarkEnd w:id="559"/>
    <w:p>
      <w:pPr>
        <w:spacing w:after="0"/>
        <w:ind w:left="0"/>
        <w:jc w:val="both"/>
      </w:pPr>
      <w:r>
        <w:rPr>
          <w:rFonts w:ascii="Times New Roman"/>
          <w:b w:val="false"/>
          <w:i w:val="false"/>
          <w:color w:val="000000"/>
          <w:sz w:val="28"/>
        </w:rPr>
        <w:t>
      заявление на бумажном носителе или в виде электронного документа, подписанного электронной подписью, по установленной форме в соответствии с приложением № 2 к настоящим Правилам;</w:t>
      </w:r>
    </w:p>
    <w:p>
      <w:pPr>
        <w:spacing w:after="0"/>
        <w:ind w:left="0"/>
        <w:jc w:val="both"/>
      </w:pPr>
      <w:r>
        <w:rPr>
          <w:rFonts w:ascii="Times New Roman"/>
          <w:b w:val="false"/>
          <w:i w:val="false"/>
          <w:color w:val="000000"/>
          <w:sz w:val="28"/>
        </w:rPr>
        <w:t>
      документы, подтверждающие оплату сбора (пошлины) за приведение в соответствие с требованиями Союза в случае и порядке, установленных в соответствии с законодательством государств признания, на бумажном носителе или в виде электронного документа;</w:t>
      </w:r>
    </w:p>
    <w:p>
      <w:pPr>
        <w:spacing w:after="0"/>
        <w:ind w:left="0"/>
        <w:jc w:val="both"/>
      </w:pPr>
      <w:r>
        <w:rPr>
          <w:rFonts w:ascii="Times New Roman"/>
          <w:b w:val="false"/>
          <w:i w:val="false"/>
          <w:color w:val="000000"/>
          <w:sz w:val="28"/>
        </w:rPr>
        <w:t>
      модули 1 – 5 регистрационного досье в соответствии с приложениями № 1 – 5 к настоящим Правилам в случае дальнейшего осуществления регистрации по процедуре взаимного признания в государствах-членах, в которых данный лекарственный препарат не был зарегистрирован или подан на регистрацию в соответствии с законодательством государства-члена.</w:t>
      </w:r>
    </w:p>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предоставление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w:t>
      </w:r>
    </w:p>
    <w:p>
      <w:pPr>
        <w:spacing w:after="0"/>
        <w:ind w:left="0"/>
        <w:jc w:val="both"/>
      </w:pPr>
      <w:r>
        <w:rPr>
          <w:rFonts w:ascii="Times New Roman"/>
          <w:b w:val="false"/>
          <w:i w:val="false"/>
          <w:color w:val="000000"/>
          <w:sz w:val="28"/>
        </w:rPr>
        <w:t>
      Все имеющиеся данные доклинических и клинических исследований, выполненных в соответствии с законодательством государств-членов, представляются в соответствии с настоящими Правилами в модулях 4 – 5 регистрационного досье в виде имеющихся отчетов, без обязательного их приведения в соответствие с требованиями к оформлению текстов отчетов о доклинических (неклинических) исследованиях и клинических исследованиях (испытаниях), предусмотренными правилами надлежащей лабораторной практики и надлежащей клинической практики, а также с Правилами проведения исследований биоэквивалентности лекарственных препаратов. Государство-член, в которое подано регистрационное досье для приведения его в соответствие с требованиями Союза, выступает в данном случае в качестве референтного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85" w:id="560"/>
    <w:p>
      <w:pPr>
        <w:spacing w:after="0"/>
        <w:ind w:left="0"/>
        <w:jc w:val="both"/>
      </w:pPr>
      <w:r>
        <w:rPr>
          <w:rFonts w:ascii="Times New Roman"/>
          <w:b w:val="false"/>
          <w:i w:val="false"/>
          <w:color w:val="000000"/>
          <w:sz w:val="28"/>
        </w:rPr>
        <w:t>
      183. В случае необходимости подготовки экспертного отчета по оценке для проведения процедуры взаимного признания в государстве, в котором данный лекарственный препарат не был зарегистрирован или подан на регистрацию в соответствии с законодательством государства-члена, проводятся переоценка соотношения "польза - риск" лекарственного препарата и экспертиза лекарственного препарата в соответствии с процедурами, установленными в разделе V настоящих Правил.</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86" w:id="561"/>
    <w:p>
      <w:pPr>
        <w:spacing w:after="0"/>
        <w:ind w:left="0"/>
        <w:jc w:val="left"/>
      </w:pPr>
      <w:r>
        <w:rPr>
          <w:rFonts w:ascii="Times New Roman"/>
          <w:b/>
          <w:i w:val="false"/>
          <w:color w:val="000000"/>
        </w:rPr>
        <w:t xml:space="preserve"> XIV. Переходные положения </w:t>
      </w:r>
    </w:p>
    <w:bookmarkEnd w:id="561"/>
    <w:bookmarkStart w:name="z487" w:id="562"/>
    <w:p>
      <w:pPr>
        <w:spacing w:after="0"/>
        <w:ind w:left="0"/>
        <w:jc w:val="both"/>
      </w:pPr>
      <w:r>
        <w:rPr>
          <w:rFonts w:ascii="Times New Roman"/>
          <w:b w:val="false"/>
          <w:i w:val="false"/>
          <w:color w:val="000000"/>
          <w:sz w:val="28"/>
        </w:rPr>
        <w:t>
      184. Регистрация (проведение экспертных работ с целью регистрации), подтверждение регистрации (перерегистрация) и внесение изменений в регистрационное досье лекарственных препаратов, заявленных на регистрацию (проведение экспертных работ с целью регистрации), подтверждение регистрации (перерегистрацию) и внесение изменений в регистрационное досье лекарственных препаратов в государствах-членах до 1 июля 2021 г. (в Российской Федерации – до 31 декабря 2020 г.), осуществляются в соответствии с законодательством государств-членов.</w:t>
      </w:r>
    </w:p>
    <w:bookmarkEnd w:id="562"/>
    <w:p>
      <w:pPr>
        <w:spacing w:after="0"/>
        <w:ind w:left="0"/>
        <w:jc w:val="both"/>
      </w:pPr>
      <w:r>
        <w:rPr>
          <w:rFonts w:ascii="Times New Roman"/>
          <w:b w:val="false"/>
          <w:i w:val="false"/>
          <w:color w:val="000000"/>
          <w:sz w:val="28"/>
        </w:rPr>
        <w:t xml:space="preserve">
      По требованию заявителя регистрация лекарственного препарата, заявленного на регистрацию (проведение экспертных работ с целью регистрации) до 1 июля 2021 г. (в Российской Федерации – до 31 декабря 2020 г.), может быть осуществлена в соответствии с законодательством государства-члена без учета требований настоящих Правил. </w:t>
      </w:r>
    </w:p>
    <w:p>
      <w:pPr>
        <w:spacing w:after="0"/>
        <w:ind w:left="0"/>
        <w:jc w:val="both"/>
      </w:pPr>
      <w:r>
        <w:rPr>
          <w:rFonts w:ascii="Times New Roman"/>
          <w:b w:val="false"/>
          <w:i w:val="false"/>
          <w:color w:val="000000"/>
          <w:sz w:val="28"/>
        </w:rPr>
        <w:t>
      Регистрационное досье лекарственного препарата, зарегистрированного в соответствии с абзацами первым и вторым настоящего пункта, должно быть приведено в соответствие с требованиями Союза до 31 декабря 2025 г. в соответствии с процедурой, установленной разделом XIII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решения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 с изменением, внесенным решением Совета Евразийской экономической комиссии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488" w:id="563"/>
    <w:p>
      <w:pPr>
        <w:spacing w:after="0"/>
        <w:ind w:left="0"/>
        <w:jc w:val="both"/>
      </w:pPr>
      <w:r>
        <w:rPr>
          <w:rFonts w:ascii="Times New Roman"/>
          <w:b w:val="false"/>
          <w:i w:val="false"/>
          <w:color w:val="000000"/>
          <w:sz w:val="28"/>
        </w:rPr>
        <w:t>
      185. Подтверждение регистрации (перерегистрация) и внесение изменений в регистрационное досье лекарственного препарата, зарегистрированного в государствах-членах в соответствии с их законодательством и не прошедшего процедуру приведения в соответствие с требованиями Союза согласно разделу XIII настоящих Правил, осуществляются в соответствии с законодательством государств-членов до 31 декабря 2025 г. В случае подачи в референтное государство заявления о приведении в соответствие с требованиями Союза с применением процедуры, установленной разделом XIII настоящих Правил, до 31 декабря 2025 г. внесение изменений в регистрационные досье таких лекарственных препаратов, сформированные в соответствии с законодательством государств-членов, осуществляется согласно законодательству государств-членов до окончания срока действия таких регистрационных удостоверений, в соответствии с подпунктом "е" пункта 2 Решения Совета.</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предусмотрен в редакции решения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 с изменением, внесенным решением Совета Евразийской экономической комиссии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489" w:id="564"/>
    <w:p>
      <w:pPr>
        <w:spacing w:after="0"/>
        <w:ind w:left="0"/>
        <w:jc w:val="both"/>
      </w:pPr>
      <w:r>
        <w:rPr>
          <w:rFonts w:ascii="Times New Roman"/>
          <w:b w:val="false"/>
          <w:i w:val="false"/>
          <w:color w:val="000000"/>
          <w:sz w:val="28"/>
        </w:rPr>
        <w:t>
      186. Допускается одновременная реализация лекарственного препарата в ранее и вновь утвержденной упаковке с ранее и вновь утвержденной инструкцией по медицинскому применению до окончания срока годности (срока хранения) лекарственного препарата.</w:t>
      </w:r>
    </w:p>
    <w:bookmarkEnd w:id="564"/>
    <w:bookmarkStart w:name="z490" w:id="565"/>
    <w:p>
      <w:pPr>
        <w:spacing w:after="0"/>
        <w:ind w:left="0"/>
        <w:jc w:val="both"/>
      </w:pPr>
      <w:r>
        <w:rPr>
          <w:rFonts w:ascii="Times New Roman"/>
          <w:b w:val="false"/>
          <w:i w:val="false"/>
          <w:color w:val="000000"/>
          <w:sz w:val="28"/>
        </w:rPr>
        <w:t>
      Допускается реализация лекарственных препаратов, выпущенных в обращение на территории государства-члена в период проведения процедуры приведения в соответствие с требованиями Союза, на основании регистрационного удостоверения, выданного в соответствии с законодательством государства-члена, и (или) соответствующих сведений, указанных в реестрах государств-членов.</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22.05.2025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r>
        <w:br/>
      </w:r>
      <w:r>
        <w:rPr>
          <w:rFonts w:ascii="Times New Roman"/>
          <w:b w:val="false"/>
          <w:i w:val="false"/>
          <w:color w:val="000000"/>
          <w:sz w:val="28"/>
        </w:rPr>
        <w:t>
</w:t>
      </w:r>
    </w:p>
    <w:bookmarkStart w:name="z491" w:id="566"/>
    <w:p>
      <w:pPr>
        <w:spacing w:after="0"/>
        <w:ind w:left="0"/>
        <w:jc w:val="left"/>
      </w:pPr>
      <w:r>
        <w:rPr>
          <w:rFonts w:ascii="Times New Roman"/>
          <w:b/>
          <w:i w:val="false"/>
          <w:color w:val="000000"/>
        </w:rPr>
        <w:t xml:space="preserve"> XV. Особые случаи </w:t>
      </w:r>
    </w:p>
    <w:bookmarkEnd w:id="566"/>
    <w:bookmarkStart w:name="z492" w:id="567"/>
    <w:p>
      <w:pPr>
        <w:spacing w:after="0"/>
        <w:ind w:left="0"/>
        <w:jc w:val="both"/>
      </w:pPr>
      <w:r>
        <w:rPr>
          <w:rFonts w:ascii="Times New Roman"/>
          <w:b w:val="false"/>
          <w:i w:val="false"/>
          <w:color w:val="000000"/>
          <w:sz w:val="28"/>
        </w:rPr>
        <w:t>
      187. В отдельных случаях форма выпуска лекарственного препарата может включать в себя следующие виды дополнительной продукции (в том числе устройств, комплектующих средств), входящей в комплект упаковки лекарственного препарата:</w:t>
      </w:r>
    </w:p>
    <w:bookmarkEnd w:id="567"/>
    <w:p>
      <w:pPr>
        <w:spacing w:after="0"/>
        <w:ind w:left="0"/>
        <w:jc w:val="both"/>
      </w:pPr>
      <w:r>
        <w:rPr>
          <w:rFonts w:ascii="Times New Roman"/>
          <w:b w:val="false"/>
          <w:i w:val="false"/>
          <w:color w:val="000000"/>
          <w:sz w:val="28"/>
        </w:rPr>
        <w:t>
      а) продукция, входящая в комплект упаковки лекарственного препарата и не относящаяся к медицинским изделиям в соответствии с актами органов Союза в сфере обращения медицинских изделий;</w:t>
      </w:r>
    </w:p>
    <w:p>
      <w:pPr>
        <w:spacing w:after="0"/>
        <w:ind w:left="0"/>
        <w:jc w:val="both"/>
      </w:pPr>
      <w:r>
        <w:rPr>
          <w:rFonts w:ascii="Times New Roman"/>
          <w:b w:val="false"/>
          <w:i w:val="false"/>
          <w:color w:val="000000"/>
          <w:sz w:val="28"/>
        </w:rPr>
        <w:t>
      б) продукция, входящая в комплект упаковки лекарственного препарата, относящаяся к медицинским изделиям и не предназначенная для реализации отдельно от такого лекарственного препарата на таможенной территории Союза;</w:t>
      </w:r>
    </w:p>
    <w:p>
      <w:pPr>
        <w:spacing w:after="0"/>
        <w:ind w:left="0"/>
        <w:jc w:val="both"/>
      </w:pPr>
      <w:r>
        <w:rPr>
          <w:rFonts w:ascii="Times New Roman"/>
          <w:b w:val="false"/>
          <w:i w:val="false"/>
          <w:color w:val="000000"/>
          <w:sz w:val="28"/>
        </w:rPr>
        <w:t>
      в) продукция, входящая в комплект упаковки лекарственного препарата и относящаяся к медицинским изделиям, зарегистрированная как самостоятельное медицинское изделие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 46, или законодательством государства-члена в части, не урегулированной актами органов Союза, и допускающая реализацию отдельно от лекарственных препаратов.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решения Совета Евразийской экономической комиссии от 22.01.2025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 w:id="568"/>
    <w:p>
      <w:pPr>
        <w:spacing w:after="0"/>
        <w:ind w:left="0"/>
        <w:jc w:val="both"/>
      </w:pPr>
      <w:r>
        <w:rPr>
          <w:rFonts w:ascii="Times New Roman"/>
          <w:b w:val="false"/>
          <w:i w:val="false"/>
          <w:color w:val="000000"/>
          <w:sz w:val="28"/>
        </w:rPr>
        <w:t>
      187</w:t>
      </w:r>
      <w:r>
        <w:rPr>
          <w:rFonts w:ascii="Times New Roman"/>
          <w:b w:val="false"/>
          <w:i w:val="false"/>
          <w:color w:val="000000"/>
          <w:vertAlign w:val="superscript"/>
        </w:rPr>
        <w:t>1</w:t>
      </w:r>
      <w:r>
        <w:rPr>
          <w:rFonts w:ascii="Times New Roman"/>
          <w:b w:val="false"/>
          <w:i w:val="false"/>
          <w:color w:val="000000"/>
          <w:sz w:val="28"/>
        </w:rPr>
        <w:t xml:space="preserve">. Сведения о продукции (в том числе устройствах, комплектующих средствах), указанной в подпункте "а" пункта 187 настоящих Правил, включаются в соответствующие разделы регистрационного досье лекарственного препарата в соответствии с требованиями приложения № 1 к настоящим Правилам. </w:t>
      </w:r>
    </w:p>
    <w:bookmarkEnd w:id="568"/>
    <w:p>
      <w:pPr>
        <w:spacing w:after="0"/>
        <w:ind w:left="0"/>
        <w:jc w:val="both"/>
      </w:pPr>
      <w:r>
        <w:rPr>
          <w:rFonts w:ascii="Times New Roman"/>
          <w:b w:val="false"/>
          <w:i w:val="false"/>
          <w:color w:val="000000"/>
          <w:sz w:val="28"/>
        </w:rPr>
        <w:t xml:space="preserve">
      Продукция (в том числе устройства, комплектующие средства), указанная в подпункте "б" пункта 187 настоящих Правил, не подлежит обязательной регистрации в качестве медицинских изделий в соответствии с Правилами регистрации и экспертизы безопасности, качества и эффективности медицинских изделий. В составе регистрационного досье лекарственного препарата, включающего в себя такую продукцию, при его регистрации представляются сведения в соответствии с требованиями, предусмотренными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 в отношении данной продукции (в том числе устройств, комплектующих средств). В этом случае регистрация лекарственного препарата распространяется на все компоненты формы выпуска лекарственного препарата. При этом внесение изменений в регистрационное досье лекарственного препарата, касающихся данной продукции (в том числе устройств, комплектующих средств), необходимо осуществлять в соответствии c разделом IX настоящих Правил.</w:t>
      </w:r>
    </w:p>
    <w:p>
      <w:pPr>
        <w:spacing w:after="0"/>
        <w:ind w:left="0"/>
        <w:jc w:val="both"/>
      </w:pPr>
      <w:r>
        <w:rPr>
          <w:rFonts w:ascii="Times New Roman"/>
          <w:b w:val="false"/>
          <w:i w:val="false"/>
          <w:color w:val="000000"/>
          <w:sz w:val="28"/>
        </w:rPr>
        <w:t xml:space="preserve">
      Продукция (в том числе устройства, комплектующие средства), указанная в подпункте "в" пункта 187 настоящих Правил, должна сопровождаться копией регистрационного удостоверения медицинского изделия в составе регистрационного досье лекарственного препарата, а также сведениями в соответствии с требованиями, предусмотренными приложением № 1 к настоящим Правилам в отношении данной продукции. </w:t>
      </w:r>
    </w:p>
    <w:p>
      <w:pPr>
        <w:spacing w:after="0"/>
        <w:ind w:left="0"/>
        <w:jc w:val="both"/>
      </w:pPr>
      <w:r>
        <w:rPr>
          <w:rFonts w:ascii="Times New Roman"/>
          <w:b w:val="false"/>
          <w:i w:val="false"/>
          <w:color w:val="000000"/>
          <w:sz w:val="28"/>
        </w:rPr>
        <w:t>
      Внесение изменений в регистрационное досье лекарственного препарата, касающихся продукции (в том числе устройств, комплектующих средств), входящей в комплект упаковки, в том числе изменений, относящихся к медицинским изделиям, должно осуществляться в соответствии с разделом IX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XV дополнен пунктом 187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22.01.2025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344" w:id="569"/>
    <w:p>
      <w:pPr>
        <w:spacing w:after="0"/>
        <w:ind w:left="0"/>
        <w:jc w:val="both"/>
      </w:pPr>
      <w:r>
        <w:rPr>
          <w:rFonts w:ascii="Times New Roman"/>
          <w:b w:val="false"/>
          <w:i w:val="false"/>
          <w:color w:val="000000"/>
          <w:sz w:val="28"/>
        </w:rPr>
        <w:t>
      188. Внесение изменений в регистрационное досье вакцин при изменении штаммового состава вакцин для профилактики гриппа, а также регистрация пандемических и препандемических вакцин для профилактики гриппа и внесение изменений в их регистрационное досье осуществляются в соответствии с приложением № 24 к настоящим Правилам.</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188 в соответствии с решением Совета Евразийской экономической комиссии от 14.06.2018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1 с изменениями, внесенными решениями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05.03.2021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 от 23.04.2021 </w:t>
      </w:r>
      <w:r>
        <w:rPr>
          <w:rFonts w:ascii="Times New Roman"/>
          <w:b w:val="false"/>
          <w:i w:val="false"/>
          <w:color w:val="ff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23.09.2022 </w:t>
      </w:r>
      <w:r>
        <w:rPr>
          <w:rFonts w:ascii="Times New Roman"/>
          <w:b w:val="false"/>
          <w:i w:val="false"/>
          <w:color w:val="ff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ff0000"/>
          <w:sz w:val="28"/>
        </w:rPr>
        <w:t>№ 114</w:t>
      </w:r>
      <w:r>
        <w:rPr>
          <w:rFonts w:ascii="Times New Roman"/>
          <w:b w:val="false"/>
          <w:i w:val="false"/>
          <w:color w:val="ff0000"/>
          <w:sz w:val="28"/>
        </w:rPr>
        <w:t xml:space="preserve"> (вступает в силу с 20.12.2023);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94" w:id="570"/>
    <w:p>
      <w:pPr>
        <w:spacing w:after="0"/>
        <w:ind w:left="0"/>
        <w:jc w:val="left"/>
      </w:pPr>
      <w:r>
        <w:rPr>
          <w:rFonts w:ascii="Times New Roman"/>
          <w:b/>
          <w:i w:val="false"/>
          <w:color w:val="000000"/>
        </w:rPr>
        <w:t xml:space="preserve"> ТРЕБОВАНИЯ</w:t>
      </w:r>
      <w:r>
        <w:br/>
      </w:r>
      <w:r>
        <w:rPr>
          <w:rFonts w:ascii="Times New Roman"/>
          <w:b/>
          <w:i w:val="false"/>
          <w:color w:val="000000"/>
        </w:rPr>
        <w:t>К ДОКУМЕНТАМ РЕГИСТРАЦИОННОГО ДОСЬЕ (В ФОРМАТЕ ОБЩЕГО ТЕХНИЧЕСКОГО ДОКУМЕНТА)</w:t>
      </w:r>
    </w:p>
    <w:bookmarkEnd w:id="570"/>
    <w:p>
      <w:pPr>
        <w:spacing w:after="0"/>
        <w:ind w:left="0"/>
        <w:jc w:val="left"/>
      </w:pPr>
      <w:r>
        <w:br/>
      </w:r>
      <w:r>
        <w:rPr>
          <w:rFonts w:ascii="Times New Roman"/>
          <w:b w:val="false"/>
          <w:i w:val="false"/>
          <w:color w:val="000000"/>
          <w:sz w:val="28"/>
        </w:rPr>
        <w:t>
</w:t>
      </w:r>
    </w:p>
    <w:bookmarkStart w:name="z495" w:id="571"/>
    <w:p>
      <w:pPr>
        <w:spacing w:after="0"/>
        <w:ind w:left="0"/>
        <w:jc w:val="left"/>
      </w:pPr>
      <w:r>
        <w:rPr>
          <w:rFonts w:ascii="Times New Roman"/>
          <w:b/>
          <w:i w:val="false"/>
          <w:color w:val="000000"/>
        </w:rPr>
        <w:t xml:space="preserve"> I. Общие требования к модулям регистрационного досье, сопровождающим заявление на регистрацию лекарственного препарата </w:t>
      </w:r>
    </w:p>
    <w:bookmarkEnd w:id="571"/>
    <w:bookmarkStart w:name="z496" w:id="572"/>
    <w:p>
      <w:pPr>
        <w:spacing w:after="0"/>
        <w:ind w:left="0"/>
        <w:jc w:val="left"/>
      </w:pPr>
      <w:r>
        <w:rPr>
          <w:rFonts w:ascii="Times New Roman"/>
          <w:b/>
          <w:i w:val="false"/>
          <w:color w:val="000000"/>
        </w:rPr>
        <w:t xml:space="preserve"> 1. Требования к документам регистрационного досье, приведенным в модуле 1: административная информация </w:t>
      </w:r>
    </w:p>
    <w:bookmarkEnd w:id="572"/>
    <w:bookmarkStart w:name="z11904" w:id="573"/>
    <w:p>
      <w:pPr>
        <w:spacing w:after="0"/>
        <w:ind w:left="0"/>
        <w:jc w:val="both"/>
      </w:pPr>
      <w:r>
        <w:rPr>
          <w:rFonts w:ascii="Times New Roman"/>
          <w:b w:val="false"/>
          <w:i w:val="false"/>
          <w:color w:val="000000"/>
          <w:sz w:val="28"/>
        </w:rPr>
        <w:t>
      Представление регистрационного досье может осуществляться в электронном виде, без дополнительного представления соответствующих документов и сведений на бумажном носителе.</w:t>
      </w:r>
    </w:p>
    <w:bookmarkEnd w:id="573"/>
    <w:bookmarkStart w:name="z12328" w:id="574"/>
    <w:p>
      <w:pPr>
        <w:spacing w:after="0"/>
        <w:ind w:left="0"/>
        <w:jc w:val="both"/>
      </w:pPr>
      <w:r>
        <w:rPr>
          <w:rFonts w:ascii="Times New Roman"/>
          <w:b w:val="false"/>
          <w:i w:val="false"/>
          <w:color w:val="000000"/>
          <w:sz w:val="28"/>
        </w:rPr>
        <w:t>
      В рамках процедуры приведения регистрационного досье лекарственного препарата, зарегистрированного по национальной процедуре в государствах – членах Евразийского экономического союза (далее соответственно – государства-члены, Союз), в соответствие с Правилами регистрации и экспертизы лекарственного препарата для медицинского применения, утвержденными Решением Совета Евразийской экономической комиссии от 3 ноября 2016 г. № 78 (далее – приведение в соответствие с требованиями Союза), уполномоченные органы (экспертные организации) государств-членов исходя из анализа рисков вправе дополнительно истребовать у заявителя документы, указанные в подразделе 11.1 настоящих Требований, для проведения процедуры регистрации с пометкой "при необходимости".</w:t>
      </w:r>
    </w:p>
    <w:bookmarkEnd w:id="574"/>
    <w:bookmarkStart w:name="z12329" w:id="575"/>
    <w:p>
      <w:pPr>
        <w:spacing w:after="0"/>
        <w:ind w:left="0"/>
        <w:jc w:val="both"/>
      </w:pPr>
      <w:r>
        <w:rPr>
          <w:rFonts w:ascii="Times New Roman"/>
          <w:b w:val="false"/>
          <w:i w:val="false"/>
          <w:color w:val="000000"/>
          <w:sz w:val="28"/>
        </w:rPr>
        <w:t>
      В случае если уполномоченным органом (экспертной организацией) государства-члена документ, указанный в модуле 1 регистрационного досье лекарственного препарата, выдается только в электронном виде, заявитель указывает в соответствующем разделе регистрационного досье лекарственного препарата реквизиты электронного документа, необходимые для проверки его подлинности на официальном сайте выдавшего данный документ органа в информационно-телекоммуникационной сети "Интернет".</w:t>
      </w:r>
    </w:p>
    <w:bookmarkEnd w:id="575"/>
    <w:bookmarkStart w:name="z497" w:id="576"/>
    <w:p>
      <w:pPr>
        <w:spacing w:after="0"/>
        <w:ind w:left="0"/>
        <w:jc w:val="both"/>
      </w:pPr>
      <w:r>
        <w:rPr>
          <w:rFonts w:ascii="Times New Roman"/>
          <w:b w:val="false"/>
          <w:i w:val="false"/>
          <w:color w:val="000000"/>
          <w:sz w:val="28"/>
        </w:rPr>
        <w:t>
      1.0. Сопроводительное письмо (как в общем техническом документе (далее - ОТД)).</w:t>
      </w:r>
    </w:p>
    <w:bookmarkEnd w:id="576"/>
    <w:bookmarkStart w:name="z498" w:id="577"/>
    <w:p>
      <w:pPr>
        <w:spacing w:after="0"/>
        <w:ind w:left="0"/>
        <w:jc w:val="both"/>
      </w:pPr>
      <w:r>
        <w:rPr>
          <w:rFonts w:ascii="Times New Roman"/>
          <w:b w:val="false"/>
          <w:i w:val="false"/>
          <w:color w:val="000000"/>
          <w:sz w:val="28"/>
        </w:rPr>
        <w:t>
      В этот раздел необходимо включить сопроводительное письмо к заявлению. В рамках версии (последовательности) 0000 электронного регистрационного досье при инициировании процедуры приведения в соответствие с требованиями Союза заявитель в документе "К сведению экспертов" представляет гарантийное обязательство (в письменном виде), что документы и данные, содержащиеся в представленном обновленном регистрационном досье лекарственного препарата в формате общего технического документа, соответствуют по своему содержанию данным регистрационного досье зарегистрированного лекарственного препарата и не содержат изменений, влияющих на безопасность, эффективность и качество или соотношение "польза – риск" лекарственного препарата.</w:t>
      </w:r>
    </w:p>
    <w:bookmarkEnd w:id="577"/>
    <w:bookmarkStart w:name="z499" w:id="578"/>
    <w:p>
      <w:pPr>
        <w:spacing w:after="0"/>
        <w:ind w:left="0"/>
        <w:jc w:val="both"/>
      </w:pPr>
      <w:r>
        <w:rPr>
          <w:rFonts w:ascii="Times New Roman"/>
          <w:b w:val="false"/>
          <w:i w:val="false"/>
          <w:color w:val="000000"/>
          <w:sz w:val="28"/>
        </w:rPr>
        <w:t>
      При необходимости в качестве приложения к сопроводительному письму допускается представить документ "К сведению экспертов", представляя более подробные сведения с целью улучшения навигации (например, о гиперссылках, расположении томов и т.д.).</w:t>
      </w:r>
    </w:p>
    <w:bookmarkEnd w:id="578"/>
    <w:bookmarkStart w:name="z500" w:id="579"/>
    <w:p>
      <w:pPr>
        <w:spacing w:after="0"/>
        <w:ind w:left="0"/>
        <w:jc w:val="both"/>
      </w:pPr>
      <w:r>
        <w:rPr>
          <w:rFonts w:ascii="Times New Roman"/>
          <w:b w:val="false"/>
          <w:i w:val="false"/>
          <w:color w:val="000000"/>
          <w:sz w:val="28"/>
        </w:rPr>
        <w:t>
      1.1. Содержание.</w:t>
      </w:r>
    </w:p>
    <w:bookmarkEnd w:id="579"/>
    <w:bookmarkStart w:name="z501" w:id="580"/>
    <w:p>
      <w:pPr>
        <w:spacing w:after="0"/>
        <w:ind w:left="0"/>
        <w:jc w:val="both"/>
      </w:pPr>
      <w:r>
        <w:rPr>
          <w:rFonts w:ascii="Times New Roman"/>
          <w:b w:val="false"/>
          <w:i w:val="false"/>
          <w:color w:val="000000"/>
          <w:sz w:val="28"/>
        </w:rPr>
        <w:t>
      Необходимо представить полное содержание модулей 1 - 5 регистрационного досье.</w:t>
      </w:r>
    </w:p>
    <w:bookmarkEnd w:id="580"/>
    <w:bookmarkStart w:name="z502" w:id="581"/>
    <w:p>
      <w:pPr>
        <w:spacing w:after="0"/>
        <w:ind w:left="0"/>
        <w:jc w:val="both"/>
      </w:pPr>
      <w:r>
        <w:rPr>
          <w:rFonts w:ascii="Times New Roman"/>
          <w:b w:val="false"/>
          <w:i w:val="false"/>
          <w:color w:val="000000"/>
          <w:sz w:val="28"/>
        </w:rPr>
        <w:t>
      1.2. Общая документация:</w:t>
      </w:r>
    </w:p>
    <w:bookmarkEnd w:id="581"/>
    <w:bookmarkStart w:name="z503" w:id="582"/>
    <w:p>
      <w:pPr>
        <w:spacing w:after="0"/>
        <w:ind w:left="0"/>
        <w:jc w:val="both"/>
      </w:pPr>
      <w:r>
        <w:rPr>
          <w:rFonts w:ascii="Times New Roman"/>
          <w:b w:val="false"/>
          <w:i w:val="false"/>
          <w:color w:val="000000"/>
          <w:sz w:val="28"/>
        </w:rPr>
        <w:t>
      1.2.1. Заявление на регистрацию лекарственного препарата (на бумажном носителе или в виде электронного документа, созданного в форматах *.doc,*.docx и *.pdf и подписанного электронной подписью) заполняется по форме согласно приложению № 2 к настоящим Правилам.</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решения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04" w:id="583"/>
    <w:p>
      <w:pPr>
        <w:spacing w:after="0"/>
        <w:ind w:left="0"/>
        <w:jc w:val="both"/>
      </w:pPr>
      <w:r>
        <w:rPr>
          <w:rFonts w:ascii="Times New Roman"/>
          <w:b w:val="false"/>
          <w:i w:val="false"/>
          <w:color w:val="000000"/>
          <w:sz w:val="28"/>
        </w:rPr>
        <w:t>
      1.2.2. Документы, подтверждающие оплату экспертных работ и (или) оплату сбора за регистрацию (пошлины) в соответствии с законодательством государства-члена, осуществляющего регистрацию лекарственного препарата (в случае отсутствия в законодательстве государства-члена запрета на истребование у заявителя документов, которые находятся в распоряжении или могут быть получены уполномоченным органом самостоятельно).</w:t>
      </w:r>
    </w:p>
    <w:bookmarkEnd w:id="583"/>
    <w:bookmarkStart w:name="z505" w:id="584"/>
    <w:p>
      <w:pPr>
        <w:spacing w:after="0"/>
        <w:ind w:left="0"/>
        <w:jc w:val="both"/>
      </w:pPr>
      <w:r>
        <w:rPr>
          <w:rFonts w:ascii="Times New Roman"/>
          <w:b w:val="false"/>
          <w:i w:val="false"/>
          <w:color w:val="000000"/>
          <w:sz w:val="28"/>
        </w:rPr>
        <w:t>
      1.2.3. Копия сертификата на лекарственный препарат согласно формату, рекомендованному Всемирной организацией здравоохранения, выданного уполномоченным органом страны-производителя (при наличии).</w:t>
      </w:r>
    </w:p>
    <w:bookmarkEnd w:id="584"/>
    <w:bookmarkStart w:name="z506" w:id="585"/>
    <w:p>
      <w:pPr>
        <w:spacing w:after="0"/>
        <w:ind w:left="0"/>
        <w:jc w:val="both"/>
      </w:pPr>
      <w:r>
        <w:rPr>
          <w:rFonts w:ascii="Times New Roman"/>
          <w:b w:val="false"/>
          <w:i w:val="false"/>
          <w:color w:val="000000"/>
          <w:sz w:val="28"/>
        </w:rPr>
        <w:t>
      При отсутствии такого сертификата - документ, подтверждающий регистрацию в стране-производителе и (или) в стране - держателе регистрационного удостоверения лекарственного препарата  (при наличии).</w:t>
      </w:r>
    </w:p>
    <w:bookmarkEnd w:id="585"/>
    <w:bookmarkStart w:name="z507" w:id="586"/>
    <w:p>
      <w:pPr>
        <w:spacing w:after="0"/>
        <w:ind w:left="0"/>
        <w:jc w:val="both"/>
      </w:pPr>
      <w:r>
        <w:rPr>
          <w:rFonts w:ascii="Times New Roman"/>
          <w:b w:val="false"/>
          <w:i w:val="false"/>
          <w:color w:val="000000"/>
          <w:sz w:val="28"/>
        </w:rPr>
        <w:t>
      При отсутствии регистрации в стране-производителе или стране - держателе регистрационного удостоверения лекарственного препарата представляется пояснительная записка с обоснованием отсутствия данных по регистрации.</w:t>
      </w:r>
    </w:p>
    <w:bookmarkEnd w:id="586"/>
    <w:bookmarkStart w:name="z508" w:id="587"/>
    <w:p>
      <w:pPr>
        <w:spacing w:after="0"/>
        <w:ind w:left="0"/>
        <w:jc w:val="both"/>
      </w:pPr>
      <w:r>
        <w:rPr>
          <w:rFonts w:ascii="Times New Roman"/>
          <w:b w:val="false"/>
          <w:i w:val="false"/>
          <w:color w:val="000000"/>
          <w:sz w:val="28"/>
        </w:rPr>
        <w:t>
      1.2.4. Перевод на русский язык и копия экспертного отчета уполномоченного органа при регистрации лекарственного препарата в стране-производителе или в стране - держателе регистрационного удостоверения лекарственного препарата (при наличии). В рамках процедуры приведения в соответствие с требованиями Союза представление не обязательно.</w:t>
      </w:r>
    </w:p>
    <w:bookmarkEnd w:id="587"/>
    <w:bookmarkStart w:name="z509" w:id="588"/>
    <w:p>
      <w:pPr>
        <w:spacing w:after="0"/>
        <w:ind w:left="0"/>
        <w:jc w:val="both"/>
      </w:pPr>
      <w:r>
        <w:rPr>
          <w:rFonts w:ascii="Times New Roman"/>
          <w:b w:val="false"/>
          <w:i w:val="false"/>
          <w:color w:val="000000"/>
          <w:sz w:val="28"/>
        </w:rPr>
        <w:t>
      1.2.5. Заключение (рекомендация) уполномоченного органа (уполномоченной организации) государства-члена по итогам предварительного научного консультирования относительно данного лекарственного препарата в государствах-членах (при наличии).</w:t>
      </w:r>
    </w:p>
    <w:bookmarkEnd w:id="588"/>
    <w:bookmarkStart w:name="z510" w:id="589"/>
    <w:p>
      <w:pPr>
        <w:spacing w:after="0"/>
        <w:ind w:left="0"/>
        <w:jc w:val="both"/>
      </w:pPr>
      <w:r>
        <w:rPr>
          <w:rFonts w:ascii="Times New Roman"/>
          <w:b w:val="false"/>
          <w:i w:val="false"/>
          <w:color w:val="000000"/>
          <w:sz w:val="28"/>
        </w:rPr>
        <w:t>
      1.2.6. Рекомендация Экспертного комитета по лекарственным средствам при Евразийской экономической комиссии (далее - Комиссия) по итогам предварительного научного консультирования относительно данного лекарственного препарата (при наличии).</w:t>
      </w:r>
    </w:p>
    <w:bookmarkEnd w:id="589"/>
    <w:bookmarkStart w:name="z511" w:id="590"/>
    <w:p>
      <w:pPr>
        <w:spacing w:after="0"/>
        <w:ind w:left="0"/>
        <w:jc w:val="both"/>
      </w:pPr>
      <w:r>
        <w:rPr>
          <w:rFonts w:ascii="Times New Roman"/>
          <w:b w:val="false"/>
          <w:i w:val="false"/>
          <w:color w:val="000000"/>
          <w:sz w:val="28"/>
        </w:rPr>
        <w:t>
      1.3. Общая характеристика лекарственного препарата (далее - ОХЛП), инструкция по медицинскому применению (листок-вкладыш) (далее - ИМП), макеты упаковок с маркировкой:</w:t>
      </w:r>
    </w:p>
    <w:bookmarkEnd w:id="590"/>
    <w:bookmarkStart w:name="z512" w:id="591"/>
    <w:p>
      <w:pPr>
        <w:spacing w:after="0"/>
        <w:ind w:left="0"/>
        <w:jc w:val="both"/>
      </w:pPr>
      <w:r>
        <w:rPr>
          <w:rFonts w:ascii="Times New Roman"/>
          <w:b w:val="false"/>
          <w:i w:val="false"/>
          <w:color w:val="000000"/>
          <w:sz w:val="28"/>
        </w:rPr>
        <w:t>
      1.3.1. Проекты ОХЛП, ИМП, составленные на русском языке в соответствии с требованиями к инструкции по медицинскому применению лекарственного препарата и общей характеристики лекарственного препарата для медицинского применения, утверждаемыми Комиссией.</w:t>
      </w:r>
    </w:p>
    <w:bookmarkEnd w:id="591"/>
    <w:bookmarkStart w:name="z513" w:id="592"/>
    <w:p>
      <w:pPr>
        <w:spacing w:after="0"/>
        <w:ind w:left="0"/>
        <w:jc w:val="both"/>
      </w:pPr>
      <w:r>
        <w:rPr>
          <w:rFonts w:ascii="Times New Roman"/>
          <w:b w:val="false"/>
          <w:i w:val="false"/>
          <w:color w:val="000000"/>
          <w:sz w:val="28"/>
        </w:rPr>
        <w:t>
      1.3.2. Макеты (полноцветные копии плоского оригинала-макета, обеспечивающие воспроизведение как вторичной (потребительской), так и первичной (внутренней) упаковки, и макеты упаковок с маркировкой лекарственного препарата в двухмерном исполнении, называемые "бумажной копией" или "компьютерной версией") вторичной (потребительской), первичной (внутренней) и промежуточной упаковок, составленные в соответствии с требованиями к маркировке лекарственных средств для медицинского применения и ветеринарных лекарственных средств, утверждаемыми Комиссией. Макеты промежуточной упаковки, этикеток, стикеров представляются при наличии.</w:t>
      </w:r>
    </w:p>
    <w:bookmarkEnd w:id="592"/>
    <w:bookmarkStart w:name="z514" w:id="593"/>
    <w:p>
      <w:pPr>
        <w:spacing w:after="0"/>
        <w:ind w:left="0"/>
        <w:jc w:val="both"/>
      </w:pPr>
      <w:r>
        <w:rPr>
          <w:rFonts w:ascii="Times New Roman"/>
          <w:b w:val="false"/>
          <w:i w:val="false"/>
          <w:color w:val="000000"/>
          <w:sz w:val="28"/>
        </w:rPr>
        <w:t xml:space="preserve">
      1.3.3. Результаты пользовательского тестирования макета ИМП (в случаях, установленных </w:t>
      </w:r>
      <w:r>
        <w:rPr>
          <w:rFonts w:ascii="Times New Roman"/>
          <w:b w:val="false"/>
          <w:i w:val="false"/>
          <w:color w:val="000000"/>
          <w:sz w:val="28"/>
        </w:rPr>
        <w:t>приложением № 12</w:t>
      </w:r>
      <w:r>
        <w:rPr>
          <w:rFonts w:ascii="Times New Roman"/>
          <w:b w:val="false"/>
          <w:i w:val="false"/>
          <w:color w:val="000000"/>
          <w:sz w:val="28"/>
        </w:rPr>
        <w:t xml:space="preserve">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bookmarkEnd w:id="593"/>
    <w:bookmarkStart w:name="z515" w:id="594"/>
    <w:p>
      <w:pPr>
        <w:spacing w:after="0"/>
        <w:ind w:left="0"/>
        <w:jc w:val="both"/>
      </w:pPr>
      <w:r>
        <w:rPr>
          <w:rFonts w:ascii="Times New Roman"/>
          <w:b w:val="false"/>
          <w:i w:val="false"/>
          <w:color w:val="000000"/>
          <w:sz w:val="28"/>
        </w:rPr>
        <w:t>
      При представлении результатов пользовательского тестирования необходимо кратко обобщить, как было проведено тестирование и каким образом в окончательную редакцию ИМП внесены все необходимые изменения. Резюме необходимо представить в данном разделе модуля, по следующей форме:</w:t>
      </w:r>
    </w:p>
    <w:bookmarkEnd w:id="594"/>
    <w:bookmarkStart w:name="z516" w:id="595"/>
    <w:p>
      <w:pPr>
        <w:spacing w:after="0"/>
        <w:ind w:left="0"/>
        <w:jc w:val="both"/>
      </w:pPr>
      <w:r>
        <w:rPr>
          <w:rFonts w:ascii="Times New Roman"/>
          <w:b w:val="false"/>
          <w:i w:val="false"/>
          <w:color w:val="000000"/>
          <w:sz w:val="28"/>
        </w:rPr>
        <w:t>
      краткое описание лекарственного препарата;</w:t>
      </w:r>
    </w:p>
    <w:bookmarkEnd w:id="595"/>
    <w:bookmarkStart w:name="z517" w:id="596"/>
    <w:p>
      <w:pPr>
        <w:spacing w:after="0"/>
        <w:ind w:left="0"/>
        <w:jc w:val="both"/>
      </w:pPr>
      <w:r>
        <w:rPr>
          <w:rFonts w:ascii="Times New Roman"/>
          <w:b w:val="false"/>
          <w:i w:val="false"/>
          <w:color w:val="000000"/>
          <w:sz w:val="28"/>
        </w:rPr>
        <w:t>
      краткое описание проведенного тестирования или изучения отдельных элементов ИМП (использованная методика, пояснения по критериям выбора участников для тестирования, язык тестирования);</w:t>
      </w:r>
    </w:p>
    <w:bookmarkEnd w:id="596"/>
    <w:bookmarkStart w:name="z518" w:id="597"/>
    <w:p>
      <w:pPr>
        <w:spacing w:after="0"/>
        <w:ind w:left="0"/>
        <w:jc w:val="both"/>
      </w:pPr>
      <w:r>
        <w:rPr>
          <w:rFonts w:ascii="Times New Roman"/>
          <w:b w:val="false"/>
          <w:i w:val="false"/>
          <w:color w:val="000000"/>
          <w:sz w:val="28"/>
        </w:rPr>
        <w:t>
      использованные анкеты (опросные листы, в том числе инструкции по их заполнению и формы наблюдения);</w:t>
      </w:r>
    </w:p>
    <w:bookmarkEnd w:id="597"/>
    <w:bookmarkStart w:name="z519" w:id="598"/>
    <w:p>
      <w:pPr>
        <w:spacing w:after="0"/>
        <w:ind w:left="0"/>
        <w:jc w:val="both"/>
      </w:pPr>
      <w:r>
        <w:rPr>
          <w:rFonts w:ascii="Times New Roman"/>
          <w:b w:val="false"/>
          <w:i w:val="false"/>
          <w:color w:val="000000"/>
          <w:sz w:val="28"/>
        </w:rPr>
        <w:t>
      исходная и пересмотренная редакция ИМП;</w:t>
      </w:r>
    </w:p>
    <w:bookmarkEnd w:id="598"/>
    <w:bookmarkStart w:name="z520" w:id="599"/>
    <w:p>
      <w:pPr>
        <w:spacing w:after="0"/>
        <w:ind w:left="0"/>
        <w:jc w:val="both"/>
      </w:pPr>
      <w:r>
        <w:rPr>
          <w:rFonts w:ascii="Times New Roman"/>
          <w:b w:val="false"/>
          <w:i w:val="false"/>
          <w:color w:val="000000"/>
          <w:sz w:val="28"/>
        </w:rPr>
        <w:t>
      краткое описание и обсуждение результатов тестирования (ответы субъектов, выявленные проблемы и изменения, внесенные в соответствующие разделы ИМП);</w:t>
      </w:r>
    </w:p>
    <w:bookmarkEnd w:id="599"/>
    <w:bookmarkStart w:name="z521" w:id="600"/>
    <w:p>
      <w:pPr>
        <w:spacing w:after="0"/>
        <w:ind w:left="0"/>
        <w:jc w:val="both"/>
      </w:pPr>
      <w:r>
        <w:rPr>
          <w:rFonts w:ascii="Times New Roman"/>
          <w:b w:val="false"/>
          <w:i w:val="false"/>
          <w:color w:val="000000"/>
          <w:sz w:val="28"/>
        </w:rPr>
        <w:t>
      заключение.</w:t>
      </w:r>
    </w:p>
    <w:bookmarkEnd w:id="600"/>
    <w:bookmarkStart w:name="z522" w:id="601"/>
    <w:p>
      <w:pPr>
        <w:spacing w:after="0"/>
        <w:ind w:left="0"/>
        <w:jc w:val="both"/>
      </w:pPr>
      <w:r>
        <w:rPr>
          <w:rFonts w:ascii="Times New Roman"/>
          <w:b w:val="false"/>
          <w:i w:val="false"/>
          <w:color w:val="000000"/>
          <w:sz w:val="28"/>
        </w:rPr>
        <w:t>
      Все остальные детали необходимо представить по запросу уполномоченного органа (экспертной организации).</w:t>
      </w:r>
    </w:p>
    <w:bookmarkEnd w:id="601"/>
    <w:bookmarkStart w:name="z523" w:id="602"/>
    <w:p>
      <w:pPr>
        <w:spacing w:after="0"/>
        <w:ind w:left="0"/>
        <w:jc w:val="both"/>
      </w:pPr>
      <w:r>
        <w:rPr>
          <w:rFonts w:ascii="Times New Roman"/>
          <w:b w:val="false"/>
          <w:i w:val="false"/>
          <w:color w:val="000000"/>
          <w:sz w:val="28"/>
        </w:rPr>
        <w:t>
      1.3.4. Копии ОХЛП и ИМП, одобренных уполномоченным органом страны-производителя и (или) страны - держателя регистрационного удостоверения лекарственного препарата с датой последнего пересмотра, заверенные уполномоченным лицом держателя регистрационного удостоверения лекарственного препарата (при наличии).</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22.01.2025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24" w:id="603"/>
    <w:p>
      <w:pPr>
        <w:spacing w:after="0"/>
        <w:ind w:left="0"/>
        <w:jc w:val="both"/>
      </w:pPr>
      <w:r>
        <w:rPr>
          <w:rFonts w:ascii="Times New Roman"/>
          <w:b w:val="false"/>
          <w:i w:val="false"/>
          <w:color w:val="000000"/>
          <w:sz w:val="28"/>
        </w:rPr>
        <w:t>
      1.4. Информация по регуляторному статусу лекарственного препарата в других странах (при наличии).</w:t>
      </w:r>
    </w:p>
    <w:bookmarkEnd w:id="603"/>
    <w:bookmarkStart w:name="z525" w:id="604"/>
    <w:p>
      <w:pPr>
        <w:spacing w:after="0"/>
        <w:ind w:left="0"/>
        <w:jc w:val="both"/>
      </w:pPr>
      <w:r>
        <w:rPr>
          <w:rFonts w:ascii="Times New Roman"/>
          <w:b w:val="false"/>
          <w:i w:val="false"/>
          <w:color w:val="000000"/>
          <w:sz w:val="28"/>
        </w:rPr>
        <w:t>
      1.4.1. Перечень стран, в которых лекарственный препарат подан на регистрацию, зарегистрирован, получил отказ в регистрации или его обращение на рынке было приостановлено, с указанием наименования лекарственного препарата, номера и даты регистрационного удостоверения, срока его действия или даты принятия решений об отказе в регистрации, приостановлении действия регистрационного удостоверения. Представляемая информация должна быть заверена держателем регистрационного удостоверения.</w:t>
      </w:r>
    </w:p>
    <w:bookmarkEnd w:id="604"/>
    <w:bookmarkStart w:name="z526" w:id="605"/>
    <w:p>
      <w:pPr>
        <w:spacing w:after="0"/>
        <w:ind w:left="0"/>
        <w:jc w:val="both"/>
      </w:pPr>
      <w:r>
        <w:rPr>
          <w:rFonts w:ascii="Times New Roman"/>
          <w:b w:val="false"/>
          <w:i w:val="false"/>
          <w:color w:val="000000"/>
          <w:sz w:val="28"/>
        </w:rPr>
        <w:t>
      1.5. Документы по качеству:</w:t>
      </w:r>
    </w:p>
    <w:bookmarkEnd w:id="605"/>
    <w:bookmarkStart w:name="z527" w:id="606"/>
    <w:p>
      <w:pPr>
        <w:spacing w:after="0"/>
        <w:ind w:left="0"/>
        <w:jc w:val="both"/>
      </w:pPr>
      <w:r>
        <w:rPr>
          <w:rFonts w:ascii="Times New Roman"/>
          <w:b w:val="false"/>
          <w:i w:val="false"/>
          <w:color w:val="000000"/>
          <w:sz w:val="28"/>
        </w:rPr>
        <w:t>
      1.5.1. Сертификат соответствия статье Фармакопеи Евразийского экономического союза или Европейской фармакопеи по губчатой энцефалопатии или документ, выданный уполномоченными органами ветеринарного надзора страны происхождения сырья, в случае использования фармацевтических субстанций животного происхождения (если применимо).</w:t>
      </w:r>
    </w:p>
    <w:bookmarkEnd w:id="606"/>
    <w:bookmarkStart w:name="z528" w:id="607"/>
    <w:p>
      <w:pPr>
        <w:spacing w:after="0"/>
        <w:ind w:left="0"/>
        <w:jc w:val="both"/>
      </w:pPr>
      <w:r>
        <w:rPr>
          <w:rFonts w:ascii="Times New Roman"/>
          <w:b w:val="false"/>
          <w:i w:val="false"/>
          <w:color w:val="000000"/>
          <w:sz w:val="28"/>
        </w:rPr>
        <w:t>
      1.5.2. Письмо держателя мастер-файла активной фармацевтической субстанции с обязательством сообщать о всех изменениях производителю лекарственного препарата и уполномоченному органу государства-члена, прежде чем какие-либо существенные изменения будут внесены в мастер-файл фармацевтической субстанции (перевод письма держателя мастер-файла активной фармацевтической субстанции с подписью ответственного лица, заверенный держателем регистрационного удостоверения или заверенный нотариально).</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29" w:id="608"/>
    <w:p>
      <w:pPr>
        <w:spacing w:after="0"/>
        <w:ind w:left="0"/>
        <w:jc w:val="both"/>
      </w:pPr>
      <w:r>
        <w:rPr>
          <w:rFonts w:ascii="Times New Roman"/>
          <w:b w:val="false"/>
          <w:i w:val="false"/>
          <w:color w:val="000000"/>
          <w:sz w:val="28"/>
        </w:rPr>
        <w:t>
      1.5.3. Письмо, подтверждающее согласие держателя мастер-файла фармацевтической субстанции на представление документов закрытой части мастер-файла на фармацевтическую субстанцию по запросу уполномоченного органа государства-члена.</w:t>
      </w:r>
    </w:p>
    <w:bookmarkEnd w:id="608"/>
    <w:bookmarkStart w:name="z530" w:id="609"/>
    <w:p>
      <w:pPr>
        <w:spacing w:after="0"/>
        <w:ind w:left="0"/>
        <w:jc w:val="both"/>
      </w:pPr>
      <w:r>
        <w:rPr>
          <w:rFonts w:ascii="Times New Roman"/>
          <w:b w:val="false"/>
          <w:i w:val="false"/>
          <w:color w:val="000000"/>
          <w:sz w:val="28"/>
        </w:rPr>
        <w:t>
      1.5.4. Копия сертификата соответствия фармацевтической субстанции требованиям Европейской фармакопеи (при наличии).</w:t>
      </w:r>
    </w:p>
    <w:bookmarkEnd w:id="609"/>
    <w:bookmarkStart w:name="z531" w:id="610"/>
    <w:p>
      <w:pPr>
        <w:spacing w:after="0"/>
        <w:ind w:left="0"/>
        <w:jc w:val="both"/>
      </w:pPr>
      <w:r>
        <w:rPr>
          <w:rFonts w:ascii="Times New Roman"/>
          <w:b w:val="false"/>
          <w:i w:val="false"/>
          <w:color w:val="000000"/>
          <w:sz w:val="28"/>
        </w:rPr>
        <w:t>
      1.5.5. Копия сертификата на мастер-файл плазмы, выданного уполномоченным органом страны-производителя (при наличии).</w:t>
      </w:r>
    </w:p>
    <w:bookmarkEnd w:id="610"/>
    <w:bookmarkStart w:name="z532" w:id="611"/>
    <w:p>
      <w:pPr>
        <w:spacing w:after="0"/>
        <w:ind w:left="0"/>
        <w:jc w:val="both"/>
      </w:pPr>
      <w:r>
        <w:rPr>
          <w:rFonts w:ascii="Times New Roman"/>
          <w:b w:val="false"/>
          <w:i w:val="false"/>
          <w:color w:val="000000"/>
          <w:sz w:val="28"/>
        </w:rPr>
        <w:t>
      1.5.6. Копия сертификата на мастер-файл вакцинного антигена, выданного уполномоченным органом страны-производителя (при наличии).</w:t>
      </w:r>
    </w:p>
    <w:bookmarkEnd w:id="611"/>
    <w:bookmarkStart w:name="z11804" w:id="612"/>
    <w:p>
      <w:pPr>
        <w:spacing w:after="0"/>
        <w:ind w:left="0"/>
        <w:jc w:val="both"/>
      </w:pPr>
      <w:r>
        <w:rPr>
          <w:rFonts w:ascii="Times New Roman"/>
          <w:b w:val="false"/>
          <w:i w:val="false"/>
          <w:color w:val="000000"/>
          <w:sz w:val="28"/>
        </w:rPr>
        <w:t xml:space="preserve">
      1.5.7. Проект нормативного документа по качеству, подготовленный в соответствии с Руководством по составлению нормативного документа по качеству лекарственного препарата,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7 сентября 2018 г. № 151.</w:t>
      </w:r>
    </w:p>
    <w:bookmarkEnd w:id="612"/>
    <w:bookmarkStart w:name="z533" w:id="613"/>
    <w:p>
      <w:pPr>
        <w:spacing w:after="0"/>
        <w:ind w:left="0"/>
        <w:jc w:val="both"/>
      </w:pPr>
      <w:r>
        <w:rPr>
          <w:rFonts w:ascii="Times New Roman"/>
          <w:b w:val="false"/>
          <w:i w:val="false"/>
          <w:color w:val="000000"/>
          <w:sz w:val="28"/>
        </w:rPr>
        <w:t>
      1.6. Документы по производству:</w:t>
      </w:r>
    </w:p>
    <w:bookmarkEnd w:id="613"/>
    <w:bookmarkStart w:name="z534" w:id="614"/>
    <w:p>
      <w:pPr>
        <w:spacing w:after="0"/>
        <w:ind w:left="0"/>
        <w:jc w:val="both"/>
      </w:pPr>
      <w:r>
        <w:rPr>
          <w:rFonts w:ascii="Times New Roman"/>
          <w:b w:val="false"/>
          <w:i w:val="false"/>
          <w:color w:val="000000"/>
          <w:sz w:val="28"/>
        </w:rPr>
        <w:t xml:space="preserve">
      1.6.1. Сведения о дате выдачи (принятия решения уполномоченным органом) и регистрационном номере в соответствующем реестре государства-члена или копия действующего документа, подтверждающего соответствие производителя (производственной площадки, осуществляющей производство готовой лекарственной формы и выпускающий контроль качества) заявленного на регистрацию лекарственного препарата </w:t>
      </w:r>
      <w:r>
        <w:rPr>
          <w:rFonts w:ascii="Times New Roman"/>
          <w:b w:val="false"/>
          <w:i w:val="false"/>
          <w:color w:val="000000"/>
          <w:sz w:val="28"/>
        </w:rPr>
        <w:t>Правилам</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и выданного уполномоченным органом государства-члена (если это применимо в соответствии с пунктом 29 Правил регистрации и экспертизы лекарственных препаратов для медицинского применения).</w:t>
      </w:r>
    </w:p>
    <w:bookmarkEnd w:id="614"/>
    <w:bookmarkStart w:name="z535" w:id="615"/>
    <w:p>
      <w:pPr>
        <w:spacing w:after="0"/>
        <w:ind w:left="0"/>
        <w:jc w:val="both"/>
      </w:pPr>
      <w:r>
        <w:rPr>
          <w:rFonts w:ascii="Times New Roman"/>
          <w:b w:val="false"/>
          <w:i w:val="false"/>
          <w:color w:val="000000"/>
          <w:sz w:val="28"/>
        </w:rPr>
        <w:t>
      Копии действующих документов, подтверждающих соответствие производственной площадки производителя требованиям надлежащей производственной практики (далее – GMP) и выданных уполномоченными органами страны, в которой расположена производственная площадка (производственные площадки, осуществляющие производство готовой лекарственной формы и выпускающий контроль качества), и (или) иным уполномоченным органом, адрес в информационно-телекоммуникационной сети "Интернет" сайта реестра выданных уполномоченным органом сертификатов соответствия GMP (например, EudraGMP) (если это применимо в соответствии с пунктом 29 Правил регистрации и экспертизы лекарственных средств для медицинского применения).</w:t>
      </w:r>
    </w:p>
    <w:bookmarkEnd w:id="615"/>
    <w:bookmarkStart w:name="z536" w:id="616"/>
    <w:p>
      <w:pPr>
        <w:spacing w:after="0"/>
        <w:ind w:left="0"/>
        <w:jc w:val="both"/>
      </w:pPr>
      <w:r>
        <w:rPr>
          <w:rFonts w:ascii="Times New Roman"/>
          <w:b w:val="false"/>
          <w:i w:val="false"/>
          <w:color w:val="000000"/>
          <w:sz w:val="28"/>
        </w:rPr>
        <w:t>
      1.6.2. Копия действующего разрешения (лицензии) на производство лекарственных средств (с приложениями), выданного уполномоченным органом страны, в которой расположена производственная площадка (производственные площадки), осуществляющая производство готовой лекарственной формы и выпускающий контроль качества лекарственного препарата.</w:t>
      </w:r>
    </w:p>
    <w:bookmarkEnd w:id="616"/>
    <w:bookmarkStart w:name="z12330" w:id="617"/>
    <w:p>
      <w:pPr>
        <w:spacing w:after="0"/>
        <w:ind w:left="0"/>
        <w:jc w:val="both"/>
      </w:pPr>
      <w:r>
        <w:rPr>
          <w:rFonts w:ascii="Times New Roman"/>
          <w:b w:val="false"/>
          <w:i w:val="false"/>
          <w:color w:val="000000"/>
          <w:sz w:val="28"/>
        </w:rPr>
        <w:t>
      Для производственных площадок, расположенных на территориях государств-членов, вместо документа, указанного в абзаце первом настоящего пункта, заявитель вправе представить в соответствующем разделе регистрационного досье лекарственного препарата содержащиеся в соответствующем реестре государства-члена сведения о дате выдачи и регистрационном номере лицензии (разрешения) на производство лекарственных средств, выданной уполномоченным органом государства-члена.</w:t>
      </w:r>
    </w:p>
    <w:bookmarkEnd w:id="617"/>
    <w:bookmarkStart w:name="z537" w:id="618"/>
    <w:p>
      <w:pPr>
        <w:spacing w:after="0"/>
        <w:ind w:left="0"/>
        <w:jc w:val="both"/>
      </w:pPr>
      <w:r>
        <w:rPr>
          <w:rFonts w:ascii="Times New Roman"/>
          <w:b w:val="false"/>
          <w:i w:val="false"/>
          <w:color w:val="000000"/>
          <w:sz w:val="28"/>
        </w:rPr>
        <w:t>
      1.6.3. Копия отчета об инспекции производственной площадки (производственных площадок, осуществляющих производство готовой лекарственной формы и выпускающий контроль качества) на соответствие GMP, проведенной уполномоченным органом страны-производителя или уполномоченным органом государства-члена в течение последних 3 лет, а также план и отчет о проведении корректирующих и предупреждающих действий (CAPA) после инспекции (при наличии), а в случаях, предусмотренных пунктом 30 Правил регистрации и экспертизы лекарственных средств для медицинского применения, – ссылка на сайт уполномоченного органа в информационно-телекоммуникационной сети "Интернет", содержащий сведения из информационной базы GMP-инспекций (например, EudraGMP). При представлении документов, указанных в пункте 1.6.1 настоящих Требований, а также в рамках процедуры приведения в соответствие с требованиями Союза представление сведений не является обязательным.</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Утратил силу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Утратил силу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40" w:id="619"/>
    <w:p>
      <w:pPr>
        <w:spacing w:after="0"/>
        <w:ind w:left="0"/>
        <w:jc w:val="both"/>
      </w:pPr>
      <w:r>
        <w:rPr>
          <w:rFonts w:ascii="Times New Roman"/>
          <w:b w:val="false"/>
          <w:i w:val="false"/>
          <w:color w:val="000000"/>
          <w:sz w:val="28"/>
        </w:rPr>
        <w:t>
      1.6.6. Сведения о любых регуляторных мерах, принятых уполномоченным органом в течение последних 3 лет по результатам инспекций в отношении заявленной производственной площадки (при наличии). При представлении документов, указанных в пункте 1.6.1 настоящих Требований, а также в рамках процедуры приведения в соответствие с требованиями Союза представление сведений не является обязательным.</w:t>
      </w:r>
    </w:p>
    <w:bookmarkEnd w:id="619"/>
    <w:bookmarkStart w:name="z541" w:id="620"/>
    <w:p>
      <w:pPr>
        <w:spacing w:after="0"/>
        <w:ind w:left="0"/>
        <w:jc w:val="both"/>
      </w:pPr>
      <w:r>
        <w:rPr>
          <w:rFonts w:ascii="Times New Roman"/>
          <w:b w:val="false"/>
          <w:i w:val="false"/>
          <w:color w:val="000000"/>
          <w:sz w:val="28"/>
        </w:rPr>
        <w:t>
      1.6.7. Письмо уполномоченного лица по качеству о соответствии условий производства заявленного на регистрацию лекарственного препарата требованиям Правил надлежащей производственной практики Союза, в том числе в отношении исходных материалов для каждой производственной площадки, используемой в процессе производства лекарственного препарата и активной фармацевтической субстанции, включая площадки, на которых осуществляются контроль качества и контроль в процессе производства. Письмо должно быть подписано уполномоченным лицом по качеству и заверено печатью (штампом) производителя при необходимости с переводом на русский язык.</w:t>
      </w:r>
    </w:p>
    <w:bookmarkEnd w:id="620"/>
    <w:bookmarkStart w:name="z542" w:id="621"/>
    <w:p>
      <w:pPr>
        <w:spacing w:after="0"/>
        <w:ind w:left="0"/>
        <w:jc w:val="both"/>
      </w:pPr>
      <w:r>
        <w:rPr>
          <w:rFonts w:ascii="Times New Roman"/>
          <w:b w:val="false"/>
          <w:i w:val="false"/>
          <w:color w:val="000000"/>
          <w:sz w:val="28"/>
        </w:rPr>
        <w:t>
      1.6.8. Сведения о рекламациях в отношении качества лекарственных препаратов, произведенных на производственной площадке заявляемого к регистрации лекарственного препарата, за последние 3 года либо подтверждение отсутствия рекламаций. При представлении документов, указанных в пункте 1.6.1 настоящих Требований, а также в рамках процедуры приведения в соответствие с требованиями Союза представление сведений не является обязательным.</w:t>
      </w:r>
    </w:p>
    <w:bookmarkEnd w:id="621"/>
    <w:bookmarkStart w:name="z543" w:id="622"/>
    <w:p>
      <w:pPr>
        <w:spacing w:after="0"/>
        <w:ind w:left="0"/>
        <w:jc w:val="both"/>
      </w:pPr>
      <w:r>
        <w:rPr>
          <w:rFonts w:ascii="Times New Roman"/>
          <w:b w:val="false"/>
          <w:i w:val="false"/>
          <w:color w:val="000000"/>
          <w:sz w:val="28"/>
        </w:rPr>
        <w:t>
      1.6.9. Согласие на проведение фармацевтической инспекции на соответствие требованиям международных договоров и актов, составляющих право Союза.</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1.6.10. Утратил силу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45" w:id="623"/>
    <w:p>
      <w:pPr>
        <w:spacing w:after="0"/>
        <w:ind w:left="0"/>
        <w:jc w:val="both"/>
      </w:pPr>
      <w:r>
        <w:rPr>
          <w:rFonts w:ascii="Times New Roman"/>
          <w:b w:val="false"/>
          <w:i w:val="false"/>
          <w:color w:val="000000"/>
          <w:sz w:val="28"/>
        </w:rPr>
        <w:t>
      1.6.11. Схема этапов производства с указанием всех производственных площадок, задействованных в процессе производства лекарственного препарата и активной фармацевтической субстанции, включая выпускающий контроль качества.</w:t>
      </w:r>
    </w:p>
    <w:bookmarkEnd w:id="623"/>
    <w:bookmarkStart w:name="z546" w:id="624"/>
    <w:p>
      <w:pPr>
        <w:spacing w:after="0"/>
        <w:ind w:left="0"/>
        <w:jc w:val="both"/>
      </w:pPr>
      <w:r>
        <w:rPr>
          <w:rFonts w:ascii="Times New Roman"/>
          <w:b w:val="false"/>
          <w:i w:val="false"/>
          <w:color w:val="000000"/>
          <w:sz w:val="28"/>
        </w:rPr>
        <w:t>
      1.7. Информация о специалистах:</w:t>
      </w:r>
    </w:p>
    <w:bookmarkEnd w:id="624"/>
    <w:bookmarkStart w:name="z547" w:id="625"/>
    <w:p>
      <w:pPr>
        <w:spacing w:after="0"/>
        <w:ind w:left="0"/>
        <w:jc w:val="both"/>
      </w:pPr>
      <w:r>
        <w:rPr>
          <w:rFonts w:ascii="Times New Roman"/>
          <w:b w:val="false"/>
          <w:i w:val="false"/>
          <w:color w:val="000000"/>
          <w:sz w:val="28"/>
        </w:rPr>
        <w:t>
      1.7.1. Информация о специалисте, подготовившем резюме по качеству (при наличии). В рамках процедуры приведения в соответствие с требованиями Союза представление сведений не является обязательным.</w:t>
      </w:r>
    </w:p>
    <w:bookmarkEnd w:id="625"/>
    <w:bookmarkStart w:name="z548" w:id="626"/>
    <w:p>
      <w:pPr>
        <w:spacing w:after="0"/>
        <w:ind w:left="0"/>
        <w:jc w:val="both"/>
      </w:pPr>
      <w:r>
        <w:rPr>
          <w:rFonts w:ascii="Times New Roman"/>
          <w:b w:val="false"/>
          <w:i w:val="false"/>
          <w:color w:val="000000"/>
          <w:sz w:val="28"/>
        </w:rPr>
        <w:t>
      1.7.2. Информация о специалисте, подготовившем резюме доклинических исследований (при наличии). В рамках процедуры приведения в соответствие с требованиями Союза представление сведений не является обязательным.</w:t>
      </w:r>
    </w:p>
    <w:bookmarkEnd w:id="626"/>
    <w:bookmarkStart w:name="z549" w:id="627"/>
    <w:p>
      <w:pPr>
        <w:spacing w:after="0"/>
        <w:ind w:left="0"/>
        <w:jc w:val="both"/>
      </w:pPr>
      <w:r>
        <w:rPr>
          <w:rFonts w:ascii="Times New Roman"/>
          <w:b w:val="false"/>
          <w:i w:val="false"/>
          <w:color w:val="000000"/>
          <w:sz w:val="28"/>
        </w:rPr>
        <w:t>
      1.7.3. Информация о специалисте, подготовившем резюме клинических исследований (при наличии). В рамках процедуры приведения в соответствие с требованиями Союза представление сведений не является обязательным.</w:t>
      </w:r>
    </w:p>
    <w:bookmarkEnd w:id="627"/>
    <w:bookmarkStart w:name="z550" w:id="628"/>
    <w:p>
      <w:pPr>
        <w:spacing w:after="0"/>
        <w:ind w:left="0"/>
        <w:jc w:val="both"/>
      </w:pPr>
      <w:r>
        <w:rPr>
          <w:rFonts w:ascii="Times New Roman"/>
          <w:b w:val="false"/>
          <w:i w:val="false"/>
          <w:color w:val="000000"/>
          <w:sz w:val="28"/>
        </w:rPr>
        <w:t>
      Информация о специалистах по качеству, доклиническим и клиническим данным включает сведения об их образовании, специализации и профессиональном опыте, должна быть подписана специалистами, составившими резюме и обзор по качеству, доклиническим, клиническим данным. Данные специалисты должны иметь соответствующую квалификацию. Следует указать наличие профессиональных отношений между специалистом, составившим резюме, и заявителем.</w:t>
      </w:r>
    </w:p>
    <w:bookmarkEnd w:id="628"/>
    <w:bookmarkStart w:name="z551" w:id="629"/>
    <w:p>
      <w:pPr>
        <w:spacing w:after="0"/>
        <w:ind w:left="0"/>
        <w:jc w:val="both"/>
      </w:pPr>
      <w:r>
        <w:rPr>
          <w:rFonts w:ascii="Times New Roman"/>
          <w:b w:val="false"/>
          <w:i w:val="false"/>
          <w:color w:val="000000"/>
          <w:sz w:val="28"/>
        </w:rPr>
        <w:t>
      1.8. Специфические требования для различных типов заявлений:</w:t>
      </w:r>
    </w:p>
    <w:bookmarkEnd w:id="629"/>
    <w:bookmarkStart w:name="z552" w:id="630"/>
    <w:p>
      <w:pPr>
        <w:spacing w:after="0"/>
        <w:ind w:left="0"/>
        <w:jc w:val="both"/>
      </w:pPr>
      <w:r>
        <w:rPr>
          <w:rFonts w:ascii="Times New Roman"/>
          <w:b w:val="false"/>
          <w:i w:val="false"/>
          <w:color w:val="000000"/>
          <w:sz w:val="28"/>
        </w:rPr>
        <w:t>
      1.8.1. Письмо держателя регистрационного удостоверения о дополнительном торговом наименовании лекарственного препарата представляется, если заявитель планирует регистрировать лекарственный препарат под разными торговыми наименованиями в стране-производителе, в референтом государстве и государстве признания (если применимо). В письме должны быть указаны гарантии того, что в этих целях используется одно регистрационное досье. Письмо должно быть подписано держателем регистрационного удостоверения и датировано. В рамках процедуры приведения в соответствие с требованиями Союза представление сведений не является обязательным.</w:t>
      </w:r>
    </w:p>
    <w:bookmarkEnd w:id="630"/>
    <w:bookmarkStart w:name="z553" w:id="631"/>
    <w:p>
      <w:pPr>
        <w:spacing w:after="0"/>
        <w:ind w:left="0"/>
        <w:jc w:val="both"/>
      </w:pPr>
      <w:r>
        <w:rPr>
          <w:rFonts w:ascii="Times New Roman"/>
          <w:b w:val="false"/>
          <w:i w:val="false"/>
          <w:color w:val="000000"/>
          <w:sz w:val="28"/>
        </w:rPr>
        <w:t>
      1.8.2. Документы по клиническим исследованиям и резюме для обоснования заявления на регистрацию (если применимо):</w:t>
      </w:r>
    </w:p>
    <w:bookmarkEnd w:id="631"/>
    <w:bookmarkStart w:name="z554" w:id="632"/>
    <w:p>
      <w:pPr>
        <w:spacing w:after="0"/>
        <w:ind w:left="0"/>
        <w:jc w:val="both"/>
      </w:pPr>
      <w:r>
        <w:rPr>
          <w:rFonts w:ascii="Times New Roman"/>
          <w:b w:val="false"/>
          <w:i w:val="false"/>
          <w:color w:val="000000"/>
          <w:sz w:val="28"/>
        </w:rPr>
        <w:t>
      1.8.2.1. Разрешение уполномоченного органа на проведение клинического исследования в государствах-членах, в том числе на внесение поправок (при наличии) в протокол клинического исследования. В рамках процедуры приведения в соответствие с требованиями Союза представление сведений не является обязательным.</w:t>
      </w:r>
    </w:p>
    <w:bookmarkEnd w:id="632"/>
    <w:bookmarkStart w:name="z555" w:id="633"/>
    <w:p>
      <w:pPr>
        <w:spacing w:after="0"/>
        <w:ind w:left="0"/>
        <w:jc w:val="both"/>
      </w:pPr>
      <w:r>
        <w:rPr>
          <w:rFonts w:ascii="Times New Roman"/>
          <w:b w:val="false"/>
          <w:i w:val="false"/>
          <w:color w:val="000000"/>
          <w:sz w:val="28"/>
        </w:rPr>
        <w:t>
      1.8.2.2. Перечень проведенных инспекций на соответствие Правилам надлежащей клинической практики Евразийского экономического союза, утвержденным Решением Совета Евразийской экономической комиссии от 3 ноября 2016 г. № 79, по заявленному на регистрацию лекарственному препарату с указанием уполномоченных органов, проводивших инспекции, дат проведения, результатов (независимо от наличия документов, указанных в пункте 1.8.2.1 настоящих Требований). При необходимости уполномоченные органы (экспертные организации) государств-членов самостоятельно запрашивают у соответствующих регуляторных органов результаты проведения указанных инспекций. В рамках процедуры приведения в соответствие с требованиями Союза представление сведений не является обязательным.</w:t>
      </w:r>
    </w:p>
    <w:bookmarkEnd w:id="633"/>
    <w:bookmarkStart w:name="z556" w:id="634"/>
    <w:p>
      <w:pPr>
        <w:spacing w:after="0"/>
        <w:ind w:left="0"/>
        <w:jc w:val="both"/>
      </w:pPr>
      <w:r>
        <w:rPr>
          <w:rFonts w:ascii="Times New Roman"/>
          <w:b w:val="false"/>
          <w:i w:val="false"/>
          <w:color w:val="000000"/>
          <w:sz w:val="28"/>
        </w:rPr>
        <w:t>
      Перечень инспекций включает инспекции исследовательских центров, принимавших участие в клинических исследованиях лекарственного препарата, инспекции спонсора или контрактной исследовательской организации по клиническим исследованиям лекарственного препарата или инспекции иных организаций, имеющих отношение к исследованию (например, аналитической лаборатории, задействованной в клинических исследованиях лекарственного препарата), прочие GCP-инспекции.</w:t>
      </w:r>
    </w:p>
    <w:bookmarkEnd w:id="634"/>
    <w:bookmarkStart w:name="z557" w:id="635"/>
    <w:p>
      <w:pPr>
        <w:spacing w:after="0"/>
        <w:ind w:left="0"/>
        <w:jc w:val="both"/>
      </w:pPr>
      <w:r>
        <w:rPr>
          <w:rFonts w:ascii="Times New Roman"/>
          <w:b w:val="false"/>
          <w:i w:val="false"/>
          <w:color w:val="000000"/>
          <w:sz w:val="28"/>
        </w:rPr>
        <w:t>
      В случае если клиническое исследование полностью проведено в исследовательских центрах третьих стран, в перечень необходимо включить результаты GCP-инспекций, проведенных в исследовательских центрах, включивших в исследования данного лекарственного препарата максимальное число пациентов. В этот перечень вносятся также указания об инспекциях, проведенных по другим клиническим исследованиям в таком исследовательском центре (в том числе в отношении другого лекарственного препарата, владельцами регистрационного удостоверения на который заявитель и (или) заявленный держатель регистрационного удостоверения не являются). В этом случае уполномоченные органы (экспертные организации) государств-членов самостоятельно запрашивают отчеты о таких инспекциях у соответствующих уполномоченных органов третьих стран (при отсутствии документов, указанных в пункте 1.8.2.1 настоящих Требований (если применимо)).</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Утратил силу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Утратил силу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811" w:id="636"/>
    <w:p>
      <w:pPr>
        <w:spacing w:after="0"/>
        <w:ind w:left="0"/>
        <w:jc w:val="both"/>
      </w:pPr>
      <w:r>
        <w:rPr>
          <w:rFonts w:ascii="Times New Roman"/>
          <w:b w:val="false"/>
          <w:i w:val="false"/>
          <w:color w:val="000000"/>
          <w:sz w:val="28"/>
        </w:rPr>
        <w:t>
      1.8.2.5. Резюме для заявления на регистрацию лекарственного препарата с хорошо изученным медицинским применением. В рамках процедуры приведения в соответствие с требованиями Союза представление сведений не является обязательным.</w:t>
      </w:r>
    </w:p>
    <w:bookmarkEnd w:id="636"/>
    <w:bookmarkStart w:name="z11812" w:id="637"/>
    <w:p>
      <w:pPr>
        <w:spacing w:after="0"/>
        <w:ind w:left="0"/>
        <w:jc w:val="both"/>
      </w:pPr>
      <w:r>
        <w:rPr>
          <w:rFonts w:ascii="Times New Roman"/>
          <w:b w:val="false"/>
          <w:i w:val="false"/>
          <w:color w:val="000000"/>
          <w:sz w:val="28"/>
        </w:rPr>
        <w:t>
      1.8.2.6. Резюме для заявления на регистрацию воспроизведенных, гибридных или биоаналогичных (биоподобных) лекарственных препаратов (если применимо). В рамках процедуры приведения в соответствие с требованиями Союза представление сведений не является обязательным.</w:t>
      </w:r>
    </w:p>
    <w:bookmarkEnd w:id="637"/>
    <w:bookmarkStart w:name="z11813" w:id="638"/>
    <w:p>
      <w:pPr>
        <w:spacing w:after="0"/>
        <w:ind w:left="0"/>
        <w:jc w:val="both"/>
      </w:pPr>
      <w:r>
        <w:rPr>
          <w:rFonts w:ascii="Times New Roman"/>
          <w:b w:val="false"/>
          <w:i w:val="false"/>
          <w:color w:val="000000"/>
          <w:sz w:val="28"/>
        </w:rPr>
        <w:t>
      1.8.2.7. Резюме для заявления на регистрацию при наличии патентов в государстве-члене в отношении регистрируемого лекарственного препарата.</w:t>
      </w:r>
    </w:p>
    <w:bookmarkEnd w:id="638"/>
    <w:bookmarkStart w:name="z11814" w:id="639"/>
    <w:p>
      <w:pPr>
        <w:spacing w:after="0"/>
        <w:ind w:left="0"/>
        <w:jc w:val="both"/>
      </w:pPr>
      <w:r>
        <w:rPr>
          <w:rFonts w:ascii="Times New Roman"/>
          <w:b w:val="false"/>
          <w:i w:val="false"/>
          <w:color w:val="000000"/>
          <w:sz w:val="28"/>
        </w:rPr>
        <w:t>
      1.8.2.8. Резюме для заявления на регистрацию в исключительных случаях (если применимо). В рамках процедуры приведения в соответствие с требованиями Союза представление сведений не является обязательным.</w:t>
      </w:r>
    </w:p>
    <w:bookmarkEnd w:id="639"/>
    <w:bookmarkStart w:name="z11815" w:id="640"/>
    <w:p>
      <w:pPr>
        <w:spacing w:after="0"/>
        <w:ind w:left="0"/>
        <w:jc w:val="both"/>
      </w:pPr>
      <w:r>
        <w:rPr>
          <w:rFonts w:ascii="Times New Roman"/>
          <w:b w:val="false"/>
          <w:i w:val="false"/>
          <w:color w:val="000000"/>
          <w:sz w:val="28"/>
        </w:rPr>
        <w:t>
      1.8.2.9. Резюме для заявления на регистрацию с установлением пострегистрационных мер или резюме для заявления на условную регистрацию (если применимо). В рамках процедуры приведения в соответствие с требованиями Союза представление сведений не является обязательным.</w:t>
      </w:r>
    </w:p>
    <w:bookmarkEnd w:id="640"/>
    <w:bookmarkStart w:name="z560" w:id="641"/>
    <w:p>
      <w:pPr>
        <w:spacing w:after="0"/>
        <w:ind w:left="0"/>
        <w:jc w:val="both"/>
      </w:pPr>
      <w:r>
        <w:rPr>
          <w:rFonts w:ascii="Times New Roman"/>
          <w:b w:val="false"/>
          <w:i w:val="false"/>
          <w:color w:val="000000"/>
          <w:sz w:val="28"/>
        </w:rPr>
        <w:t>
      1.8.3. Таблица с перечнем клинических исследований (если применимо). В рамках процедуры приведения в соответствие с требованиями Союза представление сведений не является обязательным.</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Утратил силу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62" w:id="642"/>
    <w:p>
      <w:pPr>
        <w:spacing w:after="0"/>
        <w:ind w:left="0"/>
        <w:jc w:val="both"/>
      </w:pPr>
      <w:r>
        <w:rPr>
          <w:rFonts w:ascii="Times New Roman"/>
          <w:b w:val="false"/>
          <w:i w:val="false"/>
          <w:color w:val="000000"/>
          <w:sz w:val="28"/>
        </w:rPr>
        <w:t>
      1.9. Документы заявителя об оценке потенциальной опасности для окружающей среды (размещаются как приложение № 1 к модулю) (при наличии).</w:t>
      </w:r>
    </w:p>
    <w:bookmarkEnd w:id="642"/>
    <w:bookmarkStart w:name="z563" w:id="643"/>
    <w:p>
      <w:pPr>
        <w:spacing w:after="0"/>
        <w:ind w:left="0"/>
        <w:jc w:val="both"/>
      </w:pPr>
      <w:r>
        <w:rPr>
          <w:rFonts w:ascii="Times New Roman"/>
          <w:b w:val="false"/>
          <w:i w:val="false"/>
          <w:color w:val="000000"/>
          <w:sz w:val="28"/>
        </w:rPr>
        <w:t>
      1.9.1. Письмо заявителя о том, что лекарственные препараты содержат генетически модифицированные организмы или получены из них (если применимо).</w:t>
      </w:r>
    </w:p>
    <w:bookmarkEnd w:id="643"/>
    <w:bookmarkStart w:name="z564" w:id="644"/>
    <w:p>
      <w:pPr>
        <w:spacing w:after="0"/>
        <w:ind w:left="0"/>
        <w:jc w:val="both"/>
      </w:pPr>
      <w:r>
        <w:rPr>
          <w:rFonts w:ascii="Times New Roman"/>
          <w:b w:val="false"/>
          <w:i w:val="false"/>
          <w:color w:val="000000"/>
          <w:sz w:val="28"/>
        </w:rPr>
        <w:t>
      1.10. Информация относительно фармаконадзора заявителя в государстве-члене.</w:t>
      </w:r>
    </w:p>
    <w:bookmarkEnd w:id="644"/>
    <w:bookmarkStart w:name="z565" w:id="645"/>
    <w:p>
      <w:pPr>
        <w:spacing w:after="0"/>
        <w:ind w:left="0"/>
        <w:jc w:val="both"/>
      </w:pPr>
      <w:r>
        <w:rPr>
          <w:rFonts w:ascii="Times New Roman"/>
          <w:b w:val="false"/>
          <w:i w:val="false"/>
          <w:color w:val="000000"/>
          <w:sz w:val="28"/>
        </w:rPr>
        <w:t>
      1.10.1. Мастер-файл системы фармаконадзора держателя регистрационного удостоверения в соответствии с требованиями Правил надлежащей практики фармаконадзора Евразийского экономического союза, утверждаемых Комиссией (далее - Правила надлежащей практики фармаконадзора Союза) представляется в случае, когда держатель регистрационного удостоверения впервые подает заявление на регистрацию лекарственного препарата на рынок Союза.</w:t>
      </w:r>
    </w:p>
    <w:bookmarkEnd w:id="645"/>
    <w:bookmarkStart w:name="z566" w:id="646"/>
    <w:p>
      <w:pPr>
        <w:spacing w:after="0"/>
        <w:ind w:left="0"/>
        <w:jc w:val="both"/>
      </w:pPr>
      <w:r>
        <w:rPr>
          <w:rFonts w:ascii="Times New Roman"/>
          <w:b w:val="false"/>
          <w:i w:val="false"/>
          <w:color w:val="000000"/>
          <w:sz w:val="28"/>
        </w:rPr>
        <w:t>
      При последующих заявлениях на регистрацию лекарственных препаратов от имени данного держателя регистрационного удостоверения представляется краткая характеристика системы фармаконадзора держателя регистрационного удостоверения.</w:t>
      </w:r>
    </w:p>
    <w:bookmarkEnd w:id="646"/>
    <w:bookmarkStart w:name="z567" w:id="647"/>
    <w:p>
      <w:pPr>
        <w:spacing w:after="0"/>
        <w:ind w:left="0"/>
        <w:jc w:val="both"/>
      </w:pPr>
      <w:r>
        <w:rPr>
          <w:rFonts w:ascii="Times New Roman"/>
          <w:b w:val="false"/>
          <w:i w:val="false"/>
          <w:color w:val="000000"/>
          <w:sz w:val="28"/>
        </w:rPr>
        <w:t>
      Краткая характеристика системы фармаконадзора держателя регистрационного удостоверения должна включать в себя в том числе следующие элементы:</w:t>
      </w:r>
    </w:p>
    <w:bookmarkEnd w:id="647"/>
    <w:bookmarkStart w:name="z568" w:id="648"/>
    <w:p>
      <w:pPr>
        <w:spacing w:after="0"/>
        <w:ind w:left="0"/>
        <w:jc w:val="both"/>
      </w:pPr>
      <w:r>
        <w:rPr>
          <w:rFonts w:ascii="Times New Roman"/>
          <w:b w:val="false"/>
          <w:i w:val="false"/>
          <w:color w:val="000000"/>
          <w:sz w:val="28"/>
        </w:rPr>
        <w:t>
      письменное подтверждение держателем регистрационного удостоверения факта наличия уполномоченного лица, ответственного за фармаконадзор. Если держатель регистрационного удостоверения не находится на территории государства-члена, также необходимо подтверждение о наличии контактного лица по фармаконадзору на территории государства-члена;</w:t>
      </w:r>
    </w:p>
    <w:bookmarkEnd w:id="648"/>
    <w:bookmarkStart w:name="z569" w:id="649"/>
    <w:p>
      <w:pPr>
        <w:spacing w:after="0"/>
        <w:ind w:left="0"/>
        <w:jc w:val="both"/>
      </w:pPr>
      <w:r>
        <w:rPr>
          <w:rFonts w:ascii="Times New Roman"/>
          <w:b w:val="false"/>
          <w:i w:val="false"/>
          <w:color w:val="000000"/>
          <w:sz w:val="28"/>
        </w:rPr>
        <w:t>
      указание государства, в котором проживает и выполняет свои функции уполномоченное лицо;</w:t>
      </w:r>
    </w:p>
    <w:bookmarkEnd w:id="649"/>
    <w:bookmarkStart w:name="z570" w:id="650"/>
    <w:p>
      <w:pPr>
        <w:spacing w:after="0"/>
        <w:ind w:left="0"/>
        <w:jc w:val="both"/>
      </w:pPr>
      <w:r>
        <w:rPr>
          <w:rFonts w:ascii="Times New Roman"/>
          <w:b w:val="false"/>
          <w:i w:val="false"/>
          <w:color w:val="000000"/>
          <w:sz w:val="28"/>
        </w:rPr>
        <w:t>
      контактные данные уполномоченного лица и контактного лица по фармаконадзору (если применимо);</w:t>
      </w:r>
    </w:p>
    <w:bookmarkEnd w:id="650"/>
    <w:bookmarkStart w:name="z571" w:id="651"/>
    <w:p>
      <w:pPr>
        <w:spacing w:after="0"/>
        <w:ind w:left="0"/>
        <w:jc w:val="both"/>
      </w:pPr>
      <w:r>
        <w:rPr>
          <w:rFonts w:ascii="Times New Roman"/>
          <w:b w:val="false"/>
          <w:i w:val="false"/>
          <w:color w:val="000000"/>
          <w:sz w:val="28"/>
        </w:rPr>
        <w:t>
      заявление (декларация), подписанное держателем регистрационного удостоверения, о том, что он обязуется выполнять задачи и обязанности, перечисленные в Правилах надлежащей практики фармаконадзора Союза;</w:t>
      </w:r>
    </w:p>
    <w:bookmarkEnd w:id="651"/>
    <w:bookmarkStart w:name="z572" w:id="652"/>
    <w:p>
      <w:pPr>
        <w:spacing w:after="0"/>
        <w:ind w:left="0"/>
        <w:jc w:val="both"/>
      </w:pPr>
      <w:r>
        <w:rPr>
          <w:rFonts w:ascii="Times New Roman"/>
          <w:b w:val="false"/>
          <w:i w:val="false"/>
          <w:color w:val="000000"/>
          <w:sz w:val="28"/>
        </w:rPr>
        <w:t>
      ссылка на расположение (адрес) мастер-файла системы фармаконадзора.</w:t>
      </w:r>
    </w:p>
    <w:bookmarkEnd w:id="652"/>
    <w:bookmarkStart w:name="z573" w:id="653"/>
    <w:p>
      <w:pPr>
        <w:spacing w:after="0"/>
        <w:ind w:left="0"/>
        <w:jc w:val="both"/>
      </w:pPr>
      <w:r>
        <w:rPr>
          <w:rFonts w:ascii="Times New Roman"/>
          <w:b w:val="false"/>
          <w:i w:val="false"/>
          <w:color w:val="000000"/>
          <w:sz w:val="28"/>
        </w:rPr>
        <w:t>
      1.10.2. Письменное подтверждение держателем регистрационного удостоверения факта наличия уполномоченного лица, ответственного за фармаконадзор на территории государства-члена.</w:t>
      </w:r>
    </w:p>
    <w:bookmarkEnd w:id="653"/>
    <w:bookmarkStart w:name="z574" w:id="654"/>
    <w:p>
      <w:pPr>
        <w:spacing w:after="0"/>
        <w:ind w:left="0"/>
        <w:jc w:val="both"/>
      </w:pPr>
      <w:r>
        <w:rPr>
          <w:rFonts w:ascii="Times New Roman"/>
          <w:b w:val="false"/>
          <w:i w:val="false"/>
          <w:color w:val="000000"/>
          <w:sz w:val="28"/>
        </w:rPr>
        <w:t xml:space="preserve">
      1.10.3. План управления рисками и резюме согласованного плана управления рисками на лекарственный препарат, заявляемый на регистрацию, подготовленный в соответствии с Правилами надлежащей практики фармаконадзора Союза. </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1.10.3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75" w:id="655"/>
    <w:p>
      <w:pPr>
        <w:spacing w:after="0"/>
        <w:ind w:left="0"/>
        <w:jc w:val="both"/>
      </w:pPr>
      <w:r>
        <w:rPr>
          <w:rFonts w:ascii="Times New Roman"/>
          <w:b w:val="false"/>
          <w:i w:val="false"/>
          <w:color w:val="000000"/>
          <w:sz w:val="28"/>
        </w:rPr>
        <w:t>
      1.10.4. Документы, заверенные надлежащим образом, подтверждающие наличие взаимодействия, обеспечивающего надлежащее выполнение несколькими юридическими лицами всех обязанностей держателя регистрационного удостоверения, в случае если держателями регистрационных удостоверений лекарственного препарата, выданных референтным государством и государствами признания, являются разные юридические лица (если применимо).</w:t>
      </w:r>
    </w:p>
    <w:bookmarkEnd w:id="655"/>
    <w:bookmarkStart w:name="z576" w:id="656"/>
    <w:p>
      <w:pPr>
        <w:spacing w:after="0"/>
        <w:ind w:left="0"/>
        <w:jc w:val="both"/>
      </w:pPr>
      <w:r>
        <w:rPr>
          <w:rFonts w:ascii="Times New Roman"/>
          <w:b w:val="false"/>
          <w:i w:val="false"/>
          <w:color w:val="000000"/>
          <w:sz w:val="28"/>
        </w:rPr>
        <w:t>
      1.11. Копии документов, подтверждающих регистрацию товарного знака (при наличии). </w:t>
      </w:r>
    </w:p>
    <w:bookmarkEnd w:id="656"/>
    <w:bookmarkStart w:name="z577" w:id="657"/>
    <w:p>
      <w:pPr>
        <w:spacing w:after="0"/>
        <w:ind w:left="0"/>
        <w:jc w:val="left"/>
      </w:pPr>
      <w:r>
        <w:rPr>
          <w:rFonts w:ascii="Times New Roman"/>
          <w:b/>
          <w:i w:val="false"/>
          <w:color w:val="000000"/>
        </w:rPr>
        <w:t xml:space="preserve"> 2. Требования к документам регистрационного досье, приведенным в модуле 2: резюме общего технического документа (ОТД)</w:t>
      </w:r>
    </w:p>
    <w:bookmarkEnd w:id="657"/>
    <w:bookmarkStart w:name="z578" w:id="658"/>
    <w:p>
      <w:pPr>
        <w:spacing w:after="0"/>
        <w:ind w:left="0"/>
        <w:jc w:val="both"/>
      </w:pPr>
      <w:r>
        <w:rPr>
          <w:rFonts w:ascii="Times New Roman"/>
          <w:b w:val="false"/>
          <w:i w:val="false"/>
          <w:color w:val="000000"/>
          <w:sz w:val="28"/>
        </w:rPr>
        <w:t>
      В данном модуле приводятся резюме химической и биологической документации, доклинических и клинических исследований, представленных в модулях 3 - 5 регистрационного досье лекарственного препарата и заключениях специалистов, подготовивших резюме по качеству, доклиническим и клиническим данным.</w:t>
      </w:r>
    </w:p>
    <w:bookmarkEnd w:id="658"/>
    <w:bookmarkStart w:name="z579" w:id="659"/>
    <w:p>
      <w:pPr>
        <w:spacing w:after="0"/>
        <w:ind w:left="0"/>
        <w:jc w:val="both"/>
      </w:pPr>
      <w:r>
        <w:rPr>
          <w:rFonts w:ascii="Times New Roman"/>
          <w:b w:val="false"/>
          <w:i w:val="false"/>
          <w:color w:val="000000"/>
          <w:sz w:val="28"/>
        </w:rPr>
        <w:t>
      Представляются обобщенные фактические данные, включая материалы в виде таблиц. В этих отчетах предусматриваются перекрестные ссылки на таблицы или на информацию, содержащуюся в основной документации, представленной в модуле 3 "Качество", модуле 4 "Отчеты о доклинических (неклинических) исследованиях" и модуле 5 "Отчеты о клинических исследованиях (испытаниях)".</w:t>
      </w:r>
    </w:p>
    <w:bookmarkEnd w:id="659"/>
    <w:bookmarkStart w:name="z580" w:id="660"/>
    <w:p>
      <w:pPr>
        <w:spacing w:after="0"/>
        <w:ind w:left="0"/>
        <w:jc w:val="both"/>
      </w:pPr>
      <w:r>
        <w:rPr>
          <w:rFonts w:ascii="Times New Roman"/>
          <w:b w:val="false"/>
          <w:i w:val="false"/>
          <w:color w:val="000000"/>
          <w:sz w:val="28"/>
        </w:rPr>
        <w:t>
      Обзоры и резюме должны соответствовать основным принципам и требованиям, изложенным ниже.</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2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1" w:id="661"/>
    <w:p>
      <w:pPr>
        <w:spacing w:after="0"/>
        <w:ind w:left="0"/>
        <w:jc w:val="both"/>
      </w:pPr>
      <w:r>
        <w:rPr>
          <w:rFonts w:ascii="Times New Roman"/>
          <w:b w:val="false"/>
          <w:i w:val="false"/>
          <w:color w:val="000000"/>
          <w:sz w:val="28"/>
        </w:rPr>
        <w:t>
      2.1. Содержание модулей 2 - 5.</w:t>
      </w:r>
    </w:p>
    <w:bookmarkEnd w:id="661"/>
    <w:bookmarkStart w:name="z582" w:id="662"/>
    <w:p>
      <w:pPr>
        <w:spacing w:after="0"/>
        <w:ind w:left="0"/>
        <w:jc w:val="both"/>
      </w:pPr>
      <w:r>
        <w:rPr>
          <w:rFonts w:ascii="Times New Roman"/>
          <w:b w:val="false"/>
          <w:i w:val="false"/>
          <w:color w:val="000000"/>
          <w:sz w:val="28"/>
        </w:rPr>
        <w:t>
      В данном разделе модуля представляют содержание документации о качестве, безопасности и эффективности лекарственного препарата, включенной в модули 2 - 5.</w:t>
      </w:r>
    </w:p>
    <w:bookmarkEnd w:id="662"/>
    <w:bookmarkStart w:name="z583" w:id="663"/>
    <w:p>
      <w:pPr>
        <w:spacing w:after="0"/>
        <w:ind w:left="0"/>
        <w:jc w:val="both"/>
      </w:pPr>
      <w:r>
        <w:rPr>
          <w:rFonts w:ascii="Times New Roman"/>
          <w:b w:val="false"/>
          <w:i w:val="false"/>
          <w:color w:val="000000"/>
          <w:sz w:val="28"/>
        </w:rPr>
        <w:t>
      2.2. Введение в ОТД.</w:t>
      </w:r>
    </w:p>
    <w:bookmarkEnd w:id="663"/>
    <w:bookmarkStart w:name="z584" w:id="664"/>
    <w:p>
      <w:pPr>
        <w:spacing w:after="0"/>
        <w:ind w:left="0"/>
        <w:jc w:val="both"/>
      </w:pPr>
      <w:r>
        <w:rPr>
          <w:rFonts w:ascii="Times New Roman"/>
          <w:b w:val="false"/>
          <w:i w:val="false"/>
          <w:color w:val="000000"/>
          <w:sz w:val="28"/>
        </w:rPr>
        <w:t>
      Должна быть представлена информация о фармакологической группе, механизме действия и предложенное клиническое применение лекарственного препарата.</w:t>
      </w:r>
    </w:p>
    <w:bookmarkEnd w:id="664"/>
    <w:bookmarkStart w:name="z585" w:id="665"/>
    <w:p>
      <w:pPr>
        <w:spacing w:after="0"/>
        <w:ind w:left="0"/>
        <w:jc w:val="both"/>
      </w:pPr>
      <w:r>
        <w:rPr>
          <w:rFonts w:ascii="Times New Roman"/>
          <w:b w:val="false"/>
          <w:i w:val="false"/>
          <w:color w:val="000000"/>
          <w:sz w:val="28"/>
        </w:rPr>
        <w:t>
      2.3. Общее резюме по качеству.</w:t>
      </w:r>
    </w:p>
    <w:bookmarkEnd w:id="665"/>
    <w:bookmarkStart w:name="z586" w:id="666"/>
    <w:p>
      <w:pPr>
        <w:spacing w:after="0"/>
        <w:ind w:left="0"/>
        <w:jc w:val="both"/>
      </w:pPr>
      <w:r>
        <w:rPr>
          <w:rFonts w:ascii="Times New Roman"/>
          <w:b w:val="false"/>
          <w:i w:val="false"/>
          <w:color w:val="000000"/>
          <w:sz w:val="28"/>
        </w:rPr>
        <w:t>
      В общем резюме по качеству следует представлять обзор информации, связанной с химическими, фармацевтическими и биологическими данными.</w:t>
      </w:r>
    </w:p>
    <w:bookmarkEnd w:id="666"/>
    <w:bookmarkStart w:name="z587" w:id="667"/>
    <w:p>
      <w:pPr>
        <w:spacing w:after="0"/>
        <w:ind w:left="0"/>
        <w:jc w:val="both"/>
      </w:pPr>
      <w:r>
        <w:rPr>
          <w:rFonts w:ascii="Times New Roman"/>
          <w:b w:val="false"/>
          <w:i w:val="false"/>
          <w:color w:val="000000"/>
          <w:sz w:val="28"/>
        </w:rPr>
        <w:t>
      Необходимо обратить особое внимание на основные критические параметры и вопросы, связанные с аспектами качества, а также представить обоснование в тех случаях, когда не соблюдены соответствующие требования и руководства. Этот документ должен охватывать вопросы и описывать соответствующие данные, которые подробно представлены в модуле 3.</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8" w:id="668"/>
    <w:p>
      <w:pPr>
        <w:spacing w:after="0"/>
        <w:ind w:left="0"/>
        <w:jc w:val="both"/>
      </w:pPr>
      <w:r>
        <w:rPr>
          <w:rFonts w:ascii="Times New Roman"/>
          <w:b w:val="false"/>
          <w:i w:val="false"/>
          <w:color w:val="000000"/>
          <w:sz w:val="28"/>
        </w:rPr>
        <w:t>
      2.4. Обзор доклинических данных.</w:t>
      </w:r>
    </w:p>
    <w:bookmarkEnd w:id="668"/>
    <w:bookmarkStart w:name="z589" w:id="669"/>
    <w:p>
      <w:pPr>
        <w:spacing w:after="0"/>
        <w:ind w:left="0"/>
        <w:jc w:val="both"/>
      </w:pPr>
      <w:r>
        <w:rPr>
          <w:rFonts w:ascii="Times New Roman"/>
          <w:b w:val="false"/>
          <w:i w:val="false"/>
          <w:color w:val="000000"/>
          <w:sz w:val="28"/>
        </w:rPr>
        <w:t>
      Необходимо привести обобщенную и критическую оценку доклинических исследований лекарственного препарата на животных in vitro, а также обсуждение и обоснование стратегии исследования при необходимости отклонения от соответствующих требований.</w:t>
      </w:r>
    </w:p>
    <w:bookmarkEnd w:id="669"/>
    <w:bookmarkStart w:name="z590" w:id="670"/>
    <w:p>
      <w:pPr>
        <w:spacing w:after="0"/>
        <w:ind w:left="0"/>
        <w:jc w:val="both"/>
      </w:pPr>
      <w:r>
        <w:rPr>
          <w:rFonts w:ascii="Times New Roman"/>
          <w:b w:val="false"/>
          <w:i w:val="false"/>
          <w:color w:val="000000"/>
          <w:sz w:val="28"/>
        </w:rPr>
        <w:t>
      Необходимо включить оценку примесей и продуктов распада лекарственного препарата вместе с их потенциальными фармакологическими и токсикологическими эффектами, за исключением лекарственных препаратов биологического происхождения. Следует рассмотреть любые различия в хиральности, химической форме и чистоте соединений, используемых в доклинических исследованиях и в лекарственном препарате, которое будет производиться.</w:t>
      </w:r>
    </w:p>
    <w:bookmarkEnd w:id="670"/>
    <w:bookmarkStart w:name="z591" w:id="671"/>
    <w:p>
      <w:pPr>
        <w:spacing w:after="0"/>
        <w:ind w:left="0"/>
        <w:jc w:val="both"/>
      </w:pPr>
      <w:r>
        <w:rPr>
          <w:rFonts w:ascii="Times New Roman"/>
          <w:b w:val="false"/>
          <w:i w:val="false"/>
          <w:color w:val="000000"/>
          <w:sz w:val="28"/>
        </w:rPr>
        <w:t>
      Для лекарственных препаратов растительного, биологического происхождения необходимо оценить сопоставимость продукта, использованного в доклинических исследованиях, клинических испытаниях, и лекарственного препарата, который будет регистрироваться.</w:t>
      </w:r>
    </w:p>
    <w:bookmarkEnd w:id="671"/>
    <w:bookmarkStart w:name="z592" w:id="672"/>
    <w:p>
      <w:pPr>
        <w:spacing w:after="0"/>
        <w:ind w:left="0"/>
        <w:jc w:val="both"/>
      </w:pPr>
      <w:r>
        <w:rPr>
          <w:rFonts w:ascii="Times New Roman"/>
          <w:b w:val="false"/>
          <w:i w:val="false"/>
          <w:color w:val="000000"/>
          <w:sz w:val="28"/>
        </w:rPr>
        <w:t>
      Любое новое вспомогательное вещество подлежит отдельной оценке по безопасности.</w:t>
      </w:r>
    </w:p>
    <w:bookmarkEnd w:id="672"/>
    <w:bookmarkStart w:name="z593" w:id="673"/>
    <w:p>
      <w:pPr>
        <w:spacing w:after="0"/>
        <w:ind w:left="0"/>
        <w:jc w:val="both"/>
      </w:pPr>
      <w:r>
        <w:rPr>
          <w:rFonts w:ascii="Times New Roman"/>
          <w:b w:val="false"/>
          <w:i w:val="false"/>
          <w:color w:val="000000"/>
          <w:sz w:val="28"/>
        </w:rPr>
        <w:t>
      Необходимо определить свойства лекарственного препарата, доказанные в доклинических исследованиях, а также представить значение результатов по безопасности лекарственного препарата для планируемого клинического применения.</w:t>
      </w:r>
    </w:p>
    <w:bookmarkEnd w:id="673"/>
    <w:bookmarkStart w:name="z594" w:id="674"/>
    <w:p>
      <w:pPr>
        <w:spacing w:after="0"/>
        <w:ind w:left="0"/>
        <w:jc w:val="both"/>
      </w:pPr>
      <w:r>
        <w:rPr>
          <w:rFonts w:ascii="Times New Roman"/>
          <w:b w:val="false"/>
          <w:i w:val="false"/>
          <w:color w:val="000000"/>
          <w:sz w:val="28"/>
        </w:rPr>
        <w:t>
      2.5. Обзор клинических данных.</w:t>
      </w:r>
    </w:p>
    <w:bookmarkEnd w:id="674"/>
    <w:bookmarkStart w:name="z595" w:id="675"/>
    <w:p>
      <w:pPr>
        <w:spacing w:after="0"/>
        <w:ind w:left="0"/>
        <w:jc w:val="both"/>
      </w:pPr>
      <w:r>
        <w:rPr>
          <w:rFonts w:ascii="Times New Roman"/>
          <w:b w:val="false"/>
          <w:i w:val="false"/>
          <w:color w:val="000000"/>
          <w:sz w:val="28"/>
        </w:rPr>
        <w:t>
      Обзор клинических данных должен содержать критический анализ клинических данных, которые включены в резюме и модуль 5. Необходимо представить сведения о способе клинической разработки лекарственного препарата, включая дизайн исследования, решения, принятые в отношении исследования, а также ход проведения исследований.</w:t>
      </w:r>
    </w:p>
    <w:bookmarkEnd w:id="675"/>
    <w:bookmarkStart w:name="z596" w:id="676"/>
    <w:p>
      <w:pPr>
        <w:spacing w:after="0"/>
        <w:ind w:left="0"/>
        <w:jc w:val="both"/>
      </w:pPr>
      <w:r>
        <w:rPr>
          <w:rFonts w:ascii="Times New Roman"/>
          <w:b w:val="false"/>
          <w:i w:val="false"/>
          <w:color w:val="000000"/>
          <w:sz w:val="28"/>
        </w:rPr>
        <w:t>
      Необходимо представить краткий обзор данных клинических исследований, включая важные ограничивающие факторы, а также оценку соотношения польза - риск, которая базируется на выводах клинических исследований, обосновать предложенную дозу и показания к применению, исходя из полученных клинических данных по эффективности и безопасности, а также оценить, как с помощью общей характеристики лекарственного препарата, инструкции по медицинскому применению и других подходов можно оптимизировать пользу и ограничить риски.</w:t>
      </w:r>
    </w:p>
    <w:bookmarkEnd w:id="676"/>
    <w:bookmarkStart w:name="z597" w:id="677"/>
    <w:p>
      <w:pPr>
        <w:spacing w:after="0"/>
        <w:ind w:left="0"/>
        <w:jc w:val="both"/>
      </w:pPr>
      <w:r>
        <w:rPr>
          <w:rFonts w:ascii="Times New Roman"/>
          <w:b w:val="false"/>
          <w:i w:val="false"/>
          <w:color w:val="000000"/>
          <w:sz w:val="28"/>
        </w:rPr>
        <w:t>
      Необходимо объяснить все вопросы относительно эффективности и безопасности, которые возникли в процессе разработки и которые не нашли объяснения.</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98" w:id="678"/>
    <w:p>
      <w:pPr>
        <w:spacing w:after="0"/>
        <w:ind w:left="0"/>
        <w:jc w:val="both"/>
      </w:pPr>
      <w:r>
        <w:rPr>
          <w:rFonts w:ascii="Times New Roman"/>
          <w:b w:val="false"/>
          <w:i w:val="false"/>
          <w:color w:val="000000"/>
          <w:sz w:val="28"/>
        </w:rPr>
        <w:t>
      2.6. Резюме доклинических исследований.</w:t>
      </w:r>
    </w:p>
    <w:bookmarkEnd w:id="678"/>
    <w:bookmarkStart w:name="z599" w:id="679"/>
    <w:p>
      <w:pPr>
        <w:spacing w:after="0"/>
        <w:ind w:left="0"/>
        <w:jc w:val="both"/>
      </w:pPr>
      <w:r>
        <w:rPr>
          <w:rFonts w:ascii="Times New Roman"/>
          <w:b w:val="false"/>
          <w:i w:val="false"/>
          <w:color w:val="000000"/>
          <w:sz w:val="28"/>
        </w:rPr>
        <w:t>
      Резюме доклинических исследований нужно представлять на основе фактических результатов фармакологических, фармакокинетических и токсикологических исследований, проведенных на животных in vitro, в текстовом формате и в виде таблиц в представленной ниже последовательности, с вводной частью.</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0" w:id="680"/>
    <w:p>
      <w:pPr>
        <w:spacing w:after="0"/>
        <w:ind w:left="0"/>
        <w:jc w:val="both"/>
      </w:pPr>
      <w:r>
        <w:rPr>
          <w:rFonts w:ascii="Times New Roman"/>
          <w:b w:val="false"/>
          <w:i w:val="false"/>
          <w:color w:val="000000"/>
          <w:sz w:val="28"/>
        </w:rPr>
        <w:t>
      2.6.1. Резюме фармакологических исследований в текстовом формате.</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1" w:id="681"/>
    <w:p>
      <w:pPr>
        <w:spacing w:after="0"/>
        <w:ind w:left="0"/>
        <w:jc w:val="both"/>
      </w:pPr>
      <w:r>
        <w:rPr>
          <w:rFonts w:ascii="Times New Roman"/>
          <w:b w:val="false"/>
          <w:i w:val="false"/>
          <w:color w:val="000000"/>
          <w:sz w:val="28"/>
        </w:rPr>
        <w:t>
      2.6.2. Резюме фармакологических исследований в виде таблиц.</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2" w:id="682"/>
    <w:p>
      <w:pPr>
        <w:spacing w:after="0"/>
        <w:ind w:left="0"/>
        <w:jc w:val="both"/>
      </w:pPr>
      <w:r>
        <w:rPr>
          <w:rFonts w:ascii="Times New Roman"/>
          <w:b w:val="false"/>
          <w:i w:val="false"/>
          <w:color w:val="000000"/>
          <w:sz w:val="28"/>
        </w:rPr>
        <w:t>
      2.6.3. Резюме фармакокинетических исследований в текстовом формате.</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3" w:id="683"/>
    <w:p>
      <w:pPr>
        <w:spacing w:after="0"/>
        <w:ind w:left="0"/>
        <w:jc w:val="both"/>
      </w:pPr>
      <w:r>
        <w:rPr>
          <w:rFonts w:ascii="Times New Roman"/>
          <w:b w:val="false"/>
          <w:i w:val="false"/>
          <w:color w:val="000000"/>
          <w:sz w:val="28"/>
        </w:rPr>
        <w:t>
      2.6.4. Резюме фармакокинетических исследований в виде таблиц.</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4" w:id="684"/>
    <w:p>
      <w:pPr>
        <w:spacing w:after="0"/>
        <w:ind w:left="0"/>
        <w:jc w:val="both"/>
      </w:pPr>
      <w:r>
        <w:rPr>
          <w:rFonts w:ascii="Times New Roman"/>
          <w:b w:val="false"/>
          <w:i w:val="false"/>
          <w:color w:val="000000"/>
          <w:sz w:val="28"/>
        </w:rPr>
        <w:t>
      2.6.5. Резюме токсикологических исследований в текстовом формате.</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5" w:id="685"/>
    <w:p>
      <w:pPr>
        <w:spacing w:after="0"/>
        <w:ind w:left="0"/>
        <w:jc w:val="both"/>
      </w:pPr>
      <w:r>
        <w:rPr>
          <w:rFonts w:ascii="Times New Roman"/>
          <w:b w:val="false"/>
          <w:i w:val="false"/>
          <w:color w:val="000000"/>
          <w:sz w:val="28"/>
        </w:rPr>
        <w:t>
      2.6.6. Резюме токсикологических исследований в виде таблиц.</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6" w:id="686"/>
    <w:p>
      <w:pPr>
        <w:spacing w:after="0"/>
        <w:ind w:left="0"/>
        <w:jc w:val="both"/>
      </w:pPr>
      <w:r>
        <w:rPr>
          <w:rFonts w:ascii="Times New Roman"/>
          <w:b w:val="false"/>
          <w:i w:val="false"/>
          <w:color w:val="000000"/>
          <w:sz w:val="28"/>
        </w:rPr>
        <w:t>
      2.7. Резюме клинических исследований.</w:t>
      </w:r>
    </w:p>
    <w:bookmarkEnd w:id="686"/>
    <w:bookmarkStart w:name="z607" w:id="687"/>
    <w:p>
      <w:pPr>
        <w:spacing w:after="0"/>
        <w:ind w:left="0"/>
        <w:jc w:val="both"/>
      </w:pPr>
      <w:r>
        <w:rPr>
          <w:rFonts w:ascii="Times New Roman"/>
          <w:b w:val="false"/>
          <w:i w:val="false"/>
          <w:color w:val="000000"/>
          <w:sz w:val="28"/>
        </w:rPr>
        <w:t>
      Необходимо представить подробное с приведением фактических данных резюме клинической информации по изучению лекарственного препарата, включенного в модуль 5. Резюме должно включать результаты всех биофармацевтических исследований, исследований по клинической фармакологии, а также исследований по клинической эффективности и безопасности. Необходимо представить краткий обзор индивидуальных исследований. Клиническая информация в виде резюме должна представляться в определенной последовательности частей (с перечнем использованных научных источников).</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8" w:id="688"/>
    <w:p>
      <w:pPr>
        <w:spacing w:after="0"/>
        <w:ind w:left="0"/>
        <w:jc w:val="both"/>
      </w:pPr>
      <w:r>
        <w:rPr>
          <w:rFonts w:ascii="Times New Roman"/>
          <w:b w:val="false"/>
          <w:i w:val="false"/>
          <w:color w:val="000000"/>
          <w:sz w:val="28"/>
        </w:rPr>
        <w:t>
      2.7.1. Резюме биофармацевтических исследований и связанных с ними аналитических методов.</w:t>
      </w:r>
    </w:p>
    <w:bookmarkEnd w:id="688"/>
    <w:bookmarkStart w:name="z609" w:id="689"/>
    <w:p>
      <w:pPr>
        <w:spacing w:after="0"/>
        <w:ind w:left="0"/>
        <w:jc w:val="both"/>
      </w:pPr>
      <w:r>
        <w:rPr>
          <w:rFonts w:ascii="Times New Roman"/>
          <w:b w:val="false"/>
          <w:i w:val="false"/>
          <w:color w:val="000000"/>
          <w:sz w:val="28"/>
        </w:rPr>
        <w:t>
      2.7.2. Резюме исследований по клинической фармакологии.</w:t>
      </w:r>
    </w:p>
    <w:bookmarkEnd w:id="689"/>
    <w:bookmarkStart w:name="z610" w:id="690"/>
    <w:p>
      <w:pPr>
        <w:spacing w:after="0"/>
        <w:ind w:left="0"/>
        <w:jc w:val="both"/>
      </w:pPr>
      <w:r>
        <w:rPr>
          <w:rFonts w:ascii="Times New Roman"/>
          <w:b w:val="false"/>
          <w:i w:val="false"/>
          <w:color w:val="000000"/>
          <w:sz w:val="28"/>
        </w:rPr>
        <w:t>
      2.7.3. Резюме по клинической эффективности.</w:t>
      </w:r>
    </w:p>
    <w:bookmarkEnd w:id="690"/>
    <w:bookmarkStart w:name="z611" w:id="691"/>
    <w:p>
      <w:pPr>
        <w:spacing w:after="0"/>
        <w:ind w:left="0"/>
        <w:jc w:val="both"/>
      </w:pPr>
      <w:r>
        <w:rPr>
          <w:rFonts w:ascii="Times New Roman"/>
          <w:b w:val="false"/>
          <w:i w:val="false"/>
          <w:color w:val="000000"/>
          <w:sz w:val="28"/>
        </w:rPr>
        <w:t>
      2.7.4. Резюме по клинической безопасности.</w:t>
      </w:r>
    </w:p>
    <w:bookmarkEnd w:id="691"/>
    <w:bookmarkStart w:name="z612" w:id="692"/>
    <w:p>
      <w:pPr>
        <w:spacing w:after="0"/>
        <w:ind w:left="0"/>
        <w:jc w:val="both"/>
      </w:pPr>
      <w:r>
        <w:rPr>
          <w:rFonts w:ascii="Times New Roman"/>
          <w:b w:val="false"/>
          <w:i w:val="false"/>
          <w:color w:val="000000"/>
          <w:sz w:val="28"/>
        </w:rPr>
        <w:t>
      2.7.5. Копия использованных литературных источников.</w:t>
      </w:r>
    </w:p>
    <w:bookmarkEnd w:id="692"/>
    <w:bookmarkStart w:name="z613" w:id="693"/>
    <w:p>
      <w:pPr>
        <w:spacing w:after="0"/>
        <w:ind w:left="0"/>
        <w:jc w:val="both"/>
      </w:pPr>
      <w:r>
        <w:rPr>
          <w:rFonts w:ascii="Times New Roman"/>
          <w:b w:val="false"/>
          <w:i w:val="false"/>
          <w:color w:val="000000"/>
          <w:sz w:val="28"/>
        </w:rPr>
        <w:t>
      2.7.6. Краткий обзор индивидуальных исследований.</w:t>
      </w:r>
    </w:p>
    <w:bookmarkEnd w:id="693"/>
    <w:bookmarkStart w:name="z614" w:id="694"/>
    <w:p>
      <w:pPr>
        <w:spacing w:after="0"/>
        <w:ind w:left="0"/>
        <w:jc w:val="left"/>
      </w:pPr>
      <w:r>
        <w:rPr>
          <w:rFonts w:ascii="Times New Roman"/>
          <w:b/>
          <w:i w:val="false"/>
          <w:color w:val="000000"/>
        </w:rPr>
        <w:t xml:space="preserve"> 3. Требования к документам регистрационного досье, приведенным в модуле 3: качество</w:t>
      </w:r>
    </w:p>
    <w:bookmarkEnd w:id="694"/>
    <w:bookmarkStart w:name="z615" w:id="695"/>
    <w:p>
      <w:pPr>
        <w:spacing w:after="0"/>
        <w:ind w:left="0"/>
        <w:jc w:val="both"/>
      </w:pPr>
      <w:r>
        <w:rPr>
          <w:rFonts w:ascii="Times New Roman"/>
          <w:b w:val="false"/>
          <w:i w:val="false"/>
          <w:color w:val="000000"/>
          <w:sz w:val="28"/>
        </w:rPr>
        <w:t>
      3.1. Содержание модуля 3.</w:t>
      </w:r>
    </w:p>
    <w:bookmarkEnd w:id="695"/>
    <w:bookmarkStart w:name="z616" w:id="696"/>
    <w:p>
      <w:pPr>
        <w:spacing w:after="0"/>
        <w:ind w:left="0"/>
        <w:jc w:val="both"/>
      </w:pPr>
      <w:r>
        <w:rPr>
          <w:rFonts w:ascii="Times New Roman"/>
          <w:b w:val="false"/>
          <w:i w:val="false"/>
          <w:color w:val="000000"/>
          <w:sz w:val="28"/>
        </w:rPr>
        <w:t>
      3.2. Основные сведения, необходимые для представления, включают:</w:t>
      </w:r>
    </w:p>
    <w:bookmarkEnd w:id="696"/>
    <w:bookmarkStart w:name="z617" w:id="697"/>
    <w:p>
      <w:pPr>
        <w:spacing w:after="0"/>
        <w:ind w:left="0"/>
        <w:jc w:val="both"/>
      </w:pPr>
      <w:r>
        <w:rPr>
          <w:rFonts w:ascii="Times New Roman"/>
          <w:b w:val="false"/>
          <w:i w:val="false"/>
          <w:color w:val="000000"/>
          <w:sz w:val="28"/>
        </w:rPr>
        <w:t>
      а) химические, фармацевтические и биологические данные об активных фармацевтических субстанциях и лекарственном препарате, включающие информацию о разработке, производственном процессе, характеристиках и свойствах, методиках и требованиях к контролю качества, стабильности, а также описание состава и упаковки лекарственного препарата;</w:t>
      </w:r>
    </w:p>
    <w:bookmarkEnd w:id="697"/>
    <w:bookmarkStart w:name="z618" w:id="698"/>
    <w:p>
      <w:pPr>
        <w:spacing w:after="0"/>
        <w:ind w:left="0"/>
        <w:jc w:val="both"/>
      </w:pPr>
      <w:r>
        <w:rPr>
          <w:rFonts w:ascii="Times New Roman"/>
          <w:b w:val="false"/>
          <w:i w:val="false"/>
          <w:color w:val="000000"/>
          <w:sz w:val="28"/>
        </w:rPr>
        <w:t>
      б) основную информацию об активной фармацевтической субстанции и лекарственном препарате;</w:t>
      </w:r>
    </w:p>
    <w:bookmarkEnd w:id="698"/>
    <w:bookmarkStart w:name="z619" w:id="699"/>
    <w:p>
      <w:pPr>
        <w:spacing w:after="0"/>
        <w:ind w:left="0"/>
        <w:jc w:val="both"/>
      </w:pPr>
      <w:r>
        <w:rPr>
          <w:rFonts w:ascii="Times New Roman"/>
          <w:b w:val="false"/>
          <w:i w:val="false"/>
          <w:color w:val="000000"/>
          <w:sz w:val="28"/>
        </w:rPr>
        <w:t>
      в) подробную информацию об исходных материалах и сырье, используемых при производстве активной фармацевтической субстанции и вспомогательных веществ, входящих в состав лекарственного препарата;</w:t>
      </w:r>
    </w:p>
    <w:bookmarkEnd w:id="699"/>
    <w:bookmarkStart w:name="z620" w:id="700"/>
    <w:p>
      <w:pPr>
        <w:spacing w:after="0"/>
        <w:ind w:left="0"/>
        <w:jc w:val="both"/>
      </w:pPr>
      <w:r>
        <w:rPr>
          <w:rFonts w:ascii="Times New Roman"/>
          <w:b w:val="false"/>
          <w:i w:val="false"/>
          <w:color w:val="000000"/>
          <w:sz w:val="28"/>
        </w:rPr>
        <w:t>
      г) все методики и методы испытаний, используемые при производстве и контроле качества активной фармацевтической субстанции и лекарственного препарата, изложенные четко и подробно, чтобы можно было воспроизвести их при проведении контрольных испытаний по требованию уполномоченного органа референтного государства. Все методики испытаний должны соответствовать современному научному уровню и быть валидированными. Следует представлять результаты валидации методик. При использовании методов испытаний, включенных в Фармакопею Евразийского экономического союза, фармакопеи государств-членов и основные фармакопеи, в соответствии с Концепцией гармонизации фармакопей государств - членов Евразийского экономического союза (далее - Концепция), приводят соответствующую ссылку на монографии и общие разделы;</w:t>
      </w:r>
    </w:p>
    <w:bookmarkEnd w:id="700"/>
    <w:bookmarkStart w:name="z621" w:id="701"/>
    <w:p>
      <w:pPr>
        <w:spacing w:after="0"/>
        <w:ind w:left="0"/>
        <w:jc w:val="both"/>
      </w:pPr>
      <w:r>
        <w:rPr>
          <w:rFonts w:ascii="Times New Roman"/>
          <w:b w:val="false"/>
          <w:i w:val="false"/>
          <w:color w:val="000000"/>
          <w:sz w:val="28"/>
        </w:rPr>
        <w:t>
      д) для всех фармацевтических субстанций, указанных в монографиях Фармакопеи Евразийского экономического союза, фармакопей государств-членов и основных фармакопей в соответствии с Концепцией, необходимо приводить ссылки на перечисленные фармакопеи.</w:t>
      </w:r>
    </w:p>
    <w:bookmarkEnd w:id="701"/>
    <w:bookmarkStart w:name="z622" w:id="702"/>
    <w:p>
      <w:pPr>
        <w:spacing w:after="0"/>
        <w:ind w:left="0"/>
        <w:jc w:val="both"/>
      </w:pPr>
      <w:r>
        <w:rPr>
          <w:rFonts w:ascii="Times New Roman"/>
          <w:b w:val="false"/>
          <w:i w:val="false"/>
          <w:color w:val="000000"/>
          <w:sz w:val="28"/>
        </w:rPr>
        <w:t>
      Однако если фармацевтическую субстанцию, указанную в Фармакопее Евразийского экономического союза, фармакопеях государств-членов и основных фармакопеях в соответствии с Концепцией, получают способом, при котором могут возникать примеси, не контролируемые по монографии вышеуказанных фармакопей, то необходимо указать эти примеси и их допустимое содержание, а также представить методику их определения. В случае если спецификация, включенная в монографию Фармакопеи Евразийского экономического союза, фармакопей государств-членов и основных фармакопей в соответствии с Концепцией, недостаточна для обеспечения качества субстанции, может потребоваться более подробная спецификация от производителя или держателя регистрационного удостоверения.</w:t>
      </w:r>
    </w:p>
    <w:bookmarkEnd w:id="702"/>
    <w:bookmarkStart w:name="z623" w:id="703"/>
    <w:p>
      <w:pPr>
        <w:spacing w:after="0"/>
        <w:ind w:left="0"/>
        <w:jc w:val="both"/>
      </w:pPr>
      <w:r>
        <w:rPr>
          <w:rFonts w:ascii="Times New Roman"/>
          <w:b w:val="false"/>
          <w:i w:val="false"/>
          <w:color w:val="000000"/>
          <w:sz w:val="28"/>
        </w:rPr>
        <w:t>
      Если методы и методики анализа включены в Фармакопею Евразийского экономического союза, то необходимость их полного изложения отсутствует и достаточно привести соответствующую ссылку на монографии и общие разделы;</w:t>
      </w:r>
    </w:p>
    <w:bookmarkEnd w:id="703"/>
    <w:bookmarkStart w:name="z624" w:id="704"/>
    <w:p>
      <w:pPr>
        <w:spacing w:after="0"/>
        <w:ind w:left="0"/>
        <w:jc w:val="both"/>
      </w:pPr>
      <w:r>
        <w:rPr>
          <w:rFonts w:ascii="Times New Roman"/>
          <w:b w:val="false"/>
          <w:i w:val="false"/>
          <w:color w:val="000000"/>
          <w:sz w:val="28"/>
        </w:rPr>
        <w:t>
      е) если исходные материалы и сырье, активные фармацевтические субстанции или вспомогательные вещества не описаны в Фармакопее Евразийского экономического союза, фармакопеях государств-членов и основных фармакопеях в соответствии с Концепцией, то может быть применима ссылка на монографию фармакопеи другого государства. В таких случаях заявитель должен представить копию монографии вместе с валидацией аналитических методик, описанных в монографии, а также перевод (при необходимости);</w:t>
      </w:r>
    </w:p>
    <w:bookmarkEnd w:id="704"/>
    <w:bookmarkStart w:name="z625" w:id="705"/>
    <w:p>
      <w:pPr>
        <w:spacing w:after="0"/>
        <w:ind w:left="0"/>
        <w:jc w:val="both"/>
      </w:pPr>
      <w:r>
        <w:rPr>
          <w:rFonts w:ascii="Times New Roman"/>
          <w:b w:val="false"/>
          <w:i w:val="false"/>
          <w:color w:val="000000"/>
          <w:sz w:val="28"/>
        </w:rPr>
        <w:t>
      ж) если активная фармацевтическая субстанция и (или) вспомогательное вещество и исходный материал описаны в монографии Европейской фармакопеи, заявитель может представить сертификат соответствия монографии Европейской фармакопеи в соответствующем пункте данного модуля. Признано, что сертификаты соответствия монографии Европейской фармакопеи заменяют существенные данные в соответствующих разделах, указанных в данном модуле. Если активная фармацевтическая субстанция имеет действующее регистрационное удостоверение или включена в соответствующий государственный реестр в соответствии с требованием законодательства государства-члена, заявитель вправе заменить существенные данные в соответствующих разделах, указанных в данном модуле, при регистрации и (или) приведении регистрационного досье в соответствие с требованиями Союза в целях обращения только на территории этого государства-члена. Производитель активной фармацевтической субстанции должен письменно подтвердить заявителю, что производственный процесс не изменялся с даты выдачи сертификата соответствия монографии Европейской фармакопеи или включения в соответствующий реестр государства-члена;</w:t>
      </w:r>
    </w:p>
    <w:bookmarkEnd w:id="705"/>
    <w:bookmarkStart w:name="z626" w:id="706"/>
    <w:p>
      <w:pPr>
        <w:spacing w:after="0"/>
        <w:ind w:left="0"/>
        <w:jc w:val="both"/>
      </w:pPr>
      <w:r>
        <w:rPr>
          <w:rFonts w:ascii="Times New Roman"/>
          <w:b w:val="false"/>
          <w:i w:val="false"/>
          <w:color w:val="000000"/>
          <w:sz w:val="28"/>
        </w:rPr>
        <w:t>
      з) для хорошо изученных (не менее 10 лет с даты первого систематического и документированного применения действующих веществ лекарственного препарата, не менее чем в 3 государствах-членах, за исключением биологических) активных фармацевтических субстанций производитель активной фармацевтической субстанции или заявитель регистрации лекарственного препарата вправе составить отдельный документ, включающий следующие сведения (досье или мастер-файл активной фармацевтической субстанции):</w:t>
      </w:r>
    </w:p>
    <w:bookmarkEnd w:id="706"/>
    <w:bookmarkStart w:name="z627" w:id="707"/>
    <w:p>
      <w:pPr>
        <w:spacing w:after="0"/>
        <w:ind w:left="0"/>
        <w:jc w:val="both"/>
      </w:pPr>
      <w:r>
        <w:rPr>
          <w:rFonts w:ascii="Times New Roman"/>
          <w:b w:val="false"/>
          <w:i w:val="false"/>
          <w:color w:val="000000"/>
          <w:sz w:val="28"/>
        </w:rPr>
        <w:t>
      подробное описание производственного процесса;</w:t>
      </w:r>
    </w:p>
    <w:bookmarkEnd w:id="707"/>
    <w:bookmarkStart w:name="z628" w:id="708"/>
    <w:p>
      <w:pPr>
        <w:spacing w:after="0"/>
        <w:ind w:left="0"/>
        <w:jc w:val="both"/>
      </w:pPr>
      <w:r>
        <w:rPr>
          <w:rFonts w:ascii="Times New Roman"/>
          <w:b w:val="false"/>
          <w:i w:val="false"/>
          <w:color w:val="000000"/>
          <w:sz w:val="28"/>
        </w:rPr>
        <w:t>
      контроль качества в процессе производства;</w:t>
      </w:r>
    </w:p>
    <w:bookmarkEnd w:id="708"/>
    <w:bookmarkStart w:name="z629" w:id="709"/>
    <w:p>
      <w:pPr>
        <w:spacing w:after="0"/>
        <w:ind w:left="0"/>
        <w:jc w:val="both"/>
      </w:pPr>
      <w:r>
        <w:rPr>
          <w:rFonts w:ascii="Times New Roman"/>
          <w:b w:val="false"/>
          <w:i w:val="false"/>
          <w:color w:val="000000"/>
          <w:sz w:val="28"/>
        </w:rPr>
        <w:t>
      отчет о валидации процесса производства.</w:t>
      </w:r>
    </w:p>
    <w:bookmarkEnd w:id="709"/>
    <w:bookmarkStart w:name="z630" w:id="710"/>
    <w:p>
      <w:pPr>
        <w:spacing w:after="0"/>
        <w:ind w:left="0"/>
        <w:jc w:val="both"/>
      </w:pPr>
      <w:r>
        <w:rPr>
          <w:rFonts w:ascii="Times New Roman"/>
          <w:b w:val="false"/>
          <w:i w:val="false"/>
          <w:color w:val="000000"/>
          <w:sz w:val="28"/>
        </w:rPr>
        <w:t>
      Производитель активной фармацевтической субстанции вправе направить мастер-файл на активную фармацевтическую субстанцию уполномоченному органу государства-члена.</w:t>
      </w:r>
    </w:p>
    <w:bookmarkEnd w:id="710"/>
    <w:bookmarkStart w:name="z631" w:id="711"/>
    <w:p>
      <w:pPr>
        <w:spacing w:after="0"/>
        <w:ind w:left="0"/>
        <w:jc w:val="both"/>
      </w:pPr>
      <w:r>
        <w:rPr>
          <w:rFonts w:ascii="Times New Roman"/>
          <w:b w:val="false"/>
          <w:i w:val="false"/>
          <w:color w:val="000000"/>
          <w:sz w:val="28"/>
        </w:rPr>
        <w:t>
      При использовании мастер-файла активной фармацевтической субстанции в составе регистрационного досье лекарственного препарата производитель такой активной фармацевтической субстанции должен представить заявителю (держателю регистрационного удостоверения) соответствующего лекарственного препарата все необходимые данные, чтобы нести ответственность, предусмотренную настоящими Правилами. Производитель активной фармацевтической субстанции должен представить заявителю (держателю регистрационного удостоверения) письменное подтверждение, гарантирующее постоянство качества серий, а также то, что без извещения заявителя (держателя регистрационного удостоверения) в производственный процесс или спецификации такой активной фармацевтической субстанции не будут вноситься изменения. Документы и данные, необходимые для внесения такого изменения, необходимо подавать в уполномоченный орган, эти документы и данные также представляются заявителю по разделам, касающимся открытой части мастер-файла активной фармацевтической субстанции.</w:t>
      </w:r>
    </w:p>
    <w:bookmarkEnd w:id="711"/>
    <w:bookmarkStart w:name="z632" w:id="712"/>
    <w:p>
      <w:pPr>
        <w:spacing w:after="0"/>
        <w:ind w:left="0"/>
        <w:jc w:val="both"/>
      </w:pPr>
      <w:r>
        <w:rPr>
          <w:rFonts w:ascii="Times New Roman"/>
          <w:b w:val="false"/>
          <w:i w:val="false"/>
          <w:color w:val="000000"/>
          <w:sz w:val="28"/>
        </w:rPr>
        <w:t>
      Если заявитель не обладает полными сведениями в отношении закрытой части мастер-файла активной фармацевтической субстанции, из которой он производится, ввиду их конфиденциальности, к заявлению прилагается письменное разрешение от производителя данной активной фармацевтической субстанции, при условии, что сведения о ней включены в единый реестр. Указанное разрешение должно предоставлять право уполномоченному органу использовать при проведении экспертизы лекарственного препарата ранее представленную информацию закрытой части мастер-файла указанной активной фармацевтической субстанции;</w:t>
      </w:r>
    </w:p>
    <w:bookmarkEnd w:id="712"/>
    <w:bookmarkStart w:name="z633" w:id="713"/>
    <w:p>
      <w:pPr>
        <w:spacing w:after="0"/>
        <w:ind w:left="0"/>
        <w:jc w:val="both"/>
      </w:pPr>
      <w:r>
        <w:rPr>
          <w:rFonts w:ascii="Times New Roman"/>
          <w:b w:val="false"/>
          <w:i w:val="false"/>
          <w:color w:val="000000"/>
          <w:sz w:val="28"/>
        </w:rPr>
        <w:t>
      и) необходимо описать особые меры по предотвращению передачи губчатых энцефалопатий животных (сырье, полученное от жвачных животных): на каждой стадии производственного процесса заявитель должен подтвердить соответствие использованных материалов требованиям руководства по минимизации риска передачи возбудителей губчатых энцефалопатий животных согласно Фармакопее Евразийского экономического союза или представить сертификат соответствия конкретной монографии Европейской фармакопеи или научные данные для обоснования этого соответствия;</w:t>
      </w:r>
    </w:p>
    <w:bookmarkEnd w:id="713"/>
    <w:bookmarkStart w:name="z634" w:id="714"/>
    <w:p>
      <w:pPr>
        <w:spacing w:after="0"/>
        <w:ind w:left="0"/>
        <w:jc w:val="both"/>
      </w:pPr>
      <w:r>
        <w:rPr>
          <w:rFonts w:ascii="Times New Roman"/>
          <w:b w:val="false"/>
          <w:i w:val="false"/>
          <w:color w:val="000000"/>
          <w:sz w:val="28"/>
        </w:rPr>
        <w:t>
      к) следует представить информацию об оценке риска потенциальной контаминации посторонними агентами (вирусной или не вирусной природы) согласно требованиям, изложенным в специальных руководствах, а также в общих статьях (монографиях) и общих разделах Фармакопеи Евразийского экономического союза, фармакопей государств-членов и основных фармакопей в соответствии с Концепцией;</w:t>
      </w:r>
    </w:p>
    <w:bookmarkEnd w:id="714"/>
    <w:bookmarkStart w:name="z635" w:id="715"/>
    <w:p>
      <w:pPr>
        <w:spacing w:after="0"/>
        <w:ind w:left="0"/>
        <w:jc w:val="both"/>
      </w:pPr>
      <w:r>
        <w:rPr>
          <w:rFonts w:ascii="Times New Roman"/>
          <w:b w:val="false"/>
          <w:i w:val="false"/>
          <w:color w:val="000000"/>
          <w:sz w:val="28"/>
        </w:rPr>
        <w:t>
      л) необходимо подробно описать специальные приборы и оборудование, применяемые на любой стадии производственного процесса и этапе контроля лекарственного препарата;</w:t>
      </w:r>
    </w:p>
    <w:bookmarkEnd w:id="715"/>
    <w:bookmarkStart w:name="z636" w:id="716"/>
    <w:p>
      <w:pPr>
        <w:spacing w:after="0"/>
        <w:ind w:left="0"/>
        <w:jc w:val="both"/>
      </w:pPr>
      <w:r>
        <w:rPr>
          <w:rFonts w:ascii="Times New Roman"/>
          <w:b w:val="false"/>
          <w:i w:val="false"/>
          <w:color w:val="000000"/>
          <w:sz w:val="28"/>
        </w:rPr>
        <w:t>
      м) в случае необходимости следует представить документы, подтверждающие регистрацию медицинского изделия в соответствии с правилами, утвержденными Комиссией.</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37" w:id="717"/>
    <w:p>
      <w:pPr>
        <w:spacing w:after="0"/>
        <w:ind w:left="0"/>
        <w:jc w:val="both"/>
      </w:pPr>
      <w:r>
        <w:rPr>
          <w:rFonts w:ascii="Times New Roman"/>
          <w:b w:val="false"/>
          <w:i w:val="false"/>
          <w:color w:val="000000"/>
          <w:sz w:val="28"/>
        </w:rPr>
        <w:t>
      3.2.S. Активная фармацевтическая субстанция.</w:t>
      </w:r>
    </w:p>
    <w:bookmarkEnd w:id="717"/>
    <w:bookmarkStart w:name="z638" w:id="718"/>
    <w:p>
      <w:pPr>
        <w:spacing w:after="0"/>
        <w:ind w:left="0"/>
        <w:jc w:val="both"/>
      </w:pPr>
      <w:r>
        <w:rPr>
          <w:rFonts w:ascii="Times New Roman"/>
          <w:b w:val="false"/>
          <w:i w:val="false"/>
          <w:color w:val="000000"/>
          <w:sz w:val="28"/>
        </w:rPr>
        <w:t>
      3.2.S.1. Общая информация об исходных материалах и сырье:</w:t>
      </w:r>
    </w:p>
    <w:bookmarkEnd w:id="718"/>
    <w:bookmarkStart w:name="z639" w:id="719"/>
    <w:p>
      <w:pPr>
        <w:spacing w:after="0"/>
        <w:ind w:left="0"/>
        <w:jc w:val="both"/>
      </w:pPr>
      <w:r>
        <w:rPr>
          <w:rFonts w:ascii="Times New Roman"/>
          <w:b w:val="false"/>
          <w:i w:val="false"/>
          <w:color w:val="000000"/>
          <w:sz w:val="28"/>
        </w:rPr>
        <w:t>
      а) представляется наименование активной фармацевтической субстанции, включая рекомендованное международное непатентованное наименование (МНН), при наличии - фармакопейное наименование согласно Фармакопее Евразийского экономического союза и химическое наименование в соответствии с номенклатурой IUPAC.</w:t>
      </w:r>
    </w:p>
    <w:bookmarkEnd w:id="719"/>
    <w:bookmarkStart w:name="z640" w:id="720"/>
    <w:p>
      <w:pPr>
        <w:spacing w:after="0"/>
        <w:ind w:left="0"/>
        <w:jc w:val="both"/>
      </w:pPr>
      <w:r>
        <w:rPr>
          <w:rFonts w:ascii="Times New Roman"/>
          <w:b w:val="false"/>
          <w:i w:val="false"/>
          <w:color w:val="000000"/>
          <w:sz w:val="28"/>
        </w:rPr>
        <w:t>
      Представляются структурная формула, включая относительную и абсолютную пространственную структуру, молекулярная (эмпирическая) формула и относительная молекулярная масса. Для биотехнологических лекарственных препаратов, если это применимо, необходимо представить схематическую последовательность аминокислот и относительную молекулярную массу.</w:t>
      </w:r>
    </w:p>
    <w:bookmarkEnd w:id="720"/>
    <w:bookmarkStart w:name="z641" w:id="721"/>
    <w:p>
      <w:pPr>
        <w:spacing w:after="0"/>
        <w:ind w:left="0"/>
        <w:jc w:val="both"/>
      </w:pPr>
      <w:r>
        <w:rPr>
          <w:rFonts w:ascii="Times New Roman"/>
          <w:b w:val="false"/>
          <w:i w:val="false"/>
          <w:color w:val="000000"/>
          <w:sz w:val="28"/>
        </w:rPr>
        <w:t>
      Для биологических лекарственных препаратов необходимо представить перечень физико-химических и других важных свойств активной фармацевтической субстанции, включая их биологическую активность;</w:t>
      </w:r>
    </w:p>
    <w:bookmarkEnd w:id="721"/>
    <w:bookmarkStart w:name="z642" w:id="722"/>
    <w:p>
      <w:pPr>
        <w:spacing w:after="0"/>
        <w:ind w:left="0"/>
        <w:jc w:val="both"/>
      </w:pPr>
      <w:r>
        <w:rPr>
          <w:rFonts w:ascii="Times New Roman"/>
          <w:b w:val="false"/>
          <w:i w:val="false"/>
          <w:color w:val="000000"/>
          <w:sz w:val="28"/>
        </w:rPr>
        <w:t>
      б) в контексте этого пункта исходными материалами считаются все материалы, из которых производятся или выделяются активные фармацевтические субстанции.</w:t>
      </w:r>
    </w:p>
    <w:bookmarkEnd w:id="722"/>
    <w:bookmarkStart w:name="z643" w:id="723"/>
    <w:p>
      <w:pPr>
        <w:spacing w:after="0"/>
        <w:ind w:left="0"/>
        <w:jc w:val="both"/>
      </w:pPr>
      <w:r>
        <w:rPr>
          <w:rFonts w:ascii="Times New Roman"/>
          <w:b w:val="false"/>
          <w:i w:val="false"/>
          <w:color w:val="000000"/>
          <w:sz w:val="28"/>
        </w:rPr>
        <w:t>
      Для лекарственных препаратов биологического происхождения исходными материалами считаются любые материалы биологического происхождения (например, микроорганизмы, органы и ткани растительного или животного происхождения, клетки или жидкости (включая кровь или плазму) человека или животных, биотехнологические клеточные компоненты (рекомбинантные или нерекомбинантные субстраты клетки, включая первичные клетки)).</w:t>
      </w:r>
    </w:p>
    <w:bookmarkEnd w:id="723"/>
    <w:bookmarkStart w:name="z644" w:id="724"/>
    <w:p>
      <w:pPr>
        <w:spacing w:after="0"/>
        <w:ind w:left="0"/>
        <w:jc w:val="both"/>
      </w:pPr>
      <w:r>
        <w:rPr>
          <w:rFonts w:ascii="Times New Roman"/>
          <w:b w:val="false"/>
          <w:i w:val="false"/>
          <w:color w:val="000000"/>
          <w:sz w:val="28"/>
        </w:rPr>
        <w:t>
      Лекарственным препаратом биологического происхождения (в контексте этого пункта) считают все лекарственные препараты, активным (действующим) веществом (далее - активным веществом) которых является биологическая субстанция (материал).</w:t>
      </w:r>
    </w:p>
    <w:bookmarkEnd w:id="724"/>
    <w:bookmarkStart w:name="z645" w:id="725"/>
    <w:p>
      <w:pPr>
        <w:spacing w:after="0"/>
        <w:ind w:left="0"/>
        <w:jc w:val="both"/>
      </w:pPr>
      <w:r>
        <w:rPr>
          <w:rFonts w:ascii="Times New Roman"/>
          <w:b w:val="false"/>
          <w:i w:val="false"/>
          <w:color w:val="000000"/>
          <w:sz w:val="28"/>
        </w:rPr>
        <w:t>
      Биологическая субстанция - субстанция, получаемая из биологического источника, для описания и подтверждения качества которой необходимо представлять комбинацию физических, химических и биологических методов анализа вместе с описанием процесса производства и его контроля.</w:t>
      </w:r>
    </w:p>
    <w:bookmarkEnd w:id="725"/>
    <w:bookmarkStart w:name="z646" w:id="726"/>
    <w:p>
      <w:pPr>
        <w:spacing w:after="0"/>
        <w:ind w:left="0"/>
        <w:jc w:val="both"/>
      </w:pPr>
      <w:r>
        <w:rPr>
          <w:rFonts w:ascii="Times New Roman"/>
          <w:b w:val="false"/>
          <w:i w:val="false"/>
          <w:color w:val="000000"/>
          <w:sz w:val="28"/>
        </w:rPr>
        <w:t>
      Любые другие вещества, которые используют для производства или выделения активного вещества или активного компонента, но из которых это активное вещество или активный компонент непосредственно не получают (а именно: реагенты, питательные среды, сыворотка зародыша, эмбриона, добавки и буферы, применяемые в препаративной хроматографии и т.д.), считают сырьем.</w:t>
      </w:r>
    </w:p>
    <w:bookmarkEnd w:id="726"/>
    <w:bookmarkStart w:name="z647" w:id="727"/>
    <w:p>
      <w:pPr>
        <w:spacing w:after="0"/>
        <w:ind w:left="0"/>
        <w:jc w:val="both"/>
      </w:pPr>
      <w:r>
        <w:rPr>
          <w:rFonts w:ascii="Times New Roman"/>
          <w:b w:val="false"/>
          <w:i w:val="false"/>
          <w:color w:val="000000"/>
          <w:sz w:val="28"/>
        </w:rPr>
        <w:t>
      3.2.S.2. Процесс производства активной фармацевтической субстанции:</w:t>
      </w:r>
    </w:p>
    <w:bookmarkEnd w:id="727"/>
    <w:bookmarkStart w:name="z648" w:id="728"/>
    <w:p>
      <w:pPr>
        <w:spacing w:after="0"/>
        <w:ind w:left="0"/>
        <w:jc w:val="both"/>
      </w:pPr>
      <w:r>
        <w:rPr>
          <w:rFonts w:ascii="Times New Roman"/>
          <w:b w:val="false"/>
          <w:i w:val="false"/>
          <w:color w:val="000000"/>
          <w:sz w:val="28"/>
        </w:rPr>
        <w:t>
      а) заявитель обязан представить описание производственного процесса активной фармацевтической субстанции. Для надлежащего описания процесса производства и его контроля нужную информацию необходимо изложить в соответствии с требованиями, установленными в соответствующих актах, входящих в право Союза;</w:t>
      </w:r>
    </w:p>
    <w:bookmarkEnd w:id="728"/>
    <w:bookmarkStart w:name="z649" w:id="729"/>
    <w:p>
      <w:pPr>
        <w:spacing w:after="0"/>
        <w:ind w:left="0"/>
        <w:jc w:val="both"/>
      </w:pPr>
      <w:r>
        <w:rPr>
          <w:rFonts w:ascii="Times New Roman"/>
          <w:b w:val="false"/>
          <w:i w:val="false"/>
          <w:color w:val="000000"/>
          <w:sz w:val="28"/>
        </w:rPr>
        <w:t>
      б) все исходное сырье и материалы, необходимые для производства активной фармацевтической субстанции, нужно перечислять с указанием стадии производства, на которой используется каждый вид сырья и материалов. Необходимо представить информацию об их качестве и контроле, а также сведения, подтверждающие соответствие требованиям (стандартам) для предполагаемого применения. Необходимо перечислить исходные материалы (сырье), а также представить документацию по качеству и контролю качества. Необходимо представить название и местонахождение производственных площадок и указать обязанности каждого производителя, включая контрактные производства, а также информацию о каждой используемой производственной площадке или испытательной лаборатории;</w:t>
      </w:r>
    </w:p>
    <w:bookmarkEnd w:id="729"/>
    <w:bookmarkStart w:name="z650" w:id="730"/>
    <w:p>
      <w:pPr>
        <w:spacing w:after="0"/>
        <w:ind w:left="0"/>
        <w:jc w:val="both"/>
      </w:pPr>
      <w:r>
        <w:rPr>
          <w:rFonts w:ascii="Times New Roman"/>
          <w:b w:val="false"/>
          <w:i w:val="false"/>
          <w:color w:val="000000"/>
          <w:sz w:val="28"/>
        </w:rPr>
        <w:t>
      в) для биологических лекарственных препаратов установлены следующие дополнительные требования:</w:t>
      </w:r>
    </w:p>
    <w:bookmarkEnd w:id="730"/>
    <w:bookmarkStart w:name="z651" w:id="731"/>
    <w:p>
      <w:pPr>
        <w:spacing w:after="0"/>
        <w:ind w:left="0"/>
        <w:jc w:val="both"/>
      </w:pPr>
      <w:r>
        <w:rPr>
          <w:rFonts w:ascii="Times New Roman"/>
          <w:b w:val="false"/>
          <w:i w:val="false"/>
          <w:color w:val="000000"/>
          <w:sz w:val="28"/>
        </w:rPr>
        <w:t>
      необходимо представить описание и документальное подтверждение происхождения и историю получения исходных материалов;</w:t>
      </w:r>
    </w:p>
    <w:bookmarkEnd w:id="731"/>
    <w:bookmarkStart w:name="z652" w:id="732"/>
    <w:p>
      <w:pPr>
        <w:spacing w:after="0"/>
        <w:ind w:left="0"/>
        <w:jc w:val="both"/>
      </w:pPr>
      <w:r>
        <w:rPr>
          <w:rFonts w:ascii="Times New Roman"/>
          <w:b w:val="false"/>
          <w:i w:val="false"/>
          <w:color w:val="000000"/>
          <w:sz w:val="28"/>
        </w:rPr>
        <w:t>
      относительно особых мер по предотвращению передачи возбудителей губчатой энцефалопатии заявитель должен подтвердить, что активное вещество отвечает, в частности, требованиям соответствующей статьи (монографии) Фармакопеи Евразийского экономического союза по минимизации риска передачи данных возбудителей с производимыми лекарственными препаратами;</w:t>
      </w:r>
    </w:p>
    <w:bookmarkEnd w:id="732"/>
    <w:bookmarkStart w:name="z653" w:id="733"/>
    <w:p>
      <w:pPr>
        <w:spacing w:after="0"/>
        <w:ind w:left="0"/>
        <w:jc w:val="both"/>
      </w:pPr>
      <w:r>
        <w:rPr>
          <w:rFonts w:ascii="Times New Roman"/>
          <w:b w:val="false"/>
          <w:i w:val="false"/>
          <w:color w:val="000000"/>
          <w:sz w:val="28"/>
        </w:rPr>
        <w:t>
      при использовании банков клеток представляются доказательства того, что характеристики клеток остались неизменными при том количестве пассажей, которые используются для производства, а также в течение следующего периода;</w:t>
      </w:r>
    </w:p>
    <w:bookmarkEnd w:id="733"/>
    <w:bookmarkStart w:name="z654" w:id="734"/>
    <w:p>
      <w:pPr>
        <w:spacing w:after="0"/>
        <w:ind w:left="0"/>
        <w:jc w:val="both"/>
      </w:pPr>
      <w:r>
        <w:rPr>
          <w:rFonts w:ascii="Times New Roman"/>
          <w:b w:val="false"/>
          <w:i w:val="false"/>
          <w:color w:val="000000"/>
          <w:sz w:val="28"/>
        </w:rPr>
        <w:t>
      посевные материалы, банки клеток, пулы сывороток или плазмы и другие материалы биологического происхождения, а также по возможности материалы, из которых они получены, исследуются на наличие посторонних агентов;</w:t>
      </w:r>
    </w:p>
    <w:bookmarkEnd w:id="734"/>
    <w:bookmarkStart w:name="z655" w:id="735"/>
    <w:p>
      <w:pPr>
        <w:spacing w:after="0"/>
        <w:ind w:left="0"/>
        <w:jc w:val="both"/>
      </w:pPr>
      <w:r>
        <w:rPr>
          <w:rFonts w:ascii="Times New Roman"/>
          <w:b w:val="false"/>
          <w:i w:val="false"/>
          <w:color w:val="000000"/>
          <w:sz w:val="28"/>
        </w:rPr>
        <w:t>
      если присутствия потенциально патогенных посторонних агентов избежать невозможно, то материалы допускается использовать только в том случае, когда при последующей обработке будет обеспечиваться удаление и (или) инактивация данных посторонних агентов, и это должно быть валидировано;</w:t>
      </w:r>
    </w:p>
    <w:bookmarkEnd w:id="735"/>
    <w:bookmarkStart w:name="z656" w:id="736"/>
    <w:p>
      <w:pPr>
        <w:spacing w:after="0"/>
        <w:ind w:left="0"/>
        <w:jc w:val="both"/>
      </w:pPr>
      <w:r>
        <w:rPr>
          <w:rFonts w:ascii="Times New Roman"/>
          <w:b w:val="false"/>
          <w:i w:val="false"/>
          <w:color w:val="000000"/>
          <w:sz w:val="28"/>
        </w:rPr>
        <w:t>
      производство вакцин должно основываться (где возможно) на системе посевных культур и известных банков клеток. При производстве бактериальных и вирусных вакцин характеристики возбудителя инфекции должны быть продемонстрированы на посевном материале. Кроме того, по живым вакцинам стабильность характеристик аттенуации (ослабления вирулентности патогенных микроорганизмов) должна быть подтверждена на посевном материале, если такого доказательства будет недостаточно, характеристики аттенуации также должны быть подтверждены на стадии производства;</w:t>
      </w:r>
    </w:p>
    <w:bookmarkEnd w:id="736"/>
    <w:bookmarkStart w:name="z657" w:id="737"/>
    <w:p>
      <w:pPr>
        <w:spacing w:after="0"/>
        <w:ind w:left="0"/>
        <w:jc w:val="both"/>
      </w:pPr>
      <w:r>
        <w:rPr>
          <w:rFonts w:ascii="Times New Roman"/>
          <w:b w:val="false"/>
          <w:i w:val="false"/>
          <w:color w:val="000000"/>
          <w:sz w:val="28"/>
        </w:rPr>
        <w:t>
      для лекарственных препаратов, полученных из крови или плазмы человека, в соответствии с положениями, изложенными в части III настоящего приложения, необходимо описать и документально подтвердить происхождение, критерии и методики отбора, транспортировки и хранения исходных материалов;</w:t>
      </w:r>
    </w:p>
    <w:bookmarkEnd w:id="737"/>
    <w:bookmarkStart w:name="z658" w:id="738"/>
    <w:p>
      <w:pPr>
        <w:spacing w:after="0"/>
        <w:ind w:left="0"/>
        <w:jc w:val="both"/>
      </w:pPr>
      <w:r>
        <w:rPr>
          <w:rFonts w:ascii="Times New Roman"/>
          <w:b w:val="false"/>
          <w:i w:val="false"/>
          <w:color w:val="000000"/>
          <w:sz w:val="28"/>
        </w:rPr>
        <w:t>
      необходимо описать производственные помещения и оборудование;</w:t>
      </w:r>
    </w:p>
    <w:bookmarkEnd w:id="738"/>
    <w:bookmarkStart w:name="z659" w:id="739"/>
    <w:p>
      <w:pPr>
        <w:spacing w:after="0"/>
        <w:ind w:left="0"/>
        <w:jc w:val="both"/>
      </w:pPr>
      <w:r>
        <w:rPr>
          <w:rFonts w:ascii="Times New Roman"/>
          <w:b w:val="false"/>
          <w:i w:val="false"/>
          <w:color w:val="000000"/>
          <w:sz w:val="28"/>
        </w:rPr>
        <w:t>
      г) в соответствующих случаях необходимо представить информацию об испытаниях и критериях приемлемости на каждой критической стадии, информацию о качестве и контроле промежуточных продуктов, а также о валидации процесса и (или) его оценке;</w:t>
      </w:r>
    </w:p>
    <w:bookmarkEnd w:id="739"/>
    <w:bookmarkStart w:name="z660" w:id="740"/>
    <w:p>
      <w:pPr>
        <w:spacing w:after="0"/>
        <w:ind w:left="0"/>
        <w:jc w:val="both"/>
      </w:pPr>
      <w:r>
        <w:rPr>
          <w:rFonts w:ascii="Times New Roman"/>
          <w:b w:val="false"/>
          <w:i w:val="false"/>
          <w:color w:val="000000"/>
          <w:sz w:val="28"/>
        </w:rPr>
        <w:t>
      д) если присутствия потенциально патогенных посторонних агентов избежать невозможно, то материалы допускается использовать только в тех случаях, когда последующая обработка обеспечивает их удаление и (или) инактивацию, что подтверждается валидацией и приводится в соответствующем разделе по оценке вирусной безопасности;</w:t>
      </w:r>
    </w:p>
    <w:bookmarkEnd w:id="740"/>
    <w:bookmarkStart w:name="z661" w:id="741"/>
    <w:p>
      <w:pPr>
        <w:spacing w:after="0"/>
        <w:ind w:left="0"/>
        <w:jc w:val="both"/>
      </w:pPr>
      <w:r>
        <w:rPr>
          <w:rFonts w:ascii="Times New Roman"/>
          <w:b w:val="false"/>
          <w:i w:val="false"/>
          <w:color w:val="000000"/>
          <w:sz w:val="28"/>
        </w:rPr>
        <w:t>
      е) необходимо предусмотреть для активной фармацевтической субстанции описание и анализ существенных изменений, внесенных в производственный процесс при разработке и (или) на производственной площадке, а также (в случае если производитель лекарственного препарата не является производителем активной фармацевтической субстанции) представить копию письменного обязательства производителя активной фармацевтической субстанции информировать заявителя об изменениях в производственном процессе или спецификациях (в произвольной форме).</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3.2.S.2.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62" w:id="742"/>
    <w:p>
      <w:pPr>
        <w:spacing w:after="0"/>
        <w:ind w:left="0"/>
        <w:jc w:val="both"/>
      </w:pPr>
      <w:r>
        <w:rPr>
          <w:rFonts w:ascii="Times New Roman"/>
          <w:b w:val="false"/>
          <w:i w:val="false"/>
          <w:color w:val="000000"/>
          <w:sz w:val="28"/>
        </w:rPr>
        <w:t>
      3.2.S.3. Описание характеристик активной фармацевтической субстанции:</w:t>
      </w:r>
    </w:p>
    <w:bookmarkEnd w:id="742"/>
    <w:bookmarkStart w:name="z663" w:id="743"/>
    <w:p>
      <w:pPr>
        <w:spacing w:after="0"/>
        <w:ind w:left="0"/>
        <w:jc w:val="both"/>
      </w:pPr>
      <w:r>
        <w:rPr>
          <w:rFonts w:ascii="Times New Roman"/>
          <w:b w:val="false"/>
          <w:i w:val="false"/>
          <w:color w:val="000000"/>
          <w:sz w:val="28"/>
        </w:rPr>
        <w:t>
      необходимо представить данные о структуре и других характеристиках активной фармацевтической субстанции;</w:t>
      </w:r>
    </w:p>
    <w:bookmarkEnd w:id="743"/>
    <w:bookmarkStart w:name="z664" w:id="744"/>
    <w:p>
      <w:pPr>
        <w:spacing w:after="0"/>
        <w:ind w:left="0"/>
        <w:jc w:val="both"/>
      </w:pPr>
      <w:r>
        <w:rPr>
          <w:rFonts w:ascii="Times New Roman"/>
          <w:b w:val="false"/>
          <w:i w:val="false"/>
          <w:color w:val="000000"/>
          <w:sz w:val="28"/>
        </w:rPr>
        <w:t>
      следует подтвердить структуру активной фармацевтической субстанции, основываясь на современных физико-химических, и (или) иммунохимических, и (или) биологических методах, а также представить информацию о примесях.</w:t>
      </w:r>
    </w:p>
    <w:bookmarkEnd w:id="744"/>
    <w:bookmarkStart w:name="z665" w:id="745"/>
    <w:p>
      <w:pPr>
        <w:spacing w:after="0"/>
        <w:ind w:left="0"/>
        <w:jc w:val="both"/>
      </w:pPr>
      <w:r>
        <w:rPr>
          <w:rFonts w:ascii="Times New Roman"/>
          <w:b w:val="false"/>
          <w:i w:val="false"/>
          <w:color w:val="000000"/>
          <w:sz w:val="28"/>
        </w:rPr>
        <w:t>
      3.2.S.4. Контроль качества активной фармацевтической субстанции:</w:t>
      </w:r>
    </w:p>
    <w:bookmarkEnd w:id="745"/>
    <w:bookmarkStart w:name="z666" w:id="746"/>
    <w:p>
      <w:pPr>
        <w:spacing w:after="0"/>
        <w:ind w:left="0"/>
        <w:jc w:val="both"/>
      </w:pPr>
      <w:r>
        <w:rPr>
          <w:rFonts w:ascii="Times New Roman"/>
          <w:b w:val="false"/>
          <w:i w:val="false"/>
          <w:color w:val="000000"/>
          <w:sz w:val="28"/>
        </w:rPr>
        <w:t>
      необходимо представить подробную информацию о спецификациях, используемых для посерийного контроля активной фармацевтической субстанции, обоснование выбора этих спецификаций, методик испытаний и их валидации;</w:t>
      </w:r>
    </w:p>
    <w:bookmarkEnd w:id="746"/>
    <w:bookmarkStart w:name="z667" w:id="747"/>
    <w:p>
      <w:pPr>
        <w:spacing w:after="0"/>
        <w:ind w:left="0"/>
        <w:jc w:val="both"/>
      </w:pPr>
      <w:r>
        <w:rPr>
          <w:rFonts w:ascii="Times New Roman"/>
          <w:b w:val="false"/>
          <w:i w:val="false"/>
          <w:color w:val="000000"/>
          <w:sz w:val="28"/>
        </w:rPr>
        <w:t>
      необходимо представить результаты контроля качества отдельных серий, произведенных на этапе разработки.</w:t>
      </w:r>
    </w:p>
    <w:bookmarkEnd w:id="747"/>
    <w:bookmarkStart w:name="z668" w:id="748"/>
    <w:p>
      <w:pPr>
        <w:spacing w:after="0"/>
        <w:ind w:left="0"/>
        <w:jc w:val="both"/>
      </w:pPr>
      <w:r>
        <w:rPr>
          <w:rFonts w:ascii="Times New Roman"/>
          <w:b w:val="false"/>
          <w:i w:val="false"/>
          <w:color w:val="000000"/>
          <w:sz w:val="28"/>
        </w:rPr>
        <w:t>
      3.2.S.5. Стандартные образцы или материалы:</w:t>
      </w:r>
    </w:p>
    <w:bookmarkEnd w:id="748"/>
    <w:bookmarkStart w:name="z669" w:id="749"/>
    <w:p>
      <w:pPr>
        <w:spacing w:after="0"/>
        <w:ind w:left="0"/>
        <w:jc w:val="both"/>
      </w:pPr>
      <w:r>
        <w:rPr>
          <w:rFonts w:ascii="Times New Roman"/>
          <w:b w:val="false"/>
          <w:i w:val="false"/>
          <w:color w:val="000000"/>
          <w:sz w:val="28"/>
        </w:rPr>
        <w:t>
      необходимо определить и подробно описать стандартные материалы и стандартные образцы. По возможности необходимо применять подходящие фармакопейные химические стандартные образцы и биологические стандартные материалы.</w:t>
      </w:r>
    </w:p>
    <w:bookmarkEnd w:id="749"/>
    <w:bookmarkStart w:name="z670" w:id="750"/>
    <w:p>
      <w:pPr>
        <w:spacing w:after="0"/>
        <w:ind w:left="0"/>
        <w:jc w:val="both"/>
      </w:pPr>
      <w:r>
        <w:rPr>
          <w:rFonts w:ascii="Times New Roman"/>
          <w:b w:val="false"/>
          <w:i w:val="false"/>
          <w:color w:val="000000"/>
          <w:sz w:val="28"/>
        </w:rPr>
        <w:t>
      3.2.S.6. Система упаковки (укупорки):</w:t>
      </w:r>
    </w:p>
    <w:bookmarkEnd w:id="750"/>
    <w:bookmarkStart w:name="z671" w:id="751"/>
    <w:p>
      <w:pPr>
        <w:spacing w:after="0"/>
        <w:ind w:left="0"/>
        <w:jc w:val="both"/>
      </w:pPr>
      <w:r>
        <w:rPr>
          <w:rFonts w:ascii="Times New Roman"/>
          <w:b w:val="false"/>
          <w:i w:val="false"/>
          <w:color w:val="000000"/>
          <w:sz w:val="28"/>
        </w:rPr>
        <w:t>
      необходимо представить описание первичной упаковки и системы упаковки (укупорки) и спецификации ее компонентов.</w:t>
      </w:r>
    </w:p>
    <w:bookmarkEnd w:id="751"/>
    <w:bookmarkStart w:name="z672" w:id="752"/>
    <w:p>
      <w:pPr>
        <w:spacing w:after="0"/>
        <w:ind w:left="0"/>
        <w:jc w:val="both"/>
      </w:pPr>
      <w:r>
        <w:rPr>
          <w:rFonts w:ascii="Times New Roman"/>
          <w:b w:val="false"/>
          <w:i w:val="false"/>
          <w:color w:val="000000"/>
          <w:sz w:val="28"/>
        </w:rPr>
        <w:t>
      3.2.S.7. Стабильность:</w:t>
      </w:r>
    </w:p>
    <w:bookmarkEnd w:id="752"/>
    <w:bookmarkStart w:name="z673" w:id="753"/>
    <w:p>
      <w:pPr>
        <w:spacing w:after="0"/>
        <w:ind w:left="0"/>
        <w:jc w:val="both"/>
      </w:pPr>
      <w:r>
        <w:rPr>
          <w:rFonts w:ascii="Times New Roman"/>
          <w:b w:val="false"/>
          <w:i w:val="false"/>
          <w:color w:val="000000"/>
          <w:sz w:val="28"/>
        </w:rPr>
        <w:t>
      а) необходимо представить резюме о проведенных исследованиях, использованные планы (программы) и полученные во время исследований результаты;</w:t>
      </w:r>
    </w:p>
    <w:bookmarkEnd w:id="753"/>
    <w:bookmarkStart w:name="z674" w:id="754"/>
    <w:p>
      <w:pPr>
        <w:spacing w:after="0"/>
        <w:ind w:left="0"/>
        <w:jc w:val="both"/>
      </w:pPr>
      <w:r>
        <w:rPr>
          <w:rFonts w:ascii="Times New Roman"/>
          <w:b w:val="false"/>
          <w:i w:val="false"/>
          <w:color w:val="000000"/>
          <w:sz w:val="28"/>
        </w:rPr>
        <w:t>
      б) необходимо представить оформленные в соответствующем формате подробные результаты исследования стабильности, включая сведения об использованных аналитических методиках и их валидации;</w:t>
      </w:r>
    </w:p>
    <w:bookmarkEnd w:id="754"/>
    <w:bookmarkStart w:name="z675" w:id="755"/>
    <w:p>
      <w:pPr>
        <w:spacing w:after="0"/>
        <w:ind w:left="0"/>
        <w:jc w:val="both"/>
      </w:pPr>
      <w:r>
        <w:rPr>
          <w:rFonts w:ascii="Times New Roman"/>
          <w:b w:val="false"/>
          <w:i w:val="false"/>
          <w:color w:val="000000"/>
          <w:sz w:val="28"/>
        </w:rPr>
        <w:t>
      в) необходимо представить план (программу) исследования стабильности в пострегистрационный период и обязательства заявителя по его выполнению.</w:t>
      </w:r>
    </w:p>
    <w:bookmarkEnd w:id="755"/>
    <w:bookmarkStart w:name="z676" w:id="756"/>
    <w:p>
      <w:pPr>
        <w:spacing w:after="0"/>
        <w:ind w:left="0"/>
        <w:jc w:val="both"/>
      </w:pPr>
      <w:r>
        <w:rPr>
          <w:rFonts w:ascii="Times New Roman"/>
          <w:b w:val="false"/>
          <w:i w:val="false"/>
          <w:color w:val="000000"/>
          <w:sz w:val="28"/>
        </w:rPr>
        <w:t>
      3.2.P. Лекарственный препарат.</w:t>
      </w:r>
    </w:p>
    <w:bookmarkEnd w:id="756"/>
    <w:bookmarkStart w:name="z677" w:id="757"/>
    <w:p>
      <w:pPr>
        <w:spacing w:after="0"/>
        <w:ind w:left="0"/>
        <w:jc w:val="both"/>
      </w:pPr>
      <w:r>
        <w:rPr>
          <w:rFonts w:ascii="Times New Roman"/>
          <w:b w:val="false"/>
          <w:i w:val="false"/>
          <w:color w:val="000000"/>
          <w:sz w:val="28"/>
        </w:rPr>
        <w:t>
      3.2.P.1. Описание и состав лекарственного препарата.</w:t>
      </w:r>
    </w:p>
    <w:bookmarkEnd w:id="757"/>
    <w:bookmarkStart w:name="z678" w:id="758"/>
    <w:p>
      <w:pPr>
        <w:spacing w:after="0"/>
        <w:ind w:left="0"/>
        <w:jc w:val="both"/>
      </w:pPr>
      <w:r>
        <w:rPr>
          <w:rFonts w:ascii="Times New Roman"/>
          <w:b w:val="false"/>
          <w:i w:val="false"/>
          <w:color w:val="000000"/>
          <w:sz w:val="28"/>
        </w:rPr>
        <w:t>
      Необходимо представить описание лекарственного препарата и его состав. Информация должна включать описание лекарственной формы и состава с перечнем всех компонентов готового лекарственного препарата, их количества в пересчете на единицу дозы, функциональное назначение компонентов:</w:t>
      </w:r>
    </w:p>
    <w:bookmarkEnd w:id="758"/>
    <w:bookmarkStart w:name="z679" w:id="759"/>
    <w:p>
      <w:pPr>
        <w:spacing w:after="0"/>
        <w:ind w:left="0"/>
        <w:jc w:val="both"/>
      </w:pPr>
      <w:r>
        <w:rPr>
          <w:rFonts w:ascii="Times New Roman"/>
          <w:b w:val="false"/>
          <w:i w:val="false"/>
          <w:color w:val="000000"/>
          <w:sz w:val="28"/>
        </w:rPr>
        <w:t>
      активная фармацевтическая субстанция;</w:t>
      </w:r>
    </w:p>
    <w:bookmarkEnd w:id="759"/>
    <w:bookmarkStart w:name="z680" w:id="760"/>
    <w:p>
      <w:pPr>
        <w:spacing w:after="0"/>
        <w:ind w:left="0"/>
        <w:jc w:val="both"/>
      </w:pPr>
      <w:r>
        <w:rPr>
          <w:rFonts w:ascii="Times New Roman"/>
          <w:b w:val="false"/>
          <w:i w:val="false"/>
          <w:color w:val="000000"/>
          <w:sz w:val="28"/>
        </w:rPr>
        <w:t>
      вспомогательные вещества независимо от их происхождения или количества, включая красители, консерванты, модификаторы, стабилизаторы, загустители, эмульгаторы, вкусовые и ароматические вещества и т.п.;</w:t>
      </w:r>
    </w:p>
    <w:bookmarkEnd w:id="760"/>
    <w:bookmarkStart w:name="z681" w:id="761"/>
    <w:p>
      <w:pPr>
        <w:spacing w:after="0"/>
        <w:ind w:left="0"/>
        <w:jc w:val="both"/>
      </w:pPr>
      <w:r>
        <w:rPr>
          <w:rFonts w:ascii="Times New Roman"/>
          <w:b w:val="false"/>
          <w:i w:val="false"/>
          <w:color w:val="000000"/>
          <w:sz w:val="28"/>
        </w:rPr>
        <w:t>
      компоненты лекарственной формы, внешних оболочек лекарственных препаратов, попадающих в организм пациента при приеме внутрь или любым другим путем введения (твердые капсулы, мягкие капсулы, капсулы ректальные, таблетки, покрытые оболочкой, таблетки, покрытые пленочной оболочкой и т.п.).</w:t>
      </w:r>
    </w:p>
    <w:bookmarkEnd w:id="761"/>
    <w:bookmarkStart w:name="z682" w:id="762"/>
    <w:p>
      <w:pPr>
        <w:spacing w:after="0"/>
        <w:ind w:left="0"/>
        <w:jc w:val="both"/>
      </w:pPr>
      <w:r>
        <w:rPr>
          <w:rFonts w:ascii="Times New Roman"/>
          <w:b w:val="false"/>
          <w:i w:val="false"/>
          <w:color w:val="000000"/>
          <w:sz w:val="28"/>
        </w:rPr>
        <w:t>
      Указанные сведения необходимо дополнить любыми существенными данными, касающимися типа контейнера (первичной (внутренней) упаковки) и способа его укупорки (если применимо), а также краткой информацией о продукции, в том числе устройствах, комплектующих средствах, с помощью которых будет использоваться или вводиться лекарственный препарат и которые будут поставляться вместе с лекарственным препаратом.</w:t>
      </w:r>
    </w:p>
    <w:bookmarkEnd w:id="762"/>
    <w:bookmarkStart w:name="z683" w:id="763"/>
    <w:p>
      <w:pPr>
        <w:spacing w:after="0"/>
        <w:ind w:left="0"/>
        <w:jc w:val="both"/>
      </w:pPr>
      <w:r>
        <w:rPr>
          <w:rFonts w:ascii="Times New Roman"/>
          <w:b w:val="false"/>
          <w:i w:val="false"/>
          <w:color w:val="000000"/>
          <w:sz w:val="28"/>
        </w:rPr>
        <w:t>
      Выражение "принятая терминология", которое используется при описании компонентов лекарственных препаратов, независимо от применения других положений, означает следующее:</w:t>
      </w:r>
    </w:p>
    <w:bookmarkEnd w:id="763"/>
    <w:bookmarkStart w:name="z684" w:id="764"/>
    <w:p>
      <w:pPr>
        <w:spacing w:after="0"/>
        <w:ind w:left="0"/>
        <w:jc w:val="both"/>
      </w:pPr>
      <w:r>
        <w:rPr>
          <w:rFonts w:ascii="Times New Roman"/>
          <w:b w:val="false"/>
          <w:i w:val="false"/>
          <w:color w:val="000000"/>
          <w:sz w:val="28"/>
        </w:rPr>
        <w:t>
      для веществ, имеющих рекомендованное Всемирной организацией здравоохранения МНН - МНН или в случае, если вещество находится в солевой, эфирной, гидратной или иной форме, - соответствующее модифицированное МНН;</w:t>
      </w:r>
    </w:p>
    <w:bookmarkEnd w:id="764"/>
    <w:bookmarkStart w:name="z685" w:id="765"/>
    <w:p>
      <w:pPr>
        <w:spacing w:after="0"/>
        <w:ind w:left="0"/>
        <w:jc w:val="both"/>
      </w:pPr>
      <w:r>
        <w:rPr>
          <w:rFonts w:ascii="Times New Roman"/>
          <w:b w:val="false"/>
          <w:i w:val="false"/>
          <w:color w:val="000000"/>
          <w:sz w:val="28"/>
        </w:rPr>
        <w:t>
      для других веществ (при отсутствии МНН) - общепринятое (группировочное) наименование с учетом солевых, эфирных, гидратных и иных форм, при отсутствии общепринятого (группировочного) наименования - химическое наименование по номенклатуре IUPAC, а при отсутствии последнего приводят данные об источниках и способах получения, наличии введенных добавок и др. (при необходимости с соответствующими подробными деталями);</w:t>
      </w:r>
    </w:p>
    <w:bookmarkEnd w:id="765"/>
    <w:bookmarkStart w:name="z686" w:id="766"/>
    <w:p>
      <w:pPr>
        <w:spacing w:after="0"/>
        <w:ind w:left="0"/>
        <w:jc w:val="both"/>
      </w:pPr>
      <w:r>
        <w:rPr>
          <w:rFonts w:ascii="Times New Roman"/>
          <w:b w:val="false"/>
          <w:i w:val="false"/>
          <w:color w:val="000000"/>
          <w:sz w:val="28"/>
        </w:rPr>
        <w:t>
      для красителей - помимо наименования приводят соответствующий код согласно Международной системе нумерации пищевых добавок Кодекс Алиментариус (Е-коды).</w:t>
      </w:r>
    </w:p>
    <w:bookmarkEnd w:id="766"/>
    <w:bookmarkStart w:name="z687" w:id="767"/>
    <w:p>
      <w:pPr>
        <w:spacing w:after="0"/>
        <w:ind w:left="0"/>
        <w:jc w:val="both"/>
      </w:pPr>
      <w:r>
        <w:rPr>
          <w:rFonts w:ascii="Times New Roman"/>
          <w:b w:val="false"/>
          <w:i w:val="false"/>
          <w:color w:val="000000"/>
          <w:sz w:val="28"/>
        </w:rPr>
        <w:t>
      В разделе "количественный состав" лекарственного препарата для активной фармацевтической субстанции необходимо, в зависимости от лекарственной формы, указать массу или количество единиц биологической активности в расчете на единицу дозирования лекарственной формы, или на единицу массы, или на единицу объема каждой активной фармацевтической субстанции.</w:t>
      </w:r>
    </w:p>
    <w:bookmarkEnd w:id="767"/>
    <w:bookmarkStart w:name="z688" w:id="768"/>
    <w:p>
      <w:pPr>
        <w:spacing w:after="0"/>
        <w:ind w:left="0"/>
        <w:jc w:val="both"/>
      </w:pPr>
      <w:r>
        <w:rPr>
          <w:rFonts w:ascii="Times New Roman"/>
          <w:b w:val="false"/>
          <w:i w:val="false"/>
          <w:color w:val="000000"/>
          <w:sz w:val="28"/>
        </w:rPr>
        <w:t>
      Если активные фармацевтические субстанции представлены в виде соединений или производных, то необходимо представить их количественное выражение, указав их общую массу и массу активной части молекулы (при необходимости).</w:t>
      </w:r>
    </w:p>
    <w:bookmarkEnd w:id="768"/>
    <w:bookmarkStart w:name="z689" w:id="769"/>
    <w:p>
      <w:pPr>
        <w:spacing w:after="0"/>
        <w:ind w:left="0"/>
        <w:jc w:val="both"/>
      </w:pPr>
      <w:r>
        <w:rPr>
          <w:rFonts w:ascii="Times New Roman"/>
          <w:b w:val="false"/>
          <w:i w:val="false"/>
          <w:color w:val="000000"/>
          <w:sz w:val="28"/>
        </w:rPr>
        <w:t>
      Для лекарственных препаратов, содержащих активную фармацевтическую субстанцию, которая впервые заявлена в составе лекарственного препарата, количество активной фармацевтической субстанции, являющейся солью или гидратом, необходимо всегда указывать в пересчете на массу активной части молекулы.</w:t>
      </w:r>
    </w:p>
    <w:bookmarkEnd w:id="769"/>
    <w:bookmarkStart w:name="z690" w:id="770"/>
    <w:p>
      <w:pPr>
        <w:spacing w:after="0"/>
        <w:ind w:left="0"/>
        <w:jc w:val="both"/>
      </w:pPr>
      <w:r>
        <w:rPr>
          <w:rFonts w:ascii="Times New Roman"/>
          <w:b w:val="false"/>
          <w:i w:val="false"/>
          <w:color w:val="000000"/>
          <w:sz w:val="28"/>
        </w:rPr>
        <w:t>
      В отношении лекарственных препаратов, содержащих активную фармацевтическую субстанцию, впервые регистрируемую в составе лекарственного препарата в каком-либо государстве-члене, количественное содержание такой активной фармацевтической субстанции, если она является солью или гидратом, необходимо выразить согласно системному подходу по массе активной части молекулы. Количественное содержание такой же активной фармацевтической субстанции во всех последующих регистрируемых в государствах-членах лекарственных препаратах необходимо указывать тем же способом.</w:t>
      </w:r>
    </w:p>
    <w:bookmarkEnd w:id="770"/>
    <w:bookmarkStart w:name="z691" w:id="771"/>
    <w:p>
      <w:pPr>
        <w:spacing w:after="0"/>
        <w:ind w:left="0"/>
        <w:jc w:val="both"/>
      </w:pPr>
      <w:r>
        <w:rPr>
          <w:rFonts w:ascii="Times New Roman"/>
          <w:b w:val="false"/>
          <w:i w:val="false"/>
          <w:color w:val="000000"/>
          <w:sz w:val="28"/>
        </w:rPr>
        <w:t>
      Для субстанции или активного вещества, которое нельзя определять химическим путем, указывают единицы биологической активности или, если таковые имеются, международные единицы биологической активности, установленные Всемирной организацией здравоохранения. Если международные единицы Всемирной организацией здравоохранения не установлены, то единицы биологической активности нужно выражать таким образом, чтобы представить точную информацию об активности субстанции или действующего вещества, используя, где необходимо, единицы Фармакопеи Евразийского экономического союза. По возможности должна быть указана биологическая активность на единицу массы.</w:t>
      </w:r>
    </w:p>
    <w:bookmarkEnd w:id="771"/>
    <w:bookmarkStart w:name="z692" w:id="772"/>
    <w:p>
      <w:pPr>
        <w:spacing w:after="0"/>
        <w:ind w:left="0"/>
        <w:jc w:val="both"/>
      </w:pPr>
      <w:r>
        <w:rPr>
          <w:rFonts w:ascii="Times New Roman"/>
          <w:b w:val="false"/>
          <w:i w:val="false"/>
          <w:color w:val="000000"/>
          <w:sz w:val="28"/>
        </w:rPr>
        <w:t>
      3.2.P.2. Фармацевтическая разработка:</w:t>
      </w:r>
    </w:p>
    <w:bookmarkEnd w:id="772"/>
    <w:bookmarkStart w:name="z693" w:id="773"/>
    <w:p>
      <w:pPr>
        <w:spacing w:after="0"/>
        <w:ind w:left="0"/>
        <w:jc w:val="both"/>
      </w:pPr>
      <w:r>
        <w:rPr>
          <w:rFonts w:ascii="Times New Roman"/>
          <w:b w:val="false"/>
          <w:i w:val="false"/>
          <w:color w:val="000000"/>
          <w:sz w:val="28"/>
        </w:rPr>
        <w:t>
      В данном разделе содержится информация об исследованиях по разработке, проведенных с целью доказательства того, что лекарственная форма, состав, производственный процесс, система упаковки (укупорки), микробиологические характеристики, указания по приготовлению конечной лекарственной формы, пригодной для непосредственного использования, соответствуют планируемому применению, указанному заявителем в регистрационном досье лекарственного препарата.</w:t>
      </w:r>
    </w:p>
    <w:bookmarkEnd w:id="773"/>
    <w:bookmarkStart w:name="z694" w:id="774"/>
    <w:p>
      <w:pPr>
        <w:spacing w:after="0"/>
        <w:ind w:left="0"/>
        <w:jc w:val="both"/>
      </w:pPr>
      <w:r>
        <w:rPr>
          <w:rFonts w:ascii="Times New Roman"/>
          <w:b w:val="false"/>
          <w:i w:val="false"/>
          <w:color w:val="000000"/>
          <w:sz w:val="28"/>
        </w:rPr>
        <w:t>
      Исследования, описанные в данном разделе, отличаются от рутинных контрольных испытаний, проводимых в соответствии со спецификациями. Необходимо определить и описать критические параметры состава и характеристики процесса, которые могут влиять на воспроизводимость серий, действие и качество лекарственного препарата. При необходимости при представлении дополнительных подтверждающих данных следует ссылаться на соответствующие пункты модулей 4 и 5:</w:t>
      </w:r>
    </w:p>
    <w:bookmarkEnd w:id="774"/>
    <w:bookmarkStart w:name="z695" w:id="775"/>
    <w:p>
      <w:pPr>
        <w:spacing w:after="0"/>
        <w:ind w:left="0"/>
        <w:jc w:val="both"/>
      </w:pPr>
      <w:r>
        <w:rPr>
          <w:rFonts w:ascii="Times New Roman"/>
          <w:b w:val="false"/>
          <w:i w:val="false"/>
          <w:color w:val="000000"/>
          <w:sz w:val="28"/>
        </w:rPr>
        <w:t>
      необходимо обосновать совместимость активной фармацевтической субстанции со вспомогательными веществами, а также основные физико-химические свойства активной фармацевтической субстанции, которые могут повлиять на характеристики лекарственного препарата, или совместимость разных активных фармацевтических субстанций друг с другом в случае комбинированных лекарственных препаратов;</w:t>
      </w:r>
    </w:p>
    <w:bookmarkEnd w:id="775"/>
    <w:bookmarkStart w:name="z696" w:id="776"/>
    <w:p>
      <w:pPr>
        <w:spacing w:after="0"/>
        <w:ind w:left="0"/>
        <w:jc w:val="both"/>
      </w:pPr>
      <w:r>
        <w:rPr>
          <w:rFonts w:ascii="Times New Roman"/>
          <w:b w:val="false"/>
          <w:i w:val="false"/>
          <w:color w:val="000000"/>
          <w:sz w:val="28"/>
        </w:rPr>
        <w:t>
      необходимо обосновать выбор вспомогательных веществ, особенно в отношении их соответствующих функциональных характеристик и содержания;</w:t>
      </w:r>
    </w:p>
    <w:bookmarkEnd w:id="776"/>
    <w:bookmarkStart w:name="z697" w:id="777"/>
    <w:p>
      <w:pPr>
        <w:spacing w:after="0"/>
        <w:ind w:left="0"/>
        <w:jc w:val="both"/>
      </w:pPr>
      <w:r>
        <w:rPr>
          <w:rFonts w:ascii="Times New Roman"/>
          <w:b w:val="false"/>
          <w:i w:val="false"/>
          <w:color w:val="000000"/>
          <w:sz w:val="28"/>
        </w:rPr>
        <w:t>
      необходимо представить описание разработки лекарственного препарата, учитывая предлагаемый путь введения и способ применения;</w:t>
      </w:r>
    </w:p>
    <w:bookmarkEnd w:id="777"/>
    <w:bookmarkStart w:name="z698" w:id="778"/>
    <w:p>
      <w:pPr>
        <w:spacing w:after="0"/>
        <w:ind w:left="0"/>
        <w:jc w:val="both"/>
      </w:pPr>
      <w:r>
        <w:rPr>
          <w:rFonts w:ascii="Times New Roman"/>
          <w:b w:val="false"/>
          <w:i w:val="false"/>
          <w:color w:val="000000"/>
          <w:sz w:val="28"/>
        </w:rPr>
        <w:t>
      наличие любых избытков в составе должно быть обосновано;</w:t>
      </w:r>
    </w:p>
    <w:bookmarkEnd w:id="778"/>
    <w:bookmarkStart w:name="z699" w:id="779"/>
    <w:p>
      <w:pPr>
        <w:spacing w:after="0"/>
        <w:ind w:left="0"/>
        <w:jc w:val="both"/>
      </w:pPr>
      <w:r>
        <w:rPr>
          <w:rFonts w:ascii="Times New Roman"/>
          <w:b w:val="false"/>
          <w:i w:val="false"/>
          <w:color w:val="000000"/>
          <w:sz w:val="28"/>
        </w:rPr>
        <w:t>
      необходимо указать и обосновать любые физико-химические и биологические свойства и любые параметры, влияющие на характеристики лекарственного препарата;</w:t>
      </w:r>
    </w:p>
    <w:bookmarkEnd w:id="779"/>
    <w:bookmarkStart w:name="z700" w:id="780"/>
    <w:p>
      <w:pPr>
        <w:spacing w:after="0"/>
        <w:ind w:left="0"/>
        <w:jc w:val="both"/>
      </w:pPr>
      <w:r>
        <w:rPr>
          <w:rFonts w:ascii="Times New Roman"/>
          <w:b w:val="false"/>
          <w:i w:val="false"/>
          <w:color w:val="000000"/>
          <w:sz w:val="28"/>
        </w:rPr>
        <w:t>
      необходимо представить информацию о выборе и оптимизации производственного процесса, а также об отличиях (расхождениях) между производственным процессом, который использовали при изготовлении серий, задействованных в фазах клинических испытаний, и планируемым промышленным процессом производства готового лекарственного препарата;</w:t>
      </w:r>
    </w:p>
    <w:bookmarkEnd w:id="780"/>
    <w:bookmarkStart w:name="z701" w:id="781"/>
    <w:p>
      <w:pPr>
        <w:spacing w:after="0"/>
        <w:ind w:left="0"/>
        <w:jc w:val="both"/>
      </w:pPr>
      <w:r>
        <w:rPr>
          <w:rFonts w:ascii="Times New Roman"/>
          <w:b w:val="false"/>
          <w:i w:val="false"/>
          <w:color w:val="000000"/>
          <w:sz w:val="28"/>
        </w:rPr>
        <w:t>
      необходимо обосновать пригодность первичной упаковки и системы укупорки, которая используется для хранения, транспортировки и применения лекарственного препарата. При этом может потребоваться описание потенциального взаимодействия между лекарственным препаратом и материалом первичной упаковки (укупорки);</w:t>
      </w:r>
    </w:p>
    <w:bookmarkEnd w:id="781"/>
    <w:bookmarkStart w:name="z702" w:id="782"/>
    <w:p>
      <w:pPr>
        <w:spacing w:after="0"/>
        <w:ind w:left="0"/>
        <w:jc w:val="both"/>
      </w:pPr>
      <w:r>
        <w:rPr>
          <w:rFonts w:ascii="Times New Roman"/>
          <w:b w:val="false"/>
          <w:i w:val="false"/>
          <w:color w:val="000000"/>
          <w:sz w:val="28"/>
        </w:rPr>
        <w:t>
      как для нестерильных, так и для стерильных лекарственных препаратов необходимо представить микробиологические характеристики лекарственной формы в соответствии с требованиями Фармакопеи Евразийского экономического союза;</w:t>
      </w:r>
    </w:p>
    <w:bookmarkEnd w:id="782"/>
    <w:bookmarkStart w:name="z703" w:id="783"/>
    <w:p>
      <w:pPr>
        <w:spacing w:after="0"/>
        <w:ind w:left="0"/>
        <w:jc w:val="both"/>
      </w:pPr>
      <w:r>
        <w:rPr>
          <w:rFonts w:ascii="Times New Roman"/>
          <w:b w:val="false"/>
          <w:i w:val="false"/>
          <w:color w:val="000000"/>
          <w:sz w:val="28"/>
        </w:rPr>
        <w:t>
      для представления соответствующих дополнительных сведений по применению растворителей или дозатора (дозирующего устройства) необходимо обосновать совместимость лекарственного препарата с растворителями, предназначенными для разведения перед применением, или с дозатором;</w:t>
      </w:r>
    </w:p>
    <w:bookmarkEnd w:id="783"/>
    <w:p>
      <w:pPr>
        <w:spacing w:after="0"/>
        <w:ind w:left="0"/>
        <w:jc w:val="both"/>
      </w:pPr>
      <w:r>
        <w:rPr>
          <w:rFonts w:ascii="Times New Roman"/>
          <w:b w:val="false"/>
          <w:i w:val="false"/>
          <w:color w:val="000000"/>
          <w:sz w:val="28"/>
        </w:rPr>
        <w:t xml:space="preserve">
      В случае если первичная (внутренняя) упаковка лекарственного препарата представляет собой устройство, с помощью которого будет использоваться или вводиться лекарственный препарат (далее – устройство введения), или если в комплект упаковки входит комплектующее средство, включая медицинское изделие, то в настоящем разделе регистрационного досье приводятся сведения, обосновывающие их выбор. </w:t>
      </w:r>
    </w:p>
    <w:p>
      <w:pPr>
        <w:spacing w:after="0"/>
        <w:ind w:left="0"/>
        <w:jc w:val="both"/>
      </w:pPr>
      <w:r>
        <w:rPr>
          <w:rFonts w:ascii="Times New Roman"/>
          <w:b w:val="false"/>
          <w:i w:val="false"/>
          <w:color w:val="000000"/>
          <w:sz w:val="28"/>
        </w:rPr>
        <w:t>
      Необходимо рассмотреть целевое назначение конкретных устройства и комплектующего средства (включая медицинское изделие), их функциональность, пригодность для использования исходя из вида лекарственного препарата, терапевтического показания к его применению, способа введения и режима дозирования у целевой популяции пациентов.</w:t>
      </w:r>
    </w:p>
    <w:p>
      <w:pPr>
        <w:spacing w:after="0"/>
        <w:ind w:left="0"/>
        <w:jc w:val="both"/>
      </w:pPr>
      <w:r>
        <w:rPr>
          <w:rFonts w:ascii="Times New Roman"/>
          <w:b w:val="false"/>
          <w:i w:val="false"/>
          <w:color w:val="000000"/>
          <w:sz w:val="28"/>
        </w:rPr>
        <w:t xml:space="preserve">
      Необходимо обосновать выбор указанных устройства и комплектующего средства с учетом их функциональных аспектов (например, характеристики доставки дозы и механической функциональности устройства). </w:t>
      </w:r>
    </w:p>
    <w:p>
      <w:pPr>
        <w:spacing w:after="0"/>
        <w:ind w:left="0"/>
        <w:jc w:val="both"/>
      </w:pPr>
      <w:r>
        <w:rPr>
          <w:rFonts w:ascii="Times New Roman"/>
          <w:b w:val="false"/>
          <w:i w:val="false"/>
          <w:color w:val="000000"/>
          <w:sz w:val="28"/>
        </w:rPr>
        <w:t>
      Должна быть представлена краткая характеристика системы упаковки (укупорки) лекарственного препарата, входящего в нее устройства (комплектующего средства, медицинского изделия) (если применимо), например следующие сведения:</w:t>
      </w:r>
    </w:p>
    <w:p>
      <w:pPr>
        <w:spacing w:after="0"/>
        <w:ind w:left="0"/>
        <w:jc w:val="both"/>
      </w:pPr>
      <w:r>
        <w:rPr>
          <w:rFonts w:ascii="Times New Roman"/>
          <w:b w:val="false"/>
          <w:i w:val="false"/>
          <w:color w:val="000000"/>
          <w:sz w:val="28"/>
        </w:rPr>
        <w:t>
      обоснование использования дополнительной упаковки;</w:t>
      </w:r>
    </w:p>
    <w:p>
      <w:pPr>
        <w:spacing w:after="0"/>
        <w:ind w:left="0"/>
        <w:jc w:val="both"/>
      </w:pPr>
      <w:r>
        <w:rPr>
          <w:rFonts w:ascii="Times New Roman"/>
          <w:b w:val="false"/>
          <w:i w:val="false"/>
          <w:color w:val="000000"/>
          <w:sz w:val="28"/>
        </w:rPr>
        <w:t>
      описание критичной функциональной части устройства (например, механизма, вводящего и (или) регулирующего дозу лекарственного препарата);</w:t>
      </w:r>
    </w:p>
    <w:p>
      <w:pPr>
        <w:spacing w:after="0"/>
        <w:ind w:left="0"/>
        <w:jc w:val="both"/>
      </w:pPr>
      <w:r>
        <w:rPr>
          <w:rFonts w:ascii="Times New Roman"/>
          <w:b w:val="false"/>
          <w:i w:val="false"/>
          <w:color w:val="000000"/>
          <w:sz w:val="28"/>
        </w:rPr>
        <w:t xml:space="preserve">
      описание особенностей, повышающих безопасность лекарственного препарата для пользователя при доставке дозы (например, возможность четко слышать щелчок срабатывания устройства дозирования и (или) введения); </w:t>
      </w:r>
    </w:p>
    <w:p>
      <w:pPr>
        <w:spacing w:after="0"/>
        <w:ind w:left="0"/>
        <w:jc w:val="both"/>
      </w:pPr>
      <w:r>
        <w:rPr>
          <w:rFonts w:ascii="Times New Roman"/>
          <w:b w:val="false"/>
          <w:i w:val="false"/>
          <w:color w:val="000000"/>
          <w:sz w:val="28"/>
        </w:rPr>
        <w:t xml:space="preserve">
      описание особенностей, препятствующих получению пользователем колото-резаных травм; </w:t>
      </w:r>
    </w:p>
    <w:p>
      <w:pPr>
        <w:spacing w:after="0"/>
        <w:ind w:left="0"/>
        <w:jc w:val="both"/>
      </w:pPr>
      <w:r>
        <w:rPr>
          <w:rFonts w:ascii="Times New Roman"/>
          <w:b w:val="false"/>
          <w:i w:val="false"/>
          <w:color w:val="000000"/>
          <w:sz w:val="28"/>
        </w:rPr>
        <w:t xml:space="preserve">
      информация о наличии предохранителей, предотвращающих передозировку лекарственного препарата; </w:t>
      </w:r>
    </w:p>
    <w:p>
      <w:pPr>
        <w:spacing w:after="0"/>
        <w:ind w:left="0"/>
        <w:jc w:val="both"/>
      </w:pPr>
      <w:r>
        <w:rPr>
          <w:rFonts w:ascii="Times New Roman"/>
          <w:b w:val="false"/>
          <w:i w:val="false"/>
          <w:color w:val="000000"/>
          <w:sz w:val="28"/>
        </w:rPr>
        <w:t>
      сведения о безопасной утилизации;</w:t>
      </w:r>
    </w:p>
    <w:p>
      <w:pPr>
        <w:spacing w:after="0"/>
        <w:ind w:left="0"/>
        <w:jc w:val="both"/>
      </w:pPr>
      <w:r>
        <w:rPr>
          <w:rFonts w:ascii="Times New Roman"/>
          <w:b w:val="false"/>
          <w:i w:val="false"/>
          <w:color w:val="000000"/>
          <w:sz w:val="28"/>
        </w:rPr>
        <w:t>
      сведения о высвобождающем лекарственный препарат носителе или резервуаре (включая механизм высвобождения такого лекарственного препарата и др.) – для лекарственных препаратов с имплантируемым или трансдермальным путем введения.</w:t>
      </w:r>
    </w:p>
    <w:p>
      <w:pPr>
        <w:spacing w:after="0"/>
        <w:ind w:left="0"/>
        <w:jc w:val="both"/>
      </w:pPr>
      <w:r>
        <w:rPr>
          <w:rFonts w:ascii="Times New Roman"/>
          <w:b w:val="false"/>
          <w:i w:val="false"/>
          <w:color w:val="000000"/>
          <w:sz w:val="28"/>
        </w:rPr>
        <w:t xml:space="preserve">
      Необходимо представить характеристику только тех функциональных аспектов, которые влияют на безопасность, эффективность и качество лекарственного препарата (и тем самым на итоговое определение соотношения "польза – риск"), в том числе правильности и точности отмеряемой дозы в диапазоне использования (повторного использования) устройства, механической функциональности и (или) других аспектов, непосредственно относящихся к целевому назначению устройства. В частности, необходимо продемонстрировать способность доставлять и (или) вводить лекарственный препарат в соответствии с режимом дозирования, указанным в разделе 4.2 ОХЛП, в правильном и воспроизводимом порядке. </w:t>
      </w:r>
    </w:p>
    <w:p>
      <w:pPr>
        <w:spacing w:after="0"/>
        <w:ind w:left="0"/>
        <w:jc w:val="both"/>
      </w:pPr>
      <w:r>
        <w:rPr>
          <w:rFonts w:ascii="Times New Roman"/>
          <w:b w:val="false"/>
          <w:i w:val="false"/>
          <w:color w:val="000000"/>
          <w:sz w:val="28"/>
        </w:rPr>
        <w:t>
      Если первичная (внутренняя) упаковка лекарственного препарата представляет собой устройство либо компоненты упаковки лекарственного препарата относятся к медицинским изделиям, необходимо представить данные о совместимости между материалами компонентов упаковки, соприкасающихся с лекарственным препаратом, в том числе о совместимости с любыми растворителями для восстановления этого лекарственного препарата, и (или) данные о влиянии компонентов упаковки на показатели качества этого лекарственного препарата. Исследования должны демонстрировать отсутствие влияния устройства и компонентов упаковки на безопасность, эффективность и качество лекарственного препарата. При этом следует рассмотреть следующие аспекты (если применимо):</w:t>
      </w:r>
    </w:p>
    <w:p>
      <w:pPr>
        <w:spacing w:after="0"/>
        <w:ind w:left="0"/>
        <w:jc w:val="both"/>
      </w:pPr>
      <w:r>
        <w:rPr>
          <w:rFonts w:ascii="Times New Roman"/>
          <w:b w:val="false"/>
          <w:i w:val="false"/>
          <w:color w:val="000000"/>
          <w:sz w:val="28"/>
        </w:rPr>
        <w:t>
      совместимость материалов компонентов упаковки с лекарственным препаратом, позволяющая обеспечить необходимую химическую и физическую стабильность лекарственного препарата (например, наличие сорбции, осаждение действующего вещества лекарственного препарата в растворе, стабильность лекарственного препарата, влияние экстрагируемых и вымываемых из упаковки веществ и другие аспекты, исходя из конкретного вида упаковки и лекарственного препарата). Исследования взаимодействия материалов компонентов упаковки, соприкасающихся с лекарственным препаратом, могут быть проведены с использованием риск-ориентированного подхода с учетом времени соприкосновения или во время имитационных исследований транспортировки лекарственного препарата;</w:t>
      </w:r>
    </w:p>
    <w:p>
      <w:pPr>
        <w:spacing w:after="0"/>
        <w:ind w:left="0"/>
        <w:jc w:val="both"/>
      </w:pPr>
      <w:r>
        <w:rPr>
          <w:rFonts w:ascii="Times New Roman"/>
          <w:b w:val="false"/>
          <w:i w:val="false"/>
          <w:color w:val="000000"/>
          <w:sz w:val="28"/>
        </w:rPr>
        <w:t>
      результаты исследования взаимодействия с лекарственным препаратом технологических добавок (например, лубрикантов, клея и (или) адгезивных материалов этикеток), которые используются при обработке частей компонентов первичной (внутренней) упаковки (укупорки) лекарственного препарата (в том числе устройств, комплектующих средств, медицинских изделий) и вступают в непосредственный контакт с этим лекарственным препаратом.</w:t>
      </w:r>
    </w:p>
    <w:p>
      <w:pPr>
        <w:spacing w:after="0"/>
        <w:ind w:left="0"/>
        <w:jc w:val="both"/>
      </w:pPr>
      <w:r>
        <w:rPr>
          <w:rFonts w:ascii="Times New Roman"/>
          <w:b w:val="false"/>
          <w:i w:val="false"/>
          <w:color w:val="000000"/>
          <w:sz w:val="28"/>
        </w:rPr>
        <w:t>
      В соответствующих разделах модулей 2, 4 и 5 регистрационного досье представляются сведения о клиническом доказательстве безопасности и эффективности совместного применения с лекарственным препаратом используемой первичной (внутренней) упаковки (укупорки), комплектующего средства, медицинского изделия.</w:t>
      </w:r>
    </w:p>
    <w:bookmarkStart w:name="z704" w:id="784"/>
    <w:p>
      <w:pPr>
        <w:spacing w:after="0"/>
        <w:ind w:left="0"/>
        <w:jc w:val="both"/>
      </w:pPr>
      <w:r>
        <w:rPr>
          <w:rFonts w:ascii="Times New Roman"/>
          <w:b w:val="false"/>
          <w:i w:val="false"/>
          <w:color w:val="000000"/>
          <w:sz w:val="28"/>
        </w:rPr>
        <w:t>
      3.2.P.3. Процесс производства лекарственного препарата:</w:t>
      </w:r>
    </w:p>
    <w:bookmarkEnd w:id="784"/>
    <w:bookmarkStart w:name="z705" w:id="785"/>
    <w:p>
      <w:pPr>
        <w:spacing w:after="0"/>
        <w:ind w:left="0"/>
        <w:jc w:val="both"/>
      </w:pPr>
      <w:r>
        <w:rPr>
          <w:rFonts w:ascii="Times New Roman"/>
          <w:b w:val="false"/>
          <w:i w:val="false"/>
          <w:color w:val="000000"/>
          <w:sz w:val="28"/>
        </w:rPr>
        <w:t>
      а) описание способа производства, указанного в заявлении о регистрации лекарственного препарата, излагается таким образом, чтобы представить адекватное краткое резюме характера выполняемых операций.</w:t>
      </w:r>
    </w:p>
    <w:bookmarkEnd w:id="785"/>
    <w:bookmarkStart w:name="z706" w:id="786"/>
    <w:p>
      <w:pPr>
        <w:spacing w:after="0"/>
        <w:ind w:left="0"/>
        <w:jc w:val="both"/>
      </w:pPr>
      <w:r>
        <w:rPr>
          <w:rFonts w:ascii="Times New Roman"/>
          <w:b w:val="false"/>
          <w:i w:val="false"/>
          <w:color w:val="000000"/>
          <w:sz w:val="28"/>
        </w:rPr>
        <w:t>
      С этой целью описание способа производства должно включать, как минимум:</w:t>
      </w:r>
    </w:p>
    <w:bookmarkEnd w:id="786"/>
    <w:bookmarkStart w:name="z707" w:id="787"/>
    <w:p>
      <w:pPr>
        <w:spacing w:after="0"/>
        <w:ind w:left="0"/>
        <w:jc w:val="both"/>
      </w:pPr>
      <w:r>
        <w:rPr>
          <w:rFonts w:ascii="Times New Roman"/>
          <w:b w:val="false"/>
          <w:i w:val="false"/>
          <w:color w:val="000000"/>
          <w:sz w:val="28"/>
        </w:rPr>
        <w:t>
      описание различных стадий производства, включая контроль в процессе производства и соответствующие критерии приемлемости для оценки того, могут ли процессы, используемые при производстве, повлечь любые нежелательные изменения компонентов лекарственной формы;</w:t>
      </w:r>
    </w:p>
    <w:bookmarkEnd w:id="787"/>
    <w:bookmarkStart w:name="z708" w:id="788"/>
    <w:p>
      <w:pPr>
        <w:spacing w:after="0"/>
        <w:ind w:left="0"/>
        <w:jc w:val="both"/>
      </w:pPr>
      <w:r>
        <w:rPr>
          <w:rFonts w:ascii="Times New Roman"/>
          <w:b w:val="false"/>
          <w:i w:val="false"/>
          <w:color w:val="000000"/>
          <w:sz w:val="28"/>
        </w:rPr>
        <w:t>
      описание мер, необходимых для обеспечения однородности лекарственного препарата (в случае непрерывного производственного процесса);</w:t>
      </w:r>
    </w:p>
    <w:bookmarkEnd w:id="788"/>
    <w:bookmarkStart w:name="z709" w:id="789"/>
    <w:p>
      <w:pPr>
        <w:spacing w:after="0"/>
        <w:ind w:left="0"/>
        <w:jc w:val="both"/>
      </w:pPr>
      <w:r>
        <w:rPr>
          <w:rFonts w:ascii="Times New Roman"/>
          <w:b w:val="false"/>
          <w:i w:val="false"/>
          <w:color w:val="000000"/>
          <w:sz w:val="28"/>
        </w:rPr>
        <w:t>
      результаты экспериментальных исследований по валидации производственного процесса при использовании нестандартных методов производства или если он является критическим для лекарственного препарата;</w:t>
      </w:r>
    </w:p>
    <w:bookmarkEnd w:id="789"/>
    <w:bookmarkStart w:name="z710" w:id="790"/>
    <w:p>
      <w:pPr>
        <w:spacing w:after="0"/>
        <w:ind w:left="0"/>
        <w:jc w:val="both"/>
      </w:pPr>
      <w:r>
        <w:rPr>
          <w:rFonts w:ascii="Times New Roman"/>
          <w:b w:val="false"/>
          <w:i w:val="false"/>
          <w:color w:val="000000"/>
          <w:sz w:val="28"/>
        </w:rPr>
        <w:t>
      описание существующих процессов стерилизации и (или) процедур по обеспечению асептических условий (для стерильных лекарственных препаратов);</w:t>
      </w:r>
    </w:p>
    <w:bookmarkEnd w:id="790"/>
    <w:bookmarkStart w:name="z711" w:id="791"/>
    <w:p>
      <w:pPr>
        <w:spacing w:after="0"/>
        <w:ind w:left="0"/>
        <w:jc w:val="both"/>
      </w:pPr>
      <w:r>
        <w:rPr>
          <w:rFonts w:ascii="Times New Roman"/>
          <w:b w:val="false"/>
          <w:i w:val="false"/>
          <w:color w:val="000000"/>
          <w:sz w:val="28"/>
        </w:rPr>
        <w:t>
      подробную производственную рецептуру (состав на серию).</w:t>
      </w:r>
    </w:p>
    <w:bookmarkEnd w:id="791"/>
    <w:bookmarkStart w:name="z712" w:id="792"/>
    <w:p>
      <w:pPr>
        <w:spacing w:after="0"/>
        <w:ind w:left="0"/>
        <w:jc w:val="both"/>
      </w:pPr>
      <w:r>
        <w:rPr>
          <w:rFonts w:ascii="Times New Roman"/>
          <w:b w:val="false"/>
          <w:i w:val="false"/>
          <w:color w:val="000000"/>
          <w:sz w:val="28"/>
        </w:rPr>
        <w:t>
      Необходимо представить название и местонахождение производственных площадок и указать обязанности каждого производителя, включая контрактные производства, а также информацию о каждой используемой производственной площадке или испытательной лаборатории;</w:t>
      </w:r>
    </w:p>
    <w:bookmarkEnd w:id="792"/>
    <w:p>
      <w:pPr>
        <w:spacing w:after="0"/>
        <w:ind w:left="0"/>
        <w:jc w:val="both"/>
      </w:pPr>
      <w:r>
        <w:rPr>
          <w:rFonts w:ascii="Times New Roman"/>
          <w:b w:val="false"/>
          <w:i w:val="false"/>
          <w:color w:val="000000"/>
          <w:sz w:val="28"/>
        </w:rPr>
        <w:t>
      В случае если первичная (внутренняя) упаковка лекарственного препарата представляет собой устройство, то кроме наименования, адреса и обязанностей каждого производителя лекарственного препарата необходимо указать производственные площадки для интеграции лекарственного препарата с устройством, а также (если применимо) площадки для упаковывания, стерилизации, маркирования и контроля качества лекарственного препарата с устройством;</w:t>
      </w:r>
    </w:p>
    <w:bookmarkStart w:name="z713" w:id="793"/>
    <w:p>
      <w:pPr>
        <w:spacing w:after="0"/>
        <w:ind w:left="0"/>
        <w:jc w:val="both"/>
      </w:pPr>
      <w:r>
        <w:rPr>
          <w:rFonts w:ascii="Times New Roman"/>
          <w:b w:val="false"/>
          <w:i w:val="false"/>
          <w:color w:val="000000"/>
          <w:sz w:val="28"/>
        </w:rPr>
        <w:t>
      б) необходимо привести описание аналитических методик для контроля качества лекарственного препарата, которые могут применяться на промежуточных стадиях технологического процесса, с целью обеспечения однородности производственного процесса.</w:t>
      </w:r>
    </w:p>
    <w:bookmarkEnd w:id="793"/>
    <w:bookmarkStart w:name="z714" w:id="794"/>
    <w:p>
      <w:pPr>
        <w:spacing w:after="0"/>
        <w:ind w:left="0"/>
        <w:jc w:val="both"/>
      </w:pPr>
      <w:r>
        <w:rPr>
          <w:rFonts w:ascii="Times New Roman"/>
          <w:b w:val="false"/>
          <w:i w:val="false"/>
          <w:color w:val="000000"/>
          <w:sz w:val="28"/>
        </w:rPr>
        <w:t>
      Эти методики являются важными с точки зрения проверки соответствия лекарственного препарата производственной рецептуре, особенно в тех случаях, когда заявитель предлагает аналитическую методику контроля лекарственного препарата, не включающую количественное определение всех активных фармацевтических субстанций (или всех вспомогательных веществ, которые должны соответствовать тем же требованиям, что и активные фармацевтические субстанции).</w:t>
      </w:r>
    </w:p>
    <w:bookmarkEnd w:id="794"/>
    <w:bookmarkStart w:name="z715" w:id="795"/>
    <w:p>
      <w:pPr>
        <w:spacing w:after="0"/>
        <w:ind w:left="0"/>
        <w:jc w:val="both"/>
      </w:pPr>
      <w:r>
        <w:rPr>
          <w:rFonts w:ascii="Times New Roman"/>
          <w:b w:val="false"/>
          <w:i w:val="false"/>
          <w:color w:val="000000"/>
          <w:sz w:val="28"/>
        </w:rPr>
        <w:t>
      Это касается и случаев, когда контроль качества лекарственного препарата зависит от внутрипроизводственных испытаний, особенно в тех случаях, когда способ производства лекарственного препарата существенно влияет на его качество;</w:t>
      </w:r>
    </w:p>
    <w:bookmarkEnd w:id="795"/>
    <w:bookmarkStart w:name="z716" w:id="796"/>
    <w:p>
      <w:pPr>
        <w:spacing w:after="0"/>
        <w:ind w:left="0"/>
        <w:jc w:val="both"/>
      </w:pPr>
      <w:r>
        <w:rPr>
          <w:rFonts w:ascii="Times New Roman"/>
          <w:b w:val="false"/>
          <w:i w:val="false"/>
          <w:color w:val="000000"/>
          <w:sz w:val="28"/>
        </w:rPr>
        <w:t>
      в) необходимо представить описание, документацию и результаты исследований по валидации для критических точек производства или методов количественного определения, используемых в производственном процессе;</w:t>
      </w:r>
    </w:p>
    <w:bookmarkEnd w:id="796"/>
    <w:p>
      <w:pPr>
        <w:spacing w:after="0"/>
        <w:ind w:left="0"/>
        <w:jc w:val="both"/>
      </w:pPr>
      <w:r>
        <w:rPr>
          <w:rFonts w:ascii="Times New Roman"/>
          <w:b w:val="false"/>
          <w:i w:val="false"/>
          <w:color w:val="000000"/>
          <w:sz w:val="28"/>
        </w:rPr>
        <w:t xml:space="preserve">
      г) если первичная (внутренняя) упаковка лекарственного препарата представляет собой устройство введения, необходимо представить данные о процедуре стерилизации (если применимо), включая информацию о валидации процесса стерилизации и данные о валидации процесса первичной (внутренней) упаковки (для стерильных деталей устройства (если применимо)). </w:t>
      </w:r>
    </w:p>
    <w:p>
      <w:pPr>
        <w:spacing w:after="0"/>
        <w:ind w:left="0"/>
        <w:jc w:val="both"/>
      </w:pPr>
      <w:r>
        <w:rPr>
          <w:rFonts w:ascii="Times New Roman"/>
          <w:b w:val="false"/>
          <w:i w:val="false"/>
          <w:color w:val="000000"/>
          <w:sz w:val="28"/>
        </w:rPr>
        <w:t>
      Описание процесса производства лекарственного препарата в таком случае должно включать в себя операции, относящиеся к интеграции устройства и лекарственного препарата. Должны быть подробно описаны критические процессы, технологии и (или) упаковочные операции, непосредственно затрагивающие качество всего продукта.</w:t>
      </w:r>
    </w:p>
    <w:p>
      <w:pPr>
        <w:spacing w:after="0"/>
        <w:ind w:left="0"/>
        <w:jc w:val="both"/>
      </w:pPr>
      <w:r>
        <w:rPr>
          <w:rFonts w:ascii="Times New Roman"/>
          <w:b w:val="false"/>
          <w:i w:val="false"/>
          <w:color w:val="000000"/>
          <w:sz w:val="28"/>
        </w:rPr>
        <w:t>
      Необходимо включить в описание процесса производства следующие сведения:</w:t>
      </w:r>
    </w:p>
    <w:p>
      <w:pPr>
        <w:spacing w:after="0"/>
        <w:ind w:left="0"/>
        <w:jc w:val="both"/>
      </w:pPr>
      <w:r>
        <w:rPr>
          <w:rFonts w:ascii="Times New Roman"/>
          <w:b w:val="false"/>
          <w:i w:val="false"/>
          <w:color w:val="000000"/>
          <w:sz w:val="28"/>
        </w:rPr>
        <w:t>
      описание производственных операций, которые выполняются производителем лекарственного препарата в целях подготовки устройства для окончательной интеграции с лекарственным препаратом (например, стадий субкомпоновки, промывки, нанесения покрытия, стерилизации, депирогенизации);</w:t>
      </w:r>
    </w:p>
    <w:p>
      <w:pPr>
        <w:spacing w:after="0"/>
        <w:ind w:left="0"/>
        <w:jc w:val="both"/>
      </w:pPr>
      <w:r>
        <w:rPr>
          <w:rFonts w:ascii="Times New Roman"/>
          <w:b w:val="false"/>
          <w:i w:val="false"/>
          <w:color w:val="000000"/>
          <w:sz w:val="28"/>
        </w:rPr>
        <w:t>
      описание методов и условий стерилизации. Сведения об отдельном процессе стерилизации устройства необходимо также представить в указанном разделе регистрационного досье (если применимо).</w:t>
      </w:r>
    </w:p>
    <w:p>
      <w:pPr>
        <w:spacing w:after="0"/>
        <w:ind w:left="0"/>
        <w:jc w:val="both"/>
      </w:pPr>
      <w:r>
        <w:rPr>
          <w:rFonts w:ascii="Times New Roman"/>
          <w:b w:val="false"/>
          <w:i w:val="false"/>
          <w:color w:val="000000"/>
          <w:sz w:val="28"/>
        </w:rPr>
        <w:t>
      В случае если первичная (внутренняя) упаковка лекарственного препарата представляет собой устройство, то кроме наименования, адреса и обязанностей каждого производителя лекарственного препарата необходимо указать наименования и адреса производственных площадок, используемых для интеграции лекарственного препарата с устройством, а также (если применимо) площадок для упаковывания, стерилизации, маркирования и контроля качества лекарственного препарата с устройством.</w:t>
      </w:r>
    </w:p>
    <w:p>
      <w:pPr>
        <w:spacing w:after="0"/>
        <w:ind w:left="0"/>
        <w:jc w:val="both"/>
      </w:pPr>
      <w:r>
        <w:rPr>
          <w:rFonts w:ascii="Times New Roman"/>
          <w:b w:val="false"/>
          <w:i w:val="false"/>
          <w:color w:val="000000"/>
          <w:sz w:val="28"/>
        </w:rPr>
        <w:t>
      В случае если комплект упаковки лекарственного препарата включает в себя продукцию (в том числе устройства, комплектующие средства), которая не предполагается для реализации отдельно от лекарственного препарата (не является зарегистрированным медицинским изделием), то кроме наименования, адреса и обязанностей каждого производителя лекарственного препарата необходимо указать производственные площадки, выпускающие данную продукцию, и представить краткую схему процесса ее производства (если применимо).</w:t>
      </w:r>
    </w:p>
    <w:bookmarkStart w:name="z717" w:id="797"/>
    <w:p>
      <w:pPr>
        <w:spacing w:after="0"/>
        <w:ind w:left="0"/>
        <w:jc w:val="both"/>
      </w:pPr>
      <w:r>
        <w:rPr>
          <w:rFonts w:ascii="Times New Roman"/>
          <w:b w:val="false"/>
          <w:i w:val="false"/>
          <w:color w:val="000000"/>
          <w:sz w:val="28"/>
        </w:rPr>
        <w:t>
      3.2.P.4. Контроль качества вспомогательных веществ:</w:t>
      </w:r>
    </w:p>
    <w:bookmarkEnd w:id="797"/>
    <w:bookmarkStart w:name="z718" w:id="798"/>
    <w:p>
      <w:pPr>
        <w:spacing w:after="0"/>
        <w:ind w:left="0"/>
        <w:jc w:val="both"/>
      </w:pPr>
      <w:r>
        <w:rPr>
          <w:rFonts w:ascii="Times New Roman"/>
          <w:b w:val="false"/>
          <w:i w:val="false"/>
          <w:color w:val="000000"/>
          <w:sz w:val="28"/>
        </w:rPr>
        <w:t>
      а) следует представить перечень всех исходных материалов, используемых для производства вспомогательных веществ, с указанием того, на каком этапе процесса применяется каждый из них. Должна представляться информация о качестве и контроле качества этих исходных материалов, а также информация, которая свидетельствует о том, что материалы соответствуют стандартам с точки зрения их предполагаемого применения.</w:t>
      </w:r>
    </w:p>
    <w:bookmarkEnd w:id="798"/>
    <w:bookmarkStart w:name="z719" w:id="799"/>
    <w:p>
      <w:pPr>
        <w:spacing w:after="0"/>
        <w:ind w:left="0"/>
        <w:jc w:val="both"/>
      </w:pPr>
      <w:r>
        <w:rPr>
          <w:rFonts w:ascii="Times New Roman"/>
          <w:b w:val="false"/>
          <w:i w:val="false"/>
          <w:color w:val="000000"/>
          <w:sz w:val="28"/>
        </w:rPr>
        <w:t>
      Во всех случаях красители должны удовлетворять требованиям соответствующей статьи (монографии) Фармакопеи Евразийского экономического союза и требованиям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принятого Решением Совета Комиссии от 20 июля 2012 г. № 58, кроме того, красители должны соответствовать критериям чистоты, установленным требованиями актов, составляющих право Союза;</w:t>
      </w:r>
    </w:p>
    <w:bookmarkEnd w:id="799"/>
    <w:bookmarkStart w:name="z720" w:id="800"/>
    <w:p>
      <w:pPr>
        <w:spacing w:after="0"/>
        <w:ind w:left="0"/>
        <w:jc w:val="both"/>
      </w:pPr>
      <w:r>
        <w:rPr>
          <w:rFonts w:ascii="Times New Roman"/>
          <w:b w:val="false"/>
          <w:i w:val="false"/>
          <w:color w:val="000000"/>
          <w:sz w:val="28"/>
        </w:rPr>
        <w:t>
      б) для каждого вспомогательного вещества должны быть представлены спецификации и их обоснование. Необходимо описать и должным образом валидировать аналитические методики, используемые для контроля их качества;</w:t>
      </w:r>
    </w:p>
    <w:bookmarkEnd w:id="800"/>
    <w:bookmarkStart w:name="z721" w:id="801"/>
    <w:p>
      <w:pPr>
        <w:spacing w:after="0"/>
        <w:ind w:left="0"/>
        <w:jc w:val="both"/>
      </w:pPr>
      <w:r>
        <w:rPr>
          <w:rFonts w:ascii="Times New Roman"/>
          <w:b w:val="false"/>
          <w:i w:val="false"/>
          <w:color w:val="000000"/>
          <w:sz w:val="28"/>
        </w:rPr>
        <w:t>
      в) особое внимание необходимо уделить вспомогательным веществам человеческого или животного происхождения.</w:t>
      </w:r>
    </w:p>
    <w:bookmarkEnd w:id="801"/>
    <w:bookmarkStart w:name="z722" w:id="802"/>
    <w:p>
      <w:pPr>
        <w:spacing w:after="0"/>
        <w:ind w:left="0"/>
        <w:jc w:val="both"/>
      </w:pPr>
      <w:r>
        <w:rPr>
          <w:rFonts w:ascii="Times New Roman"/>
          <w:b w:val="false"/>
          <w:i w:val="false"/>
          <w:color w:val="000000"/>
          <w:sz w:val="28"/>
        </w:rPr>
        <w:t>
      С целью соблюдения особых мер по предотвращению передачи возбудителей губчатой энцефалопатии животных заявитель также должен подтвердить для вспомогательных веществ, что лекарственный препарат отвечает, в частности, требованиям соответствующей статьи (монографии) Фармакопеи Евразийского экономического союза по минимизации риска передачи данных возбудителей с производимыми лекарственными препаратами.</w:t>
      </w:r>
    </w:p>
    <w:bookmarkEnd w:id="802"/>
    <w:bookmarkStart w:name="z723" w:id="803"/>
    <w:p>
      <w:pPr>
        <w:spacing w:after="0"/>
        <w:ind w:left="0"/>
        <w:jc w:val="both"/>
      </w:pPr>
      <w:r>
        <w:rPr>
          <w:rFonts w:ascii="Times New Roman"/>
          <w:b w:val="false"/>
          <w:i w:val="false"/>
          <w:color w:val="000000"/>
          <w:sz w:val="28"/>
        </w:rPr>
        <w:t>
      Соответствие вышеуказанным требованиям можно подтвердить, представив сертификат соответствия монографии Европейской фармакопеи в отношении возбудителей губчатой энцефалопатии или другие документы (данные), которые обосновывают это соответствие;</w:t>
      </w:r>
    </w:p>
    <w:bookmarkEnd w:id="803"/>
    <w:bookmarkStart w:name="z724" w:id="804"/>
    <w:p>
      <w:pPr>
        <w:spacing w:after="0"/>
        <w:ind w:left="0"/>
        <w:jc w:val="both"/>
      </w:pPr>
      <w:r>
        <w:rPr>
          <w:rFonts w:ascii="Times New Roman"/>
          <w:b w:val="false"/>
          <w:i w:val="false"/>
          <w:color w:val="000000"/>
          <w:sz w:val="28"/>
        </w:rPr>
        <w:t>
      г) новые вспомогательные вещества:</w:t>
      </w:r>
    </w:p>
    <w:bookmarkEnd w:id="804"/>
    <w:bookmarkStart w:name="z725" w:id="805"/>
    <w:p>
      <w:pPr>
        <w:spacing w:after="0"/>
        <w:ind w:left="0"/>
        <w:jc w:val="both"/>
      </w:pPr>
      <w:r>
        <w:rPr>
          <w:rFonts w:ascii="Times New Roman"/>
          <w:b w:val="false"/>
          <w:i w:val="false"/>
          <w:color w:val="000000"/>
          <w:sz w:val="28"/>
        </w:rPr>
        <w:t>
      для вспомогательных веществ, которые используются впервые в лекарственном препарате или применяются при новом для этих вспомогательных веществ пути введения, необходимо представлять полное описание производства, свойств и контроля, со ссылкой на подтвержденные доклинические и клинические данные по безопасности. Эта информация должна быть оформлена так же, как указано выше для активной фармацевтической субстанции.</w:t>
      </w:r>
    </w:p>
    <w:bookmarkEnd w:id="805"/>
    <w:bookmarkStart w:name="z726" w:id="806"/>
    <w:p>
      <w:pPr>
        <w:spacing w:after="0"/>
        <w:ind w:left="0"/>
        <w:jc w:val="both"/>
      </w:pPr>
      <w:r>
        <w:rPr>
          <w:rFonts w:ascii="Times New Roman"/>
          <w:b w:val="false"/>
          <w:i w:val="false"/>
          <w:color w:val="000000"/>
          <w:sz w:val="28"/>
        </w:rPr>
        <w:t>
      Необходимо представить подробную химическую, фармацевтическую и биологическую информацию. Эта информация должна быть оформлена так, как указано в модуле 3 относительно активной фармацевтической субстанции.</w:t>
      </w:r>
    </w:p>
    <w:bookmarkEnd w:id="806"/>
    <w:bookmarkStart w:name="z727" w:id="807"/>
    <w:p>
      <w:pPr>
        <w:spacing w:after="0"/>
        <w:ind w:left="0"/>
        <w:jc w:val="both"/>
      </w:pPr>
      <w:r>
        <w:rPr>
          <w:rFonts w:ascii="Times New Roman"/>
          <w:b w:val="false"/>
          <w:i w:val="false"/>
          <w:color w:val="000000"/>
          <w:sz w:val="28"/>
        </w:rPr>
        <w:t>
      Информация о новом вспомогательном веществе может быть представлена в виде отдельного документа, составленного согласно вышеописанному формату.</w:t>
      </w:r>
    </w:p>
    <w:bookmarkEnd w:id="807"/>
    <w:bookmarkStart w:name="z728" w:id="808"/>
    <w:p>
      <w:pPr>
        <w:spacing w:after="0"/>
        <w:ind w:left="0"/>
        <w:jc w:val="both"/>
      </w:pPr>
      <w:r>
        <w:rPr>
          <w:rFonts w:ascii="Times New Roman"/>
          <w:b w:val="false"/>
          <w:i w:val="false"/>
          <w:color w:val="000000"/>
          <w:sz w:val="28"/>
        </w:rPr>
        <w:t>
      Если заявитель и производитель нового вспомогательного вещества не являются одним и тем же лицом, такой отдельный документ должен представляться производителем заявителю.</w:t>
      </w:r>
    </w:p>
    <w:bookmarkEnd w:id="808"/>
    <w:bookmarkStart w:name="z729" w:id="809"/>
    <w:p>
      <w:pPr>
        <w:spacing w:after="0"/>
        <w:ind w:left="0"/>
        <w:jc w:val="both"/>
      </w:pPr>
      <w:r>
        <w:rPr>
          <w:rFonts w:ascii="Times New Roman"/>
          <w:b w:val="false"/>
          <w:i w:val="false"/>
          <w:color w:val="000000"/>
          <w:sz w:val="28"/>
        </w:rPr>
        <w:t>
      Дополнительная информация о результатах исследования токсичности нового вспомогательного вещества должна представляться в модуле 4 регистрационного досье.</w:t>
      </w:r>
    </w:p>
    <w:bookmarkEnd w:id="809"/>
    <w:bookmarkStart w:name="z730" w:id="810"/>
    <w:p>
      <w:pPr>
        <w:spacing w:after="0"/>
        <w:ind w:left="0"/>
        <w:jc w:val="both"/>
      </w:pPr>
      <w:r>
        <w:rPr>
          <w:rFonts w:ascii="Times New Roman"/>
          <w:b w:val="false"/>
          <w:i w:val="false"/>
          <w:color w:val="000000"/>
          <w:sz w:val="28"/>
        </w:rPr>
        <w:t>
      Результаты клинических исследований для нового вспомогательного вещества следует описывать в модуле 5 регистрационного досье лекарственного препарата.</w:t>
      </w:r>
    </w:p>
    <w:bookmarkEnd w:id="810"/>
    <w:bookmarkStart w:name="z731" w:id="811"/>
    <w:p>
      <w:pPr>
        <w:spacing w:after="0"/>
        <w:ind w:left="0"/>
        <w:jc w:val="both"/>
      </w:pPr>
      <w:r>
        <w:rPr>
          <w:rFonts w:ascii="Times New Roman"/>
          <w:b w:val="false"/>
          <w:i w:val="false"/>
          <w:color w:val="000000"/>
          <w:sz w:val="28"/>
        </w:rPr>
        <w:t>
      3.2.P.5. Контроль качества лекарственного препарата.</w:t>
      </w:r>
    </w:p>
    <w:bookmarkEnd w:id="811"/>
    <w:bookmarkStart w:name="z732" w:id="812"/>
    <w:p>
      <w:pPr>
        <w:spacing w:after="0"/>
        <w:ind w:left="0"/>
        <w:jc w:val="both"/>
      </w:pPr>
      <w:r>
        <w:rPr>
          <w:rFonts w:ascii="Times New Roman"/>
          <w:b w:val="false"/>
          <w:i w:val="false"/>
          <w:color w:val="000000"/>
          <w:sz w:val="28"/>
        </w:rPr>
        <w:t>
      В целях контроля качества лекарственного препарата под серией лекарственного препарата понимается продукция, включающая все количество единиц лекарственного препарата, произведенных из одинакового количества исходного сырья и материалов и подвергшихся одинаковым производственным и (или) стерилизационным операциям, или продукция, включающая при непрерывном процессе производства все единицы лекарственного препарата, произведенные в определенный промежуток времени и характеризующиеся однородностью.</w:t>
      </w:r>
    </w:p>
    <w:bookmarkEnd w:id="812"/>
    <w:bookmarkStart w:name="z733" w:id="813"/>
    <w:p>
      <w:pPr>
        <w:spacing w:after="0"/>
        <w:ind w:left="0"/>
        <w:jc w:val="both"/>
      </w:pPr>
      <w:r>
        <w:rPr>
          <w:rFonts w:ascii="Times New Roman"/>
          <w:b w:val="false"/>
          <w:i w:val="false"/>
          <w:color w:val="000000"/>
          <w:sz w:val="28"/>
        </w:rPr>
        <w:t xml:space="preserve">
      Максимально допустимое отклонение содержания активной фармацевтической субстанции в лекарственном препарате на дату его производства не должно превышать </w:t>
      </w:r>
      <w:r>
        <w:rPr>
          <w:rFonts w:ascii="Times New Roman"/>
          <w:b w:val="false"/>
          <w:i w:val="false"/>
          <w:color w:val="000000"/>
          <w:sz w:val="28"/>
          <w:u w:val="single"/>
        </w:rPr>
        <w:t>+</w:t>
      </w:r>
      <w:r>
        <w:rPr>
          <w:rFonts w:ascii="Times New Roman"/>
          <w:b w:val="false"/>
          <w:i w:val="false"/>
          <w:color w:val="000000"/>
          <w:sz w:val="28"/>
        </w:rPr>
        <w:t xml:space="preserve"> 5%, за исключением соответствующим образом обоснованных случаев.</w:t>
      </w:r>
    </w:p>
    <w:bookmarkEnd w:id="813"/>
    <w:bookmarkStart w:name="z734" w:id="814"/>
    <w:p>
      <w:pPr>
        <w:spacing w:after="0"/>
        <w:ind w:left="0"/>
        <w:jc w:val="both"/>
      </w:pPr>
      <w:r>
        <w:rPr>
          <w:rFonts w:ascii="Times New Roman"/>
          <w:b w:val="false"/>
          <w:i w:val="false"/>
          <w:color w:val="000000"/>
          <w:sz w:val="28"/>
        </w:rPr>
        <w:t>
      Необходимо представить подробную информацию о спецификациях (при выпуске лекарственного препарата и в течение его срока годности (срока хранения) на основании проведенных испытаний стабильности лекарственного препарата) с обоснованием выбора показателей качества, методик испытаний и валидации этих методик.</w:t>
      </w:r>
    </w:p>
    <w:bookmarkEnd w:id="814"/>
    <w:p>
      <w:pPr>
        <w:spacing w:after="0"/>
        <w:ind w:left="0"/>
        <w:jc w:val="both"/>
      </w:pPr>
      <w:r>
        <w:rPr>
          <w:rFonts w:ascii="Times New Roman"/>
          <w:b w:val="false"/>
          <w:i w:val="false"/>
          <w:color w:val="000000"/>
          <w:sz w:val="28"/>
        </w:rPr>
        <w:t>
      В случае если первичная (внутренняя) упаковка лекарственного препарата представляет собой устройство введения, спецификация лекарственного препарата может содержать данные функциональных испытаний, применимых к такому устройству (например, извлекаемый объем, постоянство дозирования, усилие при прокалывании и др.).</w:t>
      </w:r>
    </w:p>
    <w:p>
      <w:pPr>
        <w:spacing w:after="0"/>
        <w:ind w:left="0"/>
        <w:jc w:val="both"/>
      </w:pPr>
      <w:r>
        <w:rPr>
          <w:rFonts w:ascii="Times New Roman"/>
          <w:b w:val="false"/>
          <w:i w:val="false"/>
          <w:color w:val="000000"/>
          <w:sz w:val="28"/>
        </w:rPr>
        <w:t>
      В случае если в комплект упаковки лекарственного препарата входит готовое к применению стерильное комплектующее средство или медицинское изделие, должны быть представлены сведения, подтверждающие их стерильность.</w:t>
      </w:r>
    </w:p>
    <w:bookmarkStart w:name="z735" w:id="815"/>
    <w:p>
      <w:pPr>
        <w:spacing w:after="0"/>
        <w:ind w:left="0"/>
        <w:jc w:val="both"/>
      </w:pPr>
      <w:r>
        <w:rPr>
          <w:rFonts w:ascii="Times New Roman"/>
          <w:b w:val="false"/>
          <w:i w:val="false"/>
          <w:color w:val="000000"/>
          <w:sz w:val="28"/>
        </w:rPr>
        <w:t>
      3.2.P.6. Стандартные образцы и материалы.</w:t>
      </w:r>
    </w:p>
    <w:bookmarkEnd w:id="815"/>
    <w:bookmarkStart w:name="z736" w:id="816"/>
    <w:p>
      <w:pPr>
        <w:spacing w:after="0"/>
        <w:ind w:left="0"/>
        <w:jc w:val="both"/>
      </w:pPr>
      <w:r>
        <w:rPr>
          <w:rFonts w:ascii="Times New Roman"/>
          <w:b w:val="false"/>
          <w:i w:val="false"/>
          <w:color w:val="000000"/>
          <w:sz w:val="28"/>
        </w:rPr>
        <w:t>
      Необходимо определить и подробно описать стандартные материалы и стандартные образцы, используемые при контроле качества лекарственного препарата, если информация о них не указана в разделе регистрационного досье, в котором находятся документы и данные об активной фармацевтической субстанции.</w:t>
      </w:r>
    </w:p>
    <w:bookmarkEnd w:id="816"/>
    <w:bookmarkStart w:name="z739" w:id="817"/>
    <w:p>
      <w:pPr>
        <w:spacing w:after="0"/>
        <w:ind w:left="0"/>
        <w:jc w:val="both"/>
      </w:pPr>
      <w:r>
        <w:rPr>
          <w:rFonts w:ascii="Times New Roman"/>
          <w:b w:val="false"/>
          <w:i w:val="false"/>
          <w:color w:val="000000"/>
          <w:sz w:val="28"/>
        </w:rPr>
        <w:t>
      3.2.Р.7. Система упаковки (укупорки).</w:t>
      </w:r>
    </w:p>
    <w:bookmarkEnd w:id="817"/>
    <w:p>
      <w:pPr>
        <w:spacing w:after="0"/>
        <w:ind w:left="0"/>
        <w:jc w:val="both"/>
      </w:pPr>
      <w:r>
        <w:rPr>
          <w:rFonts w:ascii="Times New Roman"/>
          <w:b w:val="false"/>
          <w:i w:val="false"/>
          <w:color w:val="000000"/>
          <w:sz w:val="28"/>
        </w:rPr>
        <w:t>
      Необходимо представить описание первичной (внутренней) упаковки и укупорочной системы, включая материалы, из которых произведен каждый компонент первичной (внутренней) упаковки, а также спецификации этих материалов.</w:t>
      </w:r>
    </w:p>
    <w:p>
      <w:pPr>
        <w:spacing w:after="0"/>
        <w:ind w:left="0"/>
        <w:jc w:val="both"/>
      </w:pPr>
      <w:r>
        <w:rPr>
          <w:rFonts w:ascii="Times New Roman"/>
          <w:b w:val="false"/>
          <w:i w:val="false"/>
          <w:color w:val="000000"/>
          <w:sz w:val="28"/>
        </w:rPr>
        <w:t xml:space="preserve">
      Спецификации должны включать в себя описание и идентификацию материалов, в том числе материалов первичной (внутренней) упаковки. При необходимости должна представляться информация о нефармакопейных методах анализа (включая валидацию методик). </w:t>
      </w:r>
    </w:p>
    <w:p>
      <w:pPr>
        <w:spacing w:after="0"/>
        <w:ind w:left="0"/>
        <w:jc w:val="both"/>
      </w:pPr>
      <w:r>
        <w:rPr>
          <w:rFonts w:ascii="Times New Roman"/>
          <w:b w:val="false"/>
          <w:i w:val="false"/>
          <w:color w:val="000000"/>
          <w:sz w:val="28"/>
        </w:rPr>
        <w:t xml:space="preserve">
      В случае, когда первичная (внутренняя) упаковка лекарственного препарата представляет собой устройство введения, необходимо представить описание такого устройства, в том числе материалов, из которых произведен каждый его компонент, контактирующий с лекарственным препаратом, а также спецификации этих материалов. </w:t>
      </w:r>
    </w:p>
    <w:p>
      <w:pPr>
        <w:spacing w:after="0"/>
        <w:ind w:left="0"/>
        <w:jc w:val="both"/>
      </w:pPr>
      <w:r>
        <w:rPr>
          <w:rFonts w:ascii="Times New Roman"/>
          <w:b w:val="false"/>
          <w:i w:val="false"/>
          <w:color w:val="000000"/>
          <w:sz w:val="28"/>
        </w:rPr>
        <w:t xml:space="preserve">
      Для нефункциональных компонентов устройства, материалов вторичной (потребительской) и промежуточной упаковок лекарственного препарата представляется только краткое описание. Для функциональных компонентов вторичной (потребительской) и промежуточной упаковок, устройств, комплектующих средств и медицинских изделий, входящих в комплект упаковки лекарственного препарата, представляется дополнительная информация о функциональных свойствах. </w:t>
      </w:r>
    </w:p>
    <w:p>
      <w:pPr>
        <w:spacing w:after="0"/>
        <w:ind w:left="0"/>
        <w:jc w:val="both"/>
      </w:pPr>
      <w:r>
        <w:rPr>
          <w:rFonts w:ascii="Times New Roman"/>
          <w:b w:val="false"/>
          <w:i w:val="false"/>
          <w:color w:val="000000"/>
          <w:sz w:val="28"/>
        </w:rPr>
        <w:t>
      В случае если первичная (внутренняя) упаковка лекарственного препарата представляет собой устройство, должны быть представлены спецификации (включающие в себя сведения о таких тестах как описание, идентификация и функциональные испытания устройства, если применимо), а также указаны критичные размеры устройства (со схемами и фотографиями, если применимо). Спецификации должны отражать функциональные и технологические особенности устройства таким образом, чтобы могла быть гарантирована эквивалентность устройств, полученных от разных поставщиков. При необходимости должны быть представлены аналитические методики для оценки функциональных и технологических особенностей устройства.</w:t>
      </w:r>
    </w:p>
    <w:p>
      <w:pPr>
        <w:spacing w:after="0"/>
        <w:ind w:left="0"/>
        <w:jc w:val="both"/>
      </w:pPr>
      <w:r>
        <w:rPr>
          <w:rFonts w:ascii="Times New Roman"/>
          <w:b w:val="false"/>
          <w:i w:val="false"/>
          <w:color w:val="000000"/>
          <w:sz w:val="28"/>
        </w:rPr>
        <w:t>
      В случае если в комплект упаковки лекарственного препарата входит комплектующее средство, включая медицинское изделие, в настоящем разделе регистрационного досье должно быть представлено его краткое описание. Также (если применимо) должна быть представлена спецификация, применяемая производителем лекарственного препарата для контроля при приемке лекарственного препарата.</w:t>
      </w:r>
    </w:p>
    <w:bookmarkStart w:name="z740" w:id="818"/>
    <w:p>
      <w:pPr>
        <w:spacing w:after="0"/>
        <w:ind w:left="0"/>
        <w:jc w:val="both"/>
      </w:pPr>
      <w:r>
        <w:rPr>
          <w:rFonts w:ascii="Times New Roman"/>
          <w:b w:val="false"/>
          <w:i w:val="false"/>
          <w:color w:val="000000"/>
          <w:sz w:val="28"/>
        </w:rPr>
        <w:t>
      3.2.P.8. Стабильность лекарственного препарата:</w:t>
      </w:r>
    </w:p>
    <w:bookmarkEnd w:id="818"/>
    <w:bookmarkStart w:name="z741" w:id="819"/>
    <w:p>
      <w:pPr>
        <w:spacing w:after="0"/>
        <w:ind w:left="0"/>
        <w:jc w:val="both"/>
      </w:pPr>
      <w:r>
        <w:rPr>
          <w:rFonts w:ascii="Times New Roman"/>
          <w:b w:val="false"/>
          <w:i w:val="false"/>
          <w:color w:val="000000"/>
          <w:sz w:val="28"/>
        </w:rPr>
        <w:t>
      а) необходимо представить резюме о видах проведенных исследований, использованные планы (программы) и полученные во время проведения исследований результаты;</w:t>
      </w:r>
    </w:p>
    <w:bookmarkEnd w:id="819"/>
    <w:bookmarkStart w:name="z742" w:id="820"/>
    <w:p>
      <w:pPr>
        <w:spacing w:after="0"/>
        <w:ind w:left="0"/>
        <w:jc w:val="both"/>
      </w:pPr>
      <w:r>
        <w:rPr>
          <w:rFonts w:ascii="Times New Roman"/>
          <w:b w:val="false"/>
          <w:i w:val="false"/>
          <w:color w:val="000000"/>
          <w:sz w:val="28"/>
        </w:rPr>
        <w:t>
      б) необходимо представить записанные в соответствующем формате подробные результаты проведения исследования стабильности, включая сведения об использованных аналитических методиках и валидации аналитических методик.</w:t>
      </w:r>
    </w:p>
    <w:bookmarkEnd w:id="820"/>
    <w:bookmarkStart w:name="z743" w:id="821"/>
    <w:p>
      <w:pPr>
        <w:spacing w:after="0"/>
        <w:ind w:left="0"/>
        <w:jc w:val="both"/>
      </w:pPr>
      <w:r>
        <w:rPr>
          <w:rFonts w:ascii="Times New Roman"/>
          <w:b w:val="false"/>
          <w:i w:val="false"/>
          <w:color w:val="000000"/>
          <w:sz w:val="28"/>
        </w:rPr>
        <w:t>
      Для вакцин при необходимости следует представить информацию о кумулятивной стабильности;</w:t>
      </w:r>
    </w:p>
    <w:bookmarkEnd w:id="821"/>
    <w:bookmarkStart w:name="z744" w:id="822"/>
    <w:p>
      <w:pPr>
        <w:spacing w:after="0"/>
        <w:ind w:left="0"/>
        <w:jc w:val="both"/>
      </w:pPr>
      <w:r>
        <w:rPr>
          <w:rFonts w:ascii="Times New Roman"/>
          <w:b w:val="false"/>
          <w:i w:val="false"/>
          <w:color w:val="000000"/>
          <w:sz w:val="28"/>
        </w:rPr>
        <w:t>
      в) необходимо представить план (программу) по изучению стабильности в пострегистрационный период и обязательства заявителя по выполнению указанного плана;</w:t>
      </w:r>
    </w:p>
    <w:bookmarkEnd w:id="822"/>
    <w:p>
      <w:pPr>
        <w:spacing w:after="0"/>
        <w:ind w:left="0"/>
        <w:jc w:val="both"/>
      </w:pPr>
      <w:r>
        <w:rPr>
          <w:rFonts w:ascii="Times New Roman"/>
          <w:b w:val="false"/>
          <w:i w:val="false"/>
          <w:color w:val="000000"/>
          <w:sz w:val="28"/>
        </w:rPr>
        <w:t xml:space="preserve">
      г) если первичная (внутренняя) упаковка лекарственного препарата представляет собой устройство введения, исследования стабильности лекарственного препарата должны включать в себя в том числе следующие исследования: </w:t>
      </w:r>
    </w:p>
    <w:p>
      <w:pPr>
        <w:spacing w:after="0"/>
        <w:ind w:left="0"/>
        <w:jc w:val="both"/>
      </w:pPr>
      <w:r>
        <w:rPr>
          <w:rFonts w:ascii="Times New Roman"/>
          <w:b w:val="false"/>
          <w:i w:val="false"/>
          <w:color w:val="000000"/>
          <w:sz w:val="28"/>
        </w:rPr>
        <w:t xml:space="preserve">
      функциональные испытания, определенные как критические параметры для качества лекарственного препарата; </w:t>
      </w:r>
    </w:p>
    <w:p>
      <w:pPr>
        <w:spacing w:after="0"/>
        <w:ind w:left="0"/>
        <w:jc w:val="both"/>
      </w:pPr>
      <w:r>
        <w:rPr>
          <w:rFonts w:ascii="Times New Roman"/>
          <w:b w:val="false"/>
          <w:i w:val="false"/>
          <w:color w:val="000000"/>
          <w:sz w:val="28"/>
        </w:rPr>
        <w:t xml:space="preserve">
      испытания критических параметров, свидетельствующие о стабильности лекарственного препарата (например, испытания на микробиологическую чистоту, стерильность, целостность устройства, содержание (активность) и чистоту) в течение срока годности (срока хранения) и периода готовности к применению (если применимо). При необходимости могут быть использованы соответствующие научно обоснованные альтернативы испытаниям на стерильность (например, испытание на целостность устройства). </w:t>
      </w:r>
    </w:p>
    <w:p>
      <w:pPr>
        <w:spacing w:after="0"/>
        <w:ind w:left="0"/>
        <w:jc w:val="both"/>
      </w:pPr>
      <w:r>
        <w:rPr>
          <w:rFonts w:ascii="Times New Roman"/>
          <w:b w:val="false"/>
          <w:i w:val="false"/>
          <w:color w:val="000000"/>
          <w:sz w:val="28"/>
        </w:rPr>
        <w:t>
      В случае если в комплект упаковки лекарственного препарата входит комплектующее средство, медицинское изделие, должны быть представлены следующие сведения:</w:t>
      </w:r>
    </w:p>
    <w:p>
      <w:pPr>
        <w:spacing w:after="0"/>
        <w:ind w:left="0"/>
        <w:jc w:val="both"/>
      </w:pPr>
      <w:r>
        <w:rPr>
          <w:rFonts w:ascii="Times New Roman"/>
          <w:b w:val="false"/>
          <w:i w:val="false"/>
          <w:color w:val="000000"/>
          <w:sz w:val="28"/>
        </w:rPr>
        <w:t>
      данные о стабильности лекарственного препарата, соприкасающегося с комплектующим средством, медицинским изделием, на период применения такого лекарственного препарата;</w:t>
      </w:r>
    </w:p>
    <w:p>
      <w:pPr>
        <w:spacing w:after="0"/>
        <w:ind w:left="0"/>
        <w:jc w:val="both"/>
      </w:pPr>
      <w:r>
        <w:rPr>
          <w:rFonts w:ascii="Times New Roman"/>
          <w:b w:val="false"/>
          <w:i w:val="false"/>
          <w:color w:val="000000"/>
          <w:sz w:val="28"/>
        </w:rPr>
        <w:t>
      параметры функциональности комплектующего средства и медицинского изделия, которые влияют на безопасность, эффективность и качество (и тем самым на итоговое определение соотношения "польза – риск") лекарственного препарата.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3.2.Р с изменениями, внесенными решениями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45" w:id="823"/>
    <w:p>
      <w:pPr>
        <w:spacing w:after="0"/>
        <w:ind w:left="0"/>
        <w:jc w:val="both"/>
      </w:pPr>
      <w:r>
        <w:rPr>
          <w:rFonts w:ascii="Times New Roman"/>
          <w:b w:val="false"/>
          <w:i w:val="false"/>
          <w:color w:val="000000"/>
          <w:sz w:val="28"/>
        </w:rPr>
        <w:t>
      3.2.A. Дополнения.</w:t>
      </w:r>
    </w:p>
    <w:bookmarkEnd w:id="823"/>
    <w:bookmarkStart w:name="z746" w:id="824"/>
    <w:p>
      <w:pPr>
        <w:spacing w:after="0"/>
        <w:ind w:left="0"/>
        <w:jc w:val="both"/>
      </w:pPr>
      <w:r>
        <w:rPr>
          <w:rFonts w:ascii="Times New Roman"/>
          <w:b w:val="false"/>
          <w:i w:val="false"/>
          <w:color w:val="000000"/>
          <w:sz w:val="28"/>
        </w:rPr>
        <w:t>
      3.2.A.1. Производственные помещения и оборудование.</w:t>
      </w:r>
    </w:p>
    <w:bookmarkEnd w:id="824"/>
    <w:bookmarkStart w:name="z747" w:id="825"/>
    <w:p>
      <w:pPr>
        <w:spacing w:after="0"/>
        <w:ind w:left="0"/>
        <w:jc w:val="both"/>
      </w:pPr>
      <w:r>
        <w:rPr>
          <w:rFonts w:ascii="Times New Roman"/>
          <w:b w:val="false"/>
          <w:i w:val="false"/>
          <w:color w:val="000000"/>
          <w:sz w:val="28"/>
        </w:rPr>
        <w:t>
      3.2.A.2. Оценка безопасности лекарственных препаратов относительно наличия посторонних агентов.</w:t>
      </w:r>
    </w:p>
    <w:bookmarkEnd w:id="825"/>
    <w:bookmarkStart w:name="z748" w:id="826"/>
    <w:p>
      <w:pPr>
        <w:spacing w:after="0"/>
        <w:ind w:left="0"/>
        <w:jc w:val="both"/>
      </w:pPr>
      <w:r>
        <w:rPr>
          <w:rFonts w:ascii="Times New Roman"/>
          <w:b w:val="false"/>
          <w:i w:val="false"/>
          <w:color w:val="000000"/>
          <w:sz w:val="28"/>
        </w:rPr>
        <w:t>
      3.2.A.3. Новые вспомогательные вещества.</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3.2.R.1. Исключен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50" w:id="827"/>
    <w:p>
      <w:pPr>
        <w:spacing w:after="0"/>
        <w:ind w:left="0"/>
        <w:jc w:val="both"/>
      </w:pPr>
      <w:r>
        <w:rPr>
          <w:rFonts w:ascii="Times New Roman"/>
          <w:b w:val="false"/>
          <w:i w:val="false"/>
          <w:color w:val="000000"/>
          <w:sz w:val="28"/>
        </w:rPr>
        <w:t>
      3.2.R.2. План валидации процесса производства.</w:t>
      </w:r>
    </w:p>
    <w:bookmarkEnd w:id="827"/>
    <w:bookmarkStart w:name="z351" w:id="828"/>
    <w:p>
      <w:pPr>
        <w:spacing w:after="0"/>
        <w:ind w:left="0"/>
        <w:jc w:val="both"/>
      </w:pPr>
      <w:r>
        <w:rPr>
          <w:rFonts w:ascii="Times New Roman"/>
          <w:b w:val="false"/>
          <w:i w:val="false"/>
          <w:color w:val="000000"/>
          <w:sz w:val="28"/>
        </w:rPr>
        <w:t>
      Необходимо представить план валидации процесса производства (при традиционной валидации) или план непрерывной верификации процесса производства (при расширенном подходе к валидации процесса производства).</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3.2.R.3. Исключен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3.2.R.4. Исключен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3.2.R.5. Исключен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3.2.R.6. Медицинские изделия или продукция (в том числе устройства, комплектующие средства).</w:t>
      </w:r>
    </w:p>
    <w:p>
      <w:pPr>
        <w:spacing w:after="0"/>
        <w:ind w:left="0"/>
        <w:jc w:val="both"/>
      </w:pPr>
      <w:r>
        <w:rPr>
          <w:rFonts w:ascii="Times New Roman"/>
          <w:b w:val="false"/>
          <w:i w:val="false"/>
          <w:color w:val="000000"/>
          <w:sz w:val="28"/>
        </w:rPr>
        <w:t>
      В случае если в комплект упаковки лекарственного препарата входит медицинское изделие или продукция (в том числе устройства, комплектующие средства), в данном разделе регистрационного досье представляются следующие сведения и документы:</w:t>
      </w:r>
    </w:p>
    <w:p>
      <w:pPr>
        <w:spacing w:after="0"/>
        <w:ind w:left="0"/>
        <w:jc w:val="both"/>
      </w:pPr>
      <w:r>
        <w:rPr>
          <w:rFonts w:ascii="Times New Roman"/>
          <w:b w:val="false"/>
          <w:i w:val="false"/>
          <w:color w:val="000000"/>
          <w:sz w:val="28"/>
        </w:rPr>
        <w:t xml:space="preserve">
      сведения о регистрации медицинского изделия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 46, или законодательством государства-члена (если применимо); </w:t>
      </w:r>
    </w:p>
    <w:p>
      <w:pPr>
        <w:spacing w:after="0"/>
        <w:ind w:left="0"/>
        <w:jc w:val="both"/>
      </w:pPr>
      <w:r>
        <w:rPr>
          <w:rFonts w:ascii="Times New Roman"/>
          <w:b w:val="false"/>
          <w:i w:val="false"/>
          <w:color w:val="000000"/>
          <w:sz w:val="28"/>
        </w:rPr>
        <w:t xml:space="preserve">
      копия разрешительного документа на право производства в стране – производителе медицинского изделия с приложением (при наличии); </w:t>
      </w:r>
    </w:p>
    <w:p>
      <w:pPr>
        <w:spacing w:after="0"/>
        <w:ind w:left="0"/>
        <w:jc w:val="both"/>
      </w:pPr>
      <w:r>
        <w:rPr>
          <w:rFonts w:ascii="Times New Roman"/>
          <w:b w:val="false"/>
          <w:i w:val="false"/>
          <w:color w:val="000000"/>
          <w:sz w:val="28"/>
        </w:rPr>
        <w:t>
      копия сертификата соответствия системы менеджмента качества требованиям международного стандарта ISO 13485 либо соответствующего регионального или национального (государственного) стандарта государства-члена, выданного производителю медицинских изделий (производственной площадке) (при наличии);</w:t>
      </w:r>
    </w:p>
    <w:p>
      <w:pPr>
        <w:spacing w:after="0"/>
        <w:ind w:left="0"/>
        <w:jc w:val="both"/>
      </w:pPr>
      <w:r>
        <w:rPr>
          <w:rFonts w:ascii="Times New Roman"/>
          <w:b w:val="false"/>
          <w:i w:val="false"/>
          <w:color w:val="000000"/>
          <w:sz w:val="28"/>
        </w:rPr>
        <w:t>
      декларация о соответствии медицинского изделия обязательным требованиям третьих стран (например, директивам или регламентам Европейского союза), или эквивалентный документ (при наличии), или копии таких документов;</w:t>
      </w:r>
    </w:p>
    <w:p>
      <w:pPr>
        <w:spacing w:after="0"/>
        <w:ind w:left="0"/>
        <w:jc w:val="both"/>
      </w:pPr>
      <w:r>
        <w:rPr>
          <w:rFonts w:ascii="Times New Roman"/>
          <w:b w:val="false"/>
          <w:i w:val="false"/>
          <w:color w:val="000000"/>
          <w:sz w:val="28"/>
        </w:rPr>
        <w:t>
      декларация производителя о соответствии медицинского изделия европейским стандартам (при наличии) – для медицинских изделий с маркировкой "СЕ";</w:t>
      </w:r>
    </w:p>
    <w:p>
      <w:pPr>
        <w:spacing w:after="0"/>
        <w:ind w:left="0"/>
        <w:jc w:val="both"/>
      </w:pPr>
      <w:r>
        <w:rPr>
          <w:rFonts w:ascii="Times New Roman"/>
          <w:b w:val="false"/>
          <w:i w:val="false"/>
          <w:color w:val="000000"/>
          <w:sz w:val="28"/>
        </w:rPr>
        <w:t>
      копия регистрационного удостоверения медицинского изделия (сертификата свободной продажи, сертификата на экспорт), выданного в стране – производителе медицинского изделия или лекарственного препарата либо в государстве-члене в соответствии с законодательством страны-производителя или государства-члена (при наличии);</w:t>
      </w:r>
    </w:p>
    <w:p>
      <w:pPr>
        <w:spacing w:after="0"/>
        <w:ind w:left="0"/>
        <w:jc w:val="both"/>
      </w:pPr>
      <w:r>
        <w:rPr>
          <w:rFonts w:ascii="Times New Roman"/>
          <w:b w:val="false"/>
          <w:i w:val="false"/>
          <w:color w:val="000000"/>
          <w:sz w:val="28"/>
        </w:rPr>
        <w:t>
      сведения о регистрации медицинских изделий в третьих странах со ссылкой на действующие источники таких сведений и электронный файл, содержащий такие сведения, или копия документа, удостоверяющего регистрацию медицинского изделия в третьих странах (при наличии);</w:t>
      </w:r>
    </w:p>
    <w:p>
      <w:pPr>
        <w:spacing w:after="0"/>
        <w:ind w:left="0"/>
        <w:jc w:val="both"/>
      </w:pPr>
      <w:r>
        <w:rPr>
          <w:rFonts w:ascii="Times New Roman"/>
          <w:b w:val="false"/>
          <w:i w:val="false"/>
          <w:color w:val="000000"/>
          <w:sz w:val="28"/>
        </w:rPr>
        <w:t xml:space="preserve">
      информация о специальном программном обеспечении (при отсутствии сведений в ОХЛП и инструкции по медицинскому применению лекарственного препарата) (если применимо); </w:t>
      </w:r>
    </w:p>
    <w:p>
      <w:pPr>
        <w:spacing w:after="0"/>
        <w:ind w:left="0"/>
        <w:jc w:val="both"/>
      </w:pPr>
      <w:r>
        <w:rPr>
          <w:rFonts w:ascii="Times New Roman"/>
          <w:b w:val="false"/>
          <w:i w:val="false"/>
          <w:color w:val="000000"/>
          <w:sz w:val="28"/>
        </w:rPr>
        <w:t xml:space="preserve">
      эксплуатационный документ или инструкция по применению медицинского изделия на русском языке и государственных языках государств-членов (если данная информация не включена в ОХЛП и инструкцию по медицинскому применению лекарственного препарата) (если применимо); </w:t>
      </w:r>
    </w:p>
    <w:p>
      <w:pPr>
        <w:spacing w:after="0"/>
        <w:ind w:left="0"/>
        <w:jc w:val="both"/>
      </w:pPr>
      <w:r>
        <w:rPr>
          <w:rFonts w:ascii="Times New Roman"/>
          <w:b w:val="false"/>
          <w:i w:val="false"/>
          <w:color w:val="000000"/>
          <w:sz w:val="28"/>
        </w:rPr>
        <w:t>
      руководство по сервисному обслуживанию (при отсутствии сведений о таком обслуживании в ОХЛП и инструкции по медицинскому применению лекарственного препарата) (если применимо).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3.2.R с изменениями, внесенными решениями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22.01.2025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4" w:id="829"/>
    <w:p>
      <w:pPr>
        <w:spacing w:after="0"/>
        <w:ind w:left="0"/>
        <w:jc w:val="left"/>
      </w:pPr>
      <w:r>
        <w:rPr>
          <w:rFonts w:ascii="Times New Roman"/>
          <w:b/>
          <w:i w:val="false"/>
          <w:color w:val="000000"/>
        </w:rPr>
        <w:t xml:space="preserve"> 4. Требования к документам регистрационного досье, приведенным в модуле 4: отчеты  о доклинических (неклинических) исследованиях</w:t>
      </w:r>
    </w:p>
    <w:bookmarkEnd w:id="829"/>
    <w:bookmarkStart w:name="z755" w:id="830"/>
    <w:p>
      <w:pPr>
        <w:spacing w:after="0"/>
        <w:ind w:left="0"/>
        <w:jc w:val="both"/>
      </w:pPr>
      <w:r>
        <w:rPr>
          <w:rFonts w:ascii="Times New Roman"/>
          <w:b w:val="false"/>
          <w:i w:val="false"/>
          <w:color w:val="000000"/>
          <w:sz w:val="28"/>
        </w:rPr>
        <w:t>
      4.1. Содержание модуля 4.</w:t>
      </w:r>
    </w:p>
    <w:bookmarkEnd w:id="830"/>
    <w:bookmarkStart w:name="z756" w:id="831"/>
    <w:p>
      <w:pPr>
        <w:spacing w:after="0"/>
        <w:ind w:left="0"/>
        <w:jc w:val="both"/>
      </w:pPr>
      <w:r>
        <w:rPr>
          <w:rFonts w:ascii="Times New Roman"/>
          <w:b w:val="false"/>
          <w:i w:val="false"/>
          <w:color w:val="000000"/>
          <w:sz w:val="28"/>
        </w:rPr>
        <w:t>
      4.2. Отчеты о доклинических (неклинических) исследованиях.</w:t>
      </w:r>
    </w:p>
    <w:bookmarkEnd w:id="831"/>
    <w:bookmarkStart w:name="z757" w:id="832"/>
    <w:p>
      <w:pPr>
        <w:spacing w:after="0"/>
        <w:ind w:left="0"/>
        <w:jc w:val="both"/>
      </w:pPr>
      <w:r>
        <w:rPr>
          <w:rFonts w:ascii="Times New Roman"/>
          <w:b w:val="false"/>
          <w:i w:val="false"/>
          <w:color w:val="000000"/>
          <w:sz w:val="28"/>
        </w:rPr>
        <w:t>
      В отдельных случаях в соответствии с требованиями по исследованию отдельных групп препаратов части II настоящих Требований и Правил регистрации и экспертизы лекарственных средств для медицинского применения, утверждаемых Комиссией в данном разделе может быть приведен обзор данных научной литературы вместо результатов собственных проведенных доклинических исследований.</w:t>
      </w:r>
    </w:p>
    <w:bookmarkEnd w:id="832"/>
    <w:bookmarkStart w:name="z758" w:id="833"/>
    <w:p>
      <w:pPr>
        <w:spacing w:after="0"/>
        <w:ind w:left="0"/>
        <w:jc w:val="both"/>
      </w:pPr>
      <w:r>
        <w:rPr>
          <w:rFonts w:ascii="Times New Roman"/>
          <w:b w:val="false"/>
          <w:i w:val="false"/>
          <w:color w:val="000000"/>
          <w:sz w:val="28"/>
        </w:rPr>
        <w:t>
      Документы регистрационного досье о фармакологических и токсикологических испытаниях должны определять:</w:t>
      </w:r>
    </w:p>
    <w:bookmarkEnd w:id="833"/>
    <w:bookmarkStart w:name="z759" w:id="834"/>
    <w:p>
      <w:pPr>
        <w:spacing w:after="0"/>
        <w:ind w:left="0"/>
        <w:jc w:val="both"/>
      </w:pPr>
      <w:r>
        <w:rPr>
          <w:rFonts w:ascii="Times New Roman"/>
          <w:b w:val="false"/>
          <w:i w:val="false"/>
          <w:color w:val="000000"/>
          <w:sz w:val="28"/>
        </w:rPr>
        <w:t>
      потенциальную токсичность лекарственного препарата и любые вредные или нежелательные токсические реакции, которые могут наблюдаться при предложенных условиях его применения человеком, при этом должна быть приведена их оценка с учетом соответствующих патологических состояний;</w:t>
      </w:r>
    </w:p>
    <w:bookmarkEnd w:id="834"/>
    <w:bookmarkStart w:name="z760" w:id="835"/>
    <w:p>
      <w:pPr>
        <w:spacing w:after="0"/>
        <w:ind w:left="0"/>
        <w:jc w:val="both"/>
      </w:pPr>
      <w:r>
        <w:rPr>
          <w:rFonts w:ascii="Times New Roman"/>
          <w:b w:val="false"/>
          <w:i w:val="false"/>
          <w:color w:val="000000"/>
          <w:sz w:val="28"/>
        </w:rPr>
        <w:t>
      фармакологические свойства лекарственного препарата по качественным и количественным показателям и по заявленному клиническому применению. Все результаты должны быть достоверными и общеприменимыми. При планировании экспериментальных исследований и оценке полученных данных необходимо использовать методы математической и статистической обработки результатов.</w:t>
      </w:r>
    </w:p>
    <w:bookmarkEnd w:id="835"/>
    <w:bookmarkStart w:name="z761" w:id="836"/>
    <w:p>
      <w:pPr>
        <w:spacing w:after="0"/>
        <w:ind w:left="0"/>
        <w:jc w:val="both"/>
      </w:pPr>
      <w:r>
        <w:rPr>
          <w:rFonts w:ascii="Times New Roman"/>
          <w:b w:val="false"/>
          <w:i w:val="false"/>
          <w:color w:val="000000"/>
          <w:sz w:val="28"/>
        </w:rPr>
        <w:t>
      Кроме того, в регистрационном досье необходимо представить информацию для медицинских работников о терапевтическом и токсикологическом потенциале лекарственного препарата.</w:t>
      </w:r>
    </w:p>
    <w:bookmarkEnd w:id="836"/>
    <w:bookmarkStart w:name="z762" w:id="837"/>
    <w:p>
      <w:pPr>
        <w:spacing w:after="0"/>
        <w:ind w:left="0"/>
        <w:jc w:val="both"/>
      </w:pPr>
      <w:r>
        <w:rPr>
          <w:rFonts w:ascii="Times New Roman"/>
          <w:b w:val="false"/>
          <w:i w:val="false"/>
          <w:color w:val="000000"/>
          <w:sz w:val="28"/>
        </w:rPr>
        <w:t>
      Для таких биологических лекарственных препаратов, как иммунологические лекарственные препараты и лекарственные препараты, получаемые из крови и плазмы человека, может потребоваться адаптация требований данного модуля регистрационного досье лекарственного препарата к конкретному лекарственному препарату, поэтому заявитель должен представить обоснование использованной программы исследования.</w:t>
      </w:r>
    </w:p>
    <w:bookmarkEnd w:id="837"/>
    <w:bookmarkStart w:name="z763" w:id="838"/>
    <w:p>
      <w:pPr>
        <w:spacing w:after="0"/>
        <w:ind w:left="0"/>
        <w:jc w:val="both"/>
      </w:pPr>
      <w:r>
        <w:rPr>
          <w:rFonts w:ascii="Times New Roman"/>
          <w:b w:val="false"/>
          <w:i w:val="false"/>
          <w:color w:val="000000"/>
          <w:sz w:val="28"/>
        </w:rPr>
        <w:t>
      В регистрационном досье лекарственного препарата в отношении его программы исследования необходимо предусмотреть, чтобы:</w:t>
      </w:r>
    </w:p>
    <w:bookmarkEnd w:id="838"/>
    <w:bookmarkStart w:name="z764" w:id="839"/>
    <w:p>
      <w:pPr>
        <w:spacing w:after="0"/>
        <w:ind w:left="0"/>
        <w:jc w:val="both"/>
      </w:pPr>
      <w:r>
        <w:rPr>
          <w:rFonts w:ascii="Times New Roman"/>
          <w:b w:val="false"/>
          <w:i w:val="false"/>
          <w:color w:val="000000"/>
          <w:sz w:val="28"/>
        </w:rPr>
        <w:t>
      все исследования, требующие многократного введения лекарственного препарата, планировались с учетом возможной стимуляции образования антител и влияния антител на организм;</w:t>
      </w:r>
    </w:p>
    <w:bookmarkEnd w:id="839"/>
    <w:bookmarkStart w:name="z765" w:id="840"/>
    <w:p>
      <w:pPr>
        <w:spacing w:after="0"/>
        <w:ind w:left="0"/>
        <w:jc w:val="both"/>
      </w:pPr>
      <w:r>
        <w:rPr>
          <w:rFonts w:ascii="Times New Roman"/>
          <w:b w:val="false"/>
          <w:i w:val="false"/>
          <w:color w:val="000000"/>
          <w:sz w:val="28"/>
        </w:rPr>
        <w:t>
      были проанализированы вопросы целесообразности проведения исследований репродуктивной функции, эмбриональной (фетальной) и перинатальной токсичности, а также возможного мутагенного и канцерогенного действия лекарственного препарата. Если причиной токсичности является не активное вещество (при описании модуля 4 и модуля 5 понятия "активное (действующее) вещество", "активное вещество" и "действующее вещество" являются аналогичными), а другие вещества, то можно не проводить исследования, при условии что результатами валидации подтверждено, что эти компоненты из лекарственного препарата удалены.</w:t>
      </w:r>
    </w:p>
    <w:bookmarkEnd w:id="840"/>
    <w:bookmarkStart w:name="z766" w:id="841"/>
    <w:p>
      <w:pPr>
        <w:spacing w:after="0"/>
        <w:ind w:left="0"/>
        <w:jc w:val="both"/>
      </w:pPr>
      <w:r>
        <w:rPr>
          <w:rFonts w:ascii="Times New Roman"/>
          <w:b w:val="false"/>
          <w:i w:val="false"/>
          <w:color w:val="000000"/>
          <w:sz w:val="28"/>
        </w:rPr>
        <w:t>
      Если вспомогательное вещество используется в фармацевтической практике впервые, необходимо провести его токсикологические и фармакокинетические исследования.</w:t>
      </w:r>
    </w:p>
    <w:bookmarkEnd w:id="841"/>
    <w:bookmarkStart w:name="z767" w:id="842"/>
    <w:p>
      <w:pPr>
        <w:spacing w:after="0"/>
        <w:ind w:left="0"/>
        <w:jc w:val="both"/>
      </w:pPr>
      <w:r>
        <w:rPr>
          <w:rFonts w:ascii="Times New Roman"/>
          <w:b w:val="false"/>
          <w:i w:val="false"/>
          <w:color w:val="000000"/>
          <w:sz w:val="28"/>
        </w:rPr>
        <w:t>
      Если существует вероятность значительного распада лекарственного препарата во время его хранения, необходимо рассмотреть вопрос о проведении токсикологического исследования продуктов распада.</w:t>
      </w:r>
    </w:p>
    <w:bookmarkEnd w:id="842"/>
    <w:bookmarkStart w:name="z768" w:id="843"/>
    <w:p>
      <w:pPr>
        <w:spacing w:after="0"/>
        <w:ind w:left="0"/>
        <w:jc w:val="both"/>
      </w:pPr>
      <w:r>
        <w:rPr>
          <w:rFonts w:ascii="Times New Roman"/>
          <w:b w:val="false"/>
          <w:i w:val="false"/>
          <w:color w:val="000000"/>
          <w:sz w:val="28"/>
        </w:rPr>
        <w:t>
      4.2.1. Фармакология.</w:t>
      </w:r>
    </w:p>
    <w:bookmarkEnd w:id="843"/>
    <w:bookmarkStart w:name="z769" w:id="844"/>
    <w:p>
      <w:pPr>
        <w:spacing w:after="0"/>
        <w:ind w:left="0"/>
        <w:jc w:val="both"/>
      </w:pPr>
      <w:r>
        <w:rPr>
          <w:rFonts w:ascii="Times New Roman"/>
          <w:b w:val="false"/>
          <w:i w:val="false"/>
          <w:color w:val="000000"/>
          <w:sz w:val="28"/>
        </w:rPr>
        <w:t>
      В регистрационном досье лекарственного препарата по фармакологическим исследованиям необходимо осветить 2 различных аспекта:</w:t>
      </w:r>
    </w:p>
    <w:bookmarkEnd w:id="844"/>
    <w:bookmarkStart w:name="z770" w:id="845"/>
    <w:p>
      <w:pPr>
        <w:spacing w:after="0"/>
        <w:ind w:left="0"/>
        <w:jc w:val="both"/>
      </w:pPr>
      <w:r>
        <w:rPr>
          <w:rFonts w:ascii="Times New Roman"/>
          <w:b w:val="false"/>
          <w:i w:val="false"/>
          <w:color w:val="000000"/>
          <w:sz w:val="28"/>
        </w:rPr>
        <w:t>
      фармакодинамическая активность лекарственного препарата, предлагаемого к терапевтическому применению, должна быть соответствующим образом исследованной и описанной. По возможности должны использоваться признанные и валидированные методики исследования (как in vivo, так и in vitro). Описание новых экспериментальных методик должно быть достаточно подробным, чтобы обеспечить их воспроизводимость. Результаты нужно представлять в виде количественных показателей (например, кривых доза - эффект и (или) время - эффект и т.п.). Результаты должны сопоставляться с данными, характеризующими вещество или вещества с аналогичным терапевтическим действием. Отсутствие сравнительных исследований должно быть обоснованным;</w:t>
      </w:r>
    </w:p>
    <w:bookmarkEnd w:id="845"/>
    <w:bookmarkStart w:name="z771" w:id="846"/>
    <w:p>
      <w:pPr>
        <w:spacing w:after="0"/>
        <w:ind w:left="0"/>
        <w:jc w:val="both"/>
      </w:pPr>
      <w:r>
        <w:rPr>
          <w:rFonts w:ascii="Times New Roman"/>
          <w:b w:val="false"/>
          <w:i w:val="false"/>
          <w:color w:val="000000"/>
          <w:sz w:val="28"/>
        </w:rPr>
        <w:t>
      заявитель должен изучить потенциальные нежелательные фармакодинамические эффекты вещества в отношении изменения физиологических функций живого организма. Такое изучение необходимо проводить при экспозициях, соответствующих ожидаемому терапевтическому диапазону доз и превышающих этот диапазон. Если экспериментальные методы не являются стандартными, они должны быть достаточно подробно описаны и валидированы (для обеспечения возможности их воспроизведения и подтверждения их достоверности). Любые количественные изменения реакций, возникших в ответ на многократное введение активного вещества, должны быть исследованы.</w:t>
      </w:r>
    </w:p>
    <w:bookmarkEnd w:id="846"/>
    <w:bookmarkStart w:name="z772" w:id="847"/>
    <w:p>
      <w:pPr>
        <w:spacing w:after="0"/>
        <w:ind w:left="0"/>
        <w:jc w:val="both"/>
      </w:pPr>
      <w:r>
        <w:rPr>
          <w:rFonts w:ascii="Times New Roman"/>
          <w:b w:val="false"/>
          <w:i w:val="false"/>
          <w:color w:val="000000"/>
          <w:sz w:val="28"/>
        </w:rPr>
        <w:t>
      Документы регистрационного досье по изучению фармакодинамического взаимодействия фиксированных комбинаций активных веществ должны основываться на фармакологических предпосылках или на показаниях к применению этих фиксированных комбинаций. В первом случае фармакодинамическое исследование должно подтвердить взаимодействия, которые делают такую комбинацию значимой для терапевтического применения. Во втором случае, когда научное обоснование такой комбинации веществ базируется на экспериментальной терапии, исследование устанавливает возможность подтверждения на животных того фармакологического действия, которое ожидается от такой комбинации активных веществ у человека и по меньшей мере значимость любых выявленных сопутствующих эффектов.</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4.2.1.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73" w:id="848"/>
    <w:p>
      <w:pPr>
        <w:spacing w:after="0"/>
        <w:ind w:left="0"/>
        <w:jc w:val="both"/>
      </w:pPr>
      <w:r>
        <w:rPr>
          <w:rFonts w:ascii="Times New Roman"/>
          <w:b w:val="false"/>
          <w:i w:val="false"/>
          <w:color w:val="000000"/>
          <w:sz w:val="28"/>
        </w:rPr>
        <w:t>
      4.2.2. Фармакокинетика.</w:t>
      </w:r>
    </w:p>
    <w:bookmarkEnd w:id="848"/>
    <w:bookmarkStart w:name="z774" w:id="849"/>
    <w:p>
      <w:pPr>
        <w:spacing w:after="0"/>
        <w:ind w:left="0"/>
        <w:jc w:val="both"/>
      </w:pPr>
      <w:r>
        <w:rPr>
          <w:rFonts w:ascii="Times New Roman"/>
          <w:b w:val="false"/>
          <w:i w:val="false"/>
          <w:color w:val="000000"/>
          <w:sz w:val="28"/>
        </w:rPr>
        <w:t>
      Документы регистрационного досье по фармакокинетическим исследованиям включают результаты анализа всех процессов, происходящих с активным веществом и его метаболитами в живом организме, и охватывают изучение абсорбции, распределения, биотрансформации и выведения активного вещества и его метаболитов.</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Исследование каждого из этапов (абсорбции, распределения, биотрансформации и выведения) может выполняться как с помощью физических, химических или биологических методов, так и посредством изучения фактической фармакодинамической активности самого активного вещества.</w:t>
      </w:r>
    </w:p>
    <w:bookmarkStart w:name="z776" w:id="850"/>
    <w:p>
      <w:pPr>
        <w:spacing w:after="0"/>
        <w:ind w:left="0"/>
        <w:jc w:val="both"/>
      </w:pPr>
      <w:r>
        <w:rPr>
          <w:rFonts w:ascii="Times New Roman"/>
          <w:b w:val="false"/>
          <w:i w:val="false"/>
          <w:color w:val="000000"/>
          <w:sz w:val="28"/>
        </w:rPr>
        <w:t>
      Информация о распределении и выведении активного вещества из организма является необходимой во всех случаях, когда данные о распределении и выведении активного вещества являются обязательными для определения дозы лекарственного препарата для человека, а также для химиотерапевтических веществ (антибиотиков и др.) и веществ, использование которых зависит от их нефармакодинамических эффектов (например, диагностические препараты и др.).</w:t>
      </w:r>
    </w:p>
    <w:bookmarkEnd w:id="850"/>
    <w:bookmarkStart w:name="z777" w:id="851"/>
    <w:p>
      <w:pPr>
        <w:spacing w:after="0"/>
        <w:ind w:left="0"/>
        <w:jc w:val="both"/>
      </w:pPr>
      <w:r>
        <w:rPr>
          <w:rFonts w:ascii="Times New Roman"/>
          <w:b w:val="false"/>
          <w:i w:val="false"/>
          <w:color w:val="000000"/>
          <w:sz w:val="28"/>
        </w:rPr>
        <w:t>
      Исследования in vitro целесообразно проводить с использованием тест-систем, полученных от человека, нежели с использованием тест-системам животного происхождения (например, исследование связывания активного вещества с белками, метаболизма, лекарственных взаимодействий).</w:t>
      </w:r>
    </w:p>
    <w:bookmarkEnd w:id="851"/>
    <w:bookmarkStart w:name="z778" w:id="852"/>
    <w:p>
      <w:pPr>
        <w:spacing w:after="0"/>
        <w:ind w:left="0"/>
        <w:jc w:val="both"/>
      </w:pPr>
      <w:r>
        <w:rPr>
          <w:rFonts w:ascii="Times New Roman"/>
          <w:b w:val="false"/>
          <w:i w:val="false"/>
          <w:color w:val="000000"/>
          <w:sz w:val="28"/>
        </w:rPr>
        <w:t>
      В регистрационном досье лекарственного препарата необходимо представлять результаты фармакокинетических исследований фармакологически активных веществ. При использовании новых фиксированных комбинаций известных активных веществ, которые уже были исследованы в соответствии с положениями актов по вопросам обращения лекарственных средств, входящих в право Союза, информация о собственных фармакокинетических исследованиях, проведенных заявителем, может отсутствовать в регистрационном досье, если такое решение обосновано результатами исследований токсичности и экспериментальных терапевтических исследований.</w:t>
      </w:r>
    </w:p>
    <w:bookmarkEnd w:id="852"/>
    <w:bookmarkStart w:name="z779" w:id="853"/>
    <w:p>
      <w:pPr>
        <w:spacing w:after="0"/>
        <w:ind w:left="0"/>
        <w:jc w:val="both"/>
      </w:pPr>
      <w:r>
        <w:rPr>
          <w:rFonts w:ascii="Times New Roman"/>
          <w:b w:val="false"/>
          <w:i w:val="false"/>
          <w:color w:val="000000"/>
          <w:sz w:val="28"/>
        </w:rPr>
        <w:t>
      Программа фармакокинетических исследований должна обеспечивать сравнение фармакокинетических данных полученных у животных и человека и экстраполяцию на человека результатов изучения фармакокинетики, полученных у животных.</w:t>
      </w:r>
    </w:p>
    <w:bookmarkEnd w:id="853"/>
    <w:bookmarkStart w:name="z780" w:id="854"/>
    <w:p>
      <w:pPr>
        <w:spacing w:after="0"/>
        <w:ind w:left="0"/>
        <w:jc w:val="both"/>
      </w:pPr>
      <w:r>
        <w:rPr>
          <w:rFonts w:ascii="Times New Roman"/>
          <w:b w:val="false"/>
          <w:i w:val="false"/>
          <w:color w:val="000000"/>
          <w:sz w:val="28"/>
        </w:rPr>
        <w:t>
      4.2.3. Токсикология.</w:t>
      </w:r>
    </w:p>
    <w:bookmarkEnd w:id="854"/>
    <w:bookmarkStart w:name="z781" w:id="855"/>
    <w:p>
      <w:pPr>
        <w:spacing w:after="0"/>
        <w:ind w:left="0"/>
        <w:jc w:val="both"/>
      </w:pPr>
      <w:r>
        <w:rPr>
          <w:rFonts w:ascii="Times New Roman"/>
          <w:b w:val="false"/>
          <w:i w:val="false"/>
          <w:color w:val="000000"/>
          <w:sz w:val="28"/>
        </w:rPr>
        <w:t>
      4.2.3.1. Токсичность активного вещества лекарственного препарата при однократном введении.</w:t>
      </w:r>
    </w:p>
    <w:bookmarkEnd w:id="855"/>
    <w:bookmarkStart w:name="z782" w:id="856"/>
    <w:p>
      <w:pPr>
        <w:spacing w:after="0"/>
        <w:ind w:left="0"/>
        <w:jc w:val="both"/>
      </w:pPr>
      <w:r>
        <w:rPr>
          <w:rFonts w:ascii="Times New Roman"/>
          <w:b w:val="false"/>
          <w:i w:val="false"/>
          <w:color w:val="000000"/>
          <w:sz w:val="28"/>
        </w:rPr>
        <w:t>
      Документы регистрационного досье лекарственного препарата по исследованию токсичности при однократном введении включают качественный и количественный анализ токсических проявлений, которые могут возникнуть вследствие однократного введения активного вещества или веществ, содержащихся в лекарственном препарате в таких же пропорциях и таком же физико-химическом состоянии, как и в готовом лекарственном препарате.</w:t>
      </w:r>
    </w:p>
    <w:bookmarkEnd w:id="856"/>
    <w:bookmarkStart w:name="z783" w:id="857"/>
    <w:p>
      <w:pPr>
        <w:spacing w:after="0"/>
        <w:ind w:left="0"/>
        <w:jc w:val="both"/>
      </w:pPr>
      <w:r>
        <w:rPr>
          <w:rFonts w:ascii="Times New Roman"/>
          <w:b w:val="false"/>
          <w:i w:val="false"/>
          <w:color w:val="000000"/>
          <w:sz w:val="28"/>
        </w:rPr>
        <w:t>
      Исследования токсичности при однократном введении необходимо проводить в соответствии с руководствами Комиссии или при их отсутствии - соответствующими руководствами государств-членов.</w:t>
      </w:r>
    </w:p>
    <w:bookmarkEnd w:id="857"/>
    <w:bookmarkStart w:name="z784" w:id="858"/>
    <w:p>
      <w:pPr>
        <w:spacing w:after="0"/>
        <w:ind w:left="0"/>
        <w:jc w:val="both"/>
      </w:pPr>
      <w:r>
        <w:rPr>
          <w:rFonts w:ascii="Times New Roman"/>
          <w:b w:val="false"/>
          <w:i w:val="false"/>
          <w:color w:val="000000"/>
          <w:sz w:val="28"/>
        </w:rPr>
        <w:t>
      4.2.3.2. Токсичность при повторном (многократном) введении.</w:t>
      </w:r>
    </w:p>
    <w:bookmarkEnd w:id="858"/>
    <w:bookmarkStart w:name="z785" w:id="859"/>
    <w:p>
      <w:pPr>
        <w:spacing w:after="0"/>
        <w:ind w:left="0"/>
        <w:jc w:val="both"/>
      </w:pPr>
      <w:r>
        <w:rPr>
          <w:rFonts w:ascii="Times New Roman"/>
          <w:b w:val="false"/>
          <w:i w:val="false"/>
          <w:color w:val="000000"/>
          <w:sz w:val="28"/>
        </w:rPr>
        <w:t>
      Документы регистрационного досье по исследованию токсичности при повторном (многократном) введении должны отражать выявление любых физиологических и (или) патологоанатомических изменений, возникших в результате многократного введения активного вещества или комбинации активных веществ, и определение того, как эти изменения зависят от дозы.</w:t>
      </w:r>
    </w:p>
    <w:bookmarkEnd w:id="859"/>
    <w:bookmarkStart w:name="z786" w:id="860"/>
    <w:p>
      <w:pPr>
        <w:spacing w:after="0"/>
        <w:ind w:left="0"/>
        <w:jc w:val="both"/>
      </w:pPr>
      <w:r>
        <w:rPr>
          <w:rFonts w:ascii="Times New Roman"/>
          <w:b w:val="false"/>
          <w:i w:val="false"/>
          <w:color w:val="000000"/>
          <w:sz w:val="28"/>
        </w:rPr>
        <w:t>
      В регистрационном досье предпочтительно приводить информацию, полученную в результате проведения 2 исследований: краткосрочного (продолжительностью 2 - 4 недели) и долгосрочного.</w:t>
      </w:r>
    </w:p>
    <w:bookmarkEnd w:id="860"/>
    <w:bookmarkStart w:name="z787" w:id="861"/>
    <w:p>
      <w:pPr>
        <w:spacing w:after="0"/>
        <w:ind w:left="0"/>
        <w:jc w:val="both"/>
      </w:pPr>
      <w:r>
        <w:rPr>
          <w:rFonts w:ascii="Times New Roman"/>
          <w:b w:val="false"/>
          <w:i w:val="false"/>
          <w:color w:val="000000"/>
          <w:sz w:val="28"/>
        </w:rPr>
        <w:t>
      Продолжительность долгосрочного исследования зависит от продолжительности клинического применения лекарственного препарата.</w:t>
      </w:r>
    </w:p>
    <w:bookmarkEnd w:id="861"/>
    <w:bookmarkStart w:name="z788" w:id="862"/>
    <w:p>
      <w:pPr>
        <w:spacing w:after="0"/>
        <w:ind w:left="0"/>
        <w:jc w:val="both"/>
      </w:pPr>
      <w:r>
        <w:rPr>
          <w:rFonts w:ascii="Times New Roman"/>
          <w:b w:val="false"/>
          <w:i w:val="false"/>
          <w:color w:val="000000"/>
          <w:sz w:val="28"/>
        </w:rPr>
        <w:t>
      Его целями являются экспериментальное определение и описание потенциальных нежелательных явлений, которые должны быть учтены при проведении клинических испытаний.</w:t>
      </w:r>
    </w:p>
    <w:bookmarkEnd w:id="862"/>
    <w:bookmarkStart w:name="z789" w:id="863"/>
    <w:p>
      <w:pPr>
        <w:spacing w:after="0"/>
        <w:ind w:left="0"/>
        <w:jc w:val="both"/>
      </w:pPr>
      <w:r>
        <w:rPr>
          <w:rFonts w:ascii="Times New Roman"/>
          <w:b w:val="false"/>
          <w:i w:val="false"/>
          <w:color w:val="000000"/>
          <w:sz w:val="28"/>
        </w:rPr>
        <w:t>
      Продолжительность испытаний токсичности при многократном введении должна соответствовать руководствам Комиссии, а при их отсутствии - соответствующим руководствам государств-членов.</w:t>
      </w:r>
    </w:p>
    <w:bookmarkEnd w:id="863"/>
    <w:bookmarkStart w:name="z790" w:id="864"/>
    <w:p>
      <w:pPr>
        <w:spacing w:after="0"/>
        <w:ind w:left="0"/>
        <w:jc w:val="both"/>
      </w:pPr>
      <w:r>
        <w:rPr>
          <w:rFonts w:ascii="Times New Roman"/>
          <w:b w:val="false"/>
          <w:i w:val="false"/>
          <w:color w:val="000000"/>
          <w:sz w:val="28"/>
        </w:rPr>
        <w:t>
      4.2.3.3. Генотоксичность.</w:t>
      </w:r>
    </w:p>
    <w:bookmarkEnd w:id="864"/>
    <w:bookmarkStart w:name="z791" w:id="865"/>
    <w:p>
      <w:pPr>
        <w:spacing w:after="0"/>
        <w:ind w:left="0"/>
        <w:jc w:val="both"/>
      </w:pPr>
      <w:r>
        <w:rPr>
          <w:rFonts w:ascii="Times New Roman"/>
          <w:b w:val="false"/>
          <w:i w:val="false"/>
          <w:color w:val="000000"/>
          <w:sz w:val="28"/>
        </w:rPr>
        <w:t>
      В регистрационном досье лекарственного препарата приводится информация о мутагенном и кластогенном потенциале лекарственного препарата, целью которой является выявление нарушений, которые может вызвать активное вещество в генетическом материале отдельного организма или клетках. Мутагенные вещества опасны для здоровья человека, поскольку действие мутагена вызывает мутации в половых клетках и возникновение наследственных нарушений, а также мутации в соматических клетках, что может приводить к развитию злокачественных новообразований. Эти исследования являются обязательными для всех новых активных веществ.</w:t>
      </w:r>
    </w:p>
    <w:bookmarkEnd w:id="865"/>
    <w:bookmarkStart w:name="z792" w:id="866"/>
    <w:p>
      <w:pPr>
        <w:spacing w:after="0"/>
        <w:ind w:left="0"/>
        <w:jc w:val="both"/>
      </w:pPr>
      <w:r>
        <w:rPr>
          <w:rFonts w:ascii="Times New Roman"/>
          <w:b w:val="false"/>
          <w:i w:val="false"/>
          <w:color w:val="000000"/>
          <w:sz w:val="28"/>
        </w:rPr>
        <w:t>
      4.2.3.4. Канцерогенность.</w:t>
      </w:r>
    </w:p>
    <w:bookmarkEnd w:id="866"/>
    <w:bookmarkStart w:name="z793" w:id="867"/>
    <w:p>
      <w:pPr>
        <w:spacing w:after="0"/>
        <w:ind w:left="0"/>
        <w:jc w:val="both"/>
      </w:pPr>
      <w:r>
        <w:rPr>
          <w:rFonts w:ascii="Times New Roman"/>
          <w:b w:val="false"/>
          <w:i w:val="false"/>
          <w:color w:val="000000"/>
          <w:sz w:val="28"/>
        </w:rPr>
        <w:t>
      В регистрационном досье лекарственного препарата приводится информация об исследованиях его канцерогенного потенциала, которые обычно проводятся в следующих случаях:</w:t>
      </w:r>
    </w:p>
    <w:bookmarkEnd w:id="867"/>
    <w:bookmarkStart w:name="z794" w:id="868"/>
    <w:p>
      <w:pPr>
        <w:spacing w:after="0"/>
        <w:ind w:left="0"/>
        <w:jc w:val="both"/>
      </w:pPr>
      <w:r>
        <w:rPr>
          <w:rFonts w:ascii="Times New Roman"/>
          <w:b w:val="false"/>
          <w:i w:val="false"/>
          <w:color w:val="000000"/>
          <w:sz w:val="28"/>
        </w:rPr>
        <w:t>
      лекарственный препарат предназначен для длительного непрерывного или периодического (с перерывами) применения в течение всей жизни больного;</w:t>
      </w:r>
    </w:p>
    <w:bookmarkEnd w:id="868"/>
    <w:bookmarkStart w:name="z795" w:id="869"/>
    <w:p>
      <w:pPr>
        <w:spacing w:after="0"/>
        <w:ind w:left="0"/>
        <w:jc w:val="both"/>
      </w:pPr>
      <w:r>
        <w:rPr>
          <w:rFonts w:ascii="Times New Roman"/>
          <w:b w:val="false"/>
          <w:i w:val="false"/>
          <w:color w:val="000000"/>
          <w:sz w:val="28"/>
        </w:rPr>
        <w:t>
      при проведении исследований токсичности при многократном введении лекарственного препарата выявлены изменения с предполагаемым канцерогенным потенциалом в тест-системах;</w:t>
      </w:r>
    </w:p>
    <w:bookmarkEnd w:id="869"/>
    <w:bookmarkStart w:name="z796" w:id="870"/>
    <w:p>
      <w:pPr>
        <w:spacing w:after="0"/>
        <w:ind w:left="0"/>
        <w:jc w:val="both"/>
      </w:pPr>
      <w:r>
        <w:rPr>
          <w:rFonts w:ascii="Times New Roman"/>
          <w:b w:val="false"/>
          <w:i w:val="false"/>
          <w:color w:val="000000"/>
          <w:sz w:val="28"/>
        </w:rPr>
        <w:t>
      активное вещество принадлежит к химическому классу или близко по структуре к известным канцерогенам либо ко-канцерогенам (если препарат относится к тому же фармакологическому (химическому) классу соединений либо имеет аналогичную структуру или если вывод сделан на основании данных исследования токсичности при многократном введении).</w:t>
      </w:r>
    </w:p>
    <w:bookmarkEnd w:id="870"/>
    <w:bookmarkStart w:name="z797" w:id="871"/>
    <w:p>
      <w:pPr>
        <w:spacing w:after="0"/>
        <w:ind w:left="0"/>
        <w:jc w:val="both"/>
      </w:pPr>
      <w:r>
        <w:rPr>
          <w:rFonts w:ascii="Times New Roman"/>
          <w:b w:val="false"/>
          <w:i w:val="false"/>
          <w:color w:val="000000"/>
          <w:sz w:val="28"/>
        </w:rPr>
        <w:t>
      Нет необходимости проводить исследования канцерогенного потенциала безусловно генотоксичных соединений, так как указанные соединения являются канцерогенами, представляющими опасность для людей. Если такой лекарственный препарат предназначен для длительного лечения больных, возможно, потребуется проведение долговременного исследования для выявления раннего онкогенного эффекта.</w:t>
      </w:r>
    </w:p>
    <w:bookmarkEnd w:id="871"/>
    <w:bookmarkStart w:name="z798" w:id="872"/>
    <w:p>
      <w:pPr>
        <w:spacing w:after="0"/>
        <w:ind w:left="0"/>
        <w:jc w:val="both"/>
      </w:pPr>
      <w:r>
        <w:rPr>
          <w:rFonts w:ascii="Times New Roman"/>
          <w:b w:val="false"/>
          <w:i w:val="false"/>
          <w:color w:val="000000"/>
          <w:sz w:val="28"/>
        </w:rPr>
        <w:t>
      4.2.3.5. Репродуктивная и онтогенетическая токсичность.</w:t>
      </w:r>
    </w:p>
    <w:bookmarkEnd w:id="872"/>
    <w:bookmarkStart w:name="z799" w:id="873"/>
    <w:p>
      <w:pPr>
        <w:spacing w:after="0"/>
        <w:ind w:left="0"/>
        <w:jc w:val="both"/>
      </w:pPr>
      <w:r>
        <w:rPr>
          <w:rFonts w:ascii="Times New Roman"/>
          <w:b w:val="false"/>
          <w:i w:val="false"/>
          <w:color w:val="000000"/>
          <w:sz w:val="28"/>
        </w:rPr>
        <w:t>
      В регистрационном досье лекарственного препарата приводится информация об исследованиях возможных нарушений репродуктивной функции у мужчин и женщин, а также негативного влияния на потомство.</w:t>
      </w:r>
    </w:p>
    <w:bookmarkEnd w:id="873"/>
    <w:bookmarkStart w:name="z800" w:id="874"/>
    <w:p>
      <w:pPr>
        <w:spacing w:after="0"/>
        <w:ind w:left="0"/>
        <w:jc w:val="both"/>
      </w:pPr>
      <w:r>
        <w:rPr>
          <w:rFonts w:ascii="Times New Roman"/>
          <w:b w:val="false"/>
          <w:i w:val="false"/>
          <w:color w:val="000000"/>
          <w:sz w:val="28"/>
        </w:rPr>
        <w:t>
      Указанные исследования осуществляются с помощью соответствующих испытаний, которые включают исследования влияния лекарственного препарата на репродуктивную функцию половозрелых самцов и самок животных, исследования токсического и тератогенного влияния на потомство на всех стадиях развития от зачатия до половой зрелости, а также исследования латентных эффектов, когда исследуемый лекарственный препарат вводился беременным самкам животных.</w:t>
      </w:r>
    </w:p>
    <w:bookmarkEnd w:id="874"/>
    <w:bookmarkStart w:name="z801" w:id="875"/>
    <w:p>
      <w:pPr>
        <w:spacing w:after="0"/>
        <w:ind w:left="0"/>
        <w:jc w:val="both"/>
      </w:pPr>
      <w:r>
        <w:rPr>
          <w:rFonts w:ascii="Times New Roman"/>
          <w:b w:val="false"/>
          <w:i w:val="false"/>
          <w:color w:val="000000"/>
          <w:sz w:val="28"/>
        </w:rPr>
        <w:t>
      Отсутствие подобных исследований в регистрационном досье лекарственного препарата должно быть соответствующим образом обосновано.</w:t>
      </w:r>
    </w:p>
    <w:bookmarkEnd w:id="875"/>
    <w:bookmarkStart w:name="z802" w:id="876"/>
    <w:p>
      <w:pPr>
        <w:spacing w:after="0"/>
        <w:ind w:left="0"/>
        <w:jc w:val="both"/>
      </w:pPr>
      <w:r>
        <w:rPr>
          <w:rFonts w:ascii="Times New Roman"/>
          <w:b w:val="false"/>
          <w:i w:val="false"/>
          <w:color w:val="000000"/>
          <w:sz w:val="28"/>
        </w:rPr>
        <w:t>
      В зависимости от показаний к применению лекарственного препарата может потребоваться проведение дополнительных исследований (например, исследования влияния на развитие потомства), когда обосновано введение лекарственного препарата неполовозрелым животным.</w:t>
      </w:r>
    </w:p>
    <w:bookmarkEnd w:id="876"/>
    <w:bookmarkStart w:name="z803" w:id="877"/>
    <w:p>
      <w:pPr>
        <w:spacing w:after="0"/>
        <w:ind w:left="0"/>
        <w:jc w:val="both"/>
      </w:pPr>
      <w:r>
        <w:rPr>
          <w:rFonts w:ascii="Times New Roman"/>
          <w:b w:val="false"/>
          <w:i w:val="false"/>
          <w:color w:val="000000"/>
          <w:sz w:val="28"/>
        </w:rPr>
        <w:t>
      Документы по доклиническим исследованиям должны содержать информацию об исследовании эмбриофетальной токсичности, которое проводится, как правило, на 2 видах млекопитающих, одним из которых должны быть не грызуны. Исследования перинатальной и постнатальной токсичности должны проводиться по крайней мере на одном виде животных.</w:t>
      </w:r>
    </w:p>
    <w:bookmarkEnd w:id="877"/>
    <w:bookmarkStart w:name="z804" w:id="878"/>
    <w:p>
      <w:pPr>
        <w:spacing w:after="0"/>
        <w:ind w:left="0"/>
        <w:jc w:val="both"/>
      </w:pPr>
      <w:r>
        <w:rPr>
          <w:rFonts w:ascii="Times New Roman"/>
          <w:b w:val="false"/>
          <w:i w:val="false"/>
          <w:color w:val="000000"/>
          <w:sz w:val="28"/>
        </w:rPr>
        <w:t>
      Если известно, что метаболизм активного вещества у определенного вида животных аналогичен метаболизму активного вещества у человека, при проведении исследований целесообразно использовать именно этот вид.</w:t>
      </w:r>
    </w:p>
    <w:bookmarkEnd w:id="878"/>
    <w:bookmarkStart w:name="z805" w:id="879"/>
    <w:p>
      <w:pPr>
        <w:spacing w:after="0"/>
        <w:ind w:left="0"/>
        <w:jc w:val="both"/>
      </w:pPr>
      <w:r>
        <w:rPr>
          <w:rFonts w:ascii="Times New Roman"/>
          <w:b w:val="false"/>
          <w:i w:val="false"/>
          <w:color w:val="000000"/>
          <w:sz w:val="28"/>
        </w:rPr>
        <w:t>
      Желательно также, чтобы один из видов животных был тем самым, который использовался при проведении исследований токсичности при многократном введении.</w:t>
      </w:r>
    </w:p>
    <w:bookmarkEnd w:id="879"/>
    <w:bookmarkStart w:name="z806" w:id="880"/>
    <w:p>
      <w:pPr>
        <w:spacing w:after="0"/>
        <w:ind w:left="0"/>
        <w:jc w:val="both"/>
      </w:pPr>
      <w:r>
        <w:rPr>
          <w:rFonts w:ascii="Times New Roman"/>
          <w:b w:val="false"/>
          <w:i w:val="false"/>
          <w:color w:val="000000"/>
          <w:sz w:val="28"/>
        </w:rPr>
        <w:t>
      При определении дизайна исследования должен учитываться уровень научного знания на момент подачи заявления.</w:t>
      </w:r>
    </w:p>
    <w:bookmarkEnd w:id="880"/>
    <w:bookmarkStart w:name="z807" w:id="881"/>
    <w:p>
      <w:pPr>
        <w:spacing w:after="0"/>
        <w:ind w:left="0"/>
        <w:jc w:val="both"/>
      </w:pPr>
      <w:r>
        <w:rPr>
          <w:rFonts w:ascii="Times New Roman"/>
          <w:b w:val="false"/>
          <w:i w:val="false"/>
          <w:color w:val="000000"/>
          <w:sz w:val="28"/>
        </w:rPr>
        <w:t>
      4.2.3.6. Местная переносимость.</w:t>
      </w:r>
    </w:p>
    <w:bookmarkEnd w:id="881"/>
    <w:bookmarkStart w:name="z808" w:id="882"/>
    <w:p>
      <w:pPr>
        <w:spacing w:after="0"/>
        <w:ind w:left="0"/>
        <w:jc w:val="both"/>
      </w:pPr>
      <w:r>
        <w:rPr>
          <w:rFonts w:ascii="Times New Roman"/>
          <w:b w:val="false"/>
          <w:i w:val="false"/>
          <w:color w:val="000000"/>
          <w:sz w:val="28"/>
        </w:rPr>
        <w:t>
      Документы по доклиническим исследованиям должны содержать информацию о местной переносимости. Указанная информация отражает изучение и определение местного действия лекарственного препарата (активных и вспомогательных веществ) на ткани организма в участках, которые могут контактировать с лекарственным препаратом в результате его введения при клиническом применении.</w:t>
      </w:r>
    </w:p>
    <w:bookmarkEnd w:id="882"/>
    <w:bookmarkStart w:name="z809" w:id="883"/>
    <w:p>
      <w:pPr>
        <w:spacing w:after="0"/>
        <w:ind w:left="0"/>
        <w:jc w:val="both"/>
      </w:pPr>
      <w:r>
        <w:rPr>
          <w:rFonts w:ascii="Times New Roman"/>
          <w:b w:val="false"/>
          <w:i w:val="false"/>
          <w:color w:val="000000"/>
          <w:sz w:val="28"/>
        </w:rPr>
        <w:t>
      Стратегия исследования должна быть направлена на то, чтобы любое механическое влияние введения или действие, обусловленное физико-химическими свойствами лекарственного препарата, отличить от токсического или фармакодинамического эффекта.</w:t>
      </w:r>
    </w:p>
    <w:bookmarkEnd w:id="883"/>
    <w:bookmarkStart w:name="z810" w:id="884"/>
    <w:p>
      <w:pPr>
        <w:spacing w:after="0"/>
        <w:ind w:left="0"/>
        <w:jc w:val="both"/>
      </w:pPr>
      <w:r>
        <w:rPr>
          <w:rFonts w:ascii="Times New Roman"/>
          <w:b w:val="false"/>
          <w:i w:val="false"/>
          <w:color w:val="000000"/>
          <w:sz w:val="28"/>
        </w:rPr>
        <w:t>
      В регистрационном досье лекарственного препарата должно быть доказано, что исследование местной переносимости лекарственного препарата осуществлялось с использованием лекарственного препарата, разработанного для применения человеком. В рамках указанного исследования животным контрольной группы вводятся носитель (растворитель) для введения исследуемого лекарственного препарата и (или) вспомогательные вещества. При необходимости следует представить информацию о дополнительном включении группы положительного контроля или вещества сравнения.</w:t>
      </w:r>
    </w:p>
    <w:bookmarkEnd w:id="884"/>
    <w:bookmarkStart w:name="z811" w:id="885"/>
    <w:p>
      <w:pPr>
        <w:spacing w:after="0"/>
        <w:ind w:left="0"/>
        <w:jc w:val="both"/>
      </w:pPr>
      <w:r>
        <w:rPr>
          <w:rFonts w:ascii="Times New Roman"/>
          <w:b w:val="false"/>
          <w:i w:val="false"/>
          <w:color w:val="000000"/>
          <w:sz w:val="28"/>
        </w:rPr>
        <w:t>
      Дизайн исследования местной переносимости лекарственного препарата (выбор видов животных, продолжительности, частоты, способа введения, дозы) зависит от задач исследования и предполагаемых особенностей клинического применения лекарственного препарата. При необходимости представляется информация о проведенных исследованиях обратимости местных повреждений.</w:t>
      </w:r>
    </w:p>
    <w:bookmarkEnd w:id="885"/>
    <w:bookmarkStart w:name="z812" w:id="886"/>
    <w:p>
      <w:pPr>
        <w:spacing w:after="0"/>
        <w:ind w:left="0"/>
        <w:jc w:val="both"/>
      </w:pPr>
      <w:r>
        <w:rPr>
          <w:rFonts w:ascii="Times New Roman"/>
          <w:b w:val="false"/>
          <w:i w:val="false"/>
          <w:color w:val="000000"/>
          <w:sz w:val="28"/>
        </w:rPr>
        <w:t>
      Информацию об исследованиях на животных можно заменить данными испытаний, полученными с использованием валидированных методик in vitro, если результаты исследований имеют сопоставимое качество и пригодны для анализа безопасности.</w:t>
      </w:r>
    </w:p>
    <w:bookmarkEnd w:id="886"/>
    <w:bookmarkStart w:name="z813" w:id="887"/>
    <w:p>
      <w:pPr>
        <w:spacing w:after="0"/>
        <w:ind w:left="0"/>
        <w:jc w:val="both"/>
      </w:pPr>
      <w:r>
        <w:rPr>
          <w:rFonts w:ascii="Times New Roman"/>
          <w:b w:val="false"/>
          <w:i w:val="false"/>
          <w:color w:val="000000"/>
          <w:sz w:val="28"/>
        </w:rPr>
        <w:t>
      Должен быть оценен сенсибилизирующий потенциал химических веществ, применяемых местно (например, дермальные, ректальные, вагинальные), с использованием по меньшей мере одной тест-системы (исследование на морских свинках или местных лимфатических узлах).</w:t>
      </w:r>
    </w:p>
    <w:bookmarkEnd w:id="887"/>
    <w:bookmarkStart w:name="z814" w:id="888"/>
    <w:p>
      <w:pPr>
        <w:spacing w:after="0"/>
        <w:ind w:left="0"/>
        <w:jc w:val="left"/>
      </w:pPr>
      <w:r>
        <w:rPr>
          <w:rFonts w:ascii="Times New Roman"/>
          <w:b/>
          <w:i w:val="false"/>
          <w:color w:val="000000"/>
        </w:rPr>
        <w:t xml:space="preserve"> 5. Требования к документам регистрационного досье, приведенным в модуле 5: отчеты о клинических испытаниях</w:t>
      </w:r>
    </w:p>
    <w:bookmarkEnd w:id="888"/>
    <w:bookmarkStart w:name="z815" w:id="889"/>
    <w:p>
      <w:pPr>
        <w:spacing w:after="0"/>
        <w:ind w:left="0"/>
        <w:jc w:val="both"/>
      </w:pPr>
      <w:r>
        <w:rPr>
          <w:rFonts w:ascii="Times New Roman"/>
          <w:b w:val="false"/>
          <w:i w:val="false"/>
          <w:color w:val="000000"/>
          <w:sz w:val="28"/>
        </w:rPr>
        <w:t>
      5.1. Содержание модуля 5.</w:t>
      </w:r>
    </w:p>
    <w:bookmarkEnd w:id="889"/>
    <w:bookmarkStart w:name="z816" w:id="890"/>
    <w:p>
      <w:pPr>
        <w:spacing w:after="0"/>
        <w:ind w:left="0"/>
        <w:jc w:val="both"/>
      </w:pPr>
      <w:r>
        <w:rPr>
          <w:rFonts w:ascii="Times New Roman"/>
          <w:b w:val="false"/>
          <w:i w:val="false"/>
          <w:color w:val="000000"/>
          <w:sz w:val="28"/>
        </w:rPr>
        <w:t>
      5.2. Перечень всех клинических исследований (испытаний) в виде таблиц.</w:t>
      </w:r>
    </w:p>
    <w:bookmarkEnd w:id="890"/>
    <w:bookmarkStart w:name="z817" w:id="891"/>
    <w:p>
      <w:pPr>
        <w:spacing w:after="0"/>
        <w:ind w:left="0"/>
        <w:jc w:val="both"/>
      </w:pPr>
      <w:r>
        <w:rPr>
          <w:rFonts w:ascii="Times New Roman"/>
          <w:b w:val="false"/>
          <w:i w:val="false"/>
          <w:color w:val="000000"/>
          <w:sz w:val="28"/>
        </w:rPr>
        <w:t>
      Особое внимание необходимо обратить на наличие в регистрационном досье следующей информации:</w:t>
      </w:r>
    </w:p>
    <w:bookmarkEnd w:id="891"/>
    <w:bookmarkStart w:name="z818" w:id="892"/>
    <w:p>
      <w:pPr>
        <w:spacing w:after="0"/>
        <w:ind w:left="0"/>
        <w:jc w:val="both"/>
      </w:pPr>
      <w:r>
        <w:rPr>
          <w:rFonts w:ascii="Times New Roman"/>
          <w:b w:val="false"/>
          <w:i w:val="false"/>
          <w:color w:val="000000"/>
          <w:sz w:val="28"/>
        </w:rPr>
        <w:t>
      а) клиническая информация, которая должна позволить сформировать достаточно обоснованные и достоверные с научной точки зрения выводы о том, удовлетворяет ли лекарственный препарат условиям регистрации. Представлению подлежат результаты всех клинических испытаний (как благоприятные, так и неблагоприятные (отрицательные результаты));</w:t>
      </w:r>
    </w:p>
    <w:bookmarkEnd w:id="892"/>
    <w:bookmarkStart w:name="z819" w:id="893"/>
    <w:p>
      <w:pPr>
        <w:spacing w:after="0"/>
        <w:ind w:left="0"/>
        <w:jc w:val="both"/>
      </w:pPr>
      <w:r>
        <w:rPr>
          <w:rFonts w:ascii="Times New Roman"/>
          <w:b w:val="false"/>
          <w:i w:val="false"/>
          <w:color w:val="000000"/>
          <w:sz w:val="28"/>
        </w:rPr>
        <w:t>
      б) клиническим испытаниям всегда должны предшествовать соответствующие фармакологические и токсикологические исследования (проведенные на животных), информация о которых приводится в модуле 4 регистрационного досье. Исследователь должен ознакомиться с выводами, сделанными по результатам фармакологических и токсикологических исследований. Для этого заявитель должен представить ему по крайней мере брошюру исследователя, в которой содержится вся соответствующая информация, известная на дату начала клинических испытаний (включая химические, фармакологические и биологические данные, результаты токсикологических, фармакокинетических и фармакодинамических исследований на животных, а также результаты предыдущих клинических испытаний, представляющих адекватные данные, необходимые для обоснования характера, масштаба и продолжительности планируемого исследования). Полные отчеты о фармакологических и токсикологических исследованиях должны представляться по требованию. При использовании материалов, полученных от человека или животных, до начала исследования должны быть приняты все меры, обеспечивающие безопасность с точки зрения возможной передачи инфекционных агентов;</w:t>
      </w:r>
    </w:p>
    <w:bookmarkEnd w:id="893"/>
    <w:bookmarkStart w:name="z820" w:id="894"/>
    <w:p>
      <w:pPr>
        <w:spacing w:after="0"/>
        <w:ind w:left="0"/>
        <w:jc w:val="both"/>
      </w:pPr>
      <w:r>
        <w:rPr>
          <w:rFonts w:ascii="Times New Roman"/>
          <w:b w:val="false"/>
          <w:i w:val="false"/>
          <w:color w:val="000000"/>
          <w:sz w:val="28"/>
        </w:rPr>
        <w:t>
      в) держатель регистрационного удостоверения должен обеспечить хранение основной документации клинического исследования (в том числе индивидуальных регистрационных карт) у владельцев полученных результатов (за исключением медицинских карт стационарных (амбулаторных) больных (пациентов)):</w:t>
      </w:r>
    </w:p>
    <w:bookmarkEnd w:id="894"/>
    <w:bookmarkStart w:name="z821" w:id="895"/>
    <w:p>
      <w:pPr>
        <w:spacing w:after="0"/>
        <w:ind w:left="0"/>
        <w:jc w:val="both"/>
      </w:pPr>
      <w:r>
        <w:rPr>
          <w:rFonts w:ascii="Times New Roman"/>
          <w:b w:val="false"/>
          <w:i w:val="false"/>
          <w:color w:val="000000"/>
          <w:sz w:val="28"/>
        </w:rPr>
        <w:t>
      в течение 15 лет с даты завершения или прекращения исследования;</w:t>
      </w:r>
    </w:p>
    <w:bookmarkEnd w:id="895"/>
    <w:bookmarkStart w:name="z822" w:id="896"/>
    <w:p>
      <w:pPr>
        <w:spacing w:after="0"/>
        <w:ind w:left="0"/>
        <w:jc w:val="both"/>
      </w:pPr>
      <w:r>
        <w:rPr>
          <w:rFonts w:ascii="Times New Roman"/>
          <w:b w:val="false"/>
          <w:i w:val="false"/>
          <w:color w:val="000000"/>
          <w:sz w:val="28"/>
        </w:rPr>
        <w:t>
      в течение 2 лет с даты последней регистрации в государствах-членах при условии отсутствия в Союзе ожидающих утверждения или находящихся на рассмотрении заявлений о регистрации;</w:t>
      </w:r>
    </w:p>
    <w:bookmarkEnd w:id="896"/>
    <w:bookmarkStart w:name="z823" w:id="897"/>
    <w:p>
      <w:pPr>
        <w:spacing w:after="0"/>
        <w:ind w:left="0"/>
        <w:jc w:val="both"/>
      </w:pPr>
      <w:r>
        <w:rPr>
          <w:rFonts w:ascii="Times New Roman"/>
          <w:b w:val="false"/>
          <w:i w:val="false"/>
          <w:color w:val="000000"/>
          <w:sz w:val="28"/>
        </w:rPr>
        <w:t>
      в течение 2 лет с даты формального прекращения клинической разработки исследуемого лекарственного препарата.</w:t>
      </w:r>
    </w:p>
    <w:bookmarkEnd w:id="897"/>
    <w:bookmarkStart w:name="z824" w:id="898"/>
    <w:p>
      <w:pPr>
        <w:spacing w:after="0"/>
        <w:ind w:left="0"/>
        <w:jc w:val="both"/>
      </w:pPr>
      <w:r>
        <w:rPr>
          <w:rFonts w:ascii="Times New Roman"/>
          <w:b w:val="false"/>
          <w:i w:val="false"/>
          <w:color w:val="000000"/>
          <w:sz w:val="28"/>
        </w:rPr>
        <w:t>
      Медицинские карты стационарных (амбулаторных) больных (пациентов) должны храниться в соответствующих условиях в течение срока, предусмотренного законодательством государства-члена, в соответствии с максимальным периодом времени, разрешенным клиническим центром, институтом или учреждением частной практики.</w:t>
      </w:r>
    </w:p>
    <w:bookmarkEnd w:id="898"/>
    <w:bookmarkStart w:name="z825" w:id="899"/>
    <w:p>
      <w:pPr>
        <w:spacing w:after="0"/>
        <w:ind w:left="0"/>
        <w:jc w:val="both"/>
      </w:pPr>
      <w:r>
        <w:rPr>
          <w:rFonts w:ascii="Times New Roman"/>
          <w:b w:val="false"/>
          <w:i w:val="false"/>
          <w:color w:val="000000"/>
          <w:sz w:val="28"/>
        </w:rPr>
        <w:t>
      Документы могут храниться в течение более длительного срока, если этого требуют соответствующие регламентирующие правила или по соглашению со спонсором исследования.</w:t>
      </w:r>
    </w:p>
    <w:bookmarkEnd w:id="899"/>
    <w:bookmarkStart w:name="z826" w:id="900"/>
    <w:p>
      <w:pPr>
        <w:spacing w:after="0"/>
        <w:ind w:left="0"/>
        <w:jc w:val="both"/>
      </w:pPr>
      <w:r>
        <w:rPr>
          <w:rFonts w:ascii="Times New Roman"/>
          <w:b w:val="false"/>
          <w:i w:val="false"/>
          <w:color w:val="000000"/>
          <w:sz w:val="28"/>
        </w:rPr>
        <w:t>
      Спонсор исследования обязан уведомлять клинический центр, институт или учреждение частной практики об отсутствии необходимости дальнейшего хранения документов.</w:t>
      </w:r>
    </w:p>
    <w:bookmarkEnd w:id="900"/>
    <w:bookmarkStart w:name="z827" w:id="901"/>
    <w:p>
      <w:pPr>
        <w:spacing w:after="0"/>
        <w:ind w:left="0"/>
        <w:jc w:val="both"/>
      </w:pPr>
      <w:r>
        <w:rPr>
          <w:rFonts w:ascii="Times New Roman"/>
          <w:b w:val="false"/>
          <w:i w:val="false"/>
          <w:color w:val="000000"/>
          <w:sz w:val="28"/>
        </w:rPr>
        <w:t>
      Спонсор исследования или другой собственник (владелец) данных должен хранить всю другую документацию, имеющую отношение к исследованиям, в течение всего срока, в течение которого лекарственный препарат имеет регистрационное удостоверение.</w:t>
      </w:r>
    </w:p>
    <w:bookmarkEnd w:id="901"/>
    <w:bookmarkStart w:name="z828" w:id="902"/>
    <w:p>
      <w:pPr>
        <w:spacing w:after="0"/>
        <w:ind w:left="0"/>
        <w:jc w:val="both"/>
      </w:pPr>
      <w:r>
        <w:rPr>
          <w:rFonts w:ascii="Times New Roman"/>
          <w:b w:val="false"/>
          <w:i w:val="false"/>
          <w:color w:val="000000"/>
          <w:sz w:val="28"/>
        </w:rPr>
        <w:t>
      Эта документация включает:</w:t>
      </w:r>
    </w:p>
    <w:bookmarkEnd w:id="902"/>
    <w:bookmarkStart w:name="z829" w:id="903"/>
    <w:p>
      <w:pPr>
        <w:spacing w:after="0"/>
        <w:ind w:left="0"/>
        <w:jc w:val="both"/>
      </w:pPr>
      <w:r>
        <w:rPr>
          <w:rFonts w:ascii="Times New Roman"/>
          <w:b w:val="false"/>
          <w:i w:val="false"/>
          <w:color w:val="000000"/>
          <w:sz w:val="28"/>
        </w:rPr>
        <w:t>
      протокол, содержащий обоснование, цели, статистический план и методологию исследования с условиями его проведения, организацию (управление) исследования, подробную информацию об исследуемом лекарственном препарате, использованном стандарте (препарате сравнения и (или) плацебо);</w:t>
      </w:r>
    </w:p>
    <w:bookmarkEnd w:id="903"/>
    <w:bookmarkStart w:name="z830" w:id="904"/>
    <w:p>
      <w:pPr>
        <w:spacing w:after="0"/>
        <w:ind w:left="0"/>
        <w:jc w:val="both"/>
      </w:pPr>
      <w:r>
        <w:rPr>
          <w:rFonts w:ascii="Times New Roman"/>
          <w:b w:val="false"/>
          <w:i w:val="false"/>
          <w:color w:val="000000"/>
          <w:sz w:val="28"/>
        </w:rPr>
        <w:t>
      стандартные операционные процедуры;</w:t>
      </w:r>
    </w:p>
    <w:bookmarkEnd w:id="904"/>
    <w:bookmarkStart w:name="z831" w:id="905"/>
    <w:p>
      <w:pPr>
        <w:spacing w:after="0"/>
        <w:ind w:left="0"/>
        <w:jc w:val="both"/>
      </w:pPr>
      <w:r>
        <w:rPr>
          <w:rFonts w:ascii="Times New Roman"/>
          <w:b w:val="false"/>
          <w:i w:val="false"/>
          <w:color w:val="000000"/>
          <w:sz w:val="28"/>
        </w:rPr>
        <w:t>
      все письменные отзывы по протоколу и процедурам, брошюру исследователя, индивидуальную регистрационную карту каждого субъекта исследования;</w:t>
      </w:r>
    </w:p>
    <w:bookmarkEnd w:id="905"/>
    <w:bookmarkStart w:name="z832" w:id="906"/>
    <w:p>
      <w:pPr>
        <w:spacing w:after="0"/>
        <w:ind w:left="0"/>
        <w:jc w:val="both"/>
      </w:pPr>
      <w:r>
        <w:rPr>
          <w:rFonts w:ascii="Times New Roman"/>
          <w:b w:val="false"/>
          <w:i w:val="false"/>
          <w:color w:val="000000"/>
          <w:sz w:val="28"/>
        </w:rPr>
        <w:t>
      итоговый отчет;</w:t>
      </w:r>
    </w:p>
    <w:bookmarkEnd w:id="906"/>
    <w:bookmarkStart w:name="z833" w:id="907"/>
    <w:p>
      <w:pPr>
        <w:spacing w:after="0"/>
        <w:ind w:left="0"/>
        <w:jc w:val="both"/>
      </w:pPr>
      <w:r>
        <w:rPr>
          <w:rFonts w:ascii="Times New Roman"/>
          <w:b w:val="false"/>
          <w:i w:val="false"/>
          <w:color w:val="000000"/>
          <w:sz w:val="28"/>
        </w:rPr>
        <w:t>
      сертификат о прохождении аудита (при наличии).</w:t>
      </w:r>
    </w:p>
    <w:bookmarkEnd w:id="907"/>
    <w:bookmarkStart w:name="z834" w:id="908"/>
    <w:p>
      <w:pPr>
        <w:spacing w:after="0"/>
        <w:ind w:left="0"/>
        <w:jc w:val="both"/>
      </w:pPr>
      <w:r>
        <w:rPr>
          <w:rFonts w:ascii="Times New Roman"/>
          <w:b w:val="false"/>
          <w:i w:val="false"/>
          <w:color w:val="000000"/>
          <w:sz w:val="28"/>
        </w:rPr>
        <w:t>
      Заключительный отчет должен храниться спонсором исследования или его правопреемником в течение 5 лет с даты окончания действия регистрационного удостоверения на лекарственный препарат. Держатель регистрационного удостоверения должен принять дополнительные меры по архивированию документации в соответствии правилами надлежащей клинической практики Евразийского экономического союза, утверждаемыми Комиссией, и по внедрению подробных руководств (рекомендаций).</w:t>
      </w:r>
    </w:p>
    <w:bookmarkEnd w:id="908"/>
    <w:bookmarkStart w:name="z835" w:id="909"/>
    <w:p>
      <w:pPr>
        <w:spacing w:after="0"/>
        <w:ind w:left="0"/>
        <w:jc w:val="both"/>
      </w:pPr>
      <w:r>
        <w:rPr>
          <w:rFonts w:ascii="Times New Roman"/>
          <w:b w:val="false"/>
          <w:i w:val="false"/>
          <w:color w:val="000000"/>
          <w:sz w:val="28"/>
        </w:rPr>
        <w:t>
      Информация об изменении собственника имеющихся данных должна быть оформлена соответствующим образом, данные и документы должны своевременно представляться по требованию соответствующих уполномоченных органов;</w:t>
      </w:r>
    </w:p>
    <w:bookmarkEnd w:id="909"/>
    <w:bookmarkStart w:name="z836" w:id="910"/>
    <w:p>
      <w:pPr>
        <w:spacing w:after="0"/>
        <w:ind w:left="0"/>
        <w:jc w:val="both"/>
      </w:pPr>
      <w:r>
        <w:rPr>
          <w:rFonts w:ascii="Times New Roman"/>
          <w:b w:val="false"/>
          <w:i w:val="false"/>
          <w:color w:val="000000"/>
          <w:sz w:val="28"/>
        </w:rPr>
        <w:t>
      г) описание каждого клинического исследования должно содержать достаточное количество информации, необходимой для составления объективного заключения:</w:t>
      </w:r>
    </w:p>
    <w:bookmarkEnd w:id="910"/>
    <w:bookmarkStart w:name="z837" w:id="911"/>
    <w:p>
      <w:pPr>
        <w:spacing w:after="0"/>
        <w:ind w:left="0"/>
        <w:jc w:val="both"/>
      </w:pPr>
      <w:r>
        <w:rPr>
          <w:rFonts w:ascii="Times New Roman"/>
          <w:b w:val="false"/>
          <w:i w:val="false"/>
          <w:color w:val="000000"/>
          <w:sz w:val="28"/>
        </w:rPr>
        <w:t>
      протокол, содержащий обоснование, цели, статистический план и методологию исследования с условиями его проведения и организации и подробную информацию об исследуемом лекарственном препарате;</w:t>
      </w:r>
    </w:p>
    <w:bookmarkEnd w:id="911"/>
    <w:bookmarkStart w:name="z838" w:id="912"/>
    <w:p>
      <w:pPr>
        <w:spacing w:after="0"/>
        <w:ind w:left="0"/>
        <w:jc w:val="both"/>
      </w:pPr>
      <w:r>
        <w:rPr>
          <w:rFonts w:ascii="Times New Roman"/>
          <w:b w:val="false"/>
          <w:i w:val="false"/>
          <w:color w:val="000000"/>
          <w:sz w:val="28"/>
        </w:rPr>
        <w:t>
      сертификат о прохождении аудита (при наличии);</w:t>
      </w:r>
    </w:p>
    <w:bookmarkEnd w:id="912"/>
    <w:bookmarkStart w:name="z839" w:id="913"/>
    <w:p>
      <w:pPr>
        <w:spacing w:after="0"/>
        <w:ind w:left="0"/>
        <w:jc w:val="both"/>
      </w:pPr>
      <w:r>
        <w:rPr>
          <w:rFonts w:ascii="Times New Roman"/>
          <w:b w:val="false"/>
          <w:i w:val="false"/>
          <w:color w:val="000000"/>
          <w:sz w:val="28"/>
        </w:rPr>
        <w:t>
      список исследователей (каждый исследователь должен сообщить свою фамилию, адрес, занимаемую должность, квалификационные данные и обязанности при проведении клинических исследований);</w:t>
      </w:r>
    </w:p>
    <w:bookmarkEnd w:id="913"/>
    <w:bookmarkStart w:name="z840" w:id="914"/>
    <w:p>
      <w:pPr>
        <w:spacing w:after="0"/>
        <w:ind w:left="0"/>
        <w:jc w:val="both"/>
      </w:pPr>
      <w:r>
        <w:rPr>
          <w:rFonts w:ascii="Times New Roman"/>
          <w:b w:val="false"/>
          <w:i w:val="false"/>
          <w:color w:val="000000"/>
          <w:sz w:val="28"/>
        </w:rPr>
        <w:t>
      место проведения клинического исследования;</w:t>
      </w:r>
    </w:p>
    <w:bookmarkEnd w:id="914"/>
    <w:bookmarkStart w:name="z841" w:id="915"/>
    <w:p>
      <w:pPr>
        <w:spacing w:after="0"/>
        <w:ind w:left="0"/>
        <w:jc w:val="both"/>
      </w:pPr>
      <w:r>
        <w:rPr>
          <w:rFonts w:ascii="Times New Roman"/>
          <w:b w:val="false"/>
          <w:i w:val="false"/>
          <w:color w:val="000000"/>
          <w:sz w:val="28"/>
        </w:rPr>
        <w:t>
      информация о каждом отдельном пациенте, включая индивидуальные регистрационные карты;</w:t>
      </w:r>
    </w:p>
    <w:bookmarkEnd w:id="915"/>
    <w:bookmarkStart w:name="z842" w:id="916"/>
    <w:p>
      <w:pPr>
        <w:spacing w:after="0"/>
        <w:ind w:left="0"/>
        <w:jc w:val="both"/>
      </w:pPr>
      <w:r>
        <w:rPr>
          <w:rFonts w:ascii="Times New Roman"/>
          <w:b w:val="false"/>
          <w:i w:val="false"/>
          <w:color w:val="000000"/>
          <w:sz w:val="28"/>
        </w:rPr>
        <w:t>
      заключительный отчет, подписанный исследователем, а при многоцентровом исследовании - всеми исследователями или координатором (главным исследователем);</w:t>
      </w:r>
    </w:p>
    <w:bookmarkEnd w:id="916"/>
    <w:bookmarkStart w:name="z843" w:id="917"/>
    <w:p>
      <w:pPr>
        <w:spacing w:after="0"/>
        <w:ind w:left="0"/>
        <w:jc w:val="both"/>
      </w:pPr>
      <w:r>
        <w:rPr>
          <w:rFonts w:ascii="Times New Roman"/>
          <w:b w:val="false"/>
          <w:i w:val="false"/>
          <w:color w:val="000000"/>
          <w:sz w:val="28"/>
        </w:rPr>
        <w:t>
      д) данные клинических исследований, перечисленные в подпунктах "а" - "г" настоящего пункта, должны быть представлены уполномоченным органам, осуществляющим регистрацию лекарственных препаратов. По согласованию с уполномоченными органами заявитель вправе не представлять некоторые из перечисленных сведений. Полная документация должна представляться по запросу уполномоченного органа незамедлительно.</w:t>
      </w:r>
    </w:p>
    <w:bookmarkEnd w:id="917"/>
    <w:bookmarkStart w:name="z844" w:id="918"/>
    <w:p>
      <w:pPr>
        <w:spacing w:after="0"/>
        <w:ind w:left="0"/>
        <w:jc w:val="both"/>
      </w:pPr>
      <w:r>
        <w:rPr>
          <w:rFonts w:ascii="Times New Roman"/>
          <w:b w:val="false"/>
          <w:i w:val="false"/>
          <w:color w:val="000000"/>
          <w:sz w:val="28"/>
        </w:rPr>
        <w:t>
      В отчете о клиническом исследовании должно быть отражено мнение исследователя, сформированное на основе экспериментальных доказательств о безопасности лекарственного препарата при обычных условиях его применения, о переносимости и эффективности лекарственного препарата, информация относительно показаний к применению и противопоказаний, режима дозирования, продолжительности терапии, а также об особых мерах предосторожности, которые необходимо принять во время лечения и при появлении клинических симптомов передозировки.</w:t>
      </w:r>
    </w:p>
    <w:bookmarkEnd w:id="918"/>
    <w:bookmarkStart w:name="z845" w:id="919"/>
    <w:p>
      <w:pPr>
        <w:spacing w:after="0"/>
        <w:ind w:left="0"/>
        <w:jc w:val="both"/>
      </w:pPr>
      <w:r>
        <w:rPr>
          <w:rFonts w:ascii="Times New Roman"/>
          <w:b w:val="false"/>
          <w:i w:val="false"/>
          <w:color w:val="000000"/>
          <w:sz w:val="28"/>
        </w:rPr>
        <w:t>
      В отчете о результатах многоцентрового исследования, исследователь-координатор должен указать вывод о безопасности и эффективности исследуемого лекарственного препарата от имени всех центров во время многоцентрового исследования;</w:t>
      </w:r>
    </w:p>
    <w:bookmarkEnd w:id="919"/>
    <w:bookmarkStart w:name="z846" w:id="920"/>
    <w:p>
      <w:pPr>
        <w:spacing w:after="0"/>
        <w:ind w:left="0"/>
        <w:jc w:val="both"/>
      </w:pPr>
      <w:r>
        <w:rPr>
          <w:rFonts w:ascii="Times New Roman"/>
          <w:b w:val="false"/>
          <w:i w:val="false"/>
          <w:color w:val="000000"/>
          <w:sz w:val="28"/>
        </w:rPr>
        <w:t>
      е) клинические наблюдения по каждому виду исследования должны иметь обобщенный характер и включать следующие данные:</w:t>
      </w:r>
    </w:p>
    <w:bookmarkEnd w:id="920"/>
    <w:bookmarkStart w:name="z847" w:id="921"/>
    <w:p>
      <w:pPr>
        <w:spacing w:after="0"/>
        <w:ind w:left="0"/>
        <w:jc w:val="both"/>
      </w:pPr>
      <w:r>
        <w:rPr>
          <w:rFonts w:ascii="Times New Roman"/>
          <w:b w:val="false"/>
          <w:i w:val="false"/>
          <w:color w:val="000000"/>
          <w:sz w:val="28"/>
        </w:rPr>
        <w:t>
      количество и пол субъектов, получивших препараты;</w:t>
      </w:r>
    </w:p>
    <w:bookmarkEnd w:id="921"/>
    <w:bookmarkStart w:name="z848" w:id="922"/>
    <w:p>
      <w:pPr>
        <w:spacing w:after="0"/>
        <w:ind w:left="0"/>
        <w:jc w:val="both"/>
      </w:pPr>
      <w:r>
        <w:rPr>
          <w:rFonts w:ascii="Times New Roman"/>
          <w:b w:val="false"/>
          <w:i w:val="false"/>
          <w:color w:val="000000"/>
          <w:sz w:val="28"/>
        </w:rPr>
        <w:t>
      отбор и распределение по возрасту пациентов в исследуемых и контрольных группах;</w:t>
      </w:r>
    </w:p>
    <w:bookmarkEnd w:id="922"/>
    <w:bookmarkStart w:name="z849" w:id="923"/>
    <w:p>
      <w:pPr>
        <w:spacing w:after="0"/>
        <w:ind w:left="0"/>
        <w:jc w:val="both"/>
      </w:pPr>
      <w:r>
        <w:rPr>
          <w:rFonts w:ascii="Times New Roman"/>
          <w:b w:val="false"/>
          <w:i w:val="false"/>
          <w:color w:val="000000"/>
          <w:sz w:val="28"/>
        </w:rPr>
        <w:t>
      количество пациентов, досрочно выбывших из исследования, и причин, по которым это произошло;</w:t>
      </w:r>
    </w:p>
    <w:bookmarkEnd w:id="923"/>
    <w:bookmarkStart w:name="z850" w:id="924"/>
    <w:p>
      <w:pPr>
        <w:spacing w:after="0"/>
        <w:ind w:left="0"/>
        <w:jc w:val="both"/>
      </w:pPr>
      <w:r>
        <w:rPr>
          <w:rFonts w:ascii="Times New Roman"/>
          <w:b w:val="false"/>
          <w:i w:val="false"/>
          <w:color w:val="000000"/>
          <w:sz w:val="28"/>
        </w:rPr>
        <w:t>
      сведения о том, что происходило с участниками контрольной группы, если контролируемые исследования проводились при указанных выше условиях (не получали лечения, получали плацебо, получали другой лекарственный препарат с известным действием, получали другой вид лечения без применения лекарственных препаратов);</w:t>
      </w:r>
    </w:p>
    <w:bookmarkEnd w:id="924"/>
    <w:bookmarkStart w:name="z851" w:id="925"/>
    <w:p>
      <w:pPr>
        <w:spacing w:after="0"/>
        <w:ind w:left="0"/>
        <w:jc w:val="both"/>
      </w:pPr>
      <w:r>
        <w:rPr>
          <w:rFonts w:ascii="Times New Roman"/>
          <w:b w:val="false"/>
          <w:i w:val="false"/>
          <w:color w:val="000000"/>
          <w:sz w:val="28"/>
        </w:rPr>
        <w:t>
      частота наблюдавшихся нежелательных реакций;</w:t>
      </w:r>
    </w:p>
    <w:bookmarkEnd w:id="925"/>
    <w:bookmarkStart w:name="z852" w:id="926"/>
    <w:p>
      <w:pPr>
        <w:spacing w:after="0"/>
        <w:ind w:left="0"/>
        <w:jc w:val="both"/>
      </w:pPr>
      <w:r>
        <w:rPr>
          <w:rFonts w:ascii="Times New Roman"/>
          <w:b w:val="false"/>
          <w:i w:val="false"/>
          <w:color w:val="000000"/>
          <w:sz w:val="28"/>
        </w:rPr>
        <w:t>
      сведения о пациентах, входящих в группы повышенного риска (например, люди пожилого возраста, дети, беременные либо женщины репродуктивного возраста или больные, физиологическое или патологическое состояние которых требует особого внимания);</w:t>
      </w:r>
    </w:p>
    <w:bookmarkEnd w:id="926"/>
    <w:bookmarkStart w:name="z853" w:id="927"/>
    <w:p>
      <w:pPr>
        <w:spacing w:after="0"/>
        <w:ind w:left="0"/>
        <w:jc w:val="both"/>
      </w:pPr>
      <w:r>
        <w:rPr>
          <w:rFonts w:ascii="Times New Roman"/>
          <w:b w:val="false"/>
          <w:i w:val="false"/>
          <w:color w:val="000000"/>
          <w:sz w:val="28"/>
        </w:rPr>
        <w:t>
      параметры или критерии оценки эффективности и полученных результатов;</w:t>
      </w:r>
    </w:p>
    <w:bookmarkEnd w:id="927"/>
    <w:bookmarkStart w:name="z854" w:id="928"/>
    <w:p>
      <w:pPr>
        <w:spacing w:after="0"/>
        <w:ind w:left="0"/>
        <w:jc w:val="both"/>
      </w:pPr>
      <w:r>
        <w:rPr>
          <w:rFonts w:ascii="Times New Roman"/>
          <w:b w:val="false"/>
          <w:i w:val="false"/>
          <w:color w:val="000000"/>
          <w:sz w:val="28"/>
        </w:rPr>
        <w:t>
      статистическая оценка результатов, если этого требует дизайн исследования, и различные воздействующие факторы;</w:t>
      </w:r>
    </w:p>
    <w:bookmarkEnd w:id="928"/>
    <w:bookmarkStart w:name="z855" w:id="929"/>
    <w:p>
      <w:pPr>
        <w:spacing w:after="0"/>
        <w:ind w:left="0"/>
        <w:jc w:val="both"/>
      </w:pPr>
      <w:r>
        <w:rPr>
          <w:rFonts w:ascii="Times New Roman"/>
          <w:b w:val="false"/>
          <w:i w:val="false"/>
          <w:color w:val="000000"/>
          <w:sz w:val="28"/>
        </w:rPr>
        <w:t>
      ж) в регистрационном досье должна отображаться информация о наблюдениях исследователя, касающихся:</w:t>
      </w:r>
    </w:p>
    <w:bookmarkEnd w:id="929"/>
    <w:bookmarkStart w:name="z856" w:id="930"/>
    <w:p>
      <w:pPr>
        <w:spacing w:after="0"/>
        <w:ind w:left="0"/>
        <w:jc w:val="both"/>
      </w:pPr>
      <w:r>
        <w:rPr>
          <w:rFonts w:ascii="Times New Roman"/>
          <w:b w:val="false"/>
          <w:i w:val="false"/>
          <w:color w:val="000000"/>
          <w:sz w:val="28"/>
        </w:rPr>
        <w:t>
      любых признаков привыкания, зависимости или трудностей, возникающих у пациентов при отмене лекарственного препарата;</w:t>
      </w:r>
    </w:p>
    <w:bookmarkEnd w:id="930"/>
    <w:bookmarkStart w:name="z857" w:id="931"/>
    <w:p>
      <w:pPr>
        <w:spacing w:after="0"/>
        <w:ind w:left="0"/>
        <w:jc w:val="both"/>
      </w:pPr>
      <w:r>
        <w:rPr>
          <w:rFonts w:ascii="Times New Roman"/>
          <w:b w:val="false"/>
          <w:i w:val="false"/>
          <w:color w:val="000000"/>
          <w:sz w:val="28"/>
        </w:rPr>
        <w:t>
      любых взаимодействий, имевших место при одновременном введении с другими лекарственными препаратами;</w:t>
      </w:r>
    </w:p>
    <w:bookmarkEnd w:id="931"/>
    <w:bookmarkStart w:name="z858" w:id="932"/>
    <w:p>
      <w:pPr>
        <w:spacing w:after="0"/>
        <w:ind w:left="0"/>
        <w:jc w:val="both"/>
      </w:pPr>
      <w:r>
        <w:rPr>
          <w:rFonts w:ascii="Times New Roman"/>
          <w:b w:val="false"/>
          <w:i w:val="false"/>
          <w:color w:val="000000"/>
          <w:sz w:val="28"/>
        </w:rPr>
        <w:t>
      критериев, определяющих необходимость исключения некоторых пациентов из исследования;</w:t>
      </w:r>
    </w:p>
    <w:bookmarkEnd w:id="932"/>
    <w:bookmarkStart w:name="z859" w:id="933"/>
    <w:p>
      <w:pPr>
        <w:spacing w:after="0"/>
        <w:ind w:left="0"/>
        <w:jc w:val="both"/>
      </w:pPr>
      <w:r>
        <w:rPr>
          <w:rFonts w:ascii="Times New Roman"/>
          <w:b w:val="false"/>
          <w:i w:val="false"/>
          <w:color w:val="000000"/>
          <w:sz w:val="28"/>
        </w:rPr>
        <w:t>
      летальных случаев во время исследования или в период последующего наблюдения;</w:t>
      </w:r>
    </w:p>
    <w:bookmarkEnd w:id="933"/>
    <w:bookmarkStart w:name="z860" w:id="934"/>
    <w:p>
      <w:pPr>
        <w:spacing w:after="0"/>
        <w:ind w:left="0"/>
        <w:jc w:val="both"/>
      </w:pPr>
      <w:r>
        <w:rPr>
          <w:rFonts w:ascii="Times New Roman"/>
          <w:b w:val="false"/>
          <w:i w:val="false"/>
          <w:color w:val="000000"/>
          <w:sz w:val="28"/>
        </w:rPr>
        <w:t>
      з) информация о новой комбинации активных веществ должна быть идентичной данным о новом лекарственном препарате, в регистрационное досье необходимо включать обоснование безопасности и эффективности комбинации;</w:t>
      </w:r>
    </w:p>
    <w:bookmarkEnd w:id="934"/>
    <w:bookmarkStart w:name="z861" w:id="935"/>
    <w:p>
      <w:pPr>
        <w:spacing w:after="0"/>
        <w:ind w:left="0"/>
        <w:jc w:val="both"/>
      </w:pPr>
      <w:r>
        <w:rPr>
          <w:rFonts w:ascii="Times New Roman"/>
          <w:b w:val="false"/>
          <w:i w:val="false"/>
          <w:color w:val="000000"/>
          <w:sz w:val="28"/>
        </w:rPr>
        <w:t>
      и) в случае полного или частичного отсутствия в регистрационном досье лекарственного препарата данных, перечисленных в подпунктах "а" - "з" настоящего пункта, необходимо представить объяснение причины отсутствия данных.</w:t>
      </w:r>
    </w:p>
    <w:bookmarkEnd w:id="935"/>
    <w:bookmarkStart w:name="z862" w:id="936"/>
    <w:p>
      <w:pPr>
        <w:spacing w:after="0"/>
        <w:ind w:left="0"/>
        <w:jc w:val="both"/>
      </w:pPr>
      <w:r>
        <w:rPr>
          <w:rFonts w:ascii="Times New Roman"/>
          <w:b w:val="false"/>
          <w:i w:val="false"/>
          <w:color w:val="000000"/>
          <w:sz w:val="28"/>
        </w:rPr>
        <w:t>
      Если при проведении клинических исследований будут получены неожиданные результаты, необходимо провести дополнительные доклинические токсикологические и фармакологические исследования и сделать обзор полученных результатов;</w:t>
      </w:r>
    </w:p>
    <w:bookmarkEnd w:id="936"/>
    <w:bookmarkStart w:name="z863" w:id="937"/>
    <w:p>
      <w:pPr>
        <w:spacing w:after="0"/>
        <w:ind w:left="0"/>
        <w:jc w:val="both"/>
      </w:pPr>
      <w:r>
        <w:rPr>
          <w:rFonts w:ascii="Times New Roman"/>
          <w:b w:val="false"/>
          <w:i w:val="false"/>
          <w:color w:val="000000"/>
          <w:sz w:val="28"/>
        </w:rPr>
        <w:t>
      к) если лекарственный препарат предназначен для длительного применения, в регистрационном досье лекарственного препарата необходимо представить описание изменений фармакологического действия в результате многократного применения лекарственного препарата, а также необходимо обосновать выбор дозировок для длительного применения.</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4" w:id="938"/>
    <w:p>
      <w:pPr>
        <w:spacing w:after="0"/>
        <w:ind w:left="0"/>
        <w:jc w:val="both"/>
      </w:pPr>
      <w:r>
        <w:rPr>
          <w:rFonts w:ascii="Times New Roman"/>
          <w:b w:val="false"/>
          <w:i w:val="false"/>
          <w:color w:val="000000"/>
          <w:sz w:val="28"/>
        </w:rPr>
        <w:t>
      5.3. Отчеты о клинических исследованиях (испытаниях).</w:t>
      </w:r>
    </w:p>
    <w:bookmarkEnd w:id="938"/>
    <w:bookmarkStart w:name="z865" w:id="939"/>
    <w:p>
      <w:pPr>
        <w:spacing w:after="0"/>
        <w:ind w:left="0"/>
        <w:jc w:val="both"/>
      </w:pPr>
      <w:r>
        <w:rPr>
          <w:rFonts w:ascii="Times New Roman"/>
          <w:b w:val="false"/>
          <w:i w:val="false"/>
          <w:color w:val="000000"/>
          <w:sz w:val="28"/>
        </w:rPr>
        <w:t>
      5.3.1. Отчеты о биофармацевтических исследованиях.</w:t>
      </w:r>
    </w:p>
    <w:bookmarkEnd w:id="939"/>
    <w:bookmarkStart w:name="z866" w:id="940"/>
    <w:p>
      <w:pPr>
        <w:spacing w:after="0"/>
        <w:ind w:left="0"/>
        <w:jc w:val="both"/>
      </w:pPr>
      <w:r>
        <w:rPr>
          <w:rFonts w:ascii="Times New Roman"/>
          <w:b w:val="false"/>
          <w:i w:val="false"/>
          <w:color w:val="000000"/>
          <w:sz w:val="28"/>
        </w:rPr>
        <w:t>
      В состав регистрационного досье лекарственного препарата необходимо включить отчеты об исследовании биодоступности, сравнительной биодоступности, биоэквивалентности, корреляции in vitro - in vivo и описание биоаналитических и аналитических методик. При необходимости демонстрации биоэквивалентности лекарственных препаратов должна указываться информация о проведенной оценке их сравнительной биодоступности.</w:t>
      </w:r>
    </w:p>
    <w:bookmarkEnd w:id="940"/>
    <w:bookmarkStart w:name="z867" w:id="941"/>
    <w:p>
      <w:pPr>
        <w:spacing w:after="0"/>
        <w:ind w:left="0"/>
        <w:jc w:val="both"/>
      </w:pPr>
      <w:r>
        <w:rPr>
          <w:rFonts w:ascii="Times New Roman"/>
          <w:b w:val="false"/>
          <w:i w:val="false"/>
          <w:color w:val="000000"/>
          <w:sz w:val="28"/>
        </w:rPr>
        <w:t>
      В случае биовейвера в регистрационном досье лекарственного препарата необходимо представить отчет о проведении исследований in vitro. Оценка и проведение исследований биоэквивалентности или обоснование непроведения исследований биоэквивалентности должны быть представлены в соответствии с требованиями правил проведения исследований биоэквивалентности лекарственных препаратов в рамках Евразийского экономического союза, утверждаемых Комиссией.</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8" w:id="942"/>
    <w:p>
      <w:pPr>
        <w:spacing w:after="0"/>
        <w:ind w:left="0"/>
        <w:jc w:val="both"/>
      </w:pPr>
      <w:r>
        <w:rPr>
          <w:rFonts w:ascii="Times New Roman"/>
          <w:b w:val="false"/>
          <w:i w:val="false"/>
          <w:color w:val="000000"/>
          <w:sz w:val="28"/>
        </w:rPr>
        <w:t>
      5.3.2. Отчеты о фармакокинетических исследованиях с использованием биоматериалов человека.</w:t>
      </w:r>
    </w:p>
    <w:bookmarkEnd w:id="942"/>
    <w:bookmarkStart w:name="z869" w:id="943"/>
    <w:p>
      <w:pPr>
        <w:spacing w:after="0"/>
        <w:ind w:left="0"/>
        <w:jc w:val="both"/>
      </w:pPr>
      <w:r>
        <w:rPr>
          <w:rFonts w:ascii="Times New Roman"/>
          <w:b w:val="false"/>
          <w:i w:val="false"/>
          <w:color w:val="000000"/>
          <w:sz w:val="28"/>
        </w:rPr>
        <w:t>
      К биоматериалам, полученным от человека, относят белки, клетки, ткани и связанные с ними материалы, полученные от человека, которые используются при проведении исследований in vitro или in vivo для оценки фармакокинетических свойств активных веществ. В регистрационном досье лекарственного препарата необходимо представить отчеты об исследовании связывания активного вещества с белками плазмы, метаболизма в печени и взаимодействия активного вещества, а также исследования с использованием других биоматериалов, полученных от человека.</w:t>
      </w:r>
    </w:p>
    <w:bookmarkEnd w:id="943"/>
    <w:bookmarkStart w:name="z870" w:id="944"/>
    <w:p>
      <w:pPr>
        <w:spacing w:after="0"/>
        <w:ind w:left="0"/>
        <w:jc w:val="both"/>
      </w:pPr>
      <w:r>
        <w:rPr>
          <w:rFonts w:ascii="Times New Roman"/>
          <w:b w:val="false"/>
          <w:i w:val="false"/>
          <w:color w:val="000000"/>
          <w:sz w:val="28"/>
        </w:rPr>
        <w:t>
      5.3.3. Отчеты о фармакокинетических исследованиях у человека:</w:t>
      </w:r>
    </w:p>
    <w:bookmarkEnd w:id="944"/>
    <w:bookmarkStart w:name="z871" w:id="945"/>
    <w:p>
      <w:pPr>
        <w:spacing w:after="0"/>
        <w:ind w:left="0"/>
        <w:jc w:val="both"/>
      </w:pPr>
      <w:r>
        <w:rPr>
          <w:rFonts w:ascii="Times New Roman"/>
          <w:b w:val="false"/>
          <w:i w:val="false"/>
          <w:color w:val="000000"/>
          <w:sz w:val="28"/>
        </w:rPr>
        <w:t>
      в регистрационном досье необходимо описать следующие фармакокинетические характеристики:</w:t>
      </w:r>
    </w:p>
    <w:bookmarkEnd w:id="945"/>
    <w:bookmarkStart w:name="z872" w:id="946"/>
    <w:p>
      <w:pPr>
        <w:spacing w:after="0"/>
        <w:ind w:left="0"/>
        <w:jc w:val="both"/>
      </w:pPr>
      <w:r>
        <w:rPr>
          <w:rFonts w:ascii="Times New Roman"/>
          <w:b w:val="false"/>
          <w:i w:val="false"/>
          <w:color w:val="000000"/>
          <w:sz w:val="28"/>
        </w:rPr>
        <w:t>
      абсорбция (с указанием скорости и степени);</w:t>
      </w:r>
    </w:p>
    <w:bookmarkEnd w:id="946"/>
    <w:bookmarkStart w:name="z873" w:id="947"/>
    <w:p>
      <w:pPr>
        <w:spacing w:after="0"/>
        <w:ind w:left="0"/>
        <w:jc w:val="both"/>
      </w:pPr>
      <w:r>
        <w:rPr>
          <w:rFonts w:ascii="Times New Roman"/>
          <w:b w:val="false"/>
          <w:i w:val="false"/>
          <w:color w:val="000000"/>
          <w:sz w:val="28"/>
        </w:rPr>
        <w:t>
      распределение;</w:t>
      </w:r>
    </w:p>
    <w:bookmarkEnd w:id="947"/>
    <w:bookmarkStart w:name="z874" w:id="948"/>
    <w:p>
      <w:pPr>
        <w:spacing w:after="0"/>
        <w:ind w:left="0"/>
        <w:jc w:val="both"/>
      </w:pPr>
      <w:r>
        <w:rPr>
          <w:rFonts w:ascii="Times New Roman"/>
          <w:b w:val="false"/>
          <w:i w:val="false"/>
          <w:color w:val="000000"/>
          <w:sz w:val="28"/>
        </w:rPr>
        <w:t>
      метаболизм;</w:t>
      </w:r>
    </w:p>
    <w:bookmarkEnd w:id="948"/>
    <w:bookmarkStart w:name="z875" w:id="949"/>
    <w:p>
      <w:pPr>
        <w:spacing w:after="0"/>
        <w:ind w:left="0"/>
        <w:jc w:val="both"/>
      </w:pPr>
      <w:r>
        <w:rPr>
          <w:rFonts w:ascii="Times New Roman"/>
          <w:b w:val="false"/>
          <w:i w:val="false"/>
          <w:color w:val="000000"/>
          <w:sz w:val="28"/>
        </w:rPr>
        <w:t>
      выведение.</w:t>
      </w:r>
    </w:p>
    <w:bookmarkEnd w:id="949"/>
    <w:bookmarkStart w:name="z876" w:id="950"/>
    <w:p>
      <w:pPr>
        <w:spacing w:after="0"/>
        <w:ind w:left="0"/>
        <w:jc w:val="both"/>
      </w:pPr>
      <w:r>
        <w:rPr>
          <w:rFonts w:ascii="Times New Roman"/>
          <w:b w:val="false"/>
          <w:i w:val="false"/>
          <w:color w:val="000000"/>
          <w:sz w:val="28"/>
        </w:rPr>
        <w:t>
      Необходимо представить описание клинически важных характеристик (включая значение кинетических данных при определении режима дозирования лекарственного препарата для пациентов из групп риска) и различий между человеком и видами животных, использованных при проведении доклинических исследований.</w:t>
      </w:r>
    </w:p>
    <w:bookmarkEnd w:id="950"/>
    <w:bookmarkStart w:name="z877" w:id="951"/>
    <w:p>
      <w:pPr>
        <w:spacing w:after="0"/>
        <w:ind w:left="0"/>
        <w:jc w:val="both"/>
      </w:pPr>
      <w:r>
        <w:rPr>
          <w:rFonts w:ascii="Times New Roman"/>
          <w:b w:val="false"/>
          <w:i w:val="false"/>
          <w:color w:val="000000"/>
          <w:sz w:val="28"/>
        </w:rPr>
        <w:t>
      В регистрационном досье лекарственного препарата помимо информации о стандартных фармакокинетических исследованиях с использованием значительного количества образцов при анализе популяционной фармакокинетики, основанных на разреженном отборе проб во время клинических исследований, может приводиться информация о влиянии внутренних и внешних факторов на вариабельность взаимосвязи между дозой и значениями фармакокинетических параметров (реакцией).</w:t>
      </w:r>
    </w:p>
    <w:bookmarkEnd w:id="951"/>
    <w:bookmarkStart w:name="z878" w:id="952"/>
    <w:p>
      <w:pPr>
        <w:spacing w:after="0"/>
        <w:ind w:left="0"/>
        <w:jc w:val="both"/>
      </w:pPr>
      <w:r>
        <w:rPr>
          <w:rFonts w:ascii="Times New Roman"/>
          <w:b w:val="false"/>
          <w:i w:val="false"/>
          <w:color w:val="000000"/>
          <w:sz w:val="28"/>
        </w:rPr>
        <w:t>
      Необходимо представить отчеты об исследовании фармакокинетики и первые исследования переносимости лекарственного препарата здоровыми добровольцами и пациентами, отчеты об изучении фармакокинетики с целью оценки влияния внутренних и внешних факторов, а также отчеты о популяционной фармакокинетике;</w:t>
      </w:r>
    </w:p>
    <w:bookmarkEnd w:id="952"/>
    <w:bookmarkStart w:name="z879" w:id="953"/>
    <w:p>
      <w:pPr>
        <w:spacing w:after="0"/>
        <w:ind w:left="0"/>
        <w:jc w:val="both"/>
      </w:pPr>
      <w:r>
        <w:rPr>
          <w:rFonts w:ascii="Times New Roman"/>
          <w:b w:val="false"/>
          <w:i w:val="false"/>
          <w:color w:val="000000"/>
          <w:sz w:val="28"/>
        </w:rPr>
        <w:t>
      если лекарственный препарат применяется вместе с другими лекарственными препаратами, в регистрационном досье лекарственного препарата должно быть представлено описание исследования их одновременного применения, которое проводилось для демонстрации возможного изменения фармакологического действия. Необходимо представить информацию об изучении фармакокинетического взаимодействия активного вещества с другими лекарственными препаратами или веществами.</w:t>
      </w:r>
    </w:p>
    <w:bookmarkEnd w:id="953"/>
    <w:bookmarkStart w:name="z880" w:id="954"/>
    <w:p>
      <w:pPr>
        <w:spacing w:after="0"/>
        <w:ind w:left="0"/>
        <w:jc w:val="both"/>
      </w:pPr>
      <w:r>
        <w:rPr>
          <w:rFonts w:ascii="Times New Roman"/>
          <w:b w:val="false"/>
          <w:i w:val="false"/>
          <w:color w:val="000000"/>
          <w:sz w:val="28"/>
        </w:rPr>
        <w:t>
      5.3.4. Отчеты о фармакодинамических исследованиях у человека:</w:t>
      </w:r>
    </w:p>
    <w:bookmarkEnd w:id="954"/>
    <w:bookmarkStart w:name="z881" w:id="955"/>
    <w:p>
      <w:pPr>
        <w:spacing w:after="0"/>
        <w:ind w:left="0"/>
        <w:jc w:val="both"/>
      </w:pPr>
      <w:r>
        <w:rPr>
          <w:rFonts w:ascii="Times New Roman"/>
          <w:b w:val="false"/>
          <w:i w:val="false"/>
          <w:color w:val="000000"/>
          <w:sz w:val="28"/>
        </w:rPr>
        <w:t>
      а) в регистрационном досье необходимо подтвердить корреляцию фармакодинамического действия и эффективности, включая:</w:t>
      </w:r>
    </w:p>
    <w:bookmarkEnd w:id="955"/>
    <w:bookmarkStart w:name="z882" w:id="956"/>
    <w:p>
      <w:pPr>
        <w:spacing w:after="0"/>
        <w:ind w:left="0"/>
        <w:jc w:val="both"/>
      </w:pPr>
      <w:r>
        <w:rPr>
          <w:rFonts w:ascii="Times New Roman"/>
          <w:b w:val="false"/>
          <w:i w:val="false"/>
          <w:color w:val="000000"/>
          <w:sz w:val="28"/>
        </w:rPr>
        <w:t>
      зависимость доза - эффект и ее развитие во времени;</w:t>
      </w:r>
    </w:p>
    <w:bookmarkEnd w:id="956"/>
    <w:bookmarkStart w:name="z883" w:id="957"/>
    <w:p>
      <w:pPr>
        <w:spacing w:after="0"/>
        <w:ind w:left="0"/>
        <w:jc w:val="both"/>
      </w:pPr>
      <w:r>
        <w:rPr>
          <w:rFonts w:ascii="Times New Roman"/>
          <w:b w:val="false"/>
          <w:i w:val="false"/>
          <w:color w:val="000000"/>
          <w:sz w:val="28"/>
        </w:rPr>
        <w:t>
      обоснование режима дозирования и условий введения;</w:t>
      </w:r>
    </w:p>
    <w:bookmarkEnd w:id="957"/>
    <w:bookmarkStart w:name="z884" w:id="958"/>
    <w:p>
      <w:pPr>
        <w:spacing w:after="0"/>
        <w:ind w:left="0"/>
        <w:jc w:val="both"/>
      </w:pPr>
      <w:r>
        <w:rPr>
          <w:rFonts w:ascii="Times New Roman"/>
          <w:b w:val="false"/>
          <w:i w:val="false"/>
          <w:color w:val="000000"/>
          <w:sz w:val="28"/>
        </w:rPr>
        <w:t>
      механизм действия, если возможно.</w:t>
      </w:r>
    </w:p>
    <w:bookmarkEnd w:id="958"/>
    <w:bookmarkStart w:name="z885" w:id="959"/>
    <w:p>
      <w:pPr>
        <w:spacing w:after="0"/>
        <w:ind w:left="0"/>
        <w:jc w:val="both"/>
      </w:pPr>
      <w:r>
        <w:rPr>
          <w:rFonts w:ascii="Times New Roman"/>
          <w:b w:val="false"/>
          <w:i w:val="false"/>
          <w:color w:val="000000"/>
          <w:sz w:val="28"/>
        </w:rPr>
        <w:t>
      Необходимо представить описание фармакодинамического действия, не связанного с эффективностью. Подтверждение фармакодинамических эффектов у человека не является достаточным обоснованием наличия какого-либо определенного терапевтического эффекта;</w:t>
      </w:r>
    </w:p>
    <w:bookmarkEnd w:id="959"/>
    <w:bookmarkStart w:name="z886" w:id="960"/>
    <w:p>
      <w:pPr>
        <w:spacing w:after="0"/>
        <w:ind w:left="0"/>
        <w:jc w:val="both"/>
      </w:pPr>
      <w:r>
        <w:rPr>
          <w:rFonts w:ascii="Times New Roman"/>
          <w:b w:val="false"/>
          <w:i w:val="false"/>
          <w:color w:val="000000"/>
          <w:sz w:val="28"/>
        </w:rPr>
        <w:t>
      б) если лекарственный препарат применяется вместе с другими лекарственными препаратами, необходимо представить описание исследования их одновременного применения, которое проводилось для демонстрации возможного изменения фармакологического действия лекарственного препарата. Необходимо указать информацию об изучении фармакодинамического взаимодействия активного вещества с другими лекарственными препаратами или веществами.</w:t>
      </w:r>
    </w:p>
    <w:bookmarkEnd w:id="960"/>
    <w:bookmarkStart w:name="z887" w:id="961"/>
    <w:p>
      <w:pPr>
        <w:spacing w:after="0"/>
        <w:ind w:left="0"/>
        <w:jc w:val="both"/>
      </w:pPr>
      <w:r>
        <w:rPr>
          <w:rFonts w:ascii="Times New Roman"/>
          <w:b w:val="false"/>
          <w:i w:val="false"/>
          <w:color w:val="000000"/>
          <w:sz w:val="28"/>
        </w:rPr>
        <w:t>
      5.3.5. Отчеты об исследовании эффективности и безопасности.</w:t>
      </w:r>
    </w:p>
    <w:bookmarkEnd w:id="961"/>
    <w:bookmarkStart w:name="z888" w:id="962"/>
    <w:p>
      <w:pPr>
        <w:spacing w:after="0"/>
        <w:ind w:left="0"/>
        <w:jc w:val="both"/>
      </w:pPr>
      <w:r>
        <w:rPr>
          <w:rFonts w:ascii="Times New Roman"/>
          <w:b w:val="false"/>
          <w:i w:val="false"/>
          <w:color w:val="000000"/>
          <w:sz w:val="28"/>
        </w:rPr>
        <w:t>
      5.3.5.1. Отчеты о контролируемых клинических исследованиях относительно подтверждения заявленных показаний к применению.</w:t>
      </w:r>
    </w:p>
    <w:bookmarkEnd w:id="962"/>
    <w:bookmarkStart w:name="z889" w:id="963"/>
    <w:p>
      <w:pPr>
        <w:spacing w:after="0"/>
        <w:ind w:left="0"/>
        <w:jc w:val="both"/>
      </w:pPr>
      <w:r>
        <w:rPr>
          <w:rFonts w:ascii="Times New Roman"/>
          <w:b w:val="false"/>
          <w:i w:val="false"/>
          <w:color w:val="000000"/>
          <w:sz w:val="28"/>
        </w:rPr>
        <w:t>
      Должна быть представлена информация о проведенных клинических исследованиях, которые по возможности должны быть рандомизированными и контролируемыми, и в рамках которых исследуемый лекарственный препарат сравнивается с плацебо и (или) лекарственным препаратом с доказанной терапевтической эффективностью, а использование любого другого дизайна исследования необходимо обосновать. Выбор контрольных групп в каждом конкретном случае зависит от этических аспектов и области применения, поэтому в отдельных случаях целесообразнее сравнивать эффективность нового лекарственного препарата с эффективностью лекарственного препарата с доказанной (установленной) терапевтической эффективностью, а не с плацебо.</w:t>
      </w:r>
    </w:p>
    <w:bookmarkEnd w:id="963"/>
    <w:bookmarkStart w:name="z890" w:id="964"/>
    <w:p>
      <w:pPr>
        <w:spacing w:after="0"/>
        <w:ind w:left="0"/>
        <w:jc w:val="both"/>
      </w:pPr>
      <w:r>
        <w:rPr>
          <w:rFonts w:ascii="Times New Roman"/>
          <w:b w:val="false"/>
          <w:i w:val="false"/>
          <w:color w:val="000000"/>
          <w:sz w:val="28"/>
        </w:rPr>
        <w:t>
      При представлении оценки необходимо применять меры, позволяющие избежать необъективности, включая методы рандомизации и слепого контроля.</w:t>
      </w:r>
    </w:p>
    <w:bookmarkEnd w:id="964"/>
    <w:bookmarkStart w:name="z891" w:id="965"/>
    <w:p>
      <w:pPr>
        <w:spacing w:after="0"/>
        <w:ind w:left="0"/>
        <w:jc w:val="both"/>
      </w:pPr>
      <w:r>
        <w:rPr>
          <w:rFonts w:ascii="Times New Roman"/>
          <w:b w:val="false"/>
          <w:i w:val="false"/>
          <w:color w:val="000000"/>
          <w:sz w:val="28"/>
        </w:rPr>
        <w:t>
      Протокол исследования, включенный в регистрационное досье лекарственного препарата, должен включать описание использованных статистических методов, число пациентов и причины их включения в клиническое исследование (в том числе расчеты статистической мощности исследований), примененный уровень значимости и описание статистической единицы (используемые статистические параметры). Меры, предпринятые для того, чтобы избежать необъективной оценки (особенно методы рандомизации), должны быть соответственно обоснованы и документированы. Информация о включении для участия в клиническое исследование большого количества пациентов не является равноценной заменой соответствующим образом контролируемому исследованию.</w:t>
      </w:r>
    </w:p>
    <w:bookmarkEnd w:id="965"/>
    <w:bookmarkStart w:name="z892" w:id="966"/>
    <w:p>
      <w:pPr>
        <w:spacing w:after="0"/>
        <w:ind w:left="0"/>
        <w:jc w:val="both"/>
      </w:pPr>
      <w:r>
        <w:rPr>
          <w:rFonts w:ascii="Times New Roman"/>
          <w:b w:val="false"/>
          <w:i w:val="false"/>
          <w:color w:val="000000"/>
          <w:sz w:val="28"/>
        </w:rPr>
        <w:t>
      При проведении анализа данных о безопасности необходимо уделить внимание обстоятельствам, которые привели к корректировке режима дозирования или необходимости сопутствующего применения другого лекарственного препарата, серьезным нежелательным явлениям, явлениям, которые стали причиной исключения из участия в клиническом исследовании и привели к смерти пациента. Необходимо идентифицировать пациентов или группы пациентов исследования с повышенной степенью риска и обратить особое внимание на потенциально уязвимые группы, количество пациентов в которых может быть небольшим (например, дети, беременные, люди пожилого возраста с ослабленным здоровьем, люди со значительными нарушениями обмена веществ или экскреции и др.). Должна быть описана итоговая оценка безопасности в отношении возможных областей применения лекарственного препарата.</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5.3.5.1.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3" w:id="967"/>
    <w:p>
      <w:pPr>
        <w:spacing w:after="0"/>
        <w:ind w:left="0"/>
        <w:jc w:val="both"/>
      </w:pPr>
      <w:r>
        <w:rPr>
          <w:rFonts w:ascii="Times New Roman"/>
          <w:b w:val="false"/>
          <w:i w:val="false"/>
          <w:color w:val="000000"/>
          <w:sz w:val="28"/>
        </w:rPr>
        <w:t>
      5.3.5.2. Отчеты о неконтролируемых клинических исследованиях, отчеты об анализах данных по нескольким исследованиям и отчеты о других клинических исследованиях.</w:t>
      </w:r>
    </w:p>
    <w:bookmarkEnd w:id="967"/>
    <w:bookmarkStart w:name="z894" w:id="968"/>
    <w:p>
      <w:pPr>
        <w:spacing w:after="0"/>
        <w:ind w:left="0"/>
        <w:jc w:val="both"/>
      </w:pPr>
      <w:r>
        <w:rPr>
          <w:rFonts w:ascii="Times New Roman"/>
          <w:b w:val="false"/>
          <w:i w:val="false"/>
          <w:color w:val="000000"/>
          <w:sz w:val="28"/>
        </w:rPr>
        <w:t>
      Эти отчеты необходимо включить в регистрационное досье лекарственного препарата.</w:t>
      </w:r>
    </w:p>
    <w:bookmarkEnd w:id="968"/>
    <w:bookmarkStart w:name="z895" w:id="969"/>
    <w:p>
      <w:pPr>
        <w:spacing w:after="0"/>
        <w:ind w:left="0"/>
        <w:jc w:val="both"/>
      </w:pPr>
      <w:r>
        <w:rPr>
          <w:rFonts w:ascii="Times New Roman"/>
          <w:b w:val="false"/>
          <w:i w:val="false"/>
          <w:color w:val="000000"/>
          <w:sz w:val="28"/>
        </w:rPr>
        <w:t>
      5.3.6. Отчеты о пострегистрационном опыте применения.</w:t>
      </w:r>
    </w:p>
    <w:bookmarkEnd w:id="969"/>
    <w:bookmarkStart w:name="z896" w:id="970"/>
    <w:p>
      <w:pPr>
        <w:spacing w:after="0"/>
        <w:ind w:left="0"/>
        <w:jc w:val="both"/>
      </w:pPr>
      <w:r>
        <w:rPr>
          <w:rFonts w:ascii="Times New Roman"/>
          <w:b w:val="false"/>
          <w:i w:val="false"/>
          <w:color w:val="000000"/>
          <w:sz w:val="28"/>
        </w:rPr>
        <w:t>
      Если лекарственный препарат уже зарегистрирован в других странах, в регистрационное досье лекарственного препарата необходимо включить информацию о нежелательных реакциях на рассматриваемый лекарственный препарат и лекарственные препараты с тем же активным веществом (по возможности в сравнении с объемом их клинического применения).</w:t>
      </w:r>
    </w:p>
    <w:bookmarkEnd w:id="970"/>
    <w:bookmarkStart w:name="z897" w:id="971"/>
    <w:p>
      <w:pPr>
        <w:spacing w:after="0"/>
        <w:ind w:left="0"/>
        <w:jc w:val="both"/>
      </w:pPr>
      <w:r>
        <w:rPr>
          <w:rFonts w:ascii="Times New Roman"/>
          <w:b w:val="false"/>
          <w:i w:val="false"/>
          <w:color w:val="000000"/>
          <w:sz w:val="28"/>
        </w:rPr>
        <w:t>
      5.3.7. Индивидуальные регистрационные карты и перечни пациентов.</w:t>
      </w:r>
    </w:p>
    <w:bookmarkEnd w:id="971"/>
    <w:bookmarkStart w:name="z898" w:id="972"/>
    <w:p>
      <w:pPr>
        <w:spacing w:after="0"/>
        <w:ind w:left="0"/>
        <w:jc w:val="both"/>
      </w:pPr>
      <w:r>
        <w:rPr>
          <w:rFonts w:ascii="Times New Roman"/>
          <w:b w:val="false"/>
          <w:i w:val="false"/>
          <w:color w:val="000000"/>
          <w:sz w:val="28"/>
        </w:rPr>
        <w:t>
      К регистрационному досье лекарственного препарата прилагаются индивидуальные регистрационные карты и перечни пациентов, которые подлежат представлению в том же порядке, что и отчеты о клинических исследованиях с индексацией по исследованию и с сохранением конфиденциальности персональных данных пациентов исследования.</w:t>
      </w:r>
    </w:p>
    <w:bookmarkEnd w:id="972"/>
    <w:bookmarkStart w:name="z899" w:id="973"/>
    <w:p>
      <w:pPr>
        <w:spacing w:after="0"/>
        <w:ind w:left="0"/>
        <w:jc w:val="both"/>
      </w:pPr>
      <w:r>
        <w:rPr>
          <w:rFonts w:ascii="Times New Roman"/>
          <w:b w:val="false"/>
          <w:i w:val="false"/>
          <w:color w:val="000000"/>
          <w:sz w:val="28"/>
        </w:rPr>
        <w:t>
      Также к регистрационному досье прилагаются данные лабораторных и инструментальных методов исследования, статистической обработки результатов клинических исследований.</w:t>
      </w:r>
    </w:p>
    <w:bookmarkEnd w:id="973"/>
    <w:bookmarkStart w:name="z900" w:id="974"/>
    <w:p>
      <w:pPr>
        <w:spacing w:after="0"/>
        <w:ind w:left="0"/>
        <w:jc w:val="left"/>
      </w:pPr>
      <w:r>
        <w:rPr>
          <w:rFonts w:ascii="Times New Roman"/>
          <w:b/>
          <w:i w:val="false"/>
          <w:color w:val="000000"/>
        </w:rPr>
        <w:t xml:space="preserve"> II. Специальные требования к модулям регистрационного досье лекарственного препарата</w:t>
      </w:r>
    </w:p>
    <w:bookmarkEnd w:id="974"/>
    <w:bookmarkStart w:name="z901" w:id="975"/>
    <w:p>
      <w:pPr>
        <w:spacing w:after="0"/>
        <w:ind w:left="0"/>
        <w:jc w:val="left"/>
      </w:pPr>
      <w:r>
        <w:rPr>
          <w:rFonts w:ascii="Times New Roman"/>
          <w:b/>
          <w:i w:val="false"/>
          <w:color w:val="000000"/>
        </w:rPr>
        <w:t xml:space="preserve"> 6. Требования к документам регистрационного досье воспроизведенных лекарственных препаратов </w:t>
      </w:r>
    </w:p>
    <w:bookmarkEnd w:id="975"/>
    <w:bookmarkStart w:name="z902" w:id="976"/>
    <w:p>
      <w:pPr>
        <w:spacing w:after="0"/>
        <w:ind w:left="0"/>
        <w:jc w:val="both"/>
      </w:pPr>
      <w:r>
        <w:rPr>
          <w:rFonts w:ascii="Times New Roman"/>
          <w:b w:val="false"/>
          <w:i w:val="false"/>
          <w:color w:val="000000"/>
          <w:sz w:val="28"/>
        </w:rPr>
        <w:t>
      Регистрационное досье воспроизведенного лекарственного препарата представляется в соответствии с требованиями настоящего раздела с учетом правил проведения исследований биоэквивалентности лекарственных препаратов в рамках Евразийского экономического союза, утверждаемых Комиссией.</w:t>
      </w:r>
    </w:p>
    <w:bookmarkEnd w:id="976"/>
    <w:bookmarkStart w:name="z903" w:id="977"/>
    <w:p>
      <w:pPr>
        <w:spacing w:after="0"/>
        <w:ind w:left="0"/>
        <w:jc w:val="both"/>
      </w:pPr>
      <w:r>
        <w:rPr>
          <w:rFonts w:ascii="Times New Roman"/>
          <w:b w:val="false"/>
          <w:i w:val="false"/>
          <w:color w:val="000000"/>
          <w:sz w:val="28"/>
        </w:rPr>
        <w:t>
      Выбор референтного препарата в исследованиях биоэквивалентности осуществляется в соответствии с правилами проведения исследований биоэквивалентности лекарственных препаратов в рамках Евразийского экономического союза, утверждаемыми Комиссией.</w:t>
      </w:r>
    </w:p>
    <w:bookmarkEnd w:id="977"/>
    <w:bookmarkStart w:name="z904" w:id="978"/>
    <w:p>
      <w:pPr>
        <w:spacing w:after="0"/>
        <w:ind w:left="0"/>
        <w:jc w:val="both"/>
      </w:pPr>
      <w:r>
        <w:rPr>
          <w:rFonts w:ascii="Times New Roman"/>
          <w:b w:val="false"/>
          <w:i w:val="false"/>
          <w:color w:val="000000"/>
          <w:sz w:val="28"/>
        </w:rPr>
        <w:t>
      Биоэквивалентность воспроизведенного лекарственного препарата оригинальному лекарственному препарату должна быть продемонстрирована соответствующими исследованиями биодоступности в соответствии с правилами проведения исследований биоэквивалентности лекарственных препаратов в рамках Евразийского экономического союза, утверждаемыми Комиссией.</w:t>
      </w:r>
    </w:p>
    <w:bookmarkEnd w:id="978"/>
    <w:bookmarkStart w:name="z905" w:id="979"/>
    <w:p>
      <w:pPr>
        <w:spacing w:after="0"/>
        <w:ind w:left="0"/>
        <w:jc w:val="both"/>
      </w:pPr>
      <w:r>
        <w:rPr>
          <w:rFonts w:ascii="Times New Roman"/>
          <w:b w:val="false"/>
          <w:i w:val="false"/>
          <w:color w:val="000000"/>
          <w:sz w:val="28"/>
        </w:rPr>
        <w:t>
      Общая характеристика лекарственного препарата и инструкция по медицинскому применению воспроизведенного лекарственного препарата должны соответствовать общей характеристике лекарственного препарата и инструкции по медицинскому применению оригинального лекарственного препарата. В случае отличия показаний к применению в сторону расширения или режима дозирования либо пути введения в инструкции по медицинскому применению воспроизведенного лекарственного препарата от оригинального лекарственного препарата следует представить результаты соответствующих клинических исследований.</w:t>
      </w:r>
    </w:p>
    <w:bookmarkEnd w:id="979"/>
    <w:bookmarkStart w:name="z906" w:id="980"/>
    <w:p>
      <w:pPr>
        <w:spacing w:after="0"/>
        <w:ind w:left="0"/>
        <w:jc w:val="both"/>
      </w:pPr>
      <w:r>
        <w:rPr>
          <w:rFonts w:ascii="Times New Roman"/>
          <w:b w:val="false"/>
          <w:i w:val="false"/>
          <w:color w:val="000000"/>
          <w:sz w:val="28"/>
        </w:rPr>
        <w:t>
      6.1. Модуль 1.</w:t>
      </w:r>
    </w:p>
    <w:bookmarkEnd w:id="980"/>
    <w:bookmarkStart w:name="z907" w:id="981"/>
    <w:p>
      <w:pPr>
        <w:spacing w:after="0"/>
        <w:ind w:left="0"/>
        <w:jc w:val="both"/>
      </w:pPr>
      <w:r>
        <w:rPr>
          <w:rFonts w:ascii="Times New Roman"/>
          <w:b w:val="false"/>
          <w:i w:val="false"/>
          <w:color w:val="000000"/>
          <w:sz w:val="28"/>
        </w:rPr>
        <w:t>
      В разделе 1.8.2 регистрационного досье воспроизведенного лекарственного препарата заявитель должен представить резюме (до 5 страниц) обоснований и фактов, показывающих, что лекарственный препарат является воспроизведенным лекарственным препаратом соответствующего оригинального лекарственного препарата. Указанное резюме должно содержать информацию о препарате, его качественном составе и количественном содержании в нем активного вещества, его лекарственной форме и профиле безопасности и (или) эффективности его активного вещества по сравнению с активным веществом оригинального препарата, а также при необходимости сведения о биологической доступности и биоэквивалентности данного препарата.</w:t>
      </w:r>
    </w:p>
    <w:bookmarkEnd w:id="981"/>
    <w:bookmarkStart w:name="z908" w:id="982"/>
    <w:p>
      <w:pPr>
        <w:spacing w:after="0"/>
        <w:ind w:left="0"/>
        <w:jc w:val="both"/>
      </w:pPr>
      <w:r>
        <w:rPr>
          <w:rFonts w:ascii="Times New Roman"/>
          <w:b w:val="false"/>
          <w:i w:val="false"/>
          <w:color w:val="000000"/>
          <w:sz w:val="28"/>
        </w:rPr>
        <w:t>
      В частных случаях может потребоваться план управления рисками.</w:t>
      </w:r>
    </w:p>
    <w:bookmarkEnd w:id="982"/>
    <w:bookmarkStart w:name="z909" w:id="983"/>
    <w:p>
      <w:pPr>
        <w:spacing w:after="0"/>
        <w:ind w:left="0"/>
        <w:jc w:val="both"/>
      </w:pPr>
      <w:r>
        <w:rPr>
          <w:rFonts w:ascii="Times New Roman"/>
          <w:b w:val="false"/>
          <w:i w:val="false"/>
          <w:color w:val="000000"/>
          <w:sz w:val="28"/>
        </w:rPr>
        <w:t>
      При отсутствии в резюме некоторых из перечисленных в настоящем пункте элементов следует представить обоснование их отсутствия в соответствующем разделе регистрационного досье лекарственного препарата.</w:t>
      </w:r>
    </w:p>
    <w:bookmarkEnd w:id="983"/>
    <w:bookmarkStart w:name="z910" w:id="984"/>
    <w:p>
      <w:pPr>
        <w:spacing w:after="0"/>
        <w:ind w:left="0"/>
        <w:jc w:val="both"/>
      </w:pPr>
      <w:r>
        <w:rPr>
          <w:rFonts w:ascii="Times New Roman"/>
          <w:b w:val="false"/>
          <w:i w:val="false"/>
          <w:color w:val="000000"/>
          <w:sz w:val="28"/>
        </w:rPr>
        <w:t>
      6.2. Модуль 2.</w:t>
      </w:r>
    </w:p>
    <w:bookmarkEnd w:id="984"/>
    <w:bookmarkStart w:name="z911" w:id="985"/>
    <w:p>
      <w:pPr>
        <w:spacing w:after="0"/>
        <w:ind w:left="0"/>
        <w:jc w:val="both"/>
      </w:pPr>
      <w:r>
        <w:rPr>
          <w:rFonts w:ascii="Times New Roman"/>
          <w:b w:val="false"/>
          <w:i w:val="false"/>
          <w:color w:val="000000"/>
          <w:sz w:val="28"/>
        </w:rPr>
        <w:t>
      В обзоре доклинических и клинических данных должны быть указаны:</w:t>
      </w:r>
    </w:p>
    <w:bookmarkEnd w:id="985"/>
    <w:bookmarkStart w:name="z912" w:id="986"/>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 возможные продукты разложения, образующиеся при хранении лекарственного препарата) в сериях лекарственного препарата, который подлежит реализации на фармацевтическом рынке;</w:t>
      </w:r>
    </w:p>
    <w:bookmarkEnd w:id="986"/>
    <w:bookmarkStart w:name="z913" w:id="987"/>
    <w:p>
      <w:pPr>
        <w:spacing w:after="0"/>
        <w:ind w:left="0"/>
        <w:jc w:val="both"/>
      </w:pPr>
      <w:r>
        <w:rPr>
          <w:rFonts w:ascii="Times New Roman"/>
          <w:b w:val="false"/>
          <w:i w:val="false"/>
          <w:color w:val="000000"/>
          <w:sz w:val="28"/>
        </w:rPr>
        <w:t>
      оценка исследований биоэквивалентности или объяснение причины, по которой исследования биоэквивалентности не проводились;</w:t>
      </w:r>
    </w:p>
    <w:bookmarkEnd w:id="987"/>
    <w:bookmarkStart w:name="z914" w:id="988"/>
    <w:p>
      <w:pPr>
        <w:spacing w:after="0"/>
        <w:ind w:left="0"/>
        <w:jc w:val="both"/>
      </w:pPr>
      <w:r>
        <w:rPr>
          <w:rFonts w:ascii="Times New Roman"/>
          <w:b w:val="false"/>
          <w:i w:val="false"/>
          <w:color w:val="000000"/>
          <w:sz w:val="28"/>
        </w:rPr>
        <w:t>
      обновление литературных публикаций об активном веществе данного лекарственного препарата (данное требование может выполняться посредством указания ссылок на публикации в рецензируемых журналах);</w:t>
      </w:r>
    </w:p>
    <w:bookmarkEnd w:id="988"/>
    <w:bookmarkStart w:name="z915" w:id="989"/>
    <w:p>
      <w:pPr>
        <w:spacing w:after="0"/>
        <w:ind w:left="0"/>
        <w:jc w:val="both"/>
      </w:pPr>
      <w:r>
        <w:rPr>
          <w:rFonts w:ascii="Times New Roman"/>
          <w:b w:val="false"/>
          <w:i w:val="false"/>
          <w:color w:val="000000"/>
          <w:sz w:val="28"/>
        </w:rPr>
        <w:t>
      ранее неизвестные или следующие из характеристик препарата и (или) его терапевтической группы пункты в общей характеристике лекарственного препарата, которые следует проанализировать в доклинических и клинических обзорах (резюме) и подкрепить доказательствами из научной литературы и (или) доказательствами, полученными в результате проведения дополнительных исследований;</w:t>
      </w:r>
    </w:p>
    <w:bookmarkEnd w:id="989"/>
    <w:bookmarkStart w:name="z916" w:id="990"/>
    <w:p>
      <w:pPr>
        <w:spacing w:after="0"/>
        <w:ind w:left="0"/>
        <w:jc w:val="both"/>
      </w:pPr>
      <w:r>
        <w:rPr>
          <w:rFonts w:ascii="Times New Roman"/>
          <w:b w:val="false"/>
          <w:i w:val="false"/>
          <w:color w:val="000000"/>
          <w:sz w:val="28"/>
        </w:rPr>
        <w:t>
      дополнительная информация, доказывающая, что профили безопасности и (или) эффективности заявленного препарата не отличаются от таковых у референтного препарата в случае различия химических форм активного вещества (солей, эфиров, изомеров, смеси изомеров, комплексов или производных от активного вещества референтного препарата).</w:t>
      </w:r>
    </w:p>
    <w:bookmarkEnd w:id="990"/>
    <w:bookmarkStart w:name="z917" w:id="991"/>
    <w:p>
      <w:pPr>
        <w:spacing w:after="0"/>
        <w:ind w:left="0"/>
        <w:jc w:val="both"/>
      </w:pPr>
      <w:r>
        <w:rPr>
          <w:rFonts w:ascii="Times New Roman"/>
          <w:b w:val="false"/>
          <w:i w:val="false"/>
          <w:color w:val="000000"/>
          <w:sz w:val="28"/>
        </w:rPr>
        <w:t>
      6.3. Модуль 3.</w:t>
      </w:r>
    </w:p>
    <w:bookmarkEnd w:id="991"/>
    <w:bookmarkStart w:name="z918" w:id="992"/>
    <w:p>
      <w:pPr>
        <w:spacing w:after="0"/>
        <w:ind w:left="0"/>
        <w:jc w:val="both"/>
      </w:pPr>
      <w:r>
        <w:rPr>
          <w:rFonts w:ascii="Times New Roman"/>
          <w:b w:val="false"/>
          <w:i w:val="false"/>
          <w:color w:val="000000"/>
          <w:sz w:val="28"/>
        </w:rPr>
        <w:t>
      Следует представить модуль 3 регистрационного досье лекарственного препарата полностью.</w:t>
      </w:r>
    </w:p>
    <w:bookmarkEnd w:id="992"/>
    <w:bookmarkStart w:name="z919" w:id="993"/>
    <w:p>
      <w:pPr>
        <w:spacing w:after="0"/>
        <w:ind w:left="0"/>
        <w:jc w:val="both"/>
      </w:pPr>
      <w:r>
        <w:rPr>
          <w:rFonts w:ascii="Times New Roman"/>
          <w:b w:val="false"/>
          <w:i w:val="false"/>
          <w:color w:val="000000"/>
          <w:sz w:val="28"/>
        </w:rPr>
        <w:t>
      6.4. Модуль 4 и модуль 5.</w:t>
      </w:r>
    </w:p>
    <w:bookmarkEnd w:id="993"/>
    <w:bookmarkStart w:name="z920" w:id="994"/>
    <w:p>
      <w:pPr>
        <w:spacing w:after="0"/>
        <w:ind w:left="0"/>
        <w:jc w:val="both"/>
      </w:pPr>
      <w:r>
        <w:rPr>
          <w:rFonts w:ascii="Times New Roman"/>
          <w:b w:val="false"/>
          <w:i w:val="false"/>
          <w:color w:val="000000"/>
          <w:sz w:val="28"/>
        </w:rPr>
        <w:t>
      Результаты исследований биоэквивалентности, проведенных в случаях, когда это необходимо, следует включить в раздел 5.3.1 регистрационного досье лекарственного препарата. Результаты доказательства эквивалентности по биовейверу должны быть представлены в подразделе 5.3.1.2. Также необходимо представить отчет о валидации биоаналитического метода. Также необходимо представить данные о концентрации, фармакокинетике и по статистическому анализу.</w:t>
      </w:r>
    </w:p>
    <w:bookmarkEnd w:id="994"/>
    <w:bookmarkStart w:name="z921" w:id="995"/>
    <w:p>
      <w:pPr>
        <w:spacing w:after="0"/>
        <w:ind w:left="0"/>
        <w:jc w:val="both"/>
      </w:pPr>
      <w:r>
        <w:rPr>
          <w:rFonts w:ascii="Times New Roman"/>
          <w:b w:val="false"/>
          <w:i w:val="false"/>
          <w:color w:val="000000"/>
          <w:sz w:val="28"/>
        </w:rPr>
        <w:t>
      В отчете о проведении исследований биоэквивалентности необходимо указать сведения об исследователе (с указанием его рабочего места), организации, в которой проводились исследования, и сроке проведения исследований. К отчету необходимо приложить сертификаты аудитов (при наличии).</w:t>
      </w:r>
    </w:p>
    <w:bookmarkEnd w:id="995"/>
    <w:bookmarkStart w:name="z922" w:id="996"/>
    <w:p>
      <w:pPr>
        <w:spacing w:after="0"/>
        <w:ind w:left="0"/>
        <w:jc w:val="both"/>
      </w:pPr>
      <w:r>
        <w:rPr>
          <w:rFonts w:ascii="Times New Roman"/>
          <w:b w:val="false"/>
          <w:i w:val="false"/>
          <w:color w:val="000000"/>
          <w:sz w:val="28"/>
        </w:rPr>
        <w:t>
      В отчете о проведении исследований биоэквивалентности или отдельном официальном письме должно указываться подтверждение выбора референтного лекарственного препарата в соответствии с правилами проведения исследований биоэквивалентности лекарственных препаратов в рамках Евразийского экономического союза, утверждаемыми Комиссией. Также указываются следующие сведения о референтном лекарственном препарате:</w:t>
      </w:r>
    </w:p>
    <w:bookmarkEnd w:id="996"/>
    <w:bookmarkStart w:name="z923" w:id="997"/>
    <w:p>
      <w:pPr>
        <w:spacing w:after="0"/>
        <w:ind w:left="0"/>
        <w:jc w:val="both"/>
      </w:pPr>
      <w:r>
        <w:rPr>
          <w:rFonts w:ascii="Times New Roman"/>
          <w:b w:val="false"/>
          <w:i w:val="false"/>
          <w:color w:val="000000"/>
          <w:sz w:val="28"/>
        </w:rPr>
        <w:t>
      торговое наименование;</w:t>
      </w:r>
    </w:p>
    <w:bookmarkEnd w:id="997"/>
    <w:bookmarkStart w:name="z924" w:id="998"/>
    <w:p>
      <w:pPr>
        <w:spacing w:after="0"/>
        <w:ind w:left="0"/>
        <w:jc w:val="both"/>
      </w:pPr>
      <w:r>
        <w:rPr>
          <w:rFonts w:ascii="Times New Roman"/>
          <w:b w:val="false"/>
          <w:i w:val="false"/>
          <w:color w:val="000000"/>
          <w:sz w:val="28"/>
        </w:rPr>
        <w:t>
      дозировка;</w:t>
      </w:r>
    </w:p>
    <w:bookmarkEnd w:id="998"/>
    <w:bookmarkStart w:name="z925" w:id="999"/>
    <w:p>
      <w:pPr>
        <w:spacing w:after="0"/>
        <w:ind w:left="0"/>
        <w:jc w:val="both"/>
      </w:pPr>
      <w:r>
        <w:rPr>
          <w:rFonts w:ascii="Times New Roman"/>
          <w:b w:val="false"/>
          <w:i w:val="false"/>
          <w:color w:val="000000"/>
          <w:sz w:val="28"/>
        </w:rPr>
        <w:t>
      лекарственная форма;</w:t>
      </w:r>
    </w:p>
    <w:bookmarkEnd w:id="999"/>
    <w:bookmarkStart w:name="z926" w:id="1000"/>
    <w:p>
      <w:pPr>
        <w:spacing w:after="0"/>
        <w:ind w:left="0"/>
        <w:jc w:val="both"/>
      </w:pPr>
      <w:r>
        <w:rPr>
          <w:rFonts w:ascii="Times New Roman"/>
          <w:b w:val="false"/>
          <w:i w:val="false"/>
          <w:color w:val="000000"/>
          <w:sz w:val="28"/>
        </w:rPr>
        <w:t>
      держатель регистрационного удостоверения;</w:t>
      </w:r>
    </w:p>
    <w:bookmarkEnd w:id="1000"/>
    <w:bookmarkStart w:name="z927" w:id="1001"/>
    <w:p>
      <w:pPr>
        <w:spacing w:after="0"/>
        <w:ind w:left="0"/>
        <w:jc w:val="both"/>
      </w:pPr>
      <w:r>
        <w:rPr>
          <w:rFonts w:ascii="Times New Roman"/>
          <w:b w:val="false"/>
          <w:i w:val="false"/>
          <w:color w:val="000000"/>
          <w:sz w:val="28"/>
        </w:rPr>
        <w:t>
      дата регистрации;</w:t>
      </w:r>
    </w:p>
    <w:bookmarkEnd w:id="1001"/>
    <w:bookmarkStart w:name="z928" w:id="1002"/>
    <w:p>
      <w:pPr>
        <w:spacing w:after="0"/>
        <w:ind w:left="0"/>
        <w:jc w:val="both"/>
      </w:pPr>
      <w:r>
        <w:rPr>
          <w:rFonts w:ascii="Times New Roman"/>
          <w:b w:val="false"/>
          <w:i w:val="false"/>
          <w:color w:val="000000"/>
          <w:sz w:val="28"/>
        </w:rPr>
        <w:t>
      номер регистрационного удостоверения;</w:t>
      </w:r>
    </w:p>
    <w:bookmarkEnd w:id="1002"/>
    <w:bookmarkStart w:name="z929" w:id="1003"/>
    <w:p>
      <w:pPr>
        <w:spacing w:after="0"/>
        <w:ind w:left="0"/>
        <w:jc w:val="both"/>
      </w:pPr>
      <w:r>
        <w:rPr>
          <w:rFonts w:ascii="Times New Roman"/>
          <w:b w:val="false"/>
          <w:i w:val="false"/>
          <w:color w:val="000000"/>
          <w:sz w:val="28"/>
        </w:rPr>
        <w:t>
      государство-член, на территории которого зарегистрирован референтный препарат;</w:t>
      </w:r>
    </w:p>
    <w:bookmarkEnd w:id="1003"/>
    <w:bookmarkStart w:name="z930" w:id="1004"/>
    <w:p>
      <w:pPr>
        <w:spacing w:after="0"/>
        <w:ind w:left="0"/>
        <w:jc w:val="both"/>
      </w:pPr>
      <w:r>
        <w:rPr>
          <w:rFonts w:ascii="Times New Roman"/>
          <w:b w:val="false"/>
          <w:i w:val="false"/>
          <w:color w:val="000000"/>
          <w:sz w:val="28"/>
        </w:rPr>
        <w:t>
      номер серии;</w:t>
      </w:r>
    </w:p>
    <w:bookmarkEnd w:id="1004"/>
    <w:bookmarkStart w:name="z931" w:id="1005"/>
    <w:p>
      <w:pPr>
        <w:spacing w:after="0"/>
        <w:ind w:left="0"/>
        <w:jc w:val="both"/>
      </w:pPr>
      <w:r>
        <w:rPr>
          <w:rFonts w:ascii="Times New Roman"/>
          <w:b w:val="false"/>
          <w:i w:val="false"/>
          <w:color w:val="000000"/>
          <w:sz w:val="28"/>
        </w:rPr>
        <w:t>
      наименование производителя;</w:t>
      </w:r>
    </w:p>
    <w:bookmarkEnd w:id="1005"/>
    <w:bookmarkStart w:name="z932" w:id="1006"/>
    <w:p>
      <w:pPr>
        <w:spacing w:after="0"/>
        <w:ind w:left="0"/>
        <w:jc w:val="both"/>
      </w:pPr>
      <w:r>
        <w:rPr>
          <w:rFonts w:ascii="Times New Roman"/>
          <w:b w:val="false"/>
          <w:i w:val="false"/>
          <w:color w:val="000000"/>
          <w:sz w:val="28"/>
        </w:rPr>
        <w:t>
      срок годности;</w:t>
      </w:r>
    </w:p>
    <w:bookmarkEnd w:id="1006"/>
    <w:bookmarkStart w:name="z933" w:id="1007"/>
    <w:p>
      <w:pPr>
        <w:spacing w:after="0"/>
        <w:ind w:left="0"/>
        <w:jc w:val="both"/>
      </w:pPr>
      <w:r>
        <w:rPr>
          <w:rFonts w:ascii="Times New Roman"/>
          <w:b w:val="false"/>
          <w:i w:val="false"/>
          <w:color w:val="000000"/>
          <w:sz w:val="28"/>
        </w:rPr>
        <w:t>
      страна приобретения.</w:t>
      </w:r>
    </w:p>
    <w:bookmarkEnd w:id="1007"/>
    <w:bookmarkStart w:name="z934" w:id="1008"/>
    <w:p>
      <w:pPr>
        <w:spacing w:after="0"/>
        <w:ind w:left="0"/>
        <w:jc w:val="both"/>
      </w:pPr>
      <w:r>
        <w:rPr>
          <w:rFonts w:ascii="Times New Roman"/>
          <w:b w:val="false"/>
          <w:i w:val="false"/>
          <w:color w:val="000000"/>
          <w:sz w:val="28"/>
        </w:rPr>
        <w:t>
      Необходимо представить рекомендацию Экспертного комитета по лекарственным средствам по выбору референтного препарата (при наличии).</w:t>
      </w:r>
    </w:p>
    <w:bookmarkEnd w:id="1008"/>
    <w:bookmarkStart w:name="z935" w:id="1009"/>
    <w:p>
      <w:pPr>
        <w:spacing w:after="0"/>
        <w:ind w:left="0"/>
        <w:jc w:val="both"/>
      </w:pPr>
      <w:r>
        <w:rPr>
          <w:rFonts w:ascii="Times New Roman"/>
          <w:b w:val="false"/>
          <w:i w:val="false"/>
          <w:color w:val="000000"/>
          <w:sz w:val="28"/>
        </w:rPr>
        <w:t>
      Необходимо указать наименование и состав тестируемого препарата, размер серии, дату производства и по возможности дату окончания срока годности.</w:t>
      </w:r>
    </w:p>
    <w:bookmarkEnd w:id="1009"/>
    <w:bookmarkStart w:name="z936" w:id="1010"/>
    <w:p>
      <w:pPr>
        <w:spacing w:after="0"/>
        <w:ind w:left="0"/>
        <w:jc w:val="both"/>
      </w:pPr>
      <w:r>
        <w:rPr>
          <w:rFonts w:ascii="Times New Roman"/>
          <w:b w:val="false"/>
          <w:i w:val="false"/>
          <w:color w:val="000000"/>
          <w:sz w:val="28"/>
        </w:rPr>
        <w:t>
      В приложение к отчету об исследовании также включаются сертификаты анализа серии референтного и тестируемого препаратов, использованных в исследовании биоэквивалентности.</w:t>
      </w:r>
    </w:p>
    <w:bookmarkEnd w:id="1010"/>
    <w:bookmarkStart w:name="z937" w:id="1011"/>
    <w:p>
      <w:pPr>
        <w:spacing w:after="0"/>
        <w:ind w:left="0"/>
        <w:jc w:val="both"/>
      </w:pPr>
      <w:r>
        <w:rPr>
          <w:rFonts w:ascii="Times New Roman"/>
          <w:b w:val="false"/>
          <w:i w:val="false"/>
          <w:color w:val="000000"/>
          <w:sz w:val="28"/>
        </w:rPr>
        <w:t>
      Следует представить официальное письмо, подписанное уполномоченным лицом по качеству производителя и подтверждающее, что количественный состав и производство исследуемого препарата идентичны количественному составу и производству лекарственного препарата, заявленного на регистрацию.</w:t>
      </w:r>
    </w:p>
    <w:bookmarkEnd w:id="1011"/>
    <w:bookmarkStart w:name="z938" w:id="1012"/>
    <w:p>
      <w:pPr>
        <w:spacing w:after="0"/>
        <w:ind w:left="0"/>
        <w:jc w:val="both"/>
      </w:pPr>
      <w:r>
        <w:rPr>
          <w:rFonts w:ascii="Times New Roman"/>
          <w:b w:val="false"/>
          <w:i w:val="false"/>
          <w:color w:val="000000"/>
          <w:sz w:val="28"/>
        </w:rPr>
        <w:t>
      Следует представить дополнительную информацию (в соответствии со структурой общего технического документа регистрационного досье лекарственного препарата), доказывающую, что профили безопасности и (или) эффективности заявленного лекарственного препарата не отличаются от таковых у референтного препарата в случае различия химических форм активного вещества (солей, эфиров, изомеров, смеси изомеров, комплексов или производных активного вещества референтного препарата).</w:t>
      </w:r>
    </w:p>
    <w:bookmarkEnd w:id="1012"/>
    <w:bookmarkStart w:name="z939" w:id="1013"/>
    <w:p>
      <w:pPr>
        <w:spacing w:after="0"/>
        <w:ind w:left="0"/>
        <w:jc w:val="both"/>
      </w:pPr>
      <w:r>
        <w:rPr>
          <w:rFonts w:ascii="Times New Roman"/>
          <w:b w:val="false"/>
          <w:i w:val="false"/>
          <w:color w:val="000000"/>
          <w:sz w:val="28"/>
        </w:rPr>
        <w:t>
      Результаты доклинических, клинических исследований воспроизведенного лекарственного препарата, проведенных в случаях, когда это необходимо, следует включать в соответствующие разделы модуля 4 и модуля 5.</w:t>
      </w:r>
    </w:p>
    <w:bookmarkEnd w:id="1013"/>
    <w:bookmarkStart w:name="z940" w:id="1014"/>
    <w:p>
      <w:pPr>
        <w:spacing w:after="0"/>
        <w:ind w:left="0"/>
        <w:jc w:val="both"/>
      </w:pPr>
      <w:r>
        <w:rPr>
          <w:rFonts w:ascii="Times New Roman"/>
          <w:b w:val="false"/>
          <w:i w:val="false"/>
          <w:color w:val="000000"/>
          <w:sz w:val="28"/>
        </w:rPr>
        <w:t>
      Исследования биодоступности не требуются в случае наличия данных о соответствии воспроизведенного лекарственного препарата критериям, указанным в правилах проведения исследований биоэквивалентности лекарственных препаратов в рамках Евразийского экономического союза, утверждаемых Комиссией.</w:t>
      </w:r>
    </w:p>
    <w:bookmarkEnd w:id="1014"/>
    <w:bookmarkStart w:name="z941" w:id="1015"/>
    <w:p>
      <w:pPr>
        <w:spacing w:after="0"/>
        <w:ind w:left="0"/>
        <w:jc w:val="both"/>
      </w:pPr>
      <w:r>
        <w:rPr>
          <w:rFonts w:ascii="Times New Roman"/>
          <w:b w:val="false"/>
          <w:i w:val="false"/>
          <w:color w:val="000000"/>
          <w:sz w:val="28"/>
        </w:rPr>
        <w:t>
      В случае если активное вещество воспроизведенного лекарственного препарата представлено другой солью, эфиром или производным активного вещества зарегистрированного препарата, представляются дополнительная информация (библиографические обзоры) или отчеты соответствующих доклинических и (или) клинических исследований (исследований сравнительной биодоступности), доказывающие отсутствие изменений в фармакокинетике, фармакодинамике и (или) токсичности воспроизведенного лекарственного препарата. При непредставлении таких доказательств данное вещество рассматривается в качестве нового активного вещества.</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2" w:id="1016"/>
    <w:p>
      <w:pPr>
        <w:spacing w:after="0"/>
        <w:ind w:left="0"/>
        <w:jc w:val="left"/>
      </w:pPr>
      <w:r>
        <w:rPr>
          <w:rFonts w:ascii="Times New Roman"/>
          <w:b/>
          <w:i w:val="false"/>
          <w:color w:val="000000"/>
        </w:rPr>
        <w:t xml:space="preserve"> 7. Требования к документам регистрационного досье гибридного лекарственного препарата </w:t>
      </w:r>
    </w:p>
    <w:bookmarkEnd w:id="1016"/>
    <w:bookmarkStart w:name="z943" w:id="1017"/>
    <w:p>
      <w:pPr>
        <w:spacing w:after="0"/>
        <w:ind w:left="0"/>
        <w:jc w:val="both"/>
      </w:pPr>
      <w:r>
        <w:rPr>
          <w:rFonts w:ascii="Times New Roman"/>
          <w:b w:val="false"/>
          <w:i w:val="false"/>
          <w:color w:val="000000"/>
          <w:sz w:val="28"/>
        </w:rPr>
        <w:t>
      Регистрационное досье гибридного лекарственного препарата должно содержать дополнительные данные доклинических и клинических исследований в соответствии с требованиями настоящего раздела.</w:t>
      </w:r>
    </w:p>
    <w:bookmarkEnd w:id="1017"/>
    <w:bookmarkStart w:name="z944" w:id="1018"/>
    <w:p>
      <w:pPr>
        <w:spacing w:after="0"/>
        <w:ind w:left="0"/>
        <w:jc w:val="both"/>
      </w:pPr>
      <w:r>
        <w:rPr>
          <w:rFonts w:ascii="Times New Roman"/>
          <w:b w:val="false"/>
          <w:i w:val="false"/>
          <w:color w:val="000000"/>
          <w:sz w:val="28"/>
        </w:rPr>
        <w:t>
      7.1. Модуль 1.</w:t>
      </w:r>
    </w:p>
    <w:bookmarkEnd w:id="1018"/>
    <w:bookmarkStart w:name="z945" w:id="1019"/>
    <w:p>
      <w:pPr>
        <w:spacing w:after="0"/>
        <w:ind w:left="0"/>
        <w:jc w:val="both"/>
      </w:pPr>
      <w:r>
        <w:rPr>
          <w:rFonts w:ascii="Times New Roman"/>
          <w:b w:val="false"/>
          <w:i w:val="false"/>
          <w:color w:val="000000"/>
          <w:sz w:val="28"/>
        </w:rPr>
        <w:t>
      В разделе 1.8.2 регистрационного досье воспроизведенного лекарственного препарата заявитель должен представить резюме (до 5 страниц) обоснований и фактов, показывающих, что лекарственный препарат является гибридным препаратом по отношению к соответствующему оригинальному препарату. Резюме должно содержать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оригинальным препаратом, а также при необходимости сведения о биодоступности и биоэквивалентности данного препарата.</w:t>
      </w:r>
    </w:p>
    <w:bookmarkEnd w:id="1019"/>
    <w:bookmarkStart w:name="z946" w:id="1020"/>
    <w:p>
      <w:pPr>
        <w:spacing w:after="0"/>
        <w:ind w:left="0"/>
        <w:jc w:val="both"/>
      </w:pPr>
      <w:r>
        <w:rPr>
          <w:rFonts w:ascii="Times New Roman"/>
          <w:b w:val="false"/>
          <w:i w:val="false"/>
          <w:color w:val="000000"/>
          <w:sz w:val="28"/>
        </w:rPr>
        <w:t>
      В определенных случаях может потребоваться план управления рисками.</w:t>
      </w:r>
    </w:p>
    <w:bookmarkEnd w:id="1020"/>
    <w:bookmarkStart w:name="z947" w:id="1021"/>
    <w:p>
      <w:pPr>
        <w:spacing w:after="0"/>
        <w:ind w:left="0"/>
        <w:jc w:val="both"/>
      </w:pPr>
      <w:r>
        <w:rPr>
          <w:rFonts w:ascii="Times New Roman"/>
          <w:b w:val="false"/>
          <w:i w:val="false"/>
          <w:color w:val="000000"/>
          <w:sz w:val="28"/>
        </w:rPr>
        <w:t>
      В случае отсутствия определенных элементов следует представить обоснование их отсутствия в разделе регистрационного досье лекарственного препарата соответствующего расположению данного элемента.</w:t>
      </w:r>
    </w:p>
    <w:bookmarkEnd w:id="1021"/>
    <w:bookmarkStart w:name="z948" w:id="1022"/>
    <w:p>
      <w:pPr>
        <w:spacing w:after="0"/>
        <w:ind w:left="0"/>
        <w:jc w:val="both"/>
      </w:pPr>
      <w:r>
        <w:rPr>
          <w:rFonts w:ascii="Times New Roman"/>
          <w:b w:val="false"/>
          <w:i w:val="false"/>
          <w:color w:val="000000"/>
          <w:sz w:val="28"/>
        </w:rPr>
        <w:t>
      7.2. Модуль 2.</w:t>
      </w:r>
    </w:p>
    <w:bookmarkEnd w:id="1022"/>
    <w:bookmarkStart w:name="z949" w:id="1023"/>
    <w:p>
      <w:pPr>
        <w:spacing w:after="0"/>
        <w:ind w:left="0"/>
        <w:jc w:val="both"/>
      </w:pPr>
      <w:r>
        <w:rPr>
          <w:rFonts w:ascii="Times New Roman"/>
          <w:b w:val="false"/>
          <w:i w:val="false"/>
          <w:color w:val="000000"/>
          <w:sz w:val="28"/>
        </w:rPr>
        <w:t>
      В обзоре доклинических и клинических данных необходимо уделить особое внимание следующим элементам:</w:t>
      </w:r>
    </w:p>
    <w:bookmarkEnd w:id="1023"/>
    <w:bookmarkStart w:name="z950" w:id="1024"/>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 возможные продукты разложения, образующиеся при хранении лекарственного препарата) в сериях лекарственного препарата, который подлежит реализации на фармацевтическом рынке;</w:t>
      </w:r>
    </w:p>
    <w:bookmarkEnd w:id="1024"/>
    <w:bookmarkStart w:name="z951" w:id="1025"/>
    <w:p>
      <w:pPr>
        <w:spacing w:after="0"/>
        <w:ind w:left="0"/>
        <w:jc w:val="both"/>
      </w:pPr>
      <w:r>
        <w:rPr>
          <w:rFonts w:ascii="Times New Roman"/>
          <w:b w:val="false"/>
          <w:i w:val="false"/>
          <w:color w:val="000000"/>
          <w:sz w:val="28"/>
        </w:rPr>
        <w:t>
      обновление литературных публикаций об активном веществе данного лекарственного препарата (данное требование может выполняться посредством указания ссылок на статьи в рецензируемых журналах);</w:t>
      </w:r>
    </w:p>
    <w:bookmarkEnd w:id="1025"/>
    <w:bookmarkStart w:name="z952" w:id="1026"/>
    <w:p>
      <w:pPr>
        <w:spacing w:after="0"/>
        <w:ind w:left="0"/>
        <w:jc w:val="both"/>
      </w:pPr>
      <w:r>
        <w:rPr>
          <w:rFonts w:ascii="Times New Roman"/>
          <w:b w:val="false"/>
          <w:i w:val="false"/>
          <w:color w:val="000000"/>
          <w:sz w:val="28"/>
        </w:rPr>
        <w:t>
      ранее не известные или следующие из характеристик препарата и (или) его терапевтической группы пункты в общей характеристике лекарственного препарата, которые следует проанализировать в доклинических и клинических обзорах (резюме) и подкрепить доказательствами из научной литературы и (или) доказательствами, полученными в результате проведения дополнительных исследований;</w:t>
      </w:r>
    </w:p>
    <w:bookmarkEnd w:id="1026"/>
    <w:bookmarkStart w:name="z953" w:id="1027"/>
    <w:p>
      <w:pPr>
        <w:spacing w:after="0"/>
        <w:ind w:left="0"/>
        <w:jc w:val="both"/>
      </w:pPr>
      <w:r>
        <w:rPr>
          <w:rFonts w:ascii="Times New Roman"/>
          <w:b w:val="false"/>
          <w:i w:val="false"/>
          <w:color w:val="000000"/>
          <w:sz w:val="28"/>
        </w:rPr>
        <w:t>
      дополнительная информация, доказывающая, что профили безопасности и (или) эффективности заявленного препарата не отличаются от таковых у референтного препарата в случае различия химических форм активного вещества (солей, эфиров, изомеров, смеси изомеров, комплексов или производных от активного вещества референтного препарата).</w:t>
      </w:r>
    </w:p>
    <w:bookmarkEnd w:id="1027"/>
    <w:bookmarkStart w:name="z954" w:id="1028"/>
    <w:p>
      <w:pPr>
        <w:spacing w:after="0"/>
        <w:ind w:left="0"/>
        <w:jc w:val="both"/>
      </w:pPr>
      <w:r>
        <w:rPr>
          <w:rFonts w:ascii="Times New Roman"/>
          <w:b w:val="false"/>
          <w:i w:val="false"/>
          <w:color w:val="000000"/>
          <w:sz w:val="28"/>
        </w:rPr>
        <w:t>
      7.3. Модуль 3.</w:t>
      </w:r>
    </w:p>
    <w:bookmarkEnd w:id="1028"/>
    <w:bookmarkStart w:name="z955" w:id="1029"/>
    <w:p>
      <w:pPr>
        <w:spacing w:after="0"/>
        <w:ind w:left="0"/>
        <w:jc w:val="both"/>
      </w:pPr>
      <w:r>
        <w:rPr>
          <w:rFonts w:ascii="Times New Roman"/>
          <w:b w:val="false"/>
          <w:i w:val="false"/>
          <w:color w:val="000000"/>
          <w:sz w:val="28"/>
        </w:rPr>
        <w:t>
      Следует представить модуль 3 регистрационного досье лекарственного препарата полностью.</w:t>
      </w:r>
    </w:p>
    <w:bookmarkEnd w:id="1029"/>
    <w:bookmarkStart w:name="z956" w:id="1030"/>
    <w:p>
      <w:pPr>
        <w:spacing w:after="0"/>
        <w:ind w:left="0"/>
        <w:jc w:val="both"/>
      </w:pPr>
      <w:r>
        <w:rPr>
          <w:rFonts w:ascii="Times New Roman"/>
          <w:b w:val="false"/>
          <w:i w:val="false"/>
          <w:color w:val="000000"/>
          <w:sz w:val="28"/>
        </w:rPr>
        <w:t>
      7.4. Модуль 4 и модуль 5.</w:t>
      </w:r>
    </w:p>
    <w:bookmarkEnd w:id="1030"/>
    <w:bookmarkStart w:name="z957" w:id="1031"/>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следует включать в соответствующие разделы модуля 4 и модуля 5.</w:t>
      </w:r>
    </w:p>
    <w:bookmarkEnd w:id="1031"/>
    <w:bookmarkStart w:name="z958" w:id="1032"/>
    <w:p>
      <w:pPr>
        <w:spacing w:after="0"/>
        <w:ind w:left="0"/>
        <w:jc w:val="left"/>
      </w:pPr>
      <w:r>
        <w:rPr>
          <w:rFonts w:ascii="Times New Roman"/>
          <w:b/>
          <w:i w:val="false"/>
          <w:color w:val="000000"/>
        </w:rPr>
        <w:t xml:space="preserve"> Порядок проведения дополнительных исследований, необходимых для воспроизведенных и гибридных лекарственных препаратов или для заявлений на регистрацию с расширенными требованиями </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033"/>
          <w:p>
            <w:pPr>
              <w:spacing w:after="20"/>
              <w:ind w:left="20"/>
              <w:jc w:val="both"/>
            </w:pPr>
            <w:r>
              <w:rPr>
                <w:rFonts w:ascii="Times New Roman"/>
                <w:b w:val="false"/>
                <w:i w:val="false"/>
                <w:color w:val="000000"/>
                <w:sz w:val="20"/>
              </w:rPr>
              <w:t xml:space="preserve">
Характеристика лекарственных препаратов или заявлений на регистрацию </w:t>
            </w:r>
          </w:p>
          <w:bookmarkEnd w:id="1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Требуемые дополнительные данные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034"/>
          <w:p>
            <w:pPr>
              <w:spacing w:after="20"/>
              <w:ind w:left="20"/>
              <w:jc w:val="both"/>
            </w:pPr>
            <w:r>
              <w:rPr>
                <w:rFonts w:ascii="Times New Roman"/>
                <w:b w:val="false"/>
                <w:i w:val="false"/>
                <w:color w:val="000000"/>
                <w:sz w:val="20"/>
              </w:rPr>
              <w:t xml:space="preserve">
Различные соли, сложные эфиры, комплексы, их производные (с одной и той же активной частью молекулы) </w:t>
            </w:r>
          </w:p>
          <w:bookmarkEnd w:id="1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доказательства того, что нет никаких изменений в фармакокинетике активной части молекулы, фармакодинамике и (или) токсичности, которые могут существенно повлиять на профиль безопасности и (или) эффективности (иначе активное вещество следует рассматривать в качестве нового активного вещества)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1035"/>
          <w:p>
            <w:pPr>
              <w:spacing w:after="20"/>
              <w:ind w:left="20"/>
              <w:jc w:val="both"/>
            </w:pPr>
            <w:r>
              <w:rPr>
                <w:rFonts w:ascii="Times New Roman"/>
                <w:b w:val="false"/>
                <w:i w:val="false"/>
                <w:color w:val="000000"/>
                <w:sz w:val="20"/>
              </w:rPr>
              <w:t>
Другой способ применения или другая лекарственная форма:</w:t>
            </w:r>
          </w:p>
          <w:bookmarkEnd w:id="1035"/>
          <w:p>
            <w:pPr>
              <w:spacing w:after="20"/>
              <w:ind w:left="20"/>
              <w:jc w:val="both"/>
            </w:pPr>
            <w:r>
              <w:rPr>
                <w:rFonts w:ascii="Times New Roman"/>
                <w:b w:val="false"/>
                <w:i w:val="false"/>
                <w:color w:val="000000"/>
                <w:sz w:val="20"/>
              </w:rPr>
              <w:t>новый путь введения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w:t>
            </w:r>
          </w:p>
          <w:p>
            <w:pPr>
              <w:spacing w:after="20"/>
              <w:ind w:left="20"/>
              <w:jc w:val="both"/>
            </w:pPr>
            <w:r>
              <w:rPr>
                <w:rFonts w:ascii="Times New Roman"/>
                <w:b w:val="false"/>
                <w:i w:val="false"/>
                <w:color w:val="000000"/>
                <w:sz w:val="20"/>
              </w:rPr>
              <w:t xml:space="preserve">иная лекарственная форма (при том же способе введения)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клинические данные (безопасность и эффективность), фармакокинетика, а также соответствующие доклинические данные (например, местная переносимость)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036"/>
          <w:p>
            <w:pPr>
              <w:spacing w:after="20"/>
              <w:ind w:left="20"/>
              <w:jc w:val="both"/>
            </w:pPr>
            <w:r>
              <w:rPr>
                <w:rFonts w:ascii="Times New Roman"/>
                <w:b w:val="false"/>
                <w:i w:val="false"/>
                <w:color w:val="000000"/>
                <w:sz w:val="20"/>
              </w:rPr>
              <w:t xml:space="preserve">
Другая дозировка при тех же пути введения (лекарственной форме) и показаниям к применению </w:t>
            </w:r>
          </w:p>
          <w:bookmarkEnd w:id="1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сравнительной биодоступности в соответствии с правилами проведения исследований биоэквивалентности лекарственных препаратов в рамках Евразийского экономического союза, утверждаемыми Комиссией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1037"/>
          <w:p>
            <w:pPr>
              <w:spacing w:after="20"/>
              <w:ind w:left="20"/>
              <w:jc w:val="both"/>
            </w:pPr>
            <w:r>
              <w:rPr>
                <w:rFonts w:ascii="Times New Roman"/>
                <w:b w:val="false"/>
                <w:i w:val="false"/>
                <w:color w:val="000000"/>
                <w:sz w:val="20"/>
              </w:rPr>
              <w:t xml:space="preserve">
Сверхбиодоступные препараты при сохранении интервала дозирования, но со снижением дозы, предназначенные для достижения сходной концентрации в плазме (крови) </w:t>
            </w:r>
          </w:p>
          <w:bookmarkEnd w:id="1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отдельных случаях достаточно исследований сравнительной биодоступности в соответствии с правилами проведения исследований биоэквивалентности лекарственных препаратов в рамках Евразийского экономического союза, утверждаемыми Комиссией </w:t>
            </w:r>
          </w:p>
        </w:tc>
      </w:tr>
    </w:tbl>
    <w:bookmarkStart w:name="z964" w:id="1038"/>
    <w:p>
      <w:pPr>
        <w:spacing w:after="0"/>
        <w:ind w:left="0"/>
        <w:jc w:val="left"/>
      </w:pPr>
      <w:r>
        <w:rPr>
          <w:rFonts w:ascii="Times New Roman"/>
          <w:b/>
          <w:i w:val="false"/>
          <w:color w:val="000000"/>
        </w:rPr>
        <w:t xml:space="preserve"> 8. Требования к документам регистрационного досье лекарственных препаратов с хорошо изученным медицинским применением </w:t>
      </w:r>
    </w:p>
    <w:bookmarkEnd w:id="1038"/>
    <w:bookmarkStart w:name="z965" w:id="1039"/>
    <w:p>
      <w:pPr>
        <w:spacing w:after="0"/>
        <w:ind w:left="0"/>
        <w:jc w:val="both"/>
      </w:pPr>
      <w:r>
        <w:rPr>
          <w:rFonts w:ascii="Times New Roman"/>
          <w:b w:val="false"/>
          <w:i w:val="false"/>
          <w:color w:val="000000"/>
          <w:sz w:val="28"/>
        </w:rPr>
        <w:t>
      К лекарственным препаратам с подтвержденной эффективностью и приемлемым уровнем безопасности (к которым относятся, например, лекарственные препараты из сырья природного происхождения (деготь березовый, змеиный яд, продукты пчеловодства, медицинские пиявки, желчь, минералы и др.), активное вещество которых хорошо изучено в медицинском применении, витамины и витаминно-минеральные комплексы, а также лекарственные препараты, фармакологическую активность которых определяет комплекс биологически активных веществ природного происхождения, растворы антисептиков (перекись водорода, йод, бриллиантовый зеленый и др.), вода для инъекций, адсорбенты (уголь активированный и т.д.), карминативные лекарственные препараты, лекарственные препараты из группы раздражающих и обволакивающих средств) должны применяться следующие специальные правила.</w:t>
      </w:r>
    </w:p>
    <w:bookmarkEnd w:id="1039"/>
    <w:bookmarkStart w:name="z966" w:id="1040"/>
    <w:p>
      <w:pPr>
        <w:spacing w:after="0"/>
        <w:ind w:left="0"/>
        <w:jc w:val="both"/>
      </w:pPr>
      <w:r>
        <w:rPr>
          <w:rFonts w:ascii="Times New Roman"/>
          <w:b w:val="false"/>
          <w:i w:val="false"/>
          <w:color w:val="000000"/>
          <w:sz w:val="28"/>
        </w:rPr>
        <w:t>
      Заявитель должен представлять модуль 1, модуль 2 и модуль 3 регистрационного досье лекарственного препарата в соответствии с требованиями части I настоящих Требований.</w:t>
      </w:r>
    </w:p>
    <w:bookmarkEnd w:id="1040"/>
    <w:bookmarkStart w:name="z967" w:id="1041"/>
    <w:p>
      <w:pPr>
        <w:spacing w:after="0"/>
        <w:ind w:left="0"/>
        <w:jc w:val="both"/>
      </w:pPr>
      <w:r>
        <w:rPr>
          <w:rFonts w:ascii="Times New Roman"/>
          <w:b w:val="false"/>
          <w:i w:val="false"/>
          <w:color w:val="000000"/>
          <w:sz w:val="28"/>
        </w:rPr>
        <w:t>
      В модуле 4 и модуле 5 в подробной научной библиографии необходимо указывать доклинические и клинические характеристики лекарственных препаратов.</w:t>
      </w:r>
    </w:p>
    <w:bookmarkEnd w:id="1041"/>
    <w:bookmarkStart w:name="z968" w:id="1042"/>
    <w:p>
      <w:pPr>
        <w:spacing w:after="0"/>
        <w:ind w:left="0"/>
        <w:jc w:val="both"/>
      </w:pPr>
      <w:r>
        <w:rPr>
          <w:rFonts w:ascii="Times New Roman"/>
          <w:b w:val="false"/>
          <w:i w:val="false"/>
          <w:color w:val="000000"/>
          <w:sz w:val="28"/>
        </w:rPr>
        <w:t>
      Для подтверждения хорошо изученного медицинского применения должны быть представлены следующие данные:</w:t>
      </w:r>
    </w:p>
    <w:bookmarkEnd w:id="1042"/>
    <w:bookmarkStart w:name="z969" w:id="1043"/>
    <w:p>
      <w:pPr>
        <w:spacing w:after="0"/>
        <w:ind w:left="0"/>
        <w:jc w:val="both"/>
      </w:pPr>
      <w:r>
        <w:rPr>
          <w:rFonts w:ascii="Times New Roman"/>
          <w:b w:val="false"/>
          <w:i w:val="false"/>
          <w:color w:val="000000"/>
          <w:sz w:val="28"/>
        </w:rPr>
        <w:t>
      а) факторы, которые необходимо учитывать при определении хорошо изученного медицинского применения компонентов лекарственных препаратов:</w:t>
      </w:r>
    </w:p>
    <w:bookmarkEnd w:id="1043"/>
    <w:bookmarkStart w:name="z970" w:id="1044"/>
    <w:p>
      <w:pPr>
        <w:spacing w:after="0"/>
        <w:ind w:left="0"/>
        <w:jc w:val="both"/>
      </w:pPr>
      <w:r>
        <w:rPr>
          <w:rFonts w:ascii="Times New Roman"/>
          <w:b w:val="false"/>
          <w:i w:val="false"/>
          <w:color w:val="000000"/>
          <w:sz w:val="28"/>
        </w:rPr>
        <w:t>
      срок, в течение которого активное вещество используется в медицинской практике;</w:t>
      </w:r>
    </w:p>
    <w:bookmarkEnd w:id="1044"/>
    <w:bookmarkStart w:name="z971" w:id="1045"/>
    <w:p>
      <w:pPr>
        <w:spacing w:after="0"/>
        <w:ind w:left="0"/>
        <w:jc w:val="both"/>
      </w:pPr>
      <w:r>
        <w:rPr>
          <w:rFonts w:ascii="Times New Roman"/>
          <w:b w:val="false"/>
          <w:i w:val="false"/>
          <w:color w:val="000000"/>
          <w:sz w:val="28"/>
        </w:rPr>
        <w:t>
      количественные аспекты использования активного вещества;</w:t>
      </w:r>
    </w:p>
    <w:bookmarkEnd w:id="1045"/>
    <w:bookmarkStart w:name="z972" w:id="1046"/>
    <w:p>
      <w:pPr>
        <w:spacing w:after="0"/>
        <w:ind w:left="0"/>
        <w:jc w:val="both"/>
      </w:pPr>
      <w:r>
        <w:rPr>
          <w:rFonts w:ascii="Times New Roman"/>
          <w:b w:val="false"/>
          <w:i w:val="false"/>
          <w:color w:val="000000"/>
          <w:sz w:val="28"/>
        </w:rPr>
        <w:t>
      частота научных публикаций и актуальность использования активного вещества в течение 5 лет до даты подачи заявления на регистрацию данного лекарственного препарата (со ссылкой на публикации в научных источниках);</w:t>
      </w:r>
    </w:p>
    <w:bookmarkEnd w:id="1046"/>
    <w:bookmarkStart w:name="z973" w:id="1047"/>
    <w:p>
      <w:pPr>
        <w:spacing w:after="0"/>
        <w:ind w:left="0"/>
        <w:jc w:val="both"/>
      </w:pPr>
      <w:r>
        <w:rPr>
          <w:rFonts w:ascii="Times New Roman"/>
          <w:b w:val="false"/>
          <w:i w:val="false"/>
          <w:color w:val="000000"/>
          <w:sz w:val="28"/>
        </w:rPr>
        <w:t>
      согласованность научных оценок.</w:t>
      </w:r>
    </w:p>
    <w:bookmarkEnd w:id="1047"/>
    <w:bookmarkStart w:name="z974" w:id="1048"/>
    <w:p>
      <w:pPr>
        <w:spacing w:after="0"/>
        <w:ind w:left="0"/>
        <w:jc w:val="both"/>
      </w:pPr>
      <w:r>
        <w:rPr>
          <w:rFonts w:ascii="Times New Roman"/>
          <w:b w:val="false"/>
          <w:i w:val="false"/>
          <w:color w:val="000000"/>
          <w:sz w:val="28"/>
        </w:rPr>
        <w:t>
      В целях определения хорошо изученного медицинского применения различных активных веществ может осуществляться оценка за различные периоды времени. Период времени, необходимый для определения хорошо изученного медицинского применения активного вещества, должен составлять не менее 10 лет с момента его документированного применения как минимум в 3 государствах-членах. Биологические лекарственные препараты и лекарственные препараты, для которых требуется проведение исследований биоэквивалентности и (или) клинических исследований, не относятся к категории лекарственных препаратов с хорошо изученным применением;</w:t>
      </w:r>
    </w:p>
    <w:bookmarkEnd w:id="1048"/>
    <w:bookmarkStart w:name="z975" w:id="1049"/>
    <w:p>
      <w:pPr>
        <w:spacing w:after="0"/>
        <w:ind w:left="0"/>
        <w:jc w:val="both"/>
      </w:pPr>
      <w:r>
        <w:rPr>
          <w:rFonts w:ascii="Times New Roman"/>
          <w:b w:val="false"/>
          <w:i w:val="false"/>
          <w:color w:val="000000"/>
          <w:sz w:val="28"/>
        </w:rPr>
        <w:t>
      б) материалы регистрационного досье, представленные заявителем, должны включать документы и данные по всем аспектам оценки безопасности и эффективности, содержащие или предоставляющие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эпидемиологических исследований, всю документацию (как с положительными результатами оценки, так и с отрицательными результатами оценки лекарственного препарата). Библиографическая ссылка на другие источники доказательств эффективности и безопасности лекарственного препарата (пострегистрационные исследования, эпидемиологические исследования и т.п.), за исключением данных, касающихся методов контроля и испытаний, может быть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1049"/>
    <w:bookmarkStart w:name="z976" w:id="1050"/>
    <w:p>
      <w:pPr>
        <w:spacing w:after="0"/>
        <w:ind w:left="0"/>
        <w:jc w:val="both"/>
      </w:pPr>
      <w:r>
        <w:rPr>
          <w:rFonts w:ascii="Times New Roman"/>
          <w:b w:val="false"/>
          <w:i w:val="false"/>
          <w:color w:val="000000"/>
          <w:sz w:val="28"/>
        </w:rPr>
        <w:t>
      в) в документах и данных регистрационного досье лекарственного препарата необходимо обосновать, почему может считаться доказанным приемлемый уровень безопасности и (или) эффективности несмотря на отсутствие некоторых исследований;</w:t>
      </w:r>
    </w:p>
    <w:bookmarkEnd w:id="1050"/>
    <w:bookmarkStart w:name="z977" w:id="1051"/>
    <w:p>
      <w:pPr>
        <w:spacing w:after="0"/>
        <w:ind w:left="0"/>
        <w:jc w:val="both"/>
      </w:pPr>
      <w:r>
        <w:rPr>
          <w:rFonts w:ascii="Times New Roman"/>
          <w:b w:val="false"/>
          <w:i w:val="false"/>
          <w:color w:val="000000"/>
          <w:sz w:val="28"/>
        </w:rPr>
        <w:t>
      г) в доклинических и (или) клинических обзорах модуля 2 регистрационного досье лекарственного препарата необходимо пояснить значимость любых представленных данных для предлагаемого к регистрации лекарственного препарата, если они отличаются от данных уже зарегистрированного лекарственного препарата. Необходимо представить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w:t>
      </w:r>
    </w:p>
    <w:bookmarkEnd w:id="1051"/>
    <w:bookmarkStart w:name="z978" w:id="1052"/>
    <w:p>
      <w:pPr>
        <w:spacing w:after="0"/>
        <w:ind w:left="0"/>
        <w:jc w:val="both"/>
      </w:pPr>
      <w:r>
        <w:rPr>
          <w:rFonts w:ascii="Times New Roman"/>
          <w:b w:val="false"/>
          <w:i w:val="false"/>
          <w:color w:val="000000"/>
          <w:sz w:val="28"/>
        </w:rPr>
        <w:t>
      д) пострегистрационный опыт использования лекарственного препарата может быть представлен в виде информации об использовании других лекарственных препаратов, содержащих те же активные вещества;</w:t>
      </w:r>
    </w:p>
    <w:bookmarkEnd w:id="1052"/>
    <w:bookmarkStart w:name="z979" w:id="1053"/>
    <w:p>
      <w:pPr>
        <w:spacing w:after="0"/>
        <w:ind w:left="0"/>
        <w:jc w:val="both"/>
      </w:pPr>
      <w:r>
        <w:rPr>
          <w:rFonts w:ascii="Times New Roman"/>
          <w:b w:val="false"/>
          <w:i w:val="false"/>
          <w:color w:val="000000"/>
          <w:sz w:val="28"/>
        </w:rPr>
        <w:t>
      е) в случае если лекарственный препарат имеет опыт применения на рынках третьих стран, следует представить периодический обновляемый отчет по безопасности лекарственного препарата за 5 лет до даты подачи заявления на регистрацию.</w:t>
      </w:r>
    </w:p>
    <w:bookmarkEnd w:id="1053"/>
    <w:bookmarkStart w:name="z980" w:id="1054"/>
    <w:p>
      <w:pPr>
        <w:spacing w:after="0"/>
        <w:ind w:left="0"/>
        <w:jc w:val="left"/>
      </w:pPr>
      <w:r>
        <w:rPr>
          <w:rFonts w:ascii="Times New Roman"/>
          <w:b/>
          <w:i w:val="false"/>
          <w:color w:val="000000"/>
        </w:rPr>
        <w:t xml:space="preserve"> 9. Требования к регистрационному досье комбинированных лекарственных препаратов</w:t>
      </w:r>
    </w:p>
    <w:bookmarkEnd w:id="1054"/>
    <w:bookmarkStart w:name="z981" w:id="1055"/>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2 или более ранее известных активных веществ в одной лекарственной форме (то есть активных веществ, входящих в состав комбинированного лекарственного препарата, но ранее зарегистрированных в составе однокомпонентных препаратов), представляется полное регистрационное досье (модули 1 - 5) в соответствии с частью I настоящих Требований. Модуль 3 включает сведения о производстве, контроле качества и производителе каждого активного вещества, входящего в состав комбинированных лекарственных препаратов (при этом однокомпонентные лекарственные препараты, представленные в комбинированной упаковке, не могут рассматриваться в качестве комбинированных лекарственных препаратов). В модулях 4 и 5 представляются результаты доклинических и клинических исследований заявляемых на регистрацию комбинаций активных веществ.</w:t>
      </w:r>
    </w:p>
    <w:bookmarkEnd w:id="1055"/>
    <w:bookmarkStart w:name="z982" w:id="1056"/>
    <w:p>
      <w:pPr>
        <w:spacing w:after="0"/>
        <w:ind w:left="0"/>
        <w:jc w:val="left"/>
      </w:pPr>
      <w:r>
        <w:rPr>
          <w:rFonts w:ascii="Times New Roman"/>
          <w:b/>
          <w:i w:val="false"/>
          <w:color w:val="000000"/>
        </w:rPr>
        <w:t xml:space="preserve"> 10. Требования к регистрационному досье биоаналогичного (биоподобного) лекарственного препарата</w:t>
      </w:r>
    </w:p>
    <w:bookmarkEnd w:id="1056"/>
    <w:bookmarkStart w:name="z983" w:id="1057"/>
    <w:p>
      <w:pPr>
        <w:spacing w:after="0"/>
        <w:ind w:left="0"/>
        <w:jc w:val="both"/>
      </w:pPr>
      <w:r>
        <w:rPr>
          <w:rFonts w:ascii="Times New Roman"/>
          <w:b w:val="false"/>
          <w:i w:val="false"/>
          <w:color w:val="000000"/>
          <w:sz w:val="28"/>
        </w:rPr>
        <w:t>
      Для регистрации биоаналогичного (биоподобного) лекарственного препарата представляются данные сравнительных исследований его с референтным биологическим лекарственным препаратом. Качество, безопасность, эффективность и иммуногенность биоаналогичного (биоподобного) лекарственного препарата на производственной, доклинической и клинической фазах его разработки должны сравниваться с одним и тем же референтным биологическим лекарственным препаратом в соответствии с правилами исследования биологических лекарственных средств в рамках Евразийского экономического союза, утверждаемыми Комиссией. Регистрационное досье биоаналогичного (биоподобного) лекарственного препарата представляется в соответствии с требованиями настоящего раздела.</w:t>
      </w:r>
    </w:p>
    <w:bookmarkEnd w:id="1057"/>
    <w:bookmarkStart w:name="z984" w:id="1058"/>
    <w:p>
      <w:pPr>
        <w:spacing w:after="0"/>
        <w:ind w:left="0"/>
        <w:jc w:val="both"/>
      </w:pPr>
      <w:r>
        <w:rPr>
          <w:rFonts w:ascii="Times New Roman"/>
          <w:b w:val="false"/>
          <w:i w:val="false"/>
          <w:color w:val="000000"/>
          <w:sz w:val="28"/>
        </w:rPr>
        <w:t>
      10.1. Модуль 1.</w:t>
      </w:r>
    </w:p>
    <w:bookmarkEnd w:id="1058"/>
    <w:bookmarkStart w:name="z985" w:id="1059"/>
    <w:p>
      <w:pPr>
        <w:spacing w:after="0"/>
        <w:ind w:left="0"/>
        <w:jc w:val="both"/>
      </w:pPr>
      <w:r>
        <w:rPr>
          <w:rFonts w:ascii="Times New Roman"/>
          <w:b w:val="false"/>
          <w:i w:val="false"/>
          <w:color w:val="000000"/>
          <w:sz w:val="28"/>
        </w:rPr>
        <w:t>
      10.1.1. В разделе 1.8.2 модуля 1 регистрационного досье лекарственного препарата заявитель должен представить резюме обоснований и фактов, показывающих, что лекарственный препарат, для регистрации которого подается заявление, является биоаналогичным (биоподобным) лекарственным препаратом оригинальному лекарственному препарату. Резюме должно содержать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лекарственном препарате.</w:t>
      </w:r>
    </w:p>
    <w:bookmarkEnd w:id="1059"/>
    <w:bookmarkStart w:name="z986" w:id="1060"/>
    <w:p>
      <w:pPr>
        <w:spacing w:after="0"/>
        <w:ind w:left="0"/>
        <w:jc w:val="both"/>
      </w:pPr>
      <w:r>
        <w:rPr>
          <w:rFonts w:ascii="Times New Roman"/>
          <w:b w:val="false"/>
          <w:i w:val="false"/>
          <w:color w:val="000000"/>
          <w:sz w:val="28"/>
        </w:rPr>
        <w:t>
      10.1.2. В разделе 1.10 модуля 1 регистрационного досье лекарственного препарата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регистрацию биоаналогичный (биоподобный) лекарственный препарат.</w:t>
      </w:r>
    </w:p>
    <w:bookmarkEnd w:id="1060"/>
    <w:bookmarkStart w:name="z987" w:id="1061"/>
    <w:p>
      <w:pPr>
        <w:spacing w:after="0"/>
        <w:ind w:left="0"/>
        <w:jc w:val="both"/>
      </w:pPr>
      <w:r>
        <w:rPr>
          <w:rFonts w:ascii="Times New Roman"/>
          <w:b w:val="false"/>
          <w:i w:val="false"/>
          <w:color w:val="000000"/>
          <w:sz w:val="28"/>
        </w:rPr>
        <w:t>
      10.1.3. При отсутствии определенных элементов регистрационного досье следует представить обоснование их отсутствия в соответствующем разделе данного модуля.</w:t>
      </w:r>
    </w:p>
    <w:bookmarkEnd w:id="1061"/>
    <w:bookmarkStart w:name="z988" w:id="1062"/>
    <w:p>
      <w:pPr>
        <w:spacing w:after="0"/>
        <w:ind w:left="0"/>
        <w:jc w:val="both"/>
      </w:pPr>
      <w:r>
        <w:rPr>
          <w:rFonts w:ascii="Times New Roman"/>
          <w:b w:val="false"/>
          <w:i w:val="false"/>
          <w:color w:val="000000"/>
          <w:sz w:val="28"/>
        </w:rPr>
        <w:t>
      10.2. Модуль 2.</w:t>
      </w:r>
    </w:p>
    <w:bookmarkEnd w:id="1062"/>
    <w:bookmarkStart w:name="z989" w:id="1063"/>
    <w:p>
      <w:pPr>
        <w:spacing w:after="0"/>
        <w:ind w:left="0"/>
        <w:jc w:val="both"/>
      </w:pPr>
      <w:r>
        <w:rPr>
          <w:rFonts w:ascii="Times New Roman"/>
          <w:b w:val="false"/>
          <w:i w:val="false"/>
          <w:color w:val="000000"/>
          <w:sz w:val="28"/>
        </w:rPr>
        <w:t>
      В обзоре данных по качеству, обзорах доклинических и клинических данных необходимо дополнительно представить сравнительную информацию о заявляемом лекарственном препарате и референтном лекарственном препарате, а также привести критерии выбора референтного препарата и их обоснование.</w:t>
      </w:r>
    </w:p>
    <w:bookmarkEnd w:id="1063"/>
    <w:bookmarkStart w:name="z990" w:id="1064"/>
    <w:p>
      <w:pPr>
        <w:spacing w:after="0"/>
        <w:ind w:left="0"/>
        <w:jc w:val="both"/>
      </w:pPr>
      <w:r>
        <w:rPr>
          <w:rFonts w:ascii="Times New Roman"/>
          <w:b w:val="false"/>
          <w:i w:val="false"/>
          <w:color w:val="000000"/>
          <w:sz w:val="28"/>
        </w:rPr>
        <w:t>
      В отчете об исследовании или отдельном официальном письме должно быть подтверждение выбора референтного лекарственного препарата в соответствии с правилами проведения исследований биологических лекарственных средств в рамках Евразийского экономического союза, утверждаемыми Комиссией. Также должны быть указаны следующие сведения о референтном препарате:</w:t>
      </w:r>
    </w:p>
    <w:bookmarkEnd w:id="1064"/>
    <w:bookmarkStart w:name="z991" w:id="1065"/>
    <w:p>
      <w:pPr>
        <w:spacing w:after="0"/>
        <w:ind w:left="0"/>
        <w:jc w:val="both"/>
      </w:pPr>
      <w:r>
        <w:rPr>
          <w:rFonts w:ascii="Times New Roman"/>
          <w:b w:val="false"/>
          <w:i w:val="false"/>
          <w:color w:val="000000"/>
          <w:sz w:val="28"/>
        </w:rPr>
        <w:t>
      торговое наименование;</w:t>
      </w:r>
    </w:p>
    <w:bookmarkEnd w:id="1065"/>
    <w:bookmarkStart w:name="z992" w:id="1066"/>
    <w:p>
      <w:pPr>
        <w:spacing w:after="0"/>
        <w:ind w:left="0"/>
        <w:jc w:val="both"/>
      </w:pPr>
      <w:r>
        <w:rPr>
          <w:rFonts w:ascii="Times New Roman"/>
          <w:b w:val="false"/>
          <w:i w:val="false"/>
          <w:color w:val="000000"/>
          <w:sz w:val="28"/>
        </w:rPr>
        <w:t>
      дозировка и лекарственная форма;</w:t>
      </w:r>
    </w:p>
    <w:bookmarkEnd w:id="1066"/>
    <w:bookmarkStart w:name="z993" w:id="1067"/>
    <w:p>
      <w:pPr>
        <w:spacing w:after="0"/>
        <w:ind w:left="0"/>
        <w:jc w:val="both"/>
      </w:pPr>
      <w:r>
        <w:rPr>
          <w:rFonts w:ascii="Times New Roman"/>
          <w:b w:val="false"/>
          <w:i w:val="false"/>
          <w:color w:val="000000"/>
          <w:sz w:val="28"/>
        </w:rPr>
        <w:t>
      наименование держателя регистрационного удостоверения;</w:t>
      </w:r>
    </w:p>
    <w:bookmarkEnd w:id="1067"/>
    <w:bookmarkStart w:name="z994" w:id="1068"/>
    <w:p>
      <w:pPr>
        <w:spacing w:after="0"/>
        <w:ind w:left="0"/>
        <w:jc w:val="both"/>
      </w:pPr>
      <w:r>
        <w:rPr>
          <w:rFonts w:ascii="Times New Roman"/>
          <w:b w:val="false"/>
          <w:i w:val="false"/>
          <w:color w:val="000000"/>
          <w:sz w:val="28"/>
        </w:rPr>
        <w:t>
      дата регистрации и номер (номера) регистрационного удостоверения;</w:t>
      </w:r>
    </w:p>
    <w:bookmarkEnd w:id="1068"/>
    <w:bookmarkStart w:name="z995" w:id="1069"/>
    <w:p>
      <w:pPr>
        <w:spacing w:after="0"/>
        <w:ind w:left="0"/>
        <w:jc w:val="both"/>
      </w:pPr>
      <w:r>
        <w:rPr>
          <w:rFonts w:ascii="Times New Roman"/>
          <w:b w:val="false"/>
          <w:i w:val="false"/>
          <w:color w:val="000000"/>
          <w:sz w:val="28"/>
        </w:rPr>
        <w:t>
      государства-члены, в которых зарегистрирован референтный препарат;</w:t>
      </w:r>
    </w:p>
    <w:bookmarkEnd w:id="1069"/>
    <w:bookmarkStart w:name="z996" w:id="1070"/>
    <w:p>
      <w:pPr>
        <w:spacing w:after="0"/>
        <w:ind w:left="0"/>
        <w:jc w:val="both"/>
      </w:pPr>
      <w:r>
        <w:rPr>
          <w:rFonts w:ascii="Times New Roman"/>
          <w:b w:val="false"/>
          <w:i w:val="false"/>
          <w:color w:val="000000"/>
          <w:sz w:val="28"/>
        </w:rPr>
        <w:t>
      номер серии референтного препарата, использованной для исследований и фармацевтической разработки;</w:t>
      </w:r>
    </w:p>
    <w:bookmarkEnd w:id="1070"/>
    <w:bookmarkStart w:name="z997" w:id="1071"/>
    <w:p>
      <w:pPr>
        <w:spacing w:after="0"/>
        <w:ind w:left="0"/>
        <w:jc w:val="both"/>
      </w:pPr>
      <w:r>
        <w:rPr>
          <w:rFonts w:ascii="Times New Roman"/>
          <w:b w:val="false"/>
          <w:i w:val="false"/>
          <w:color w:val="000000"/>
          <w:sz w:val="28"/>
        </w:rPr>
        <w:t>
      наименование производителя;</w:t>
      </w:r>
    </w:p>
    <w:bookmarkEnd w:id="1071"/>
    <w:bookmarkStart w:name="z998" w:id="1072"/>
    <w:p>
      <w:pPr>
        <w:spacing w:after="0"/>
        <w:ind w:left="0"/>
        <w:jc w:val="both"/>
      </w:pPr>
      <w:r>
        <w:rPr>
          <w:rFonts w:ascii="Times New Roman"/>
          <w:b w:val="false"/>
          <w:i w:val="false"/>
          <w:color w:val="000000"/>
          <w:sz w:val="28"/>
        </w:rPr>
        <w:t>
      срок годности;</w:t>
      </w:r>
    </w:p>
    <w:bookmarkEnd w:id="1072"/>
    <w:bookmarkStart w:name="z999" w:id="1073"/>
    <w:p>
      <w:pPr>
        <w:spacing w:after="0"/>
        <w:ind w:left="0"/>
        <w:jc w:val="both"/>
      </w:pPr>
      <w:r>
        <w:rPr>
          <w:rFonts w:ascii="Times New Roman"/>
          <w:b w:val="false"/>
          <w:i w:val="false"/>
          <w:color w:val="000000"/>
          <w:sz w:val="28"/>
        </w:rPr>
        <w:t>
      страна приобретения.</w:t>
      </w:r>
    </w:p>
    <w:bookmarkEnd w:id="1073"/>
    <w:bookmarkStart w:name="z1000" w:id="1074"/>
    <w:p>
      <w:pPr>
        <w:spacing w:after="0"/>
        <w:ind w:left="0"/>
        <w:jc w:val="both"/>
      </w:pPr>
      <w:r>
        <w:rPr>
          <w:rFonts w:ascii="Times New Roman"/>
          <w:b w:val="false"/>
          <w:i w:val="false"/>
          <w:color w:val="000000"/>
          <w:sz w:val="28"/>
        </w:rPr>
        <w:t>
      При наличии необходимо представить рекомендацию Экспертного комитета по лекарственным средствам по вопросу выбора референтного препарата.</w:t>
      </w:r>
    </w:p>
    <w:bookmarkEnd w:id="1074"/>
    <w:bookmarkStart w:name="z1001" w:id="1075"/>
    <w:p>
      <w:pPr>
        <w:spacing w:after="0"/>
        <w:ind w:left="0"/>
        <w:jc w:val="both"/>
      </w:pPr>
      <w:r>
        <w:rPr>
          <w:rFonts w:ascii="Times New Roman"/>
          <w:b w:val="false"/>
          <w:i w:val="false"/>
          <w:color w:val="000000"/>
          <w:sz w:val="28"/>
        </w:rPr>
        <w:t>
      Необходимо указать наименование и состав исследуемого препарата (препаратов), размер серии, дату производства и, если возможно, дату окончания срока годности.</w:t>
      </w:r>
    </w:p>
    <w:bookmarkEnd w:id="1075"/>
    <w:bookmarkStart w:name="z1002" w:id="1076"/>
    <w:p>
      <w:pPr>
        <w:spacing w:after="0"/>
        <w:ind w:left="0"/>
        <w:jc w:val="both"/>
      </w:pPr>
      <w:r>
        <w:rPr>
          <w:rFonts w:ascii="Times New Roman"/>
          <w:b w:val="false"/>
          <w:i w:val="false"/>
          <w:color w:val="000000"/>
          <w:sz w:val="28"/>
        </w:rPr>
        <w:t>
      Необходимо представить обоснование объема проведенных сравнительных доклинических и (или) клинических исследований исходя из требований правил проведения исследований биологических лекарственных средств в рамках Евразийского экономического союза, утверждаемых Комиссией. В приложении к отчету об исследовании необходимо представить копии сертификатов анализа серий референтного и исследуемого препаратов, использованных в исследовании.</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03" w:id="1077"/>
    <w:p>
      <w:pPr>
        <w:spacing w:after="0"/>
        <w:ind w:left="0"/>
        <w:jc w:val="both"/>
      </w:pPr>
      <w:r>
        <w:rPr>
          <w:rFonts w:ascii="Times New Roman"/>
          <w:b w:val="false"/>
          <w:i w:val="false"/>
          <w:color w:val="000000"/>
          <w:sz w:val="28"/>
        </w:rPr>
        <w:t>
      10.3. Модуль 3.</w:t>
      </w:r>
    </w:p>
    <w:bookmarkEnd w:id="1077"/>
    <w:bookmarkStart w:name="z1004" w:id="1078"/>
    <w:p>
      <w:pPr>
        <w:spacing w:after="0"/>
        <w:ind w:left="0"/>
        <w:jc w:val="both"/>
      </w:pPr>
      <w:r>
        <w:rPr>
          <w:rFonts w:ascii="Times New Roman"/>
          <w:b w:val="false"/>
          <w:i w:val="false"/>
          <w:color w:val="000000"/>
          <w:sz w:val="28"/>
        </w:rPr>
        <w:t>
      В модуле 3 регистрационного досье лекарственного препарата необходимо дополнительно представить следующие данные с учетом требований правил проведения исследований биологических лекарственных средств в рамках Евразийского экономического союза, утверждаемых Комиссией:</w:t>
      </w:r>
    </w:p>
    <w:bookmarkEnd w:id="1078"/>
    <w:bookmarkStart w:name="z1005" w:id="1079"/>
    <w:p>
      <w:pPr>
        <w:spacing w:after="0"/>
        <w:ind w:left="0"/>
        <w:jc w:val="both"/>
      </w:pPr>
      <w:r>
        <w:rPr>
          <w:rFonts w:ascii="Times New Roman"/>
          <w:b w:val="false"/>
          <w:i w:val="false"/>
          <w:color w:val="000000"/>
          <w:sz w:val="28"/>
        </w:rPr>
        <w:t>
      а) подтверждение сходства молекулярных и биологических характеристик активных веществ биоаналогичного (биоподобного) лекарственного препарата и референтного биологического лекарственного препарата (данные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1079"/>
    <w:bookmarkStart w:name="z1006" w:id="1080"/>
    <w:p>
      <w:pPr>
        <w:spacing w:after="0"/>
        <w:ind w:left="0"/>
        <w:jc w:val="both"/>
      </w:pPr>
      <w:r>
        <w:rPr>
          <w:rFonts w:ascii="Times New Roman"/>
          <w:b w:val="false"/>
          <w:i w:val="false"/>
          <w:color w:val="000000"/>
          <w:sz w:val="28"/>
        </w:rPr>
        <w:t>
      б) подтверждение сходства характеристик лекарственного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референтного биологического лекарственного препарата;</w:t>
      </w:r>
    </w:p>
    <w:bookmarkEnd w:id="1080"/>
    <w:bookmarkStart w:name="z1007" w:id="1081"/>
    <w:p>
      <w:pPr>
        <w:spacing w:after="0"/>
        <w:ind w:left="0"/>
        <w:jc w:val="both"/>
      </w:pPr>
      <w:r>
        <w:rPr>
          <w:rFonts w:ascii="Times New Roman"/>
          <w:b w:val="false"/>
          <w:i w:val="false"/>
          <w:color w:val="000000"/>
          <w:sz w:val="28"/>
        </w:rPr>
        <w:t>
      в) при наличии различий в примесях и вспомогательных веществах должно быть оценено их потенциальное влияние на профиль клинической безопасности и эффективности биосимиляра и представлено обоснование приемлемости этих различий (по результатам собственного исследования или данных, приведенных в научной литературе), при наличии различий, клиническая значимость которых неизвестна, особенно в плане безопасности, требуется проведение дополнительных исследований в пред- и пострегистрационный период;</w:t>
      </w:r>
    </w:p>
    <w:bookmarkEnd w:id="1081"/>
    <w:bookmarkStart w:name="z1008" w:id="1082"/>
    <w:p>
      <w:pPr>
        <w:spacing w:after="0"/>
        <w:ind w:left="0"/>
        <w:jc w:val="both"/>
      </w:pPr>
      <w:r>
        <w:rPr>
          <w:rFonts w:ascii="Times New Roman"/>
          <w:b w:val="false"/>
          <w:i w:val="false"/>
          <w:color w:val="000000"/>
          <w:sz w:val="28"/>
        </w:rPr>
        <w:t>
      г) полное описание и данные по производственному процессу, (начиная с разработки экспрессирующих конструкций (систем), исходного штамма-продуцента и банков клеток, культуры (культивирования) клеток, сбора, очистки, дополнительных производственных процессов после выделения и очистки продукта, наполнения контейнеров для нерасфасованного продукта и готовой лекарственной формы и заканчивая хранением);</w:t>
      </w:r>
    </w:p>
    <w:bookmarkEnd w:id="1082"/>
    <w:bookmarkStart w:name="z1009" w:id="1083"/>
    <w:p>
      <w:pPr>
        <w:spacing w:after="0"/>
        <w:ind w:left="0"/>
        <w:jc w:val="both"/>
      </w:pPr>
      <w:r>
        <w:rPr>
          <w:rFonts w:ascii="Times New Roman"/>
          <w:b w:val="false"/>
          <w:i w:val="false"/>
          <w:color w:val="000000"/>
          <w:sz w:val="28"/>
        </w:rPr>
        <w:t>
      д) данные об исследованиях, проводимых в ходе фармацевтической разработки биоаналогичного (биоподобного) лекарственного препарата для определения и обоснования его лекарственной формы, состава и системы упаковки (укупорки) (включая их целостность для предотвращения микробного загрязнения);</w:t>
      </w:r>
    </w:p>
    <w:bookmarkEnd w:id="1083"/>
    <w:bookmarkStart w:name="z1010" w:id="1084"/>
    <w:p>
      <w:pPr>
        <w:spacing w:after="0"/>
        <w:ind w:left="0"/>
        <w:jc w:val="both"/>
      </w:pPr>
      <w:r>
        <w:rPr>
          <w:rFonts w:ascii="Times New Roman"/>
          <w:b w:val="false"/>
          <w:i w:val="false"/>
          <w:color w:val="000000"/>
          <w:sz w:val="28"/>
        </w:rPr>
        <w:t>
      е) спецификация биоаналогичного (биоподобного) лекарственного препарата, которая должна содержать и регламентировать важные качественные показатели лекарственного препарата, установленные для референтного биологического лекарственного препарата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степень агрегации, такие примеси, как белок и ДНК клетки-хозяина, и др.);</w:t>
      </w:r>
    </w:p>
    <w:bookmarkEnd w:id="1084"/>
    <w:bookmarkStart w:name="z1011" w:id="1085"/>
    <w:p>
      <w:pPr>
        <w:spacing w:after="0"/>
        <w:ind w:left="0"/>
        <w:jc w:val="both"/>
      </w:pPr>
      <w:r>
        <w:rPr>
          <w:rFonts w:ascii="Times New Roman"/>
          <w:b w:val="false"/>
          <w:i w:val="false"/>
          <w:color w:val="000000"/>
          <w:sz w:val="28"/>
        </w:rPr>
        <w:t>
      ж) исследования стабильности.</w:t>
      </w:r>
    </w:p>
    <w:bookmarkEnd w:id="1085"/>
    <w:bookmarkStart w:name="z1012" w:id="1086"/>
    <w:p>
      <w:pPr>
        <w:spacing w:after="0"/>
        <w:ind w:left="0"/>
        <w:jc w:val="both"/>
      </w:pPr>
      <w:r>
        <w:rPr>
          <w:rFonts w:ascii="Times New Roman"/>
          <w:b w:val="false"/>
          <w:i w:val="false"/>
          <w:color w:val="000000"/>
          <w:sz w:val="28"/>
        </w:rPr>
        <w:t>
      10.4. Модуль 4.</w:t>
      </w:r>
    </w:p>
    <w:bookmarkEnd w:id="1086"/>
    <w:bookmarkStart w:name="z1013" w:id="1087"/>
    <w:p>
      <w:pPr>
        <w:spacing w:after="0"/>
        <w:ind w:left="0"/>
        <w:jc w:val="both"/>
      </w:pPr>
      <w:r>
        <w:rPr>
          <w:rFonts w:ascii="Times New Roman"/>
          <w:b w:val="false"/>
          <w:i w:val="false"/>
          <w:color w:val="000000"/>
          <w:sz w:val="28"/>
        </w:rPr>
        <w:t>
      В модуле 4 следует представить результаты доклинических (неклинических) исследований биоаналогичного (биоподобного) лекарственного препарата в сравнении с референтным биологическим лекарственным препаратом в соответствии с требованиями правил проведения исследований биологических лекарственных средств в рамках Евразийского экономического союза, утверждаемых Комиссией.</w:t>
      </w:r>
    </w:p>
    <w:bookmarkEnd w:id="1087"/>
    <w:bookmarkStart w:name="z1014" w:id="1088"/>
    <w:p>
      <w:pPr>
        <w:spacing w:after="0"/>
        <w:ind w:left="0"/>
        <w:jc w:val="both"/>
      </w:pPr>
      <w:r>
        <w:rPr>
          <w:rFonts w:ascii="Times New Roman"/>
          <w:b w:val="false"/>
          <w:i w:val="false"/>
          <w:color w:val="000000"/>
          <w:sz w:val="28"/>
        </w:rPr>
        <w:t>
      10.5. Модуль 5.</w:t>
      </w:r>
    </w:p>
    <w:bookmarkEnd w:id="1088"/>
    <w:bookmarkStart w:name="z1015" w:id="1089"/>
    <w:p>
      <w:pPr>
        <w:spacing w:after="0"/>
        <w:ind w:left="0"/>
        <w:jc w:val="both"/>
      </w:pPr>
      <w:r>
        <w:rPr>
          <w:rFonts w:ascii="Times New Roman"/>
          <w:b w:val="false"/>
          <w:i w:val="false"/>
          <w:color w:val="000000"/>
          <w:sz w:val="28"/>
        </w:rPr>
        <w:t>
      В модуле 5 представляются документы и данные в соответствии с требованиями правил проведения исследований биологических лекарственных средств в рамках Евразийского экономического союза, утверждаемых Комиссией, которые содержат:</w:t>
      </w:r>
    </w:p>
    <w:bookmarkEnd w:id="1089"/>
    <w:bookmarkStart w:name="z1016" w:id="1090"/>
    <w:p>
      <w:pPr>
        <w:spacing w:after="0"/>
        <w:ind w:left="0"/>
        <w:jc w:val="both"/>
      </w:pPr>
      <w:r>
        <w:rPr>
          <w:rFonts w:ascii="Times New Roman"/>
          <w:b w:val="false"/>
          <w:i w:val="false"/>
          <w:color w:val="000000"/>
          <w:sz w:val="28"/>
        </w:rPr>
        <w:t>
      а) результаты клинических исследований биоаналогичного (биоподобного) лекарственного препарата в сравнении с референтным лекарственным препаратом, которые включают:</w:t>
      </w:r>
    </w:p>
    <w:bookmarkEnd w:id="1090"/>
    <w:bookmarkStart w:name="z1017" w:id="1091"/>
    <w:p>
      <w:pPr>
        <w:spacing w:after="0"/>
        <w:ind w:left="0"/>
        <w:jc w:val="both"/>
      </w:pPr>
      <w:r>
        <w:rPr>
          <w:rFonts w:ascii="Times New Roman"/>
          <w:b w:val="false"/>
          <w:i w:val="false"/>
          <w:color w:val="000000"/>
          <w:sz w:val="28"/>
        </w:rPr>
        <w:t>
      результаты фармакокинетических исследований (фармакокинетических исследований при однократном введении, фармакокинетических исследований при многократном введении (при наличии зависимости фармакокинетики от дозы и времени) фармакокинетическое сравнение биоаналогичного (биоподобного) лекарственного препарата и референтного препарата должно включать изучение абсорбции, биодоступности, характеристик выведения, то есть клиренса и (или) периода полувыведения), фармакодинамических исследований (при этом фармакодинамические эффекты должны оцениваться на подходящей популяции и с применением доз из крутой части кривой зависимости доза - эффект полученной в доклинических исследованиях, а фармакодинамические маркеры должны выбираться в зависимости от их клинической значимости));</w:t>
      </w:r>
    </w:p>
    <w:bookmarkEnd w:id="1091"/>
    <w:bookmarkStart w:name="z1018" w:id="1092"/>
    <w:p>
      <w:pPr>
        <w:spacing w:after="0"/>
        <w:ind w:left="0"/>
        <w:jc w:val="both"/>
      </w:pPr>
      <w:r>
        <w:rPr>
          <w:rFonts w:ascii="Times New Roman"/>
          <w:b w:val="false"/>
          <w:i w:val="false"/>
          <w:color w:val="000000"/>
          <w:sz w:val="28"/>
        </w:rPr>
        <w:t>
      данные сравнительных клинических исследований, включая оценку вида, частоты и тяжести нежелательных явлений (реакций), исследования иммуногенности на целевой группе (сравнение частоты образования и типа образующихся антител, потенциальные клинические последствия иммунного ответа для биоаналогичного (биоподобного) лекарственного препарата и референтного препарата), иммуногенность должна быть исследована на популяции пациентов с самым высоким риском иммунного ответа и иммунных нежелательных реакций;</w:t>
      </w:r>
    </w:p>
    <w:bookmarkEnd w:id="1092"/>
    <w:bookmarkStart w:name="z1019" w:id="1093"/>
    <w:p>
      <w:pPr>
        <w:spacing w:after="0"/>
        <w:ind w:left="0"/>
        <w:jc w:val="both"/>
      </w:pPr>
      <w:r>
        <w:rPr>
          <w:rFonts w:ascii="Times New Roman"/>
          <w:b w:val="false"/>
          <w:i w:val="false"/>
          <w:color w:val="000000"/>
          <w:sz w:val="28"/>
        </w:rPr>
        <w:t>
      обоснование стратегии определения антител, включая выбор, оценку и характеристику методов, установление времени отбора проб (в том числе до применения препарата), объемы, обработку и хранение проб, а также статистические методы анализа данных, аналитические методики определения антител должны быть валидированы для выбранной цели исследований, должен быть проведен предварительный анализ достаточной чувствительности метода, должно быть проведено определение нейтрализующих антител;</w:t>
      </w:r>
    </w:p>
    <w:bookmarkEnd w:id="1093"/>
    <w:bookmarkStart w:name="z1020" w:id="1094"/>
    <w:p>
      <w:pPr>
        <w:spacing w:after="0"/>
        <w:ind w:left="0"/>
        <w:jc w:val="both"/>
      </w:pPr>
      <w:r>
        <w:rPr>
          <w:rFonts w:ascii="Times New Roman"/>
          <w:b w:val="false"/>
          <w:i w:val="false"/>
          <w:color w:val="000000"/>
          <w:sz w:val="28"/>
        </w:rPr>
        <w:t>
      указание периода наблюдения при проведении исследований на иммуногенность (который должен соответствовать планируемой длительности лечения и предполагаемому времени образования антител и не должен быть меньше 12 месяцев (при другой продолжительности исследования должно быть представлено обоснование));</w:t>
      </w:r>
    </w:p>
    <w:bookmarkEnd w:id="1094"/>
    <w:bookmarkStart w:name="z1021" w:id="1095"/>
    <w:p>
      <w:pPr>
        <w:spacing w:after="0"/>
        <w:ind w:left="0"/>
        <w:jc w:val="both"/>
      </w:pPr>
      <w:r>
        <w:rPr>
          <w:rFonts w:ascii="Times New Roman"/>
          <w:b w:val="false"/>
          <w:i w:val="false"/>
          <w:color w:val="000000"/>
          <w:sz w:val="28"/>
        </w:rPr>
        <w:t>
      клинически значимые случаи образования титров антител и сохранения их титра в течение определенного времени (при этом необходимо изучить потенциальные изменения характера иммунного ответа и клинические последствия в пред- и пострегистрационный период);</w:t>
      </w:r>
    </w:p>
    <w:bookmarkEnd w:id="1095"/>
    <w:bookmarkStart w:name="z1022" w:id="1096"/>
    <w:p>
      <w:pPr>
        <w:spacing w:after="0"/>
        <w:ind w:left="0"/>
        <w:jc w:val="both"/>
      </w:pPr>
      <w:r>
        <w:rPr>
          <w:rFonts w:ascii="Times New Roman"/>
          <w:b w:val="false"/>
          <w:i w:val="false"/>
          <w:color w:val="000000"/>
          <w:sz w:val="28"/>
        </w:rPr>
        <w:t>
      основные клинические данные должны быть получены при применении лекарственного препарата, произведенного путем окончательного производственного процесса, то есть лекарственного препарата, на который подается заявление на регистрацию, при любых отклонениях от этих требований заявитель должен представить обоснование и при необходимости данные проведенных дополнительных исследований сопоставимости согласно правилам проведения исследований биологических лекарственных средств в рамках Евразийского экономического союза, утверждаемым Комиссией лекарственного препарата с окончательным и более ранним составом;</w:t>
      </w:r>
    </w:p>
    <w:bookmarkEnd w:id="1096"/>
    <w:bookmarkStart w:name="z1023" w:id="1097"/>
    <w:p>
      <w:pPr>
        <w:spacing w:after="0"/>
        <w:ind w:left="0"/>
        <w:jc w:val="both"/>
      </w:pPr>
      <w:r>
        <w:rPr>
          <w:rFonts w:ascii="Times New Roman"/>
          <w:b w:val="false"/>
          <w:i w:val="false"/>
          <w:color w:val="000000"/>
          <w:sz w:val="28"/>
        </w:rPr>
        <w:t>
      б) план управления рисками, включающий спецификацию безопасности (с описанием важных выявленных и возможных негативных аспектов безопасности референтного препарата, класса лекарственных средств и (или) биосимиляра) и план по фармаконадзору для биоаналогичного (биоподобного) лекарственного препарата в пострегистрационный период (с описанием планируемых пострегистрационных мероприятий и мер по минимизации риска, основанных на спецификации безопасности, плане управления рисками, в том числе представление информационных материалов для пациентов и (или) медицинских и фармацевтических работников).</w:t>
      </w:r>
    </w:p>
    <w:bookmarkEnd w:id="1097"/>
    <w:bookmarkStart w:name="z1024" w:id="1098"/>
    <w:p>
      <w:pPr>
        <w:spacing w:after="0"/>
        <w:ind w:left="0"/>
        <w:jc w:val="left"/>
      </w:pPr>
      <w:r>
        <w:rPr>
          <w:rFonts w:ascii="Times New Roman"/>
          <w:b/>
          <w:i w:val="false"/>
          <w:color w:val="000000"/>
        </w:rPr>
        <w:t xml:space="preserve"> 11. . Регистрационное досье для заявлений на регистрацию в исключительных случаях</w:t>
      </w:r>
    </w:p>
    <w:bookmarkEnd w:id="1098"/>
    <w:p>
      <w:pPr>
        <w:spacing w:after="0"/>
        <w:ind w:left="0"/>
        <w:jc w:val="both"/>
      </w:pPr>
      <w:r>
        <w:rPr>
          <w:rFonts w:ascii="Times New Roman"/>
          <w:b w:val="false"/>
          <w:i w:val="false"/>
          <w:color w:val="ff0000"/>
          <w:sz w:val="28"/>
        </w:rPr>
        <w:t xml:space="preserve">
      Сноска. Подраздел 11 – в редакции решения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905" w:id="1099"/>
    <w:p>
      <w:pPr>
        <w:spacing w:after="0"/>
        <w:ind w:left="0"/>
        <w:jc w:val="both"/>
      </w:pPr>
      <w:r>
        <w:rPr>
          <w:rFonts w:ascii="Times New Roman"/>
          <w:b w:val="false"/>
          <w:i w:val="false"/>
          <w:color w:val="000000"/>
          <w:sz w:val="28"/>
        </w:rPr>
        <w:t>
      Регистрационное удостоверение лекарственного препарата выдается при условии выполнения особых обязательств в случае, если заявитель может подтвердить (обосновать), что невозможно предоставить полные данные об эффективности и безопасности лекарственного препарата при обычных условиях его применения по одной из следующих причин:</w:t>
      </w:r>
    </w:p>
    <w:bookmarkEnd w:id="1099"/>
    <w:bookmarkStart w:name="z11906" w:id="1100"/>
    <w:p>
      <w:pPr>
        <w:spacing w:after="0"/>
        <w:ind w:left="0"/>
        <w:jc w:val="both"/>
      </w:pPr>
      <w:r>
        <w:rPr>
          <w:rFonts w:ascii="Times New Roman"/>
          <w:b w:val="false"/>
          <w:i w:val="false"/>
          <w:color w:val="000000"/>
          <w:sz w:val="28"/>
        </w:rPr>
        <w:t>
      показания к применению, по которым предлагается применять лекарственный препарат, встречаются настолько редко, что заявитель обоснованно не может ожидать получения всестороннего подтверждения доказательств эффективности и безопасности лекарственного препарата;</w:t>
      </w:r>
    </w:p>
    <w:bookmarkEnd w:id="1100"/>
    <w:bookmarkStart w:name="z11907" w:id="1101"/>
    <w:p>
      <w:pPr>
        <w:spacing w:after="0"/>
        <w:ind w:left="0"/>
        <w:jc w:val="both"/>
      </w:pPr>
      <w:r>
        <w:rPr>
          <w:rFonts w:ascii="Times New Roman"/>
          <w:b w:val="false"/>
          <w:i w:val="false"/>
          <w:color w:val="000000"/>
          <w:sz w:val="28"/>
        </w:rPr>
        <w:t>
      при текущем состоянии научных знаний не может быть предоставлена исчерпывающая информация об эффективности или безопасности лекарственного препарата;</w:t>
      </w:r>
    </w:p>
    <w:bookmarkEnd w:id="1101"/>
    <w:bookmarkStart w:name="z11908" w:id="1102"/>
    <w:p>
      <w:pPr>
        <w:spacing w:after="0"/>
        <w:ind w:left="0"/>
        <w:jc w:val="both"/>
      </w:pPr>
      <w:r>
        <w:rPr>
          <w:rFonts w:ascii="Times New Roman"/>
          <w:b w:val="false"/>
          <w:i w:val="false"/>
          <w:color w:val="000000"/>
          <w:sz w:val="28"/>
        </w:rPr>
        <w:t>
      получение информации об эффективности или безопасности лекарственного препарата будет противоречить общепринятым принципам медицинской этики.</w:t>
      </w:r>
    </w:p>
    <w:bookmarkEnd w:id="1102"/>
    <w:bookmarkStart w:name="z11909" w:id="1103"/>
    <w:p>
      <w:pPr>
        <w:spacing w:after="0"/>
        <w:ind w:left="0"/>
        <w:jc w:val="both"/>
      </w:pPr>
      <w:r>
        <w:rPr>
          <w:rFonts w:ascii="Times New Roman"/>
          <w:b w:val="false"/>
          <w:i w:val="false"/>
          <w:color w:val="000000"/>
          <w:sz w:val="28"/>
        </w:rPr>
        <w:t>
      Указанные обязательства включают в себя следующее:</w:t>
      </w:r>
    </w:p>
    <w:bookmarkEnd w:id="1103"/>
    <w:bookmarkStart w:name="z11910" w:id="1104"/>
    <w:p>
      <w:pPr>
        <w:spacing w:after="0"/>
        <w:ind w:left="0"/>
        <w:jc w:val="both"/>
      </w:pPr>
      <w:r>
        <w:rPr>
          <w:rFonts w:ascii="Times New Roman"/>
          <w:b w:val="false"/>
          <w:i w:val="false"/>
          <w:color w:val="000000"/>
          <w:sz w:val="28"/>
        </w:rPr>
        <w:t>
      заявитель должен завершить в срок, установленный уполномоченным органом референтного государства-члена, определенную программу исследований безопасности или эффективности, результаты которой позволяют провести повторную оценку соотношения "польза – риск";</w:t>
      </w:r>
    </w:p>
    <w:bookmarkEnd w:id="1104"/>
    <w:bookmarkStart w:name="z11911" w:id="1105"/>
    <w:p>
      <w:pPr>
        <w:spacing w:after="0"/>
        <w:ind w:left="0"/>
        <w:jc w:val="both"/>
      </w:pPr>
      <w:r>
        <w:rPr>
          <w:rFonts w:ascii="Times New Roman"/>
          <w:b w:val="false"/>
          <w:i w:val="false"/>
          <w:color w:val="000000"/>
          <w:sz w:val="28"/>
        </w:rPr>
        <w:t>
      для рассматриваемого лекарственного препарата должна быть установлена категория отпуска "рецептурные препараты" и применение в определенных случаях только под строгим медицинским наблюдением, (например, в лечебно-профилактическом учреждении), а для радиофармацевтических препаратов – применение под наблюдением имеющего соответствующее разрешение лица;</w:t>
      </w:r>
    </w:p>
    <w:bookmarkEnd w:id="1105"/>
    <w:bookmarkStart w:name="z11912" w:id="1106"/>
    <w:p>
      <w:pPr>
        <w:spacing w:after="0"/>
        <w:ind w:left="0"/>
        <w:jc w:val="both"/>
      </w:pPr>
      <w:r>
        <w:rPr>
          <w:rFonts w:ascii="Times New Roman"/>
          <w:b w:val="false"/>
          <w:i w:val="false"/>
          <w:color w:val="000000"/>
          <w:sz w:val="28"/>
        </w:rPr>
        <w:t>
      общая характеристика лекарственного препарата, инструкция по медицинскому применению лекарственного препарата (листок-вкладыш), регистрационное удостоверение и любая медицинская информация должны содержать привлекающую внимание пользователя информацию о том, что имеющиеся данные о лекарственном препарате являются недостаточными в части подтверждения определенных аспектов безопасности или эффективности.</w:t>
      </w:r>
    </w:p>
    <w:bookmarkEnd w:id="1106"/>
    <w:bookmarkStart w:name="z12331" w:id="1107"/>
    <w:p>
      <w:pPr>
        <w:spacing w:after="0"/>
        <w:ind w:left="0"/>
        <w:jc w:val="left"/>
      </w:pPr>
      <w:r>
        <w:rPr>
          <w:rFonts w:ascii="Times New Roman"/>
          <w:b/>
          <w:i w:val="false"/>
          <w:color w:val="000000"/>
        </w:rPr>
        <w:t xml:space="preserve"> 11.1. Требования к составу регистрационного досье, представляемого в рамках процедуры приведения в соответствие с требованиями Союза</w:t>
      </w:r>
    </w:p>
    <w:bookmarkEnd w:id="1107"/>
    <w:bookmarkStart w:name="z12332" w:id="1108"/>
    <w:p>
      <w:pPr>
        <w:spacing w:after="0"/>
        <w:ind w:left="0"/>
        <w:jc w:val="both"/>
      </w:pPr>
      <w:r>
        <w:rPr>
          <w:rFonts w:ascii="Times New Roman"/>
          <w:b w:val="false"/>
          <w:i w:val="false"/>
          <w:color w:val="000000"/>
          <w:sz w:val="28"/>
        </w:rPr>
        <w:t>
      В рамках процедуры приведения в соответствие с требованиями Союза заявитель в составе модуля 1 регистрационного досье представляет документы, указанные в разделах и пунктах 1.0, 1.1, 1.2.1, 1.2.2, 1.3, 1.3.1, 1.3.2, 1.5.3, 1.5.4, 1.5.7, 1.6.1, 1.6.2, 1.6.7, 1.6.9, 1.6.11, 1.10, 1.10.1 и 1.10.2 настоящих Требований.</w:t>
      </w:r>
    </w:p>
    <w:bookmarkEnd w:id="1108"/>
    <w:bookmarkStart w:name="z12333" w:id="1109"/>
    <w:p>
      <w:pPr>
        <w:spacing w:after="0"/>
        <w:ind w:left="0"/>
        <w:jc w:val="both"/>
      </w:pPr>
      <w:r>
        <w:rPr>
          <w:rFonts w:ascii="Times New Roman"/>
          <w:b w:val="false"/>
          <w:i w:val="false"/>
          <w:color w:val="000000"/>
          <w:sz w:val="28"/>
        </w:rPr>
        <w:t>
      При необходимости также представляются документы, перечисленные в пунктах 1.3.4, 1.5.5, 1.5.6, 1.8.2.6, 1.9.1, 1.10.3 и 1.10.4 настоящих Требований.</w:t>
      </w:r>
    </w:p>
    <w:bookmarkEnd w:id="1109"/>
    <w:bookmarkStart w:name="z12334" w:id="1110"/>
    <w:p>
      <w:pPr>
        <w:spacing w:after="0"/>
        <w:ind w:left="0"/>
        <w:jc w:val="both"/>
      </w:pPr>
      <w:r>
        <w:rPr>
          <w:rFonts w:ascii="Times New Roman"/>
          <w:b w:val="false"/>
          <w:i w:val="false"/>
          <w:color w:val="000000"/>
          <w:sz w:val="28"/>
        </w:rPr>
        <w:t>
      Модуль 2 регистрационного досье представляется в виде обзорных частей с актуализацией изменений (в форме приложения) или представляется по инициативе заявителя в полном объеме.</w:t>
      </w:r>
    </w:p>
    <w:bookmarkEnd w:id="1110"/>
    <w:bookmarkStart w:name="z12335" w:id="1111"/>
    <w:p>
      <w:pPr>
        <w:spacing w:after="0"/>
        <w:ind w:left="0"/>
        <w:jc w:val="both"/>
      </w:pPr>
      <w:r>
        <w:rPr>
          <w:rFonts w:ascii="Times New Roman"/>
          <w:b w:val="false"/>
          <w:i w:val="false"/>
          <w:color w:val="000000"/>
          <w:sz w:val="28"/>
        </w:rPr>
        <w:t>
      В рамках проведения процедуры приведения в соответствие с требованиями Союза в составе модуля 3 регистрационного досье представление документов, указанных в пунктах 3.2.S.2.3 – 3.2.S.2.6, 3.2.S.4.3, 3.2.S.4.5, 3.2.S.7.2, 3.2.P.2.2.3, 3.2.P.2.3 – 3.2.Р.2.6, 3.2.P.4.3, 3.2.P.4.6, 3.2.A, 3.2.A.2, 3.2.A.3, 3.2.A.3.3 и 3.2.A.3.7 настоящих Требований, не является обязательным (за исключением регистрационного досье биологических лекарственных препаратов). В случае их непредставления в рамках указанной процедуры документы необходимо представить в рамках подтверждения регистрации или при внесении изменений в регистрационное досье.</w:t>
      </w:r>
    </w:p>
    <w:bookmarkEnd w:id="1111"/>
    <w:bookmarkStart w:name="z12336" w:id="1112"/>
    <w:p>
      <w:pPr>
        <w:spacing w:after="0"/>
        <w:ind w:left="0"/>
        <w:jc w:val="both"/>
      </w:pPr>
      <w:r>
        <w:rPr>
          <w:rFonts w:ascii="Times New Roman"/>
          <w:b w:val="false"/>
          <w:i w:val="false"/>
          <w:color w:val="000000"/>
          <w:sz w:val="28"/>
        </w:rPr>
        <w:t>
      Данные доклинических и клинических исследований, выполненных в соответствии с требованиями законодательства государств-членов, представляются в модулях 4 и 5 регистрационного досье лекарственного препарата в виде отчетов без обязательной процедуры приведения в соответствие с требованиями Союза и прилагаются к отчетам о доклинических (неклинических) исследованиях и клинических исследованиях (испытаниях) лекарственного препарата.</w:t>
      </w:r>
    </w:p>
    <w:bookmarkEnd w:id="1112"/>
    <w:bookmarkStart w:name="z12337" w:id="1113"/>
    <w:p>
      <w:pPr>
        <w:spacing w:after="0"/>
        <w:ind w:left="0"/>
        <w:jc w:val="both"/>
      </w:pPr>
      <w:r>
        <w:rPr>
          <w:rFonts w:ascii="Times New Roman"/>
          <w:b w:val="false"/>
          <w:i w:val="false"/>
          <w:color w:val="000000"/>
          <w:sz w:val="28"/>
        </w:rPr>
        <w:t xml:space="preserve">
      Требования к документам регистрационного досье для отдельных групп препаратов, приведенным в модулях 4 и 5, предусмотрены разделами II – IV настоящих Требований. </w:t>
      </w:r>
    </w:p>
    <w:bookmarkEnd w:id="1113"/>
    <w:bookmarkStart w:name="z12338" w:id="1114"/>
    <w:p>
      <w:pPr>
        <w:spacing w:after="0"/>
        <w:ind w:left="0"/>
        <w:jc w:val="both"/>
      </w:pPr>
      <w:r>
        <w:rPr>
          <w:rFonts w:ascii="Times New Roman"/>
          <w:b w:val="false"/>
          <w:i w:val="false"/>
          <w:color w:val="000000"/>
          <w:sz w:val="28"/>
        </w:rPr>
        <w:t>
      В рамках процедуры приведения в соответствие с требованиями Союза уполномоченный орган (экспертная организация) государства-члена вправе истребовать имеющиеся у заявителя сведения по запросу в ходе проведения экспертизы регистрационного досье лекарственного препарата (при необходимости).</w:t>
      </w:r>
    </w:p>
    <w:bookmarkEnd w:id="1114"/>
    <w:bookmarkStart w:name="z1033" w:id="1115"/>
    <w:p>
      <w:pPr>
        <w:spacing w:after="0"/>
        <w:ind w:left="0"/>
        <w:jc w:val="left"/>
      </w:pPr>
      <w:r>
        <w:rPr>
          <w:rFonts w:ascii="Times New Roman"/>
          <w:b/>
          <w:i w:val="false"/>
          <w:color w:val="000000"/>
        </w:rPr>
        <w:t xml:space="preserve"> III. Специальные требования к документам регистрационного досье отдельных видов лекарственных препаратов</w:t>
      </w:r>
    </w:p>
    <w:bookmarkEnd w:id="1115"/>
    <w:bookmarkStart w:name="z1034" w:id="1116"/>
    <w:p>
      <w:pPr>
        <w:spacing w:after="0"/>
        <w:ind w:left="0"/>
        <w:jc w:val="left"/>
      </w:pPr>
      <w:r>
        <w:rPr>
          <w:rFonts w:ascii="Times New Roman"/>
          <w:b/>
          <w:i w:val="false"/>
          <w:color w:val="000000"/>
        </w:rPr>
        <w:t xml:space="preserve"> 12. Биологические лекарственные препараты </w:t>
      </w:r>
    </w:p>
    <w:bookmarkEnd w:id="1116"/>
    <w:bookmarkStart w:name="z1035" w:id="1117"/>
    <w:p>
      <w:pPr>
        <w:spacing w:after="0"/>
        <w:ind w:left="0"/>
        <w:jc w:val="both"/>
      </w:pPr>
      <w:r>
        <w:rPr>
          <w:rFonts w:ascii="Times New Roman"/>
          <w:b w:val="false"/>
          <w:i w:val="false"/>
          <w:color w:val="000000"/>
          <w:sz w:val="28"/>
        </w:rPr>
        <w:t>
      Модуль 3 регистрационного досье вакцин, препаратов крови формируется с учетом особенностей этих лекарственных препаратов, указанных в настоящем разделе.</w:t>
      </w:r>
    </w:p>
    <w:bookmarkEnd w:id="1117"/>
    <w:bookmarkStart w:name="z1036" w:id="1118"/>
    <w:p>
      <w:pPr>
        <w:spacing w:after="0"/>
        <w:ind w:left="0"/>
        <w:jc w:val="left"/>
      </w:pPr>
      <w:r>
        <w:rPr>
          <w:rFonts w:ascii="Times New Roman"/>
          <w:b/>
          <w:i w:val="false"/>
          <w:color w:val="000000"/>
        </w:rPr>
        <w:t xml:space="preserve"> 12.1. Лекарственные препараты, полученные из плазмы</w:t>
      </w:r>
    </w:p>
    <w:bookmarkEnd w:id="1118"/>
    <w:bookmarkStart w:name="z1037" w:id="1119"/>
    <w:p>
      <w:pPr>
        <w:spacing w:after="0"/>
        <w:ind w:left="0"/>
        <w:jc w:val="both"/>
      </w:pPr>
      <w:r>
        <w:rPr>
          <w:rFonts w:ascii="Times New Roman"/>
          <w:b w:val="false"/>
          <w:i w:val="false"/>
          <w:color w:val="000000"/>
          <w:sz w:val="28"/>
        </w:rPr>
        <w:t>
      Для лекарственных препаратов, полученных из крови или плазмы крови человека, требования к исходным материалам и сырью, полученным из крови (плазмы) человека, могут заменяться мастер-файлом на плазму, соответствующим настоящей части, в порядке исключения из общих требований к модулю 3 регистрационного досье, представленных в части I настоящих Требований.</w:t>
      </w:r>
    </w:p>
    <w:bookmarkEnd w:id="1119"/>
    <w:bookmarkStart w:name="z1038" w:id="1120"/>
    <w:p>
      <w:pPr>
        <w:spacing w:after="0"/>
        <w:ind w:left="0"/>
        <w:jc w:val="both"/>
      </w:pPr>
      <w:r>
        <w:rPr>
          <w:rFonts w:ascii="Times New Roman"/>
          <w:b w:val="false"/>
          <w:i w:val="false"/>
          <w:color w:val="000000"/>
          <w:sz w:val="28"/>
        </w:rPr>
        <w:t>
      12.1.1. Общие принципы формирования регистрационного досье.</w:t>
      </w:r>
    </w:p>
    <w:bookmarkEnd w:id="1120"/>
    <w:bookmarkStart w:name="z1039" w:id="1121"/>
    <w:p>
      <w:pPr>
        <w:spacing w:after="0"/>
        <w:ind w:left="0"/>
        <w:jc w:val="both"/>
      </w:pPr>
      <w:r>
        <w:rPr>
          <w:rFonts w:ascii="Times New Roman"/>
          <w:b w:val="false"/>
          <w:i w:val="false"/>
          <w:color w:val="000000"/>
          <w:sz w:val="28"/>
        </w:rPr>
        <w:t>
      В рамках настоящих Требований:</w:t>
      </w:r>
    </w:p>
    <w:bookmarkEnd w:id="1121"/>
    <w:bookmarkStart w:name="z1040" w:id="1122"/>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1122"/>
    <w:bookmarkStart w:name="z1041" w:id="1123"/>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должны подготовить и поддерживать обновленным состоянии набор подробной значимой информации, указанной в мастер-файле на плазму крови;</w:t>
      </w:r>
    </w:p>
    <w:bookmarkEnd w:id="1123"/>
    <w:bookmarkStart w:name="z1042" w:id="1124"/>
    <w:p>
      <w:pPr>
        <w:spacing w:after="0"/>
        <w:ind w:left="0"/>
        <w:jc w:val="both"/>
      </w:pPr>
      <w:r>
        <w:rPr>
          <w:rFonts w:ascii="Times New Roman"/>
          <w:b w:val="false"/>
          <w:i w:val="false"/>
          <w:color w:val="000000"/>
          <w:sz w:val="28"/>
        </w:rPr>
        <w:t>
      мастер-файл на плазму должен представляться заявителем или держателем регистрационного удостоверения в уполномоченный орган государства-члена на бумажном носителе или в виде электронного документа. Если заявитель или держатель регистрационного удостоверения не является владельцем мастер-файла, мастер-файл должен быть доступен заявителю или держателю регистрационного удостоверения для его представления в уполномоченные органы государств-членов. В любом случае заявитель или держатель регистрационного удостоверения несет ответственность за качество, безопасность и эффективность лекарственного препарата;</w:t>
      </w:r>
    </w:p>
    <w:bookmarkEnd w:id="1124"/>
    <w:bookmarkStart w:name="z1043" w:id="1125"/>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должна быть сделана ссылка на мастер-файл владельца.</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12.1.1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44" w:id="1126"/>
    <w:p>
      <w:pPr>
        <w:spacing w:after="0"/>
        <w:ind w:left="0"/>
        <w:jc w:val="both"/>
      </w:pPr>
      <w:r>
        <w:rPr>
          <w:rFonts w:ascii="Times New Roman"/>
          <w:b w:val="false"/>
          <w:i w:val="false"/>
          <w:color w:val="000000"/>
          <w:sz w:val="28"/>
        </w:rPr>
        <w:t>
      12.1.2. Дополнительные требования к содержанию материалов регистрационного досье.</w:t>
      </w:r>
    </w:p>
    <w:bookmarkEnd w:id="1126"/>
    <w:bookmarkStart w:name="z1045" w:id="1127"/>
    <w:p>
      <w:pPr>
        <w:spacing w:after="0"/>
        <w:ind w:left="0"/>
        <w:jc w:val="both"/>
      </w:pPr>
      <w:r>
        <w:rPr>
          <w:rFonts w:ascii="Times New Roman"/>
          <w:b w:val="false"/>
          <w:i w:val="false"/>
          <w:color w:val="000000"/>
          <w:sz w:val="28"/>
        </w:rPr>
        <w:t>
      Мастер-файл владельца должен содержать следующую информацию о плазме, использованной как исходный материал (сырье):</w:t>
      </w:r>
    </w:p>
    <w:bookmarkEnd w:id="1127"/>
    <w:bookmarkStart w:name="z1046" w:id="1128"/>
    <w:p>
      <w:pPr>
        <w:spacing w:after="0"/>
        <w:ind w:left="0"/>
        <w:jc w:val="both"/>
      </w:pPr>
      <w:r>
        <w:rPr>
          <w:rFonts w:ascii="Times New Roman"/>
          <w:b w:val="false"/>
          <w:i w:val="false"/>
          <w:color w:val="000000"/>
          <w:sz w:val="28"/>
        </w:rPr>
        <w:t>
      происхождение плазмы:</w:t>
      </w:r>
    </w:p>
    <w:bookmarkEnd w:id="1128"/>
    <w:bookmarkStart w:name="z1047" w:id="1129"/>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1129"/>
    <w:bookmarkStart w:name="z1048" w:id="1130"/>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1130"/>
    <w:bookmarkStart w:name="z1049" w:id="1131"/>
    <w:p>
      <w:pPr>
        <w:spacing w:after="0"/>
        <w:ind w:left="0"/>
        <w:jc w:val="both"/>
      </w:pPr>
      <w:r>
        <w:rPr>
          <w:rFonts w:ascii="Times New Roman"/>
          <w:b w:val="false"/>
          <w:i w:val="false"/>
          <w:color w:val="000000"/>
          <w:sz w:val="28"/>
        </w:rPr>
        <w:t>
      критерии отбора (исключения) доноров крови (плазмы);</w:t>
      </w:r>
    </w:p>
    <w:bookmarkEnd w:id="1131"/>
    <w:bookmarkStart w:name="z1050" w:id="1132"/>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1132"/>
    <w:bookmarkStart w:name="z1051" w:id="1133"/>
    <w:p>
      <w:pPr>
        <w:spacing w:after="0"/>
        <w:ind w:left="0"/>
        <w:jc w:val="both"/>
      </w:pPr>
      <w:r>
        <w:rPr>
          <w:rFonts w:ascii="Times New Roman"/>
          <w:b w:val="false"/>
          <w:i w:val="false"/>
          <w:color w:val="000000"/>
          <w:sz w:val="28"/>
        </w:rPr>
        <w:t>
      качество плазмы и ее безопасность:</w:t>
      </w:r>
    </w:p>
    <w:bookmarkEnd w:id="1133"/>
    <w:bookmarkStart w:name="z1052" w:id="1134"/>
    <w:p>
      <w:pPr>
        <w:spacing w:after="0"/>
        <w:ind w:left="0"/>
        <w:jc w:val="both"/>
      </w:pPr>
      <w:r>
        <w:rPr>
          <w:rFonts w:ascii="Times New Roman"/>
          <w:b w:val="false"/>
          <w:i w:val="false"/>
          <w:color w:val="000000"/>
          <w:sz w:val="28"/>
        </w:rPr>
        <w:t>
      соответствие качества статьям (монографиям) Фармакопеи Евразийского экономического союза либо при их отсутствии - статьям (монографиям) государственных фармакопей государств-членов или основных фармакопей в соответствии с Концепцией гармонизации фармакопей государств - членов Евразийского экономического союза;</w:t>
      </w:r>
    </w:p>
    <w:bookmarkEnd w:id="1134"/>
    <w:bookmarkStart w:name="z1053" w:id="1135"/>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1135"/>
    <w:bookmarkStart w:name="z1054" w:id="1136"/>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1136"/>
    <w:bookmarkStart w:name="z1055" w:id="1137"/>
    <w:p>
      <w:pPr>
        <w:spacing w:after="0"/>
        <w:ind w:left="0"/>
        <w:jc w:val="both"/>
      </w:pPr>
      <w:r>
        <w:rPr>
          <w:rFonts w:ascii="Times New Roman"/>
          <w:b w:val="false"/>
          <w:i w:val="false"/>
          <w:color w:val="000000"/>
          <w:sz w:val="28"/>
        </w:rPr>
        <w:t>
      условия хранения и транспортировки плазмы;</w:t>
      </w:r>
    </w:p>
    <w:bookmarkEnd w:id="1137"/>
    <w:bookmarkStart w:name="z1056" w:id="1138"/>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1138"/>
    <w:bookmarkStart w:name="z1057" w:id="1139"/>
    <w:p>
      <w:pPr>
        <w:spacing w:after="0"/>
        <w:ind w:left="0"/>
        <w:jc w:val="both"/>
      </w:pPr>
      <w:r>
        <w:rPr>
          <w:rFonts w:ascii="Times New Roman"/>
          <w:b w:val="false"/>
          <w:i w:val="false"/>
          <w:color w:val="000000"/>
          <w:sz w:val="28"/>
        </w:rPr>
        <w:t>
      характеристика пула плазмы;</w:t>
      </w:r>
    </w:p>
    <w:bookmarkEnd w:id="1139"/>
    <w:bookmarkStart w:name="z1058" w:id="1140"/>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1140"/>
    <w:bookmarkStart w:name="z1059" w:id="1141"/>
    <w:p>
      <w:pPr>
        <w:spacing w:after="0"/>
        <w:ind w:left="0"/>
        <w:jc w:val="both"/>
      </w:pPr>
      <w:r>
        <w:rPr>
          <w:rFonts w:ascii="Times New Roman"/>
          <w:b w:val="false"/>
          <w:i w:val="false"/>
          <w:color w:val="000000"/>
          <w:sz w:val="28"/>
        </w:rPr>
        <w:t>
      Мастер-файл на плазму также должен содержать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1141"/>
    <w:bookmarkStart w:name="z1060" w:id="1142"/>
    <w:p>
      <w:pPr>
        <w:spacing w:after="0"/>
        <w:ind w:left="0"/>
        <w:jc w:val="both"/>
      </w:pPr>
      <w:r>
        <w:rPr>
          <w:rFonts w:ascii="Times New Roman"/>
          <w:b w:val="false"/>
          <w:i w:val="false"/>
          <w:color w:val="000000"/>
          <w:sz w:val="28"/>
        </w:rPr>
        <w:t>
      12.1.3. Экспертиза регистрационного досье и выдача заключения.</w:t>
      </w:r>
    </w:p>
    <w:bookmarkEnd w:id="1142"/>
    <w:bookmarkStart w:name="z1061" w:id="1143"/>
    <w:p>
      <w:pPr>
        <w:spacing w:after="0"/>
        <w:ind w:left="0"/>
        <w:jc w:val="both"/>
      </w:pPr>
      <w:r>
        <w:rPr>
          <w:rFonts w:ascii="Times New Roman"/>
          <w:b w:val="false"/>
          <w:i w:val="false"/>
          <w:color w:val="000000"/>
          <w:sz w:val="28"/>
        </w:rPr>
        <w:t>
      Для незарегистрированных лекарственных препаратов заявитель должен подать в уполномоченный орган государства-члена полное регистрационное досье лекарственного препарата, которое будет сопровождаться приложением отдельного мастер-файла на плазму, если таковой ранее им не составлялся и не представлялся.</w:t>
      </w:r>
    </w:p>
    <w:bookmarkEnd w:id="1143"/>
    <w:bookmarkStart w:name="z1062" w:id="1144"/>
    <w:p>
      <w:pPr>
        <w:spacing w:after="0"/>
        <w:ind w:left="0"/>
        <w:jc w:val="both"/>
      </w:pPr>
      <w:r>
        <w:rPr>
          <w:rFonts w:ascii="Times New Roman"/>
          <w:b w:val="false"/>
          <w:i w:val="false"/>
          <w:color w:val="000000"/>
          <w:sz w:val="28"/>
        </w:rPr>
        <w:t>
      Мастер-файл на плазму подлежит экспертизе в рамках регистрации и экспертизы регистрационного досье лекарственного препарата. При положительных результатах экспертизы выдается заключение (сертификат, свидетельство) Союза на мастер-файл, которое должно сопровождаться приложением экспертного отчета. Выданное заключение (сертификат, свидетельство) действительно на всей территории Союза.</w:t>
      </w:r>
    </w:p>
    <w:bookmarkEnd w:id="1144"/>
    <w:bookmarkStart w:name="z1063" w:id="1145"/>
    <w:p>
      <w:pPr>
        <w:spacing w:after="0"/>
        <w:ind w:left="0"/>
        <w:jc w:val="both"/>
      </w:pPr>
      <w:r>
        <w:rPr>
          <w:rFonts w:ascii="Times New Roman"/>
          <w:b w:val="false"/>
          <w:i w:val="false"/>
          <w:color w:val="000000"/>
          <w:sz w:val="28"/>
        </w:rPr>
        <w:t>
      Мастер-файл на плазму подлежит ежегодному обновлению и повторной экспертизе.</w:t>
      </w:r>
    </w:p>
    <w:bookmarkEnd w:id="1145"/>
    <w:bookmarkStart w:name="z1064" w:id="1146"/>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1146"/>
    <w:bookmarkStart w:name="z1065" w:id="1147"/>
    <w:p>
      <w:pPr>
        <w:spacing w:after="0"/>
        <w:ind w:left="0"/>
        <w:jc w:val="both"/>
      </w:pPr>
      <w:r>
        <w:rPr>
          <w:rFonts w:ascii="Times New Roman"/>
          <w:b w:val="false"/>
          <w:i w:val="false"/>
          <w:color w:val="000000"/>
          <w:sz w:val="28"/>
        </w:rPr>
        <w:t>
      Выданное заключение (сертификат, свидетельство) Союза принимается уполномоченными органами государств-членов при осуществлении процедур регистрации (подтверждения регистрации, внесения изменений в регистрационное досье) лекарственных препаратов, полученных из плазмы (крови) человека.</w:t>
      </w:r>
    </w:p>
    <w:bookmarkEnd w:id="1147"/>
    <w:bookmarkStart w:name="z1066" w:id="1148"/>
    <w:p>
      <w:pPr>
        <w:spacing w:after="0"/>
        <w:ind w:left="0"/>
        <w:jc w:val="left"/>
      </w:pPr>
      <w:r>
        <w:rPr>
          <w:rFonts w:ascii="Times New Roman"/>
          <w:b/>
          <w:i w:val="false"/>
          <w:color w:val="000000"/>
        </w:rPr>
        <w:t xml:space="preserve"> 12.2. Вакцины</w:t>
      </w:r>
    </w:p>
    <w:bookmarkEnd w:id="1148"/>
    <w:bookmarkStart w:name="z1067" w:id="1149"/>
    <w:p>
      <w:pPr>
        <w:spacing w:after="0"/>
        <w:ind w:left="0"/>
        <w:jc w:val="both"/>
      </w:pPr>
      <w:r>
        <w:rPr>
          <w:rFonts w:ascii="Times New Roman"/>
          <w:b w:val="false"/>
          <w:i w:val="false"/>
          <w:color w:val="000000"/>
          <w:sz w:val="28"/>
        </w:rPr>
        <w:t>
      В отношении вакцин для медицинского применения в порядке исключения из общих требований к модулю 3 регистрационного досье "Активная фармацевтическая субстанция" применяются следующие требования на основании использования системы мастер-файла вакцинного антигена.</w:t>
      </w:r>
    </w:p>
    <w:bookmarkEnd w:id="1149"/>
    <w:bookmarkStart w:name="z1068" w:id="1150"/>
    <w:p>
      <w:pPr>
        <w:spacing w:after="0"/>
        <w:ind w:left="0"/>
        <w:jc w:val="both"/>
      </w:pPr>
      <w:r>
        <w:rPr>
          <w:rFonts w:ascii="Times New Roman"/>
          <w:b w:val="false"/>
          <w:i w:val="false"/>
          <w:color w:val="000000"/>
          <w:sz w:val="28"/>
        </w:rPr>
        <w:t>
      Регистрационное досье на вакцину, не являющуюся вакциной для профилактики гриппа человека, должно включать в себя мастер-файл вакцинного антигена для каждого антигена, который является активным веществом этой вакцины.</w:t>
      </w:r>
    </w:p>
    <w:bookmarkEnd w:id="1150"/>
    <w:bookmarkStart w:name="z1069" w:id="1151"/>
    <w:p>
      <w:pPr>
        <w:spacing w:after="0"/>
        <w:ind w:left="0"/>
        <w:jc w:val="both"/>
      </w:pPr>
      <w:r>
        <w:rPr>
          <w:rFonts w:ascii="Times New Roman"/>
          <w:b w:val="false"/>
          <w:i w:val="false"/>
          <w:color w:val="000000"/>
          <w:sz w:val="28"/>
        </w:rPr>
        <w:t>
      12.2.1. Общие принципы.</w:t>
      </w:r>
    </w:p>
    <w:bookmarkEnd w:id="1151"/>
    <w:bookmarkStart w:name="z1070" w:id="1152"/>
    <w:p>
      <w:pPr>
        <w:spacing w:after="0"/>
        <w:ind w:left="0"/>
        <w:jc w:val="both"/>
      </w:pPr>
      <w:r>
        <w:rPr>
          <w:rFonts w:ascii="Times New Roman"/>
          <w:b w:val="false"/>
          <w:i w:val="false"/>
          <w:color w:val="000000"/>
          <w:sz w:val="28"/>
        </w:rPr>
        <w:t>
      Мастер-файл вакцинного антигена является отдельной частью регистрационного досье на вакцину, которая содержит всю значимую информацию биологического, фармацевтического и химического характера относительно каждого из активных веществ, которые являются частью данного лекарственного препарата. Эта отдельная часть может быть общей для одной или более моновалентных и (или) комбинированных вакцин, представляемых одним и тем же заявителем или держателем регистрационного удостоверения.</w:t>
      </w:r>
    </w:p>
    <w:bookmarkEnd w:id="1152"/>
    <w:bookmarkStart w:name="z1071" w:id="1153"/>
    <w:p>
      <w:pPr>
        <w:spacing w:after="0"/>
        <w:ind w:left="0"/>
        <w:jc w:val="both"/>
      </w:pPr>
      <w:r>
        <w:rPr>
          <w:rFonts w:ascii="Times New Roman"/>
          <w:b w:val="false"/>
          <w:i w:val="false"/>
          <w:color w:val="000000"/>
          <w:sz w:val="28"/>
        </w:rPr>
        <w:t>
      Вакцина может содержать один или несколько различных вакцинных антигенов. Количество активных веществ в вакцине соответствует количеству вакцинных антигенов.</w:t>
      </w:r>
    </w:p>
    <w:bookmarkEnd w:id="1153"/>
    <w:bookmarkStart w:name="z1072" w:id="1154"/>
    <w:p>
      <w:pPr>
        <w:spacing w:after="0"/>
        <w:ind w:left="0"/>
        <w:jc w:val="both"/>
      </w:pPr>
      <w:r>
        <w:rPr>
          <w:rFonts w:ascii="Times New Roman"/>
          <w:b w:val="false"/>
          <w:i w:val="false"/>
          <w:color w:val="000000"/>
          <w:sz w:val="28"/>
        </w:rPr>
        <w:t>
      Комбинированная (поливалентная) вакцина содержит по крайней мере 2 различных вакцинных антигена, которые предназначены для профилактики одного или нескольких инфекционных заболеваний.</w:t>
      </w:r>
    </w:p>
    <w:bookmarkEnd w:id="1154"/>
    <w:bookmarkStart w:name="z1073" w:id="1155"/>
    <w:p>
      <w:pPr>
        <w:spacing w:after="0"/>
        <w:ind w:left="0"/>
        <w:jc w:val="both"/>
      </w:pPr>
      <w:r>
        <w:rPr>
          <w:rFonts w:ascii="Times New Roman"/>
          <w:b w:val="false"/>
          <w:i w:val="false"/>
          <w:color w:val="000000"/>
          <w:sz w:val="28"/>
        </w:rPr>
        <w:t>
      Моновалентная вакцина - это вакцина, которая содержит 1 вакцинный антиген, предназначенный для профилактики 1 инфекционного заболевания.</w:t>
      </w:r>
    </w:p>
    <w:bookmarkEnd w:id="1155"/>
    <w:bookmarkStart w:name="z1074" w:id="1156"/>
    <w:p>
      <w:pPr>
        <w:spacing w:after="0"/>
        <w:ind w:left="0"/>
        <w:jc w:val="both"/>
      </w:pPr>
      <w:r>
        <w:rPr>
          <w:rFonts w:ascii="Times New Roman"/>
          <w:b w:val="false"/>
          <w:i w:val="false"/>
          <w:color w:val="000000"/>
          <w:sz w:val="28"/>
        </w:rPr>
        <w:t>
      12.2.2. Дополнительные требования к содержанию материалов регистрационного досье.</w:t>
      </w:r>
    </w:p>
    <w:bookmarkEnd w:id="1156"/>
    <w:bookmarkStart w:name="z1075" w:id="1157"/>
    <w:p>
      <w:pPr>
        <w:spacing w:after="0"/>
        <w:ind w:left="0"/>
        <w:jc w:val="both"/>
      </w:pPr>
      <w:r>
        <w:rPr>
          <w:rFonts w:ascii="Times New Roman"/>
          <w:b w:val="false"/>
          <w:i w:val="false"/>
          <w:color w:val="000000"/>
          <w:sz w:val="28"/>
        </w:rPr>
        <w:t>
      Мастер-файл вакцинного антигена должен содержать следующую информацию, извлеченную из соответствующей части (Активная фармацевтическая субстанция) модуля 3 "Качество", как описано в части I настоящего приложения.</w:t>
      </w:r>
    </w:p>
    <w:bookmarkEnd w:id="1157"/>
    <w:bookmarkStart w:name="z1076" w:id="1158"/>
    <w:p>
      <w:pPr>
        <w:spacing w:after="0"/>
        <w:ind w:left="0"/>
        <w:jc w:val="both"/>
      </w:pPr>
      <w:r>
        <w:rPr>
          <w:rFonts w:ascii="Times New Roman"/>
          <w:b w:val="false"/>
          <w:i w:val="false"/>
          <w:color w:val="000000"/>
          <w:sz w:val="28"/>
        </w:rPr>
        <w:t>
      Активное вещество</w:t>
      </w:r>
    </w:p>
    <w:bookmarkEnd w:id="1158"/>
    <w:bookmarkStart w:name="z1077" w:id="1159"/>
    <w:p>
      <w:pPr>
        <w:spacing w:after="0"/>
        <w:ind w:left="0"/>
        <w:jc w:val="both"/>
      </w:pPr>
      <w:r>
        <w:rPr>
          <w:rFonts w:ascii="Times New Roman"/>
          <w:b w:val="false"/>
          <w:i w:val="false"/>
          <w:color w:val="000000"/>
          <w:sz w:val="28"/>
        </w:rPr>
        <w:t>
      1. Общая информация, включая сведения о соответствии статье (монографии) Фармакопеи Евразийского экономического союза, либо при отсутствии таких статей (монографий) - статьям (монографиям) фармакопей государств-членов или основных фармакопей в соответствии с Концепцией гармонизации фармакопей государств-членов Союза.</w:t>
      </w:r>
    </w:p>
    <w:bookmarkEnd w:id="1159"/>
    <w:bookmarkStart w:name="z1078" w:id="1160"/>
    <w:p>
      <w:pPr>
        <w:spacing w:after="0"/>
        <w:ind w:left="0"/>
        <w:jc w:val="both"/>
      </w:pPr>
      <w:r>
        <w:rPr>
          <w:rFonts w:ascii="Times New Roman"/>
          <w:b w:val="false"/>
          <w:i w:val="false"/>
          <w:color w:val="000000"/>
          <w:sz w:val="28"/>
        </w:rPr>
        <w:t>
      2.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1160"/>
    <w:bookmarkStart w:name="z1079" w:id="1161"/>
    <w:p>
      <w:pPr>
        <w:spacing w:after="0"/>
        <w:ind w:left="0"/>
        <w:jc w:val="both"/>
      </w:pPr>
      <w:r>
        <w:rPr>
          <w:rFonts w:ascii="Times New Roman"/>
          <w:b w:val="false"/>
          <w:i w:val="false"/>
          <w:color w:val="000000"/>
          <w:sz w:val="28"/>
        </w:rPr>
        <w:t>
      3. Характеристика активного вещества.</w:t>
      </w:r>
    </w:p>
    <w:bookmarkEnd w:id="1161"/>
    <w:bookmarkStart w:name="z1080" w:id="1162"/>
    <w:p>
      <w:pPr>
        <w:spacing w:after="0"/>
        <w:ind w:left="0"/>
        <w:jc w:val="both"/>
      </w:pPr>
      <w:r>
        <w:rPr>
          <w:rFonts w:ascii="Times New Roman"/>
          <w:b w:val="false"/>
          <w:i w:val="false"/>
          <w:color w:val="000000"/>
          <w:sz w:val="28"/>
        </w:rPr>
        <w:t>
      4. Контроль качества активного вещества.</w:t>
      </w:r>
    </w:p>
    <w:bookmarkEnd w:id="1162"/>
    <w:bookmarkStart w:name="z1081" w:id="1163"/>
    <w:p>
      <w:pPr>
        <w:spacing w:after="0"/>
        <w:ind w:left="0"/>
        <w:jc w:val="both"/>
      </w:pPr>
      <w:r>
        <w:rPr>
          <w:rFonts w:ascii="Times New Roman"/>
          <w:b w:val="false"/>
          <w:i w:val="false"/>
          <w:color w:val="000000"/>
          <w:sz w:val="28"/>
        </w:rPr>
        <w:t>
      5. Стандартные образцы и материалы.</w:t>
      </w:r>
    </w:p>
    <w:bookmarkEnd w:id="1163"/>
    <w:bookmarkStart w:name="z1082" w:id="1164"/>
    <w:p>
      <w:pPr>
        <w:spacing w:after="0"/>
        <w:ind w:left="0"/>
        <w:jc w:val="both"/>
      </w:pPr>
      <w:r>
        <w:rPr>
          <w:rFonts w:ascii="Times New Roman"/>
          <w:b w:val="false"/>
          <w:i w:val="false"/>
          <w:color w:val="000000"/>
          <w:sz w:val="28"/>
        </w:rPr>
        <w:t>
      6. Первичная упаковка и укупорочная система активного вещества.</w:t>
      </w:r>
    </w:p>
    <w:bookmarkEnd w:id="1164"/>
    <w:bookmarkStart w:name="z1083" w:id="1165"/>
    <w:p>
      <w:pPr>
        <w:spacing w:after="0"/>
        <w:ind w:left="0"/>
        <w:jc w:val="both"/>
      </w:pPr>
      <w:r>
        <w:rPr>
          <w:rFonts w:ascii="Times New Roman"/>
          <w:b w:val="false"/>
          <w:i w:val="false"/>
          <w:color w:val="000000"/>
          <w:sz w:val="28"/>
        </w:rPr>
        <w:t>
      7. Стабильность активного вещества; </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исключен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85" w:id="1166"/>
    <w:p>
      <w:pPr>
        <w:spacing w:after="0"/>
        <w:ind w:left="0"/>
        <w:jc w:val="both"/>
      </w:pPr>
      <w:r>
        <w:rPr>
          <w:rFonts w:ascii="Times New Roman"/>
          <w:b w:val="false"/>
          <w:i w:val="false"/>
          <w:color w:val="000000"/>
          <w:sz w:val="28"/>
        </w:rPr>
        <w:t>
      Для новых вакцин, которые содержат новый вакцинный антиген, заявитель должен подать в уполномоченный орган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 При положительных результатах экспертизы выдается заключение (сертификат, свидетельство) Союза на мастер-файл, которое должно сопровождаться экспертным отчетом. Выданное заключение (сертификат, свидетельство) действительно на всей территории Союза.</w:t>
      </w:r>
    </w:p>
    <w:bookmarkEnd w:id="1166"/>
    <w:bookmarkStart w:name="z1086" w:id="1167"/>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 в государствах-членах.</w:t>
      </w:r>
    </w:p>
    <w:bookmarkEnd w:id="1167"/>
    <w:bookmarkStart w:name="z1087" w:id="1168"/>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1168"/>
    <w:bookmarkStart w:name="z1088" w:id="1169"/>
    <w:p>
      <w:pPr>
        <w:spacing w:after="0"/>
        <w:ind w:left="0"/>
        <w:jc w:val="both"/>
      </w:pPr>
      <w:r>
        <w:rPr>
          <w:rFonts w:ascii="Times New Roman"/>
          <w:b w:val="false"/>
          <w:i w:val="false"/>
          <w:color w:val="000000"/>
          <w:sz w:val="28"/>
        </w:rPr>
        <w:t>
      Выданное заключение (сертификат, свидетельство) Союза принимается уполномоченными органами при осуществлении процедур регистрации вакцин (подтверждения регистрации, внесения изменений в регистрационное досье).</w:t>
      </w:r>
    </w:p>
    <w:bookmarkEnd w:id="1169"/>
    <w:p>
      <w:pPr>
        <w:spacing w:after="0"/>
        <w:ind w:left="0"/>
        <w:jc w:val="both"/>
      </w:pPr>
      <w:r>
        <w:rPr>
          <w:rFonts w:ascii="Times New Roman"/>
          <w:b w:val="false"/>
          <w:i w:val="false"/>
          <w:color w:val="000000"/>
          <w:sz w:val="28"/>
        </w:rPr>
        <w:t>
      12.2.3. Экспертиза и выдача заключений.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12.2.3. в соответствии с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89" w:id="1170"/>
    <w:p>
      <w:pPr>
        <w:spacing w:after="0"/>
        <w:ind w:left="0"/>
        <w:jc w:val="left"/>
      </w:pPr>
      <w:r>
        <w:rPr>
          <w:rFonts w:ascii="Times New Roman"/>
          <w:b/>
          <w:i w:val="false"/>
          <w:color w:val="000000"/>
        </w:rPr>
        <w:t xml:space="preserve"> 12.3. Упрощенное регистрационное досье для вакцин с хорошо изученным медицинским применением, производство которых на территориях государств-членов осуществлялось до 2000 года </w:t>
      </w:r>
    </w:p>
    <w:bookmarkEnd w:id="1170"/>
    <w:bookmarkStart w:name="z1090" w:id="1171"/>
    <w:p>
      <w:pPr>
        <w:spacing w:after="0"/>
        <w:ind w:left="0"/>
        <w:jc w:val="both"/>
      </w:pPr>
      <w:r>
        <w:rPr>
          <w:rFonts w:ascii="Times New Roman"/>
          <w:b w:val="false"/>
          <w:i w:val="false"/>
          <w:color w:val="000000"/>
          <w:sz w:val="28"/>
        </w:rPr>
        <w:t>
      Для вакцин, вакцинный антиген которых хорошо изучен в медицинском применении, с подтвержденной эффективностью и приемлемым уровнем безопасности, производство которых на территориях государств-членов осуществлялось до 2000 года, применяются следующие правила.</w:t>
      </w:r>
    </w:p>
    <w:bookmarkEnd w:id="1171"/>
    <w:bookmarkStart w:name="z1091" w:id="1172"/>
    <w:p>
      <w:pPr>
        <w:spacing w:after="0"/>
        <w:ind w:left="0"/>
        <w:jc w:val="both"/>
      </w:pPr>
      <w:r>
        <w:rPr>
          <w:rFonts w:ascii="Times New Roman"/>
          <w:b w:val="false"/>
          <w:i w:val="false"/>
          <w:color w:val="000000"/>
          <w:sz w:val="28"/>
        </w:rPr>
        <w:t>
      Заявитель должен оформлять модуль 3 регистрационного досье в соответствии с положениями части I и раздела 12.2 части II настоящего приложения.</w:t>
      </w:r>
    </w:p>
    <w:bookmarkEnd w:id="1172"/>
    <w:bookmarkStart w:name="z1092" w:id="1173"/>
    <w:p>
      <w:pPr>
        <w:spacing w:after="0"/>
        <w:ind w:left="0"/>
        <w:jc w:val="both"/>
      </w:pPr>
      <w:r>
        <w:rPr>
          <w:rFonts w:ascii="Times New Roman"/>
          <w:b w:val="false"/>
          <w:i w:val="false"/>
          <w:color w:val="000000"/>
          <w:sz w:val="28"/>
        </w:rPr>
        <w:t>
      В модулях 4 и 5 регистрационного досье вместо отчетов о доклиническом и клиническом изучении представляется научная обзорная библиография, в которой необходимо указывать доклинические и клинические характеристики вакцины.</w:t>
      </w:r>
    </w:p>
    <w:bookmarkEnd w:id="1173"/>
    <w:bookmarkStart w:name="z1093" w:id="1174"/>
    <w:p>
      <w:pPr>
        <w:spacing w:after="0"/>
        <w:ind w:left="0"/>
        <w:jc w:val="left"/>
      </w:pPr>
      <w:r>
        <w:rPr>
          <w:rFonts w:ascii="Times New Roman"/>
          <w:b/>
          <w:i w:val="false"/>
          <w:color w:val="000000"/>
        </w:rPr>
        <w:t xml:space="preserve"> 13. Радиофармацевтические препараты и прекурсоры </w:t>
      </w:r>
    </w:p>
    <w:bookmarkEnd w:id="1174"/>
    <w:bookmarkStart w:name="z1094" w:id="1175"/>
    <w:p>
      <w:pPr>
        <w:spacing w:after="0"/>
        <w:ind w:left="0"/>
        <w:jc w:val="both"/>
      </w:pPr>
      <w:r>
        <w:rPr>
          <w:rFonts w:ascii="Times New Roman"/>
          <w:b w:val="false"/>
          <w:i w:val="false"/>
          <w:color w:val="000000"/>
          <w:sz w:val="28"/>
        </w:rPr>
        <w:t>
      Регистрационное досье на регистрацию радиофармацевтических препаратов и их прекурсоров представляется в соответствии с требованиями настоящего раздела.</w:t>
      </w:r>
    </w:p>
    <w:bookmarkEnd w:id="1175"/>
    <w:bookmarkStart w:name="z1095" w:id="1176"/>
    <w:p>
      <w:pPr>
        <w:spacing w:after="0"/>
        <w:ind w:left="0"/>
        <w:jc w:val="left"/>
      </w:pPr>
      <w:r>
        <w:rPr>
          <w:rFonts w:ascii="Times New Roman"/>
          <w:b/>
          <w:i w:val="false"/>
          <w:color w:val="000000"/>
        </w:rPr>
        <w:t xml:space="preserve"> 13.1. Радиофармацевтические препараты </w:t>
      </w:r>
    </w:p>
    <w:bookmarkEnd w:id="1176"/>
    <w:bookmarkStart w:name="z1096" w:id="1177"/>
    <w:p>
      <w:pPr>
        <w:spacing w:after="0"/>
        <w:ind w:left="0"/>
        <w:jc w:val="both"/>
      </w:pPr>
      <w:r>
        <w:rPr>
          <w:rFonts w:ascii="Times New Roman"/>
          <w:b w:val="false"/>
          <w:i w:val="false"/>
          <w:color w:val="000000"/>
          <w:sz w:val="28"/>
        </w:rPr>
        <w:t>
      13.1.1. Модуль 3.</w:t>
      </w:r>
    </w:p>
    <w:bookmarkEnd w:id="1177"/>
    <w:bookmarkStart w:name="z1097" w:id="1178"/>
    <w:p>
      <w:pPr>
        <w:spacing w:after="0"/>
        <w:ind w:left="0"/>
        <w:jc w:val="both"/>
      </w:pPr>
      <w:r>
        <w:rPr>
          <w:rFonts w:ascii="Times New Roman"/>
          <w:b w:val="false"/>
          <w:i w:val="false"/>
          <w:color w:val="000000"/>
          <w:sz w:val="28"/>
        </w:rPr>
        <w:t>
      В радиофармацевтическом наборе, который снабжается радиоактивной меткой после поставки производителем, "активное вещество" означает часть набора, предназначенную для переноса или связывания радионуклида. Описание метода производства радиофармацевтического набора должно включать в себя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должны описываться в соответствии с общей или частной статьей (монографией) Фармакопеи Евразийского экономического союза (при наличии статьи (монографии)) либо при отсутствии таких статей (монографий) - в соответствии со статьями (монографиями) фармакопей государств-членов или основных фармакопей в соответствии с Концепцией гармонизации фармакопей государств-членов Союза.</w:t>
      </w:r>
    </w:p>
    <w:bookmarkEnd w:id="1178"/>
    <w:bookmarkStart w:name="z1098" w:id="1179"/>
    <w:p>
      <w:pPr>
        <w:spacing w:after="0"/>
        <w:ind w:left="0"/>
        <w:jc w:val="both"/>
      </w:pPr>
      <w:r>
        <w:rPr>
          <w:rFonts w:ascii="Times New Roman"/>
          <w:b w:val="false"/>
          <w:i w:val="false"/>
          <w:color w:val="000000"/>
          <w:sz w:val="28"/>
        </w:rPr>
        <w:t>
      Следует описать все соединения, необходимые для введения радиоактивной метки, а также структуры соединений с радиоактивной меткой.</w:t>
      </w:r>
    </w:p>
    <w:bookmarkEnd w:id="1179"/>
    <w:bookmarkStart w:name="z1099" w:id="1180"/>
    <w:p>
      <w:pPr>
        <w:spacing w:after="0"/>
        <w:ind w:left="0"/>
        <w:jc w:val="both"/>
      </w:pPr>
      <w:r>
        <w:rPr>
          <w:rFonts w:ascii="Times New Roman"/>
          <w:b w:val="false"/>
          <w:i w:val="false"/>
          <w:color w:val="000000"/>
          <w:sz w:val="28"/>
        </w:rPr>
        <w:t>
      Необходимо проанализировать ядерные реакции радионуклидов.</w:t>
      </w:r>
    </w:p>
    <w:bookmarkEnd w:id="1180"/>
    <w:bookmarkStart w:name="z1100" w:id="1181"/>
    <w:p>
      <w:pPr>
        <w:spacing w:after="0"/>
        <w:ind w:left="0"/>
        <w:jc w:val="both"/>
      </w:pPr>
      <w:r>
        <w:rPr>
          <w:rFonts w:ascii="Times New Roman"/>
          <w:b w:val="false"/>
          <w:i w:val="false"/>
          <w:color w:val="000000"/>
          <w:sz w:val="28"/>
        </w:rPr>
        <w:t>
      Материнский и дочерний радионуклиды генератора считаются активными веществами.</w:t>
      </w:r>
    </w:p>
    <w:bookmarkEnd w:id="1181"/>
    <w:bookmarkStart w:name="z1101" w:id="1182"/>
    <w:p>
      <w:pPr>
        <w:spacing w:after="0"/>
        <w:ind w:left="0"/>
        <w:jc w:val="both"/>
      </w:pPr>
      <w:r>
        <w:rPr>
          <w:rFonts w:ascii="Times New Roman"/>
          <w:b w:val="false"/>
          <w:i w:val="false"/>
          <w:color w:val="000000"/>
          <w:sz w:val="28"/>
        </w:rPr>
        <w:t>
      Необходимо представить сведения о природе радионуклида, подлинности изотопа, возможных примесях, носителе, применении и специфической активности.</w:t>
      </w:r>
    </w:p>
    <w:bookmarkEnd w:id="1182"/>
    <w:bookmarkStart w:name="z1102" w:id="1183"/>
    <w:p>
      <w:pPr>
        <w:spacing w:after="0"/>
        <w:ind w:left="0"/>
        <w:jc w:val="both"/>
      </w:pPr>
      <w:r>
        <w:rPr>
          <w:rFonts w:ascii="Times New Roman"/>
          <w:b w:val="false"/>
          <w:i w:val="false"/>
          <w:color w:val="000000"/>
          <w:sz w:val="28"/>
        </w:rPr>
        <w:t>
      Исходные материалы включают в себя целевые материалы для облучения.</w:t>
      </w:r>
    </w:p>
    <w:bookmarkEnd w:id="1183"/>
    <w:bookmarkStart w:name="z1103" w:id="1184"/>
    <w:p>
      <w:pPr>
        <w:spacing w:after="0"/>
        <w:ind w:left="0"/>
        <w:jc w:val="both"/>
      </w:pPr>
      <w:r>
        <w:rPr>
          <w:rFonts w:ascii="Times New Roman"/>
          <w:b w:val="false"/>
          <w:i w:val="false"/>
          <w:color w:val="000000"/>
          <w:sz w:val="28"/>
        </w:rPr>
        <w:t>
      Необходимо рассмотреть химическую (радиохимическую) чистоту и ее связь с биораспределением.</w:t>
      </w:r>
    </w:p>
    <w:bookmarkEnd w:id="1184"/>
    <w:bookmarkStart w:name="z1104" w:id="1185"/>
    <w:p>
      <w:pPr>
        <w:spacing w:after="0"/>
        <w:ind w:left="0"/>
        <w:jc w:val="both"/>
      </w:pPr>
      <w:r>
        <w:rPr>
          <w:rFonts w:ascii="Times New Roman"/>
          <w:b w:val="false"/>
          <w:i w:val="false"/>
          <w:color w:val="000000"/>
          <w:sz w:val="28"/>
        </w:rPr>
        <w:t>
      Необходимо описывать радионуклидную чистоту, радиохимическую чистоту и специфическую активность.</w:t>
      </w:r>
    </w:p>
    <w:bookmarkEnd w:id="1185"/>
    <w:bookmarkStart w:name="z1105" w:id="1186"/>
    <w:p>
      <w:pPr>
        <w:spacing w:after="0"/>
        <w:ind w:left="0"/>
        <w:jc w:val="both"/>
      </w:pPr>
      <w:r>
        <w:rPr>
          <w:rFonts w:ascii="Times New Roman"/>
          <w:b w:val="false"/>
          <w:i w:val="false"/>
          <w:color w:val="000000"/>
          <w:sz w:val="28"/>
        </w:rPr>
        <w:t>
      Для генераторов требуются подробные данные испытаний материнских и дочерних радионуклидов. Для генераторов-элюатов необходимо представить результаты испытаний материнских радионуклидов и других компонентов системы генератора.</w:t>
      </w:r>
    </w:p>
    <w:bookmarkEnd w:id="1186"/>
    <w:bookmarkStart w:name="z1106" w:id="1187"/>
    <w:p>
      <w:pPr>
        <w:spacing w:after="0"/>
        <w:ind w:left="0"/>
        <w:jc w:val="both"/>
      </w:pPr>
      <w:r>
        <w:rPr>
          <w:rFonts w:ascii="Times New Roman"/>
          <w:b w:val="false"/>
          <w:i w:val="false"/>
          <w:color w:val="000000"/>
          <w:sz w:val="28"/>
        </w:rPr>
        <w:t>
      Содержание активных веществ должно выражаться на основании массы активной части молекулы только к радиофармацевтическим наборам. Для радионуклидов радиоактивность необходимо выражать в беккерелях с указанием даты и при необходимости времени и часового пояса. Необходимо указывать тип радиоактивности.</w:t>
      </w:r>
    </w:p>
    <w:bookmarkEnd w:id="1187"/>
    <w:bookmarkStart w:name="z1107" w:id="1188"/>
    <w:p>
      <w:pPr>
        <w:spacing w:after="0"/>
        <w:ind w:left="0"/>
        <w:jc w:val="both"/>
      </w:pPr>
      <w:r>
        <w:rPr>
          <w:rFonts w:ascii="Times New Roman"/>
          <w:b w:val="false"/>
          <w:i w:val="false"/>
          <w:color w:val="000000"/>
          <w:sz w:val="28"/>
        </w:rPr>
        <w:t>
      Спецификации лекарственного препарата, являющегося радиофармацевтическим набором, должны включать в себя результаты испытаний свойств препарата после введения радиоактивной метки. Необходимо включать соответствующий контроль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1188"/>
    <w:bookmarkStart w:name="z1108" w:id="1189"/>
    <w:p>
      <w:pPr>
        <w:spacing w:after="0"/>
        <w:ind w:left="0"/>
        <w:jc w:val="both"/>
      </w:pPr>
      <w:r>
        <w:rPr>
          <w:rFonts w:ascii="Times New Roman"/>
          <w:b w:val="false"/>
          <w:i w:val="false"/>
          <w:color w:val="000000"/>
          <w:sz w:val="28"/>
        </w:rPr>
        <w:t>
      Необходимо представлять информацию о стабильности для изотопных генераторов, изотопных наборов и лекарственных препаратов с радиоактивной меткой. Необходимо указывать стабильность при использовании радиофармацевтических лекарственных препаратов в контейнерах для многоразового использования.</w:t>
      </w:r>
    </w:p>
    <w:bookmarkEnd w:id="1189"/>
    <w:bookmarkStart w:name="z1109" w:id="1190"/>
    <w:p>
      <w:pPr>
        <w:spacing w:after="0"/>
        <w:ind w:left="0"/>
        <w:jc w:val="both"/>
      </w:pPr>
      <w:r>
        <w:rPr>
          <w:rFonts w:ascii="Times New Roman"/>
          <w:b w:val="false"/>
          <w:i w:val="false"/>
          <w:color w:val="000000"/>
          <w:sz w:val="28"/>
        </w:rPr>
        <w:t>
      13.1.2. Модуль 4.</w:t>
      </w:r>
    </w:p>
    <w:bookmarkEnd w:id="1190"/>
    <w:bookmarkStart w:name="z1110" w:id="1191"/>
    <w:p>
      <w:pPr>
        <w:spacing w:after="0"/>
        <w:ind w:left="0"/>
        <w:jc w:val="both"/>
      </w:pPr>
      <w:r>
        <w:rPr>
          <w:rFonts w:ascii="Times New Roman"/>
          <w:b w:val="false"/>
          <w:i w:val="false"/>
          <w:color w:val="000000"/>
          <w:sz w:val="28"/>
        </w:rPr>
        <w:t>
      Токсичность может быть связана с дозой излучения. В диагностике токсичность - это нежелательное последствие применения радиофармацевтических лекарственных препаратов; в терапии - это желаемое свойство, поэтому при оценке безопасности и эффективности радиофармацевтических препаратов необходимо указывать требования к лекарственным препаратам и аспекты радиационной дозиметрии. Необходимо документировать действие излучения на орган (ткань) человека. Показатель поглощенной дозы излучения необходимо рассчитывать с указанием системы использованных международно признанных единиц измерения при определенном пути введения.</w:t>
      </w:r>
    </w:p>
    <w:bookmarkEnd w:id="1191"/>
    <w:bookmarkStart w:name="z1111" w:id="1192"/>
    <w:p>
      <w:pPr>
        <w:spacing w:after="0"/>
        <w:ind w:left="0"/>
        <w:jc w:val="both"/>
      </w:pPr>
      <w:r>
        <w:rPr>
          <w:rFonts w:ascii="Times New Roman"/>
          <w:b w:val="false"/>
          <w:i w:val="false"/>
          <w:color w:val="000000"/>
          <w:sz w:val="28"/>
        </w:rPr>
        <w:t>
      13.1.3. Модуль 5.</w:t>
      </w:r>
    </w:p>
    <w:bookmarkEnd w:id="1192"/>
    <w:bookmarkStart w:name="z1112" w:id="1193"/>
    <w:p>
      <w:pPr>
        <w:spacing w:after="0"/>
        <w:ind w:left="0"/>
        <w:jc w:val="both"/>
      </w:pPr>
      <w:r>
        <w:rPr>
          <w:rFonts w:ascii="Times New Roman"/>
          <w:b w:val="false"/>
          <w:i w:val="false"/>
          <w:color w:val="000000"/>
          <w:sz w:val="28"/>
        </w:rPr>
        <w:t>
      При необходимости представляются результаты клинических испытаний. Отсутствие результатов клинических испытаний обосновывается в клинических обзорах (модуль 2 регистрационного досье).</w:t>
      </w:r>
    </w:p>
    <w:bookmarkEnd w:id="1193"/>
    <w:bookmarkStart w:name="z1113" w:id="1194"/>
    <w:p>
      <w:pPr>
        <w:spacing w:after="0"/>
        <w:ind w:left="0"/>
        <w:jc w:val="both"/>
      </w:pPr>
      <w:r>
        <w:rPr>
          <w:rFonts w:ascii="Times New Roman"/>
          <w:b w:val="false"/>
          <w:i w:val="false"/>
          <w:color w:val="000000"/>
          <w:sz w:val="28"/>
        </w:rPr>
        <w:t>
      13.2. Радиофармацевтические прекурсоры, используемые для введения радиоактивных меток.</w:t>
      </w:r>
    </w:p>
    <w:bookmarkEnd w:id="1194"/>
    <w:bookmarkStart w:name="z1114" w:id="1195"/>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необходимо представить информацию о возможных последствиях недостаточной эффективности введения радиоактивных меток или диссоциации in vivo конъюгата с радиоактивной меткой, то есть вопросы, связанные с действием, которое оказывает на пациентов свободный радионуклид. В дополнение также необходимо представить соответствующую информацию относительно факторов риска, то есть о радиоактивном воздействии на персонал больницы и окружающую среду.</w:t>
      </w:r>
    </w:p>
    <w:bookmarkEnd w:id="1195"/>
    <w:bookmarkStart w:name="z1115" w:id="1196"/>
    <w:p>
      <w:pPr>
        <w:spacing w:after="0"/>
        <w:ind w:left="0"/>
        <w:jc w:val="both"/>
      </w:pPr>
      <w:r>
        <w:rPr>
          <w:rFonts w:ascii="Times New Roman"/>
          <w:b w:val="false"/>
          <w:i w:val="false"/>
          <w:color w:val="000000"/>
          <w:sz w:val="28"/>
        </w:rPr>
        <w:t>
      В частности необходимо представить следующую информацию:</w:t>
      </w:r>
    </w:p>
    <w:bookmarkEnd w:id="1196"/>
    <w:bookmarkStart w:name="z1116" w:id="1197"/>
    <w:p>
      <w:pPr>
        <w:spacing w:after="0"/>
        <w:ind w:left="0"/>
        <w:jc w:val="both"/>
      </w:pPr>
      <w:r>
        <w:rPr>
          <w:rFonts w:ascii="Times New Roman"/>
          <w:b w:val="false"/>
          <w:i w:val="false"/>
          <w:color w:val="000000"/>
          <w:sz w:val="28"/>
        </w:rPr>
        <w:t>
      13.2.1. Модуль 3.</w:t>
      </w:r>
    </w:p>
    <w:bookmarkEnd w:id="1197"/>
    <w:bookmarkStart w:name="z1117" w:id="1198"/>
    <w:p>
      <w:pPr>
        <w:spacing w:after="0"/>
        <w:ind w:left="0"/>
        <w:jc w:val="both"/>
      </w:pPr>
      <w:r>
        <w:rPr>
          <w:rFonts w:ascii="Times New Roman"/>
          <w:b w:val="false"/>
          <w:i w:val="false"/>
          <w:color w:val="000000"/>
          <w:sz w:val="28"/>
        </w:rPr>
        <w:t>
      Требования к содержанию модуля 3 регистрационного досье, указанные в разделе 3 части I настоящего приложения, должны применяться при регистрации радиофармацевтических прекурсоров в части подпунктов "а" - "и" при необходимости.</w:t>
      </w:r>
    </w:p>
    <w:bookmarkEnd w:id="1198"/>
    <w:bookmarkStart w:name="z1118" w:id="1199"/>
    <w:p>
      <w:pPr>
        <w:spacing w:after="0"/>
        <w:ind w:left="0"/>
        <w:jc w:val="both"/>
      </w:pPr>
      <w:r>
        <w:rPr>
          <w:rFonts w:ascii="Times New Roman"/>
          <w:b w:val="false"/>
          <w:i w:val="false"/>
          <w:color w:val="000000"/>
          <w:sz w:val="28"/>
        </w:rPr>
        <w:t>
      13.2.2. Модуль 4.</w:t>
      </w:r>
    </w:p>
    <w:bookmarkEnd w:id="1199"/>
    <w:bookmarkStart w:name="z1119" w:id="1200"/>
    <w:p>
      <w:pPr>
        <w:spacing w:after="0"/>
        <w:ind w:left="0"/>
        <w:jc w:val="both"/>
      </w:pPr>
      <w:r>
        <w:rPr>
          <w:rFonts w:ascii="Times New Roman"/>
          <w:b w:val="false"/>
          <w:i w:val="false"/>
          <w:color w:val="000000"/>
          <w:sz w:val="28"/>
        </w:rPr>
        <w:t>
      Относительно токсичности при однократном и многократном введении необходимо представить результаты доклинических исследований, проведенные в соответствии с правилами надлежащей лабораторной практики, утверждаемыми Комиссией. Исследования на мутагенность радионуклидов не считаются применимыми в указанном случае.</w:t>
      </w:r>
    </w:p>
    <w:bookmarkEnd w:id="1200"/>
    <w:bookmarkStart w:name="z1120" w:id="1201"/>
    <w:p>
      <w:pPr>
        <w:spacing w:after="0"/>
        <w:ind w:left="0"/>
        <w:jc w:val="both"/>
      </w:pPr>
      <w:r>
        <w:rPr>
          <w:rFonts w:ascii="Times New Roman"/>
          <w:b w:val="false"/>
          <w:i w:val="false"/>
          <w:color w:val="000000"/>
          <w:sz w:val="28"/>
        </w:rPr>
        <w:t>
      Необходимо представить информацию о химической токсичности и распределения "холодного" нуклида (не содержащего радиоактивных веществ).</w:t>
      </w:r>
    </w:p>
    <w:bookmarkEnd w:id="1201"/>
    <w:bookmarkStart w:name="z1121" w:id="1202"/>
    <w:p>
      <w:pPr>
        <w:spacing w:after="0"/>
        <w:ind w:left="0"/>
        <w:jc w:val="both"/>
      </w:pPr>
      <w:r>
        <w:rPr>
          <w:rFonts w:ascii="Times New Roman"/>
          <w:b w:val="false"/>
          <w:i w:val="false"/>
          <w:color w:val="000000"/>
          <w:sz w:val="28"/>
        </w:rPr>
        <w:t>
      13.2.3. Модуль 5.</w:t>
      </w:r>
    </w:p>
    <w:bookmarkEnd w:id="1202"/>
    <w:bookmarkStart w:name="z1122" w:id="1203"/>
    <w:p>
      <w:pPr>
        <w:spacing w:after="0"/>
        <w:ind w:left="0"/>
        <w:jc w:val="both"/>
      </w:pPr>
      <w:r>
        <w:rPr>
          <w:rFonts w:ascii="Times New Roman"/>
          <w:b w:val="false"/>
          <w:i w:val="false"/>
          <w:color w:val="000000"/>
          <w:sz w:val="28"/>
        </w:rPr>
        <w:t>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1203"/>
    <w:bookmarkStart w:name="z1123" w:id="1204"/>
    <w:p>
      <w:pPr>
        <w:spacing w:after="0"/>
        <w:ind w:left="0"/>
        <w:jc w:val="both"/>
      </w:pPr>
      <w:r>
        <w:rPr>
          <w:rFonts w:ascii="Times New Roman"/>
          <w:b w:val="false"/>
          <w:i w:val="false"/>
          <w:color w:val="000000"/>
          <w:sz w:val="28"/>
        </w:rPr>
        <w:t>
      Необходимо представить информацию, подтверждающую клиническую эффективность радиофармацевтического прекурсора при присоединении к молекулам соответствующего носителя.</w:t>
      </w:r>
    </w:p>
    <w:bookmarkEnd w:id="1204"/>
    <w:bookmarkStart w:name="z1124" w:id="1205"/>
    <w:p>
      <w:pPr>
        <w:spacing w:after="0"/>
        <w:ind w:left="0"/>
        <w:jc w:val="left"/>
      </w:pPr>
      <w:r>
        <w:rPr>
          <w:rFonts w:ascii="Times New Roman"/>
          <w:b/>
          <w:i w:val="false"/>
          <w:color w:val="000000"/>
        </w:rPr>
        <w:t xml:space="preserve"> 14. Гомеопатические лекарственные препараты </w:t>
      </w:r>
    </w:p>
    <w:bookmarkEnd w:id="1205"/>
    <w:bookmarkStart w:name="z1125" w:id="1206"/>
    <w:p>
      <w:pPr>
        <w:spacing w:after="0"/>
        <w:ind w:left="0"/>
        <w:jc w:val="both"/>
      </w:pPr>
      <w:r>
        <w:rPr>
          <w:rFonts w:ascii="Times New Roman"/>
          <w:b w:val="false"/>
          <w:i w:val="false"/>
          <w:color w:val="000000"/>
          <w:sz w:val="28"/>
        </w:rPr>
        <w:t>
      14.1. Модуль 3.</w:t>
      </w:r>
    </w:p>
    <w:bookmarkEnd w:id="1206"/>
    <w:bookmarkStart w:name="z1126" w:id="1207"/>
    <w:p>
      <w:pPr>
        <w:spacing w:after="0"/>
        <w:ind w:left="0"/>
        <w:jc w:val="both"/>
      </w:pPr>
      <w:r>
        <w:rPr>
          <w:rFonts w:ascii="Times New Roman"/>
          <w:b w:val="false"/>
          <w:i w:val="false"/>
          <w:color w:val="000000"/>
          <w:sz w:val="28"/>
        </w:rPr>
        <w:t>
      Терминология.</w:t>
      </w:r>
    </w:p>
    <w:bookmarkEnd w:id="1207"/>
    <w:bookmarkStart w:name="z1127" w:id="1208"/>
    <w:p>
      <w:pPr>
        <w:spacing w:after="0"/>
        <w:ind w:left="0"/>
        <w:jc w:val="both"/>
      </w:pPr>
      <w:r>
        <w:rPr>
          <w:rFonts w:ascii="Times New Roman"/>
          <w:b w:val="false"/>
          <w:i w:val="false"/>
          <w:color w:val="000000"/>
          <w:sz w:val="28"/>
        </w:rPr>
        <w:t>
      Научное название на латинском языке гомеопатической фармацевтической субстанции, описанной в регистрационном досье, должно соответствовать научному названию на латинском языке монографии Фармакопеи Евразийского экономического союза (при наличии), или гомеопатической фармакопеи государств-членов Союза, или гомеопатической фармакопеи Германии, фармакопеи Франции и Европейской фармакопеи.</w:t>
      </w:r>
    </w:p>
    <w:bookmarkEnd w:id="1208"/>
    <w:bookmarkStart w:name="z1128" w:id="1209"/>
    <w:p>
      <w:pPr>
        <w:spacing w:after="0"/>
        <w:ind w:left="0"/>
        <w:jc w:val="both"/>
      </w:pPr>
      <w:r>
        <w:rPr>
          <w:rFonts w:ascii="Times New Roman"/>
          <w:b w:val="false"/>
          <w:i w:val="false"/>
          <w:color w:val="000000"/>
          <w:sz w:val="28"/>
        </w:rPr>
        <w:t>
      Контроль исходных материалов.</w:t>
      </w:r>
    </w:p>
    <w:bookmarkEnd w:id="1209"/>
    <w:bookmarkStart w:name="z1129" w:id="1210"/>
    <w:p>
      <w:pPr>
        <w:spacing w:after="0"/>
        <w:ind w:left="0"/>
        <w:jc w:val="both"/>
      </w:pPr>
      <w:r>
        <w:rPr>
          <w:rFonts w:ascii="Times New Roman"/>
          <w:b w:val="false"/>
          <w:i w:val="false"/>
          <w:color w:val="000000"/>
          <w:sz w:val="28"/>
        </w:rPr>
        <w:t>
      В материалах регистрационного досье должны быть приведены документы, подтверждающие соответствие качества всех компонентов препарата, включая гомеопатическую фармацевтическую субстанцию и вспомогательные вещества, требованиям приведенных в разделе "Состав" ссылок на монографии или нормативную документацию. Для гомеопатической фармацевтической субстанции - это монографии Фармакопеи Евразийского экономического союза (при наличии) или фармакопей государств-членов, или монографии гомеопатической фармакопеи Германии, или монографии фармакопеи Франции, или Европейской фармакопеи; для вспомогательных компонентов - нормативная документация или монографии указанных фармакопей.</w:t>
      </w:r>
    </w:p>
    <w:bookmarkEnd w:id="1210"/>
    <w:bookmarkStart w:name="z1130" w:id="1211"/>
    <w:p>
      <w:pPr>
        <w:spacing w:after="0"/>
        <w:ind w:left="0"/>
        <w:jc w:val="both"/>
      </w:pPr>
      <w:r>
        <w:rPr>
          <w:rFonts w:ascii="Times New Roman"/>
          <w:b w:val="false"/>
          <w:i w:val="false"/>
          <w:color w:val="000000"/>
          <w:sz w:val="28"/>
        </w:rPr>
        <w:t>
      Основные требования по качеству должны применяться не только ко всем исходным материалам и сырью, но и к промежуточным продуктам (разведениям субстанции) до конечного разведения, которое вводится в лекарственный препарат. В случае использования гомеопатической фармацевтической субстанции, содержащей сильнодействующее или ядовитое действующее вещество, содержание такого действующего вещества должно быть определено подходящим методом и соответствующим образом регламентировано (например, двусторонним нормированием содержания такого действующего вещества или испытанием четвертого десятичного разведения). Как правило, разведение выше D4 десятичной шкалы и разведения сотенной шкалы не позволяют провести такую оценку.</w:t>
      </w:r>
    </w:p>
    <w:bookmarkEnd w:id="1211"/>
    <w:bookmarkStart w:name="z1131" w:id="1212"/>
    <w:p>
      <w:pPr>
        <w:spacing w:after="0"/>
        <w:ind w:left="0"/>
        <w:jc w:val="both"/>
      </w:pPr>
      <w:r>
        <w:rPr>
          <w:rFonts w:ascii="Times New Roman"/>
          <w:b w:val="false"/>
          <w:i w:val="false"/>
          <w:color w:val="000000"/>
          <w:sz w:val="28"/>
        </w:rPr>
        <w:t>
      В случае если для производства гомеопатического лекарственного препарата используется разведение гомеопатической фармацевтической субстанции, их получают в соответствии с методами и способами, описанными в соответствующей монографии Фармакопеи Евразийского экономического союза (при наличии), или в монографии фармакопей государств-членов, или монографии гомеопатической фармакопеи Германии, монографии фармакопеи Франции или Европейской фармакопеи, и указывают шкалу и степень разведения.</w:t>
      </w:r>
    </w:p>
    <w:bookmarkEnd w:id="1212"/>
    <w:bookmarkStart w:name="z1132" w:id="1213"/>
    <w:p>
      <w:pPr>
        <w:spacing w:after="0"/>
        <w:ind w:left="0"/>
        <w:jc w:val="both"/>
      </w:pPr>
      <w:r>
        <w:rPr>
          <w:rFonts w:ascii="Times New Roman"/>
          <w:b w:val="false"/>
          <w:i w:val="false"/>
          <w:color w:val="000000"/>
          <w:sz w:val="28"/>
        </w:rPr>
        <w:t>
      Контрольные испытания лекарственного препарата.</w:t>
      </w:r>
    </w:p>
    <w:bookmarkEnd w:id="1213"/>
    <w:bookmarkStart w:name="z1133" w:id="1214"/>
    <w:p>
      <w:pPr>
        <w:spacing w:after="0"/>
        <w:ind w:left="0"/>
        <w:jc w:val="both"/>
      </w:pPr>
      <w:r>
        <w:rPr>
          <w:rFonts w:ascii="Times New Roman"/>
          <w:b w:val="false"/>
          <w:i w:val="false"/>
          <w:color w:val="000000"/>
          <w:sz w:val="28"/>
        </w:rPr>
        <w:t>
      К гомеопатическим лекарственным препаратам должны применяться основные требования по качеству. При наличии отклонений от основных требований по качеству заявителю необходимо их обосновать.</w:t>
      </w:r>
    </w:p>
    <w:bookmarkEnd w:id="1214"/>
    <w:bookmarkStart w:name="z1134" w:id="1215"/>
    <w:p>
      <w:pPr>
        <w:spacing w:after="0"/>
        <w:ind w:left="0"/>
        <w:jc w:val="both"/>
      </w:pPr>
      <w:r>
        <w:rPr>
          <w:rFonts w:ascii="Times New Roman"/>
          <w:b w:val="false"/>
          <w:i w:val="false"/>
          <w:color w:val="000000"/>
          <w:sz w:val="28"/>
        </w:rPr>
        <w:t>
      В случае если для производства гомеопатического лекарственного препарата используется гомеопатическая фармацевтическая субстанция, содержащая сильнодействующее или ядовитое действующее вещество, должны проводиться испытания с целью установления подлинности и количественного определения указанных веществ в гомеопатическом лекарственном препарате (при необходимости).</w:t>
      </w:r>
    </w:p>
    <w:bookmarkEnd w:id="1215"/>
    <w:bookmarkStart w:name="z1135" w:id="1216"/>
    <w:p>
      <w:pPr>
        <w:spacing w:after="0"/>
        <w:ind w:left="0"/>
        <w:jc w:val="both"/>
      </w:pPr>
      <w:r>
        <w:rPr>
          <w:rFonts w:ascii="Times New Roman"/>
          <w:b w:val="false"/>
          <w:i w:val="false"/>
          <w:color w:val="000000"/>
          <w:sz w:val="28"/>
        </w:rPr>
        <w:t>
      При наличии обоснования о невозможности количественного определения и (или) идентификации всех токсикологически значимых компонентов (например, из-за степени разведения в лекарственном препарате), качество необходимо подтвердить полной валидацией производственного процесса и процесса разведения.</w:t>
      </w:r>
    </w:p>
    <w:bookmarkEnd w:id="1216"/>
    <w:bookmarkStart w:name="z1136" w:id="1217"/>
    <w:p>
      <w:pPr>
        <w:spacing w:after="0"/>
        <w:ind w:left="0"/>
        <w:jc w:val="both"/>
      </w:pPr>
      <w:r>
        <w:rPr>
          <w:rFonts w:ascii="Times New Roman"/>
          <w:b w:val="false"/>
          <w:i w:val="false"/>
          <w:color w:val="000000"/>
          <w:sz w:val="28"/>
        </w:rPr>
        <w:t>
      В случае если для производства гомеопатического лекарственного препарата используется гомеопатическая фармацевтическая субстанция, не содержащая сильнодействующего или ядовитого действующего вещества, должны проводиться испытания с целью установления подлинности и количественного определения веществ согласно монографиям на гомеопатические фармацевтические субстанции конкретного наименования (при необходимости).</w:t>
      </w:r>
    </w:p>
    <w:bookmarkEnd w:id="1217"/>
    <w:bookmarkStart w:name="z1137" w:id="1218"/>
    <w:p>
      <w:pPr>
        <w:spacing w:after="0"/>
        <w:ind w:left="0"/>
        <w:jc w:val="both"/>
      </w:pPr>
      <w:r>
        <w:rPr>
          <w:rFonts w:ascii="Times New Roman"/>
          <w:b w:val="false"/>
          <w:i w:val="false"/>
          <w:color w:val="000000"/>
          <w:sz w:val="28"/>
        </w:rPr>
        <w:t>
      Испытания на стабильность.</w:t>
      </w:r>
    </w:p>
    <w:bookmarkEnd w:id="1218"/>
    <w:bookmarkStart w:name="z1138" w:id="1219"/>
    <w:p>
      <w:pPr>
        <w:spacing w:after="0"/>
        <w:ind w:left="0"/>
        <w:jc w:val="both"/>
      </w:pPr>
      <w:r>
        <w:rPr>
          <w:rFonts w:ascii="Times New Roman"/>
          <w:b w:val="false"/>
          <w:i w:val="false"/>
          <w:color w:val="000000"/>
          <w:sz w:val="28"/>
        </w:rPr>
        <w:t>
      Необходимо подтвердить стабильность лекарственного препарата. Данные испытаний стабильности исходного гомеопатического материала, как правило, действительны для разведений и тритураций, приготовленных из данного материала. Если количественное определение или идентификация активного вещества невозможны из-за степени разведения, могут рассматриваться данные испытаний стабильности лекарственной формы.</w:t>
      </w:r>
    </w:p>
    <w:bookmarkEnd w:id="1219"/>
    <w:bookmarkStart w:name="z1139" w:id="1220"/>
    <w:p>
      <w:pPr>
        <w:spacing w:after="0"/>
        <w:ind w:left="0"/>
        <w:jc w:val="both"/>
      </w:pPr>
      <w:r>
        <w:rPr>
          <w:rFonts w:ascii="Times New Roman"/>
          <w:b w:val="false"/>
          <w:i w:val="false"/>
          <w:color w:val="000000"/>
          <w:sz w:val="28"/>
        </w:rPr>
        <w:t>
      14.2. Модуль 4.</w:t>
      </w:r>
    </w:p>
    <w:bookmarkEnd w:id="1220"/>
    <w:bookmarkStart w:name="z1140" w:id="1221"/>
    <w:p>
      <w:pPr>
        <w:spacing w:after="0"/>
        <w:ind w:left="0"/>
        <w:jc w:val="both"/>
      </w:pPr>
      <w:r>
        <w:rPr>
          <w:rFonts w:ascii="Times New Roman"/>
          <w:b w:val="false"/>
          <w:i w:val="false"/>
          <w:color w:val="000000"/>
          <w:sz w:val="28"/>
        </w:rPr>
        <w:t>
      Данные доклинических исследований токсичности.</w:t>
      </w:r>
    </w:p>
    <w:bookmarkEnd w:id="1221"/>
    <w:bookmarkStart w:name="z1141" w:id="1222"/>
    <w:p>
      <w:pPr>
        <w:spacing w:after="0"/>
        <w:ind w:left="0"/>
        <w:jc w:val="both"/>
      </w:pPr>
      <w:r>
        <w:rPr>
          <w:rFonts w:ascii="Times New Roman"/>
          <w:b w:val="false"/>
          <w:i w:val="false"/>
          <w:color w:val="000000"/>
          <w:sz w:val="28"/>
        </w:rPr>
        <w:t>
      Отсутствие любой информации необходимо обосновать, например, обосновать, как может быть подтвержден допустимый уровень безопасности при отсутствии некоторых исследований.</w:t>
      </w:r>
    </w:p>
    <w:bookmarkEnd w:id="1222"/>
    <w:bookmarkStart w:name="z1142" w:id="1223"/>
    <w:p>
      <w:pPr>
        <w:spacing w:after="0"/>
        <w:ind w:left="0"/>
        <w:jc w:val="both"/>
      </w:pPr>
      <w:r>
        <w:rPr>
          <w:rFonts w:ascii="Times New Roman"/>
          <w:b w:val="false"/>
          <w:i w:val="false"/>
          <w:color w:val="000000"/>
          <w:sz w:val="28"/>
        </w:rPr>
        <w:t>
      Для новых гомеопатических лекарственных средств (матричных настоек, тритураций и других компонентов), не указанных в фармакопеях и монографиях: обязательно представляются данные токсикологических исследований, обоснование подбора различных дозировок и последующие данные клинического исследования.</w:t>
      </w:r>
    </w:p>
    <w:bookmarkEnd w:id="1223"/>
    <w:bookmarkStart w:name="z1143" w:id="1224"/>
    <w:p>
      <w:pPr>
        <w:spacing w:after="0"/>
        <w:ind w:left="0"/>
        <w:jc w:val="both"/>
      </w:pPr>
      <w:r>
        <w:rPr>
          <w:rFonts w:ascii="Times New Roman"/>
          <w:b w:val="false"/>
          <w:i w:val="false"/>
          <w:color w:val="000000"/>
          <w:sz w:val="28"/>
        </w:rPr>
        <w:t>
      14.3. Модуль 5.</w:t>
      </w:r>
    </w:p>
    <w:bookmarkEnd w:id="1224"/>
    <w:bookmarkStart w:name="z1144" w:id="1225"/>
    <w:p>
      <w:pPr>
        <w:spacing w:after="0"/>
        <w:ind w:left="0"/>
        <w:jc w:val="both"/>
      </w:pPr>
      <w:r>
        <w:rPr>
          <w:rFonts w:ascii="Times New Roman"/>
          <w:b w:val="false"/>
          <w:i w:val="false"/>
          <w:color w:val="000000"/>
          <w:sz w:val="28"/>
        </w:rPr>
        <w:t>
      Данные клинических исследований, применения в пострегистрационный период (при наличии).</w:t>
      </w:r>
    </w:p>
    <w:bookmarkEnd w:id="1225"/>
    <w:bookmarkStart w:name="z1145" w:id="1226"/>
    <w:p>
      <w:pPr>
        <w:spacing w:after="0"/>
        <w:ind w:left="0"/>
        <w:jc w:val="both"/>
      </w:pPr>
      <w:r>
        <w:rPr>
          <w:rFonts w:ascii="Times New Roman"/>
          <w:b w:val="false"/>
          <w:i w:val="false"/>
          <w:color w:val="000000"/>
          <w:sz w:val="28"/>
        </w:rPr>
        <w:t>
      Отсутствие любой информации необходимо обосновать, например, обосновать, как может быть подтвержден допустимый профиль эффективности и безопасности при отсутствии некоторых исследований.</w:t>
      </w:r>
    </w:p>
    <w:bookmarkEnd w:id="1226"/>
    <w:bookmarkStart w:name="z1146" w:id="1227"/>
    <w:p>
      <w:pPr>
        <w:spacing w:after="0"/>
        <w:ind w:left="0"/>
        <w:jc w:val="both"/>
      </w:pPr>
      <w:r>
        <w:rPr>
          <w:rFonts w:ascii="Times New Roman"/>
          <w:b w:val="false"/>
          <w:i w:val="false"/>
          <w:color w:val="000000"/>
          <w:sz w:val="28"/>
        </w:rPr>
        <w:t>
      Для гомеопатических лекарственных средств (матричных настоек, тритураций и других компонентов), не упоминаемых в фармакопеях и монографиях, обязательно представляются данные клинических исследований (в соответствии с требованиями настоящего приложения) и обоснование подбора различных дозировок.</w:t>
      </w:r>
    </w:p>
    <w:bookmarkEnd w:id="1227"/>
    <w:bookmarkStart w:name="z1147" w:id="1228"/>
    <w:p>
      <w:pPr>
        <w:spacing w:after="0"/>
        <w:ind w:left="0"/>
        <w:jc w:val="both"/>
      </w:pPr>
      <w:r>
        <w:rPr>
          <w:rFonts w:ascii="Times New Roman"/>
          <w:b w:val="false"/>
          <w:i w:val="false"/>
          <w:color w:val="000000"/>
          <w:sz w:val="28"/>
        </w:rPr>
        <w:t>
      Для гомеопатических лекарственных средств, имеющих многолетний опыт применения и включенных в фармакопеи, представляется обзор данных научной литературы об эффективности и безопасности гомеопатического лекарственного препарата в заявляемой области применения.</w:t>
      </w:r>
    </w:p>
    <w:bookmarkEnd w:id="1228"/>
    <w:bookmarkStart w:name="z1148" w:id="1229"/>
    <w:p>
      <w:pPr>
        <w:spacing w:after="0"/>
        <w:ind w:left="0"/>
        <w:jc w:val="both"/>
      </w:pPr>
      <w:r>
        <w:rPr>
          <w:rFonts w:ascii="Times New Roman"/>
          <w:b w:val="false"/>
          <w:i w:val="false"/>
          <w:color w:val="000000"/>
          <w:sz w:val="28"/>
        </w:rPr>
        <w:t>
      В общей характеристике лекарственного препарата и инструкции по медицинскому применению лекарственного препарата включается указание: "гомеопатический лекарственный препарат".</w:t>
      </w:r>
    </w:p>
    <w:bookmarkEnd w:id="1229"/>
    <w:bookmarkStart w:name="z1149" w:id="1230"/>
    <w:p>
      <w:pPr>
        <w:spacing w:after="0"/>
        <w:ind w:left="0"/>
        <w:jc w:val="both"/>
      </w:pPr>
      <w:r>
        <w:rPr>
          <w:rFonts w:ascii="Times New Roman"/>
          <w:b w:val="false"/>
          <w:i w:val="false"/>
          <w:color w:val="000000"/>
          <w:sz w:val="28"/>
        </w:rPr>
        <w:t>
      14.4. Упрощенное регистрационное досье для гомеопатических лекарственных препаратов.</w:t>
      </w:r>
    </w:p>
    <w:bookmarkEnd w:id="1230"/>
    <w:bookmarkStart w:name="z1150" w:id="1231"/>
    <w:p>
      <w:pPr>
        <w:spacing w:after="0"/>
        <w:ind w:left="0"/>
        <w:jc w:val="both"/>
      </w:pPr>
      <w:r>
        <w:rPr>
          <w:rFonts w:ascii="Times New Roman"/>
          <w:b w:val="false"/>
          <w:i w:val="false"/>
          <w:color w:val="000000"/>
          <w:sz w:val="28"/>
        </w:rPr>
        <w:t>
      Для регистрации гомеопатических лекарственных препаратов предоставляется упрощенное регистрационное досье при соблюдении следующих условий:</w:t>
      </w:r>
    </w:p>
    <w:bookmarkEnd w:id="1231"/>
    <w:bookmarkStart w:name="z1151" w:id="1232"/>
    <w:p>
      <w:pPr>
        <w:spacing w:after="0"/>
        <w:ind w:left="0"/>
        <w:jc w:val="both"/>
      </w:pPr>
      <w:r>
        <w:rPr>
          <w:rFonts w:ascii="Times New Roman"/>
          <w:b w:val="false"/>
          <w:i w:val="false"/>
          <w:color w:val="000000"/>
          <w:sz w:val="28"/>
        </w:rPr>
        <w:t>
      лекарственный препарат предназначен для приема внутрь или наружного, местного, ингаляционного применения;</w:t>
      </w:r>
    </w:p>
    <w:bookmarkEnd w:id="1232"/>
    <w:bookmarkStart w:name="z1152" w:id="1233"/>
    <w:p>
      <w:pPr>
        <w:spacing w:after="0"/>
        <w:ind w:left="0"/>
        <w:jc w:val="both"/>
      </w:pPr>
      <w:r>
        <w:rPr>
          <w:rFonts w:ascii="Times New Roman"/>
          <w:b w:val="false"/>
          <w:i w:val="false"/>
          <w:color w:val="000000"/>
          <w:sz w:val="28"/>
        </w:rPr>
        <w:t>
      на упаковке лекарственного препарата, ОХЛП или ИМП не приведено конкретное терапевтическое показание к применению;</w:t>
      </w:r>
    </w:p>
    <w:bookmarkEnd w:id="1233"/>
    <w:bookmarkStart w:name="z1153" w:id="1234"/>
    <w:p>
      <w:pPr>
        <w:spacing w:after="0"/>
        <w:ind w:left="0"/>
        <w:jc w:val="both"/>
      </w:pPr>
      <w:r>
        <w:rPr>
          <w:rFonts w:ascii="Times New Roman"/>
          <w:b w:val="false"/>
          <w:i w:val="false"/>
          <w:color w:val="000000"/>
          <w:sz w:val="28"/>
        </w:rPr>
        <w:t>
      степень разведения является достаточной для того, чтобы гарантировать безопасность лекарственного препарата, в частности лекарственный препарат содержит не более 1/10 000 частей гомеопатической субстанции (настойки матричной гомеопатической) или содержит не более 1/100 минимальной дозы, применяемой в аллопатии, в отношении действующих веществ, наличие которых в лекарственном препарате требует отпуска по рецепту.</w:t>
      </w:r>
    </w:p>
    <w:bookmarkEnd w:id="1234"/>
    <w:bookmarkStart w:name="z1154" w:id="1235"/>
    <w:p>
      <w:pPr>
        <w:spacing w:after="0"/>
        <w:ind w:left="0"/>
        <w:jc w:val="both"/>
      </w:pPr>
      <w:r>
        <w:rPr>
          <w:rFonts w:ascii="Times New Roman"/>
          <w:b w:val="false"/>
          <w:i w:val="false"/>
          <w:color w:val="000000"/>
          <w:sz w:val="28"/>
        </w:rPr>
        <w:t>
      Доказательства терапевтической эффективности для указанных гомеопатических лекарственных препаратов не требуются. Категория отпуска таких гомеопатических лекарственных препаратов устанавливается во время регистрации.</w:t>
      </w:r>
    </w:p>
    <w:bookmarkEnd w:id="1235"/>
    <w:bookmarkStart w:name="z1155" w:id="1236"/>
    <w:p>
      <w:pPr>
        <w:spacing w:after="0"/>
        <w:ind w:left="0"/>
        <w:jc w:val="both"/>
      </w:pPr>
      <w:r>
        <w:rPr>
          <w:rFonts w:ascii="Times New Roman"/>
          <w:b w:val="false"/>
          <w:i w:val="false"/>
          <w:color w:val="000000"/>
          <w:sz w:val="28"/>
        </w:rPr>
        <w:t>
      Заявление на проведение специальной, упрощенной процедуры регистрации может охватывать серию лекарственных препаратов, полученных из одной и той же гомеопатической фармацевтической субстанции или нескольких гомеопатических фармацевтических субстанций, объединенных природой происхождения (например, животного, минерального или растительного происхождения).</w:t>
      </w:r>
    </w:p>
    <w:bookmarkEnd w:id="1236"/>
    <w:bookmarkStart w:name="z1156" w:id="1237"/>
    <w:p>
      <w:pPr>
        <w:spacing w:after="0"/>
        <w:ind w:left="0"/>
        <w:jc w:val="both"/>
      </w:pPr>
      <w:r>
        <w:rPr>
          <w:rFonts w:ascii="Times New Roman"/>
          <w:b w:val="false"/>
          <w:i w:val="false"/>
          <w:color w:val="000000"/>
          <w:sz w:val="28"/>
        </w:rPr>
        <w:t>
      Для того чтобы подтвердить фармацевтическое качество и однородность препарата от серии к серии, заявления сопровождается регистрационным досье со следующими документами:</w:t>
      </w:r>
    </w:p>
    <w:bookmarkEnd w:id="1237"/>
    <w:bookmarkStart w:name="z1157" w:id="1238"/>
    <w:p>
      <w:pPr>
        <w:spacing w:after="0"/>
        <w:ind w:left="0"/>
        <w:jc w:val="both"/>
      </w:pPr>
      <w:r>
        <w:rPr>
          <w:rFonts w:ascii="Times New Roman"/>
          <w:b w:val="false"/>
          <w:i w:val="false"/>
          <w:color w:val="000000"/>
          <w:sz w:val="28"/>
        </w:rPr>
        <w:t>
      указанное в фармакопее научное название на латинском языке гомеопатической фармацевтической субстанции с указанием шкалы и степени разведения, данные о путях введения, лекарственных формах и степени разведения, подлежащих регистрации;</w:t>
      </w:r>
    </w:p>
    <w:bookmarkEnd w:id="1238"/>
    <w:bookmarkStart w:name="z1158" w:id="1239"/>
    <w:p>
      <w:pPr>
        <w:spacing w:after="0"/>
        <w:ind w:left="0"/>
        <w:jc w:val="both"/>
      </w:pPr>
      <w:r>
        <w:rPr>
          <w:rFonts w:ascii="Times New Roman"/>
          <w:b w:val="false"/>
          <w:i w:val="false"/>
          <w:color w:val="000000"/>
          <w:sz w:val="28"/>
        </w:rPr>
        <w:t>
      один или более макетов потребительской и первичной упаковки, а также общей характеристики лекарственного препарата и инструкции по медицинскому применению (листок-вкладыш) гомеопатических лекарственных препаратов, заявляемых на процедуру упрощенной регистрации;</w:t>
      </w:r>
    </w:p>
    <w:bookmarkEnd w:id="1239"/>
    <w:bookmarkStart w:name="z1159" w:id="1240"/>
    <w:p>
      <w:pPr>
        <w:spacing w:after="0"/>
        <w:ind w:left="0"/>
        <w:jc w:val="both"/>
      </w:pPr>
      <w:r>
        <w:rPr>
          <w:rFonts w:ascii="Times New Roman"/>
          <w:b w:val="false"/>
          <w:i w:val="false"/>
          <w:color w:val="000000"/>
          <w:sz w:val="28"/>
        </w:rPr>
        <w:t>
      досье с описанием способа получения и контроля гомеопатической фармацевтической субстанции, сырья или видов сырья, обоснование гомеопатического использования на основании соответствующей библиографии;</w:t>
      </w:r>
    </w:p>
    <w:bookmarkEnd w:id="1240"/>
    <w:bookmarkStart w:name="z1160" w:id="1241"/>
    <w:p>
      <w:pPr>
        <w:spacing w:after="0"/>
        <w:ind w:left="0"/>
        <w:jc w:val="both"/>
      </w:pPr>
      <w:r>
        <w:rPr>
          <w:rFonts w:ascii="Times New Roman"/>
          <w:b w:val="false"/>
          <w:i w:val="false"/>
          <w:color w:val="000000"/>
          <w:sz w:val="28"/>
        </w:rPr>
        <w:t>
      описание производства и контроля для каждой лекарственной формы, описание шкалы, способа разведения (потенцирования);</w:t>
      </w:r>
    </w:p>
    <w:bookmarkEnd w:id="1241"/>
    <w:bookmarkStart w:name="z1161" w:id="1242"/>
    <w:p>
      <w:pPr>
        <w:spacing w:after="0"/>
        <w:ind w:left="0"/>
        <w:jc w:val="both"/>
      </w:pPr>
      <w:r>
        <w:rPr>
          <w:rFonts w:ascii="Times New Roman"/>
          <w:b w:val="false"/>
          <w:i w:val="false"/>
          <w:color w:val="000000"/>
          <w:sz w:val="28"/>
        </w:rPr>
        <w:t>
      лицензия на производство лекарственных препаратов и документ, подтверждающий соответствие правилам надлежащей производственной практики Союза;</w:t>
      </w:r>
    </w:p>
    <w:bookmarkEnd w:id="1242"/>
    <w:bookmarkStart w:name="z1162" w:id="1243"/>
    <w:p>
      <w:pPr>
        <w:spacing w:after="0"/>
        <w:ind w:left="0"/>
        <w:jc w:val="both"/>
      </w:pPr>
      <w:r>
        <w:rPr>
          <w:rFonts w:ascii="Times New Roman"/>
          <w:b w:val="false"/>
          <w:i w:val="false"/>
          <w:color w:val="000000"/>
          <w:sz w:val="28"/>
        </w:rPr>
        <w:t>
      копии свидетельств о регистрации лекарственного препарата по упрощенной процедуре, полученных в других странах;</w:t>
      </w:r>
    </w:p>
    <w:bookmarkEnd w:id="1243"/>
    <w:bookmarkStart w:name="z1163" w:id="1244"/>
    <w:p>
      <w:pPr>
        <w:spacing w:after="0"/>
        <w:ind w:left="0"/>
        <w:jc w:val="both"/>
      </w:pPr>
      <w:r>
        <w:rPr>
          <w:rFonts w:ascii="Times New Roman"/>
          <w:b w:val="false"/>
          <w:i w:val="false"/>
          <w:color w:val="000000"/>
          <w:sz w:val="28"/>
        </w:rPr>
        <w:t>
      данные о стабильности гомеопатического лекарственного препарата.</w:t>
      </w:r>
    </w:p>
    <w:bookmarkEnd w:id="1244"/>
    <w:bookmarkStart w:name="z1164" w:id="1245"/>
    <w:p>
      <w:pPr>
        <w:spacing w:after="0"/>
        <w:ind w:left="0"/>
        <w:jc w:val="left"/>
      </w:pPr>
      <w:r>
        <w:rPr>
          <w:rFonts w:ascii="Times New Roman"/>
          <w:b/>
          <w:i w:val="false"/>
          <w:color w:val="000000"/>
        </w:rPr>
        <w:t xml:space="preserve"> 15. Лекарственный растительный препарат </w:t>
      </w:r>
    </w:p>
    <w:bookmarkEnd w:id="1245"/>
    <w:bookmarkStart w:name="z1165" w:id="1246"/>
    <w:p>
      <w:pPr>
        <w:spacing w:after="0"/>
        <w:ind w:left="0"/>
        <w:jc w:val="both"/>
      </w:pPr>
      <w:r>
        <w:rPr>
          <w:rFonts w:ascii="Times New Roman"/>
          <w:b w:val="false"/>
          <w:i w:val="false"/>
          <w:color w:val="000000"/>
          <w:sz w:val="28"/>
        </w:rPr>
        <w:t>
      Регистрационное досье для регистрации лекарственных растительных препаратов представляется в соответствии с требованиями данного раздела.</w:t>
      </w:r>
    </w:p>
    <w:bookmarkEnd w:id="1246"/>
    <w:bookmarkStart w:name="z1166" w:id="1247"/>
    <w:p>
      <w:pPr>
        <w:spacing w:after="0"/>
        <w:ind w:left="0"/>
        <w:jc w:val="both"/>
      </w:pPr>
      <w:r>
        <w:rPr>
          <w:rFonts w:ascii="Times New Roman"/>
          <w:b w:val="false"/>
          <w:i w:val="false"/>
          <w:color w:val="000000"/>
          <w:sz w:val="28"/>
        </w:rPr>
        <w:t>
      15.1. Модуль 3.</w:t>
      </w:r>
    </w:p>
    <w:bookmarkEnd w:id="1247"/>
    <w:bookmarkStart w:name="z1167" w:id="1248"/>
    <w:p>
      <w:pPr>
        <w:spacing w:after="0"/>
        <w:ind w:left="0"/>
        <w:jc w:val="both"/>
      </w:pPr>
      <w:r>
        <w:rPr>
          <w:rFonts w:ascii="Times New Roman"/>
          <w:b w:val="false"/>
          <w:i w:val="false"/>
          <w:color w:val="000000"/>
          <w:sz w:val="28"/>
        </w:rPr>
        <w:t>
      При регистрации лекарственных растительных препаратов должны применяться требования к модулю 3, указанные в разделе 3 части I настоящего приложения, включая необходимость соответствия фармакопейным статьям (монографиям) Фармакопеи Евразийского экономического союза или фармакопеям государств-членов. Необходимо учитывать имеющиеся научные сведения на дату подачи заявления.</w:t>
      </w:r>
    </w:p>
    <w:bookmarkEnd w:id="1248"/>
    <w:bookmarkStart w:name="z1168" w:id="1249"/>
    <w:p>
      <w:pPr>
        <w:spacing w:after="0"/>
        <w:ind w:left="0"/>
        <w:jc w:val="both"/>
      </w:pPr>
      <w:r>
        <w:rPr>
          <w:rFonts w:ascii="Times New Roman"/>
          <w:b w:val="false"/>
          <w:i w:val="false"/>
          <w:color w:val="000000"/>
          <w:sz w:val="28"/>
        </w:rPr>
        <w:t>
      15.1.1. Субстанции растительного происхождения.</w:t>
      </w:r>
    </w:p>
    <w:bookmarkEnd w:id="1249"/>
    <w:bookmarkStart w:name="z1169" w:id="1250"/>
    <w:p>
      <w:pPr>
        <w:spacing w:after="0"/>
        <w:ind w:left="0"/>
        <w:jc w:val="both"/>
      </w:pPr>
      <w:r>
        <w:rPr>
          <w:rFonts w:ascii="Times New Roman"/>
          <w:b w:val="false"/>
          <w:i w:val="false"/>
          <w:color w:val="000000"/>
          <w:sz w:val="28"/>
        </w:rPr>
        <w:t>
      В рамках настоящего приложения понятие "фармацевтическая субстанция растительного происхождения" является общим, объединяя понятия "лекарственное растительное сырье" и "продукт из лекарственного растительного сырья".</w:t>
      </w:r>
    </w:p>
    <w:bookmarkEnd w:id="1250"/>
    <w:bookmarkStart w:name="z1170" w:id="1251"/>
    <w:p>
      <w:pPr>
        <w:spacing w:after="0"/>
        <w:ind w:left="0"/>
        <w:jc w:val="both"/>
      </w:pPr>
      <w:r>
        <w:rPr>
          <w:rFonts w:ascii="Times New Roman"/>
          <w:b w:val="false"/>
          <w:i w:val="false"/>
          <w:color w:val="000000"/>
          <w:sz w:val="28"/>
        </w:rPr>
        <w:t>
      Для фармацевтической субстанции растительного происхождения, полученной после измельчения лекарственного растительного сырья, необходимо указывать биноминальное научное название производящего растения: родовое и видовое, разновидность и автора на латинском языке, хемотип (при необходимости), источник происхождения (дикорастущее или культивируемое), морфологическую группу производящего растения, название (определение) субстанции растительного происхождения.</w:t>
      </w:r>
    </w:p>
    <w:bookmarkEnd w:id="1251"/>
    <w:bookmarkStart w:name="z1171" w:id="1252"/>
    <w:p>
      <w:pPr>
        <w:spacing w:after="0"/>
        <w:ind w:left="0"/>
        <w:jc w:val="both"/>
      </w:pPr>
      <w:r>
        <w:rPr>
          <w:rFonts w:ascii="Times New Roman"/>
          <w:b w:val="false"/>
          <w:i w:val="false"/>
          <w:color w:val="000000"/>
          <w:sz w:val="28"/>
        </w:rPr>
        <w:t>
      Для фармацевтической субстанции растительного происхождения, полученной после обработки лекарственного растительного сырья различными способами (экстракция, дистилляция, отжим, фракционирование, очистка, концентрирование, ферментация и др.), необходимо указывать биноминальное научное название производящего растения: родовое и видовое, разновидность и автора на латинском языке, хемотип (при необходимости), источник происхождения (дикорастущее или культивируемое), морфологическую группу производящего растения, название (определение) субстанции растительного происхождения.</w:t>
      </w:r>
    </w:p>
    <w:bookmarkEnd w:id="1252"/>
    <w:bookmarkStart w:name="z1172" w:id="1253"/>
    <w:p>
      <w:pPr>
        <w:spacing w:after="0"/>
        <w:ind w:left="0"/>
        <w:jc w:val="both"/>
      </w:pPr>
      <w:r>
        <w:rPr>
          <w:rFonts w:ascii="Times New Roman"/>
          <w:b w:val="false"/>
          <w:i w:val="false"/>
          <w:color w:val="000000"/>
          <w:sz w:val="28"/>
        </w:rPr>
        <w:t>
      Раздел "Структура" для фармацевтической субстанции растительного происхождения, полученной после измельчения лекарственного растительного сырья, включает в себя указание его категории (цельное, измельченное, порошок), для фармацевтической субстанции растительного происхождения, полученной после обработки лекарственного растительного сырья различными способами (экстракция, дистилляция, отжим, фракционирование, очистка, концентрирование, ферментация и др.) - указание агрегатного (физического) состояния (например, экстракт сухой, густой, жидкий), а также описание компонентов с известным терапевтическим действием или маркеры (молекулярная формула, относительная молекулярная масса, структурная формула, включая относительную и абсолютную пространственную структуру, молекулярную формулу и относительную молекулярную массу) и другие компоненты.</w:t>
      </w:r>
    </w:p>
    <w:bookmarkEnd w:id="1253"/>
    <w:bookmarkStart w:name="z1173" w:id="1254"/>
    <w:p>
      <w:pPr>
        <w:spacing w:after="0"/>
        <w:ind w:left="0"/>
        <w:jc w:val="both"/>
      </w:pPr>
      <w:r>
        <w:rPr>
          <w:rFonts w:ascii="Times New Roman"/>
          <w:b w:val="false"/>
          <w:i w:val="false"/>
          <w:color w:val="000000"/>
          <w:sz w:val="28"/>
        </w:rPr>
        <w:t>
      Раздел о производителе лекарственного растительного сырья должен содержать следующие сведения: наименование, адрес и ответственность каждого поставщика, каждая производственная площадка или лаборатория, задействованные в заготовке (производстве) и контроле качества лекарственного растительного сырья.</w:t>
      </w:r>
    </w:p>
    <w:bookmarkEnd w:id="1254"/>
    <w:bookmarkStart w:name="z1174" w:id="1255"/>
    <w:p>
      <w:pPr>
        <w:spacing w:after="0"/>
        <w:ind w:left="0"/>
        <w:jc w:val="both"/>
      </w:pPr>
      <w:r>
        <w:rPr>
          <w:rFonts w:ascii="Times New Roman"/>
          <w:b w:val="false"/>
          <w:i w:val="false"/>
          <w:color w:val="000000"/>
          <w:sz w:val="28"/>
        </w:rPr>
        <w:t>
      Раздел о производителе продукта из лекарственного растительного сырья должен содержать следующие сведения: наименование, адрес и ответственность каждого поставщика, каждая производственная площадка или лаборатория, задействованные в производстве и контроле качества продукта из лекарственного растительного сырья.</w:t>
      </w:r>
    </w:p>
    <w:bookmarkEnd w:id="1255"/>
    <w:bookmarkStart w:name="z1175" w:id="1256"/>
    <w:p>
      <w:pPr>
        <w:spacing w:after="0"/>
        <w:ind w:left="0"/>
        <w:jc w:val="both"/>
      </w:pPr>
      <w:r>
        <w:rPr>
          <w:rFonts w:ascii="Times New Roman"/>
          <w:b w:val="false"/>
          <w:i w:val="false"/>
          <w:color w:val="000000"/>
          <w:sz w:val="28"/>
        </w:rPr>
        <w:t>
      Раздел "Описание производственного процесса и его контроля" для лекарственного растительного сырья должен содержать сведения о процессе заготовки дикорастущего или культивируемого лекарственного растительного сырья (географический источник лекарственного растения, описание процесса культивирования) и способы его дальнейшей обработки (сбора, высушивания) и условий хранения. Для продукта из лекарственного растительного сырья необходимо представить сведения о производственном процессе получения продукта, включая описание обработки, растворителей и реагентов, стадий очистки и стандартизации (при необходимости).</w:t>
      </w:r>
    </w:p>
    <w:bookmarkEnd w:id="1256"/>
    <w:bookmarkStart w:name="z1176" w:id="1257"/>
    <w:p>
      <w:pPr>
        <w:spacing w:after="0"/>
        <w:ind w:left="0"/>
        <w:jc w:val="both"/>
      </w:pPr>
      <w:r>
        <w:rPr>
          <w:rFonts w:ascii="Times New Roman"/>
          <w:b w:val="false"/>
          <w:i w:val="false"/>
          <w:color w:val="000000"/>
          <w:sz w:val="28"/>
        </w:rPr>
        <w:t>
      В отношении разработки производственного процесса необходимо представить резюме, в котором описывается разработка растительной субстанции. В отношении разработки производственного процесса продукта из лекарственного растительного сырья необходимо представить резюме, в котором описывается разработка продукта, учитывая предполагаемый путь введения лекарственного растительного препарата и его медицинское применение. Необходимо рассмотреть результаты сравнительного фитохимического анализа лекарственного растительного сырья и продукта из лекарственного растительного сырья с использованием библиографических данных (при необходимости).</w:t>
      </w:r>
    </w:p>
    <w:bookmarkEnd w:id="1257"/>
    <w:bookmarkStart w:name="z1177" w:id="1258"/>
    <w:p>
      <w:pPr>
        <w:spacing w:after="0"/>
        <w:ind w:left="0"/>
        <w:jc w:val="both"/>
      </w:pPr>
      <w:r>
        <w:rPr>
          <w:rFonts w:ascii="Times New Roman"/>
          <w:b w:val="false"/>
          <w:i w:val="false"/>
          <w:color w:val="000000"/>
          <w:sz w:val="28"/>
        </w:rPr>
        <w:t>
      При описании структуры и других характеристик растительного лекарственного сырья необходимо представить сведения о ботанической, макроскопической, микроскопической и фитохимической характеристиках и биологической активности (при необходимости).</w:t>
      </w:r>
    </w:p>
    <w:bookmarkEnd w:id="1258"/>
    <w:bookmarkStart w:name="z1178" w:id="1259"/>
    <w:p>
      <w:pPr>
        <w:spacing w:after="0"/>
        <w:ind w:left="0"/>
        <w:jc w:val="both"/>
      </w:pPr>
      <w:r>
        <w:rPr>
          <w:rFonts w:ascii="Times New Roman"/>
          <w:b w:val="false"/>
          <w:i w:val="false"/>
          <w:color w:val="000000"/>
          <w:sz w:val="28"/>
        </w:rPr>
        <w:t>
      При описании состава и других характеристик продукта из растительного лекарственного сырья необходимо представить сведения о фито- и физико-химических характеристиках и биологической активности продуктов растительного происхождения (при необходимости).</w:t>
      </w:r>
    </w:p>
    <w:bookmarkEnd w:id="1259"/>
    <w:bookmarkStart w:name="z1179" w:id="1260"/>
    <w:p>
      <w:pPr>
        <w:spacing w:after="0"/>
        <w:ind w:left="0"/>
        <w:jc w:val="both"/>
      </w:pPr>
      <w:r>
        <w:rPr>
          <w:rFonts w:ascii="Times New Roman"/>
          <w:b w:val="false"/>
          <w:i w:val="false"/>
          <w:color w:val="000000"/>
          <w:sz w:val="28"/>
        </w:rPr>
        <w:t>
      Следует представить спецификации для растительного лекарственного сырья и продуктов из растительного лекарственного сырья (при необходимости).</w:t>
      </w:r>
    </w:p>
    <w:bookmarkEnd w:id="1260"/>
    <w:bookmarkStart w:name="z1180" w:id="1261"/>
    <w:p>
      <w:pPr>
        <w:spacing w:after="0"/>
        <w:ind w:left="0"/>
        <w:jc w:val="both"/>
      </w:pPr>
      <w:r>
        <w:rPr>
          <w:rFonts w:ascii="Times New Roman"/>
          <w:b w:val="false"/>
          <w:i w:val="false"/>
          <w:color w:val="000000"/>
          <w:sz w:val="28"/>
        </w:rPr>
        <w:t>
      Необходимо указать используемые аналитические методики для испытаний фармацевтической субстанции растительного происхождения, представить отчеты по их валидации (если они не являются фармакопейными), включая экспериментальные данные для аналитических методик, используемых для испытаний.</w:t>
      </w:r>
    </w:p>
    <w:bookmarkEnd w:id="1261"/>
    <w:bookmarkStart w:name="z1181" w:id="1262"/>
    <w:p>
      <w:pPr>
        <w:spacing w:after="0"/>
        <w:ind w:left="0"/>
        <w:jc w:val="both"/>
      </w:pPr>
      <w:r>
        <w:rPr>
          <w:rFonts w:ascii="Times New Roman"/>
          <w:b w:val="false"/>
          <w:i w:val="false"/>
          <w:color w:val="000000"/>
          <w:sz w:val="28"/>
        </w:rPr>
        <w:t>
      Данные анализа серий необходимо представить как описание серий и результатов анализов серий для субстанции растительного происхождения, включая такие данные для фармакопейных субстанций.</w:t>
      </w:r>
    </w:p>
    <w:bookmarkEnd w:id="1262"/>
    <w:bookmarkStart w:name="z1182" w:id="1263"/>
    <w:p>
      <w:pPr>
        <w:spacing w:after="0"/>
        <w:ind w:left="0"/>
        <w:jc w:val="both"/>
      </w:pPr>
      <w:r>
        <w:rPr>
          <w:rFonts w:ascii="Times New Roman"/>
          <w:b w:val="false"/>
          <w:i w:val="false"/>
          <w:color w:val="000000"/>
          <w:sz w:val="28"/>
        </w:rPr>
        <w:t>
      При необходимости следует представить обоснование спецификаций субстанции растительного происхождения.</w:t>
      </w:r>
    </w:p>
    <w:bookmarkEnd w:id="1263"/>
    <w:bookmarkStart w:name="z1183" w:id="1264"/>
    <w:p>
      <w:pPr>
        <w:spacing w:after="0"/>
        <w:ind w:left="0"/>
        <w:jc w:val="both"/>
      </w:pPr>
      <w:r>
        <w:rPr>
          <w:rFonts w:ascii="Times New Roman"/>
          <w:b w:val="false"/>
          <w:i w:val="false"/>
          <w:color w:val="000000"/>
          <w:sz w:val="28"/>
        </w:rPr>
        <w:t>
      Следует представить информацию о стандартных образцах и материалах, используемых для испытаний субстанции растительного происхождения.</w:t>
      </w:r>
    </w:p>
    <w:bookmarkEnd w:id="1264"/>
    <w:bookmarkStart w:name="z1184" w:id="1265"/>
    <w:p>
      <w:pPr>
        <w:spacing w:after="0"/>
        <w:ind w:left="0"/>
        <w:jc w:val="both"/>
      </w:pPr>
      <w:r>
        <w:rPr>
          <w:rFonts w:ascii="Times New Roman"/>
          <w:b w:val="false"/>
          <w:i w:val="false"/>
          <w:color w:val="000000"/>
          <w:sz w:val="28"/>
        </w:rPr>
        <w:t>
      Если монография на субстанцию растительного происхождения включена в Европейскую Фармакопею, заявитель может представить сертификат соответствия, выдаваемый Европейским директоратом по качеству лекарственных средств (при наличии).</w:t>
      </w:r>
    </w:p>
    <w:bookmarkEnd w:id="1265"/>
    <w:bookmarkStart w:name="z1185" w:id="1266"/>
    <w:p>
      <w:pPr>
        <w:spacing w:after="0"/>
        <w:ind w:left="0"/>
        <w:jc w:val="both"/>
      </w:pPr>
      <w:r>
        <w:rPr>
          <w:rFonts w:ascii="Times New Roman"/>
          <w:b w:val="false"/>
          <w:i w:val="false"/>
          <w:color w:val="000000"/>
          <w:sz w:val="28"/>
        </w:rPr>
        <w:t>
      15.1.2. Лекарственные растительные препараты.</w:t>
      </w:r>
    </w:p>
    <w:bookmarkEnd w:id="1266"/>
    <w:bookmarkStart w:name="z1186" w:id="1267"/>
    <w:p>
      <w:pPr>
        <w:spacing w:after="0"/>
        <w:ind w:left="0"/>
        <w:jc w:val="both"/>
      </w:pPr>
      <w:r>
        <w:rPr>
          <w:rFonts w:ascii="Times New Roman"/>
          <w:b w:val="false"/>
          <w:i w:val="false"/>
          <w:color w:val="000000"/>
          <w:sz w:val="28"/>
        </w:rPr>
        <w:t>
      Относительно разработки состава необходимо представить резюме, в котором описана разработка лекарственного растительного препарата, учитывая предполагаемый путь введения и использование. Необходимо проанализировать данные по фитохимическому составу заявленного лекарственного растительного препарата и данные, приведенные в библиографических научных источниках.</w:t>
      </w:r>
    </w:p>
    <w:bookmarkEnd w:id="1267"/>
    <w:bookmarkStart w:name="z1187" w:id="1268"/>
    <w:p>
      <w:pPr>
        <w:spacing w:after="0"/>
        <w:ind w:left="0"/>
        <w:jc w:val="both"/>
      </w:pPr>
      <w:r>
        <w:rPr>
          <w:rFonts w:ascii="Times New Roman"/>
          <w:b w:val="false"/>
          <w:i w:val="false"/>
          <w:color w:val="000000"/>
          <w:sz w:val="28"/>
        </w:rPr>
        <w:t>
      Раздел "Описание производственного процесса и его контроля" для лекарственного растительного препарата должен содержать сведения о производственном процессе получения препарата, включая описание обработки, растворителей и реагентов, вспомогательных веществ, стадий очистки и стандартизации (при необходимости).</w:t>
      </w:r>
    </w:p>
    <w:bookmarkEnd w:id="1268"/>
    <w:bookmarkStart w:name="z1188" w:id="1269"/>
    <w:p>
      <w:pPr>
        <w:spacing w:after="0"/>
        <w:ind w:left="0"/>
        <w:jc w:val="both"/>
      </w:pPr>
      <w:r>
        <w:rPr>
          <w:rFonts w:ascii="Times New Roman"/>
          <w:b w:val="false"/>
          <w:i w:val="false"/>
          <w:color w:val="000000"/>
          <w:sz w:val="28"/>
        </w:rPr>
        <w:t>
      15.1.3. Модули 4 и 5.</w:t>
      </w:r>
    </w:p>
    <w:bookmarkEnd w:id="1269"/>
    <w:bookmarkStart w:name="z1189" w:id="1270"/>
    <w:p>
      <w:pPr>
        <w:spacing w:after="0"/>
        <w:ind w:left="0"/>
        <w:jc w:val="both"/>
      </w:pPr>
      <w:r>
        <w:rPr>
          <w:rFonts w:ascii="Times New Roman"/>
          <w:b w:val="false"/>
          <w:i w:val="false"/>
          <w:color w:val="000000"/>
          <w:sz w:val="28"/>
        </w:rPr>
        <w:t>
      Результаты доклинических (токсикологических и фармакологических) и клинических исследований.</w:t>
      </w:r>
    </w:p>
    <w:bookmarkEnd w:id="1270"/>
    <w:bookmarkStart w:name="z1190" w:id="1271"/>
    <w:p>
      <w:pPr>
        <w:spacing w:after="0"/>
        <w:ind w:left="0"/>
        <w:jc w:val="both"/>
      </w:pPr>
      <w:r>
        <w:rPr>
          <w:rFonts w:ascii="Times New Roman"/>
          <w:b w:val="false"/>
          <w:i w:val="false"/>
          <w:color w:val="000000"/>
          <w:sz w:val="28"/>
        </w:rPr>
        <w:t>
      В случае комбинированных растительных препаратов (включая комбинации с витаминами и (или) минералами), если отдельные компоненты комбинации изучены недостаточно, должны быть представлены данные по каждому отдельному компоненту комбинации.</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91" w:id="1272"/>
    <w:p>
      <w:pPr>
        <w:spacing w:after="0"/>
        <w:ind w:left="0"/>
        <w:jc w:val="both"/>
      </w:pPr>
      <w:r>
        <w:rPr>
          <w:rFonts w:ascii="Times New Roman"/>
          <w:b w:val="false"/>
          <w:i w:val="false"/>
          <w:color w:val="000000"/>
          <w:sz w:val="28"/>
        </w:rPr>
        <w:t>
      15.2. Упрощенное регистрационное досье лекарственных растительных препаратов.</w:t>
      </w:r>
    </w:p>
    <w:bookmarkEnd w:id="1272"/>
    <w:bookmarkStart w:name="z1192" w:id="1273"/>
    <w:p>
      <w:pPr>
        <w:spacing w:after="0"/>
        <w:ind w:left="0"/>
        <w:jc w:val="both"/>
      </w:pPr>
      <w:r>
        <w:rPr>
          <w:rFonts w:ascii="Times New Roman"/>
          <w:b w:val="false"/>
          <w:i w:val="false"/>
          <w:color w:val="000000"/>
          <w:sz w:val="28"/>
        </w:rPr>
        <w:t>
      Упрощенное регистрационное досье на регистрацию лекарственных растительных препаратов представляется для лекарственных растительных препаратов в лекарственных формах настойки, экстракты и др., а также для измельченных или порошкообразных, резано-прессованных частей растения и других препаратов при соблюдении следующих требований:</w:t>
      </w:r>
    </w:p>
    <w:bookmarkEnd w:id="1273"/>
    <w:bookmarkStart w:name="z1193" w:id="1274"/>
    <w:p>
      <w:pPr>
        <w:spacing w:after="0"/>
        <w:ind w:left="0"/>
        <w:jc w:val="both"/>
      </w:pPr>
      <w:r>
        <w:rPr>
          <w:rFonts w:ascii="Times New Roman"/>
          <w:b w:val="false"/>
          <w:i w:val="false"/>
          <w:color w:val="000000"/>
          <w:sz w:val="28"/>
        </w:rPr>
        <w:t>
      показания к применению соответствуют общеизвестным свойствам и составу лекарственного растения и предназначены для применения без контроля со стороны врача в целях профилактики или лечения;</w:t>
      </w:r>
    </w:p>
    <w:bookmarkEnd w:id="1274"/>
    <w:bookmarkStart w:name="z1194" w:id="1275"/>
    <w:p>
      <w:pPr>
        <w:spacing w:after="0"/>
        <w:ind w:left="0"/>
        <w:jc w:val="both"/>
      </w:pPr>
      <w:r>
        <w:rPr>
          <w:rFonts w:ascii="Times New Roman"/>
          <w:b w:val="false"/>
          <w:i w:val="false"/>
          <w:color w:val="000000"/>
          <w:sz w:val="28"/>
        </w:rPr>
        <w:t>
      при определенных общей характеристикой лекарственного препарата способах применения и дозах;</w:t>
      </w:r>
    </w:p>
    <w:bookmarkEnd w:id="1275"/>
    <w:bookmarkStart w:name="z1195" w:id="1276"/>
    <w:p>
      <w:pPr>
        <w:spacing w:after="0"/>
        <w:ind w:left="0"/>
        <w:jc w:val="both"/>
      </w:pPr>
      <w:r>
        <w:rPr>
          <w:rFonts w:ascii="Times New Roman"/>
          <w:b w:val="false"/>
          <w:i w:val="false"/>
          <w:color w:val="000000"/>
          <w:sz w:val="28"/>
        </w:rPr>
        <w:t>
      предназначены для приема внутрь, наружного, местного и (или) ингаляционного применения;</w:t>
      </w:r>
    </w:p>
    <w:bookmarkEnd w:id="1276"/>
    <w:bookmarkStart w:name="z1196" w:id="1277"/>
    <w:p>
      <w:pPr>
        <w:spacing w:after="0"/>
        <w:ind w:left="0"/>
        <w:jc w:val="both"/>
      </w:pPr>
      <w:r>
        <w:rPr>
          <w:rFonts w:ascii="Times New Roman"/>
          <w:b w:val="false"/>
          <w:i w:val="false"/>
          <w:color w:val="000000"/>
          <w:sz w:val="28"/>
        </w:rPr>
        <w:t>
      безопасность применения лекарственного растительного препарата основывается на длительном опыте (не менее 10 лет с даты первого систематического и документированного применения лекарственного растительного препарата не менее чем в 3-х государствах-членах);</w:t>
      </w:r>
    </w:p>
    <w:bookmarkEnd w:id="1277"/>
    <w:bookmarkStart w:name="z1197" w:id="1278"/>
    <w:p>
      <w:pPr>
        <w:spacing w:after="0"/>
        <w:ind w:left="0"/>
        <w:jc w:val="both"/>
      </w:pPr>
      <w:r>
        <w:rPr>
          <w:rFonts w:ascii="Times New Roman"/>
          <w:b w:val="false"/>
          <w:i w:val="false"/>
          <w:color w:val="000000"/>
          <w:sz w:val="28"/>
        </w:rPr>
        <w:t>
      инструкция по медицинскому применению (листок-вкладыш) лекарственного растительного препарата должна содержать указания о том, что:</w:t>
      </w:r>
    </w:p>
    <w:bookmarkEnd w:id="1278"/>
    <w:bookmarkStart w:name="z1198" w:id="1279"/>
    <w:p>
      <w:pPr>
        <w:spacing w:after="0"/>
        <w:ind w:left="0"/>
        <w:jc w:val="both"/>
      </w:pPr>
      <w:r>
        <w:rPr>
          <w:rFonts w:ascii="Times New Roman"/>
          <w:b w:val="false"/>
          <w:i w:val="false"/>
          <w:color w:val="000000"/>
          <w:sz w:val="28"/>
        </w:rPr>
        <w:t>
      препарат представляет собой лекарственный растительный препарат для применения по указанному назначению, основывающегося на опыте продолжительного применения;</w:t>
      </w:r>
    </w:p>
    <w:bookmarkEnd w:id="1279"/>
    <w:bookmarkStart w:name="z1199" w:id="1280"/>
    <w:p>
      <w:pPr>
        <w:spacing w:after="0"/>
        <w:ind w:left="0"/>
        <w:jc w:val="both"/>
      </w:pPr>
      <w:r>
        <w:rPr>
          <w:rFonts w:ascii="Times New Roman"/>
          <w:b w:val="false"/>
          <w:i w:val="false"/>
          <w:color w:val="000000"/>
          <w:sz w:val="28"/>
        </w:rPr>
        <w:t>
      потребитель должен проконсультироваться у врача или квалифицированного медицинского специалиста, если при применении лекарственного средства сохраняются симптомы или наблюдаются нежелательные реакции, не указанные в инструкции по медицинскому применению (листке-вкладыше).</w:t>
      </w:r>
    </w:p>
    <w:bookmarkEnd w:id="1280"/>
    <w:bookmarkStart w:name="z1200" w:id="1281"/>
    <w:p>
      <w:pPr>
        <w:spacing w:after="0"/>
        <w:ind w:left="0"/>
        <w:jc w:val="both"/>
      </w:pPr>
      <w:r>
        <w:rPr>
          <w:rFonts w:ascii="Times New Roman"/>
          <w:b w:val="false"/>
          <w:i w:val="false"/>
          <w:color w:val="000000"/>
          <w:sz w:val="28"/>
        </w:rPr>
        <w:t>
      При наличии в составе лекарственного растительного препарата витаминов или минералов упрощенная процедура регистрации проводится при условии, что представлены обоснованные данные, доказывающие, что действие витаминов или минералов является вспомогательным действию растительных активных ингредиентов в отношении заявленных показаний к применению.</w:t>
      </w:r>
    </w:p>
    <w:bookmarkEnd w:id="1281"/>
    <w:bookmarkStart w:name="z1201" w:id="1282"/>
    <w:p>
      <w:pPr>
        <w:spacing w:after="0"/>
        <w:ind w:left="0"/>
        <w:jc w:val="both"/>
      </w:pPr>
      <w:r>
        <w:rPr>
          <w:rFonts w:ascii="Times New Roman"/>
          <w:b w:val="false"/>
          <w:i w:val="false"/>
          <w:color w:val="000000"/>
          <w:sz w:val="28"/>
        </w:rPr>
        <w:t>
      15.2.1. Модуль 2.</w:t>
      </w:r>
    </w:p>
    <w:bookmarkEnd w:id="1282"/>
    <w:bookmarkStart w:name="z1202" w:id="1283"/>
    <w:p>
      <w:pPr>
        <w:spacing w:after="0"/>
        <w:ind w:left="0"/>
        <w:jc w:val="both"/>
      </w:pPr>
      <w:r>
        <w:rPr>
          <w:rFonts w:ascii="Times New Roman"/>
          <w:b w:val="false"/>
          <w:i w:val="false"/>
          <w:color w:val="000000"/>
          <w:sz w:val="28"/>
        </w:rPr>
        <w:t>
      Библиографические данные или заключение специалиста, подготовившего разделы 2.4 и 2.5 модуля, о том, что рассматриваемый лекарственный растительный препарат или соответствующий препарат использовался не менее 10 лет с даты первого систематического и документированного применения лекарственного растительного препарата во всех государствах-членах.</w:t>
      </w:r>
    </w:p>
    <w:bookmarkEnd w:id="1283"/>
    <w:bookmarkStart w:name="z1203" w:id="1284"/>
    <w:p>
      <w:pPr>
        <w:spacing w:after="0"/>
        <w:ind w:left="0"/>
        <w:jc w:val="both"/>
      </w:pPr>
      <w:r>
        <w:rPr>
          <w:rFonts w:ascii="Times New Roman"/>
          <w:b w:val="false"/>
          <w:i w:val="false"/>
          <w:color w:val="000000"/>
          <w:sz w:val="28"/>
        </w:rPr>
        <w:t>
      15.2.2. Перечень документов упрощенного регистрационного досье.</w:t>
      </w:r>
    </w:p>
    <w:bookmarkEnd w:id="1284"/>
    <w:bookmarkStart w:name="z1204" w:id="1285"/>
    <w:p>
      <w:pPr>
        <w:spacing w:after="0"/>
        <w:ind w:left="0"/>
        <w:jc w:val="both"/>
      </w:pPr>
      <w:r>
        <w:rPr>
          <w:rFonts w:ascii="Times New Roman"/>
          <w:b w:val="false"/>
          <w:i w:val="false"/>
          <w:color w:val="000000"/>
          <w:sz w:val="28"/>
        </w:rPr>
        <w:t>
      Для того чтобы подтвердить фармацевтическое качество и однородность препарата от серии к серии, заявление сопровождается регистрационным досье, состоящим из модулей 1 - 3 в соответствии с приложением № 4 к правилам регистрации и экспертизы лекарственных средств для медицинского применения, утверждаемым Комиссией. Модули 4 и 5 регистрационного досье формируются из копий библиографических источников и данных, на которых основаны подготовленные специалистом обзоры в разделах 2.4 и 2.5 модуля 2 регистрационного досье.</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с изменением, внесенным решением Совета Евразийской экономической комиссии от 22.01.2025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05" w:id="1286"/>
    <w:p>
      <w:pPr>
        <w:spacing w:after="0"/>
        <w:ind w:left="0"/>
        <w:jc w:val="left"/>
      </w:pPr>
      <w:r>
        <w:rPr>
          <w:rFonts w:ascii="Times New Roman"/>
          <w:b/>
          <w:i w:val="false"/>
          <w:color w:val="000000"/>
        </w:rPr>
        <w:t xml:space="preserve"> 16. Орфанные препараты (препараты, предназначенные для лечения редких заболеваний) </w:t>
      </w:r>
    </w:p>
    <w:bookmarkEnd w:id="1286"/>
    <w:bookmarkStart w:name="z1206" w:id="1287"/>
    <w:p>
      <w:pPr>
        <w:spacing w:after="0"/>
        <w:ind w:left="0"/>
        <w:jc w:val="both"/>
      </w:pPr>
      <w:r>
        <w:rPr>
          <w:rFonts w:ascii="Times New Roman"/>
          <w:b w:val="false"/>
          <w:i w:val="false"/>
          <w:color w:val="000000"/>
          <w:sz w:val="28"/>
        </w:rPr>
        <w:t>
      В случае орфанных препаратов могут применяться основные положения части II (регистрация в исключительных случаях). Заявитель должен обосновать в доклинических и клинических резюме причины, по которым невозможно представить полную информацию, и представить обоснование соотношения пользы и риска для рассматриваемых орфанных препаратов.</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16 с изменениями, внесенными решениями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07" w:id="1288"/>
    <w:p>
      <w:pPr>
        <w:spacing w:after="0"/>
        <w:ind w:left="0"/>
        <w:jc w:val="left"/>
      </w:pPr>
      <w:r>
        <w:rPr>
          <w:rFonts w:ascii="Times New Roman"/>
          <w:b/>
          <w:i w:val="false"/>
          <w:color w:val="000000"/>
        </w:rPr>
        <w:t xml:space="preserve"> IV. Высокотехнологические лекарственные препараты </w:t>
      </w:r>
    </w:p>
    <w:bookmarkEnd w:id="1288"/>
    <w:bookmarkStart w:name="z1208" w:id="1289"/>
    <w:p>
      <w:pPr>
        <w:spacing w:after="0"/>
        <w:ind w:left="0"/>
        <w:jc w:val="both"/>
      </w:pPr>
      <w:r>
        <w:rPr>
          <w:rFonts w:ascii="Times New Roman"/>
          <w:b w:val="false"/>
          <w:i w:val="false"/>
          <w:color w:val="000000"/>
          <w:sz w:val="28"/>
        </w:rPr>
        <w:t>
      17.1. Введение.</w:t>
      </w:r>
    </w:p>
    <w:bookmarkEnd w:id="1289"/>
    <w:bookmarkStart w:name="z1209" w:id="1290"/>
    <w:p>
      <w:pPr>
        <w:spacing w:after="0"/>
        <w:ind w:left="0"/>
        <w:jc w:val="both"/>
      </w:pPr>
      <w:r>
        <w:rPr>
          <w:rFonts w:ascii="Times New Roman"/>
          <w:b w:val="false"/>
          <w:i w:val="false"/>
          <w:color w:val="000000"/>
          <w:sz w:val="28"/>
        </w:rPr>
        <w:t>
      Для регистрационных досье высокотехнологических лекарственных препаратов необходимо соблюдать требования к формату (модули 1 - 5 регистрационного досье), описанные в части I настоящего приложения.</w:t>
      </w:r>
    </w:p>
    <w:bookmarkEnd w:id="1290"/>
    <w:bookmarkStart w:name="z1210" w:id="1291"/>
    <w:p>
      <w:pPr>
        <w:spacing w:after="0"/>
        <w:ind w:left="0"/>
        <w:jc w:val="both"/>
      </w:pPr>
      <w:r>
        <w:rPr>
          <w:rFonts w:ascii="Times New Roman"/>
          <w:b w:val="false"/>
          <w:i w:val="false"/>
          <w:color w:val="000000"/>
          <w:sz w:val="28"/>
        </w:rPr>
        <w:t>
      Технические требования к модулям 3 - 5 необходимо применять к высокотехнологичным биологическим лекарственным препаратам, как описано в части I настоящего приложения. Специальные требования к высокотехнологическим лекарственным препаратам, описанные в разделах 17.3, 17.4 и 17.5 настоящей части, объясняют, как требования части I настоящего приложения применяются к высокотехнологическим лекарственным препаратам.</w:t>
      </w:r>
    </w:p>
    <w:bookmarkEnd w:id="1291"/>
    <w:bookmarkStart w:name="z1211" w:id="1292"/>
    <w:p>
      <w:pPr>
        <w:spacing w:after="0"/>
        <w:ind w:left="0"/>
        <w:jc w:val="both"/>
      </w:pPr>
      <w:r>
        <w:rPr>
          <w:rFonts w:ascii="Times New Roman"/>
          <w:b w:val="false"/>
          <w:i w:val="false"/>
          <w:color w:val="000000"/>
          <w:sz w:val="28"/>
        </w:rPr>
        <w:t>
      Ввиду специфической природы высокотехнологических лекарственных препаратов может применяться подход, основанный на анализе риска для определения объема необходимых сведений и требований к качеству, доклиническому и клиническому изучению, для их включения в регистрационное досье в соответствии с применимыми руководствами Союза или при их отсутствии - в соответствии с руководствами государств-членов.</w:t>
      </w:r>
    </w:p>
    <w:bookmarkEnd w:id="1292"/>
    <w:bookmarkStart w:name="z1212" w:id="1293"/>
    <w:p>
      <w:pPr>
        <w:spacing w:after="0"/>
        <w:ind w:left="0"/>
        <w:jc w:val="both"/>
      </w:pPr>
      <w:r>
        <w:rPr>
          <w:rFonts w:ascii="Times New Roman"/>
          <w:b w:val="false"/>
          <w:i w:val="false"/>
          <w:color w:val="000000"/>
          <w:sz w:val="28"/>
        </w:rPr>
        <w:t>
      Анализ рисков может включать в себя всю разработку. Факторы риска, которые могут рассматриваться, включают в себя: происхождение клеток (аутологичные, аллогенные, ксеногенные), способность к пролиферации и (или) дифференцировке, способность вызывать иммунный ответ, манипуляции с клетками, комбинация клеток с биоактивными молекулами или медицинскими изделиями, природа генотерапевтического лекарственного препарата, способность к репликации вирусов или размножению микроорганизмов, используемых in vivo, степень интеграции последовательностей нуклеиновых кислот или генов в геном, продолжительность функционирования (существования), риск онкогенности и способ введения или использования.</w:t>
      </w:r>
    </w:p>
    <w:bookmarkEnd w:id="1293"/>
    <w:bookmarkStart w:name="z1213" w:id="1294"/>
    <w:p>
      <w:pPr>
        <w:spacing w:after="0"/>
        <w:ind w:left="0"/>
        <w:jc w:val="both"/>
      </w:pPr>
      <w:r>
        <w:rPr>
          <w:rFonts w:ascii="Times New Roman"/>
          <w:b w:val="false"/>
          <w:i w:val="false"/>
          <w:color w:val="000000"/>
          <w:sz w:val="28"/>
        </w:rPr>
        <w:t>
      Неклинические и клинические данные или опыт с другими связанными высокотехнологическими лекарственными препаратами могут также рассматриваться при анализе рисков.</w:t>
      </w:r>
    </w:p>
    <w:bookmarkEnd w:id="1294"/>
    <w:bookmarkStart w:name="z1214" w:id="1295"/>
    <w:p>
      <w:pPr>
        <w:spacing w:after="0"/>
        <w:ind w:left="0"/>
        <w:jc w:val="both"/>
      </w:pPr>
      <w:r>
        <w:rPr>
          <w:rFonts w:ascii="Times New Roman"/>
          <w:b w:val="false"/>
          <w:i w:val="false"/>
          <w:color w:val="000000"/>
          <w:sz w:val="28"/>
        </w:rPr>
        <w:t>
      Любое отклонение от требований настоящего приложения должно быть научно обосновано в модуле 2 регистрационного досье. Если проводится анализ рисков, он должен описываться в модуле 2 регистрационного досье. В этом случае необходимо рассмотреть используемую методологию, характер выявленных рисков и влияние результатов подхода, основанного на анализе рисков, на программу разработки и оценки лекарственного препарата. Также необходимо описать любые отклонения от требований настоящего приложения, обусловленные результатами анализа рисков.</w:t>
      </w:r>
    </w:p>
    <w:bookmarkEnd w:id="1295"/>
    <w:bookmarkStart w:name="z1215" w:id="1296"/>
    <w:p>
      <w:pPr>
        <w:spacing w:after="0"/>
        <w:ind w:left="0"/>
        <w:jc w:val="both"/>
      </w:pPr>
      <w:r>
        <w:rPr>
          <w:rFonts w:ascii="Times New Roman"/>
          <w:b w:val="false"/>
          <w:i w:val="false"/>
          <w:color w:val="000000"/>
          <w:sz w:val="28"/>
        </w:rPr>
        <w:t>
      17.2. Определения.</w:t>
      </w:r>
    </w:p>
    <w:bookmarkEnd w:id="1296"/>
    <w:bookmarkStart w:name="z1216" w:id="1297"/>
    <w:p>
      <w:pPr>
        <w:spacing w:after="0"/>
        <w:ind w:left="0"/>
        <w:jc w:val="both"/>
      </w:pPr>
      <w:r>
        <w:rPr>
          <w:rFonts w:ascii="Times New Roman"/>
          <w:b w:val="false"/>
          <w:i w:val="false"/>
          <w:color w:val="000000"/>
          <w:sz w:val="28"/>
        </w:rPr>
        <w:t>
      17.2.1. Генотерапевтические лекарственные препараты.</w:t>
      </w:r>
    </w:p>
    <w:bookmarkEnd w:id="1297"/>
    <w:bookmarkStart w:name="z1217" w:id="1298"/>
    <w:p>
      <w:pPr>
        <w:spacing w:after="0"/>
        <w:ind w:left="0"/>
        <w:jc w:val="both"/>
      </w:pPr>
      <w:r>
        <w:rPr>
          <w:rFonts w:ascii="Times New Roman"/>
          <w:b w:val="false"/>
          <w:i w:val="false"/>
          <w:color w:val="000000"/>
          <w:sz w:val="28"/>
        </w:rPr>
        <w:t>
      Генотерапевтический лекарственный препарат - это биологический лекарственный препарат:</w:t>
      </w:r>
    </w:p>
    <w:bookmarkEnd w:id="1298"/>
    <w:bookmarkStart w:name="z1218" w:id="1299"/>
    <w:p>
      <w:pPr>
        <w:spacing w:after="0"/>
        <w:ind w:left="0"/>
        <w:jc w:val="both"/>
      </w:pPr>
      <w:r>
        <w:rPr>
          <w:rFonts w:ascii="Times New Roman"/>
          <w:b w:val="false"/>
          <w:i w:val="false"/>
          <w:color w:val="000000"/>
          <w:sz w:val="28"/>
        </w:rPr>
        <w:t>
      содержащий активное вещество, содержащее рекомбинантную нуклеиновую кислоту или состоящее из нее, используемую или вводимую человеку с целью регулирования, восстановления, замены, добавления или удаления генетической последовательности;</w:t>
      </w:r>
    </w:p>
    <w:bookmarkEnd w:id="1299"/>
    <w:bookmarkStart w:name="z1219" w:id="1300"/>
    <w:p>
      <w:pPr>
        <w:spacing w:after="0"/>
        <w:ind w:left="0"/>
        <w:jc w:val="both"/>
      </w:pPr>
      <w:r>
        <w:rPr>
          <w:rFonts w:ascii="Times New Roman"/>
          <w:b w:val="false"/>
          <w:i w:val="false"/>
          <w:color w:val="000000"/>
          <w:sz w:val="28"/>
        </w:rPr>
        <w:t>
      терапевтический, профилактический или диагностический эффекты которого напрямую обусловлены последовательностью рекомбинантной нуклеиновой кислоты, которую он содержит, или с продуктом генетической экспрессии этой последовательности.</w:t>
      </w:r>
    </w:p>
    <w:bookmarkEnd w:id="1300"/>
    <w:bookmarkStart w:name="z1220" w:id="1301"/>
    <w:p>
      <w:pPr>
        <w:spacing w:after="0"/>
        <w:ind w:left="0"/>
        <w:jc w:val="both"/>
      </w:pPr>
      <w:r>
        <w:rPr>
          <w:rFonts w:ascii="Times New Roman"/>
          <w:b w:val="false"/>
          <w:i w:val="false"/>
          <w:color w:val="000000"/>
          <w:sz w:val="28"/>
        </w:rPr>
        <w:t>
      Генотерапевтические лекарственные препараты не включают в себя вакцины против инфекционных заболеваний.</w:t>
      </w:r>
    </w:p>
    <w:bookmarkEnd w:id="1301"/>
    <w:bookmarkStart w:name="z1221" w:id="1302"/>
    <w:p>
      <w:pPr>
        <w:spacing w:after="0"/>
        <w:ind w:left="0"/>
        <w:jc w:val="both"/>
      </w:pPr>
      <w:r>
        <w:rPr>
          <w:rFonts w:ascii="Times New Roman"/>
          <w:b w:val="false"/>
          <w:i w:val="false"/>
          <w:color w:val="000000"/>
          <w:sz w:val="28"/>
        </w:rPr>
        <w:t>
      17.2.2. Лекарственные препараты на основе соматических клеток.</w:t>
      </w:r>
    </w:p>
    <w:bookmarkEnd w:id="1302"/>
    <w:bookmarkStart w:name="z1222" w:id="1303"/>
    <w:p>
      <w:pPr>
        <w:spacing w:after="0"/>
        <w:ind w:left="0"/>
        <w:jc w:val="both"/>
      </w:pPr>
      <w:r>
        <w:rPr>
          <w:rFonts w:ascii="Times New Roman"/>
          <w:b w:val="false"/>
          <w:i w:val="false"/>
          <w:color w:val="000000"/>
          <w:sz w:val="28"/>
        </w:rPr>
        <w:t>
      Лекарственный препарат на основе соматических клеток - это биологический лекарственный препарат:</w:t>
      </w:r>
    </w:p>
    <w:bookmarkEnd w:id="1303"/>
    <w:bookmarkStart w:name="z1223" w:id="1304"/>
    <w:p>
      <w:pPr>
        <w:spacing w:after="0"/>
        <w:ind w:left="0"/>
        <w:jc w:val="both"/>
      </w:pPr>
      <w:r>
        <w:rPr>
          <w:rFonts w:ascii="Times New Roman"/>
          <w:b w:val="false"/>
          <w:i w:val="false"/>
          <w:color w:val="000000"/>
          <w:sz w:val="28"/>
        </w:rPr>
        <w:t>
      содержащий или состоящий из клеток или тканей, которые подвергались существенным манипуляциям таким образом, что их биологические характеристики, физиологические функции или структурные свойства, значимые для клинического использования, были изменены; или состоящий из клеток или тканей, которые не предназначены для применения с целью осуществления одних и тех же основных функций у реципиента и донора. Не рассматриваются в качестве существенных манипуляций: разрезание, измельчение, придание формы, центрифугирование, обработка растворами антибиотиков или антисептиков, стерилизация, облучение, разделение клеток, их концентрирование или очистка, фильтрование, лиофилизация, замораживание, криоконсервация, витрификация, в частности, не рассматриваются как существенные манипуляции.</w:t>
      </w:r>
    </w:p>
    <w:bookmarkEnd w:id="1304"/>
    <w:bookmarkStart w:name="z1224" w:id="1305"/>
    <w:p>
      <w:pPr>
        <w:spacing w:after="0"/>
        <w:ind w:left="0"/>
        <w:jc w:val="both"/>
      </w:pPr>
      <w:r>
        <w:rPr>
          <w:rFonts w:ascii="Times New Roman"/>
          <w:b w:val="false"/>
          <w:i w:val="false"/>
          <w:color w:val="000000"/>
          <w:sz w:val="28"/>
        </w:rPr>
        <w:t>
      применяемый у человека с целью лечения, профилактики или диагностики заболевания посредством фармакологического, иммунологического или метаболического действия входящих в его состав клеток или тканей.</w:t>
      </w:r>
    </w:p>
    <w:bookmarkEnd w:id="1305"/>
    <w:bookmarkStart w:name="z11913" w:id="1306"/>
    <w:p>
      <w:pPr>
        <w:spacing w:after="0"/>
        <w:ind w:left="0"/>
        <w:jc w:val="both"/>
      </w:pPr>
      <w:r>
        <w:rPr>
          <w:rFonts w:ascii="Times New Roman"/>
          <w:b w:val="false"/>
          <w:i w:val="false"/>
          <w:color w:val="000000"/>
          <w:sz w:val="28"/>
        </w:rPr>
        <w:t>
      Высокотехнологический лекарственный препарат, содержащий как аутологичные (происходящие от самого пациента), так и аллогенные (поступающие от другого человека) клетки или ткани, должен рассматриваться как лекарственный препарат, предназначенный для аллогенного применения.</w:t>
      </w:r>
    </w:p>
    <w:bookmarkEnd w:id="1306"/>
    <w:bookmarkStart w:name="z11914" w:id="1307"/>
    <w:p>
      <w:pPr>
        <w:spacing w:after="0"/>
        <w:ind w:left="0"/>
        <w:jc w:val="both"/>
      </w:pPr>
      <w:r>
        <w:rPr>
          <w:rFonts w:ascii="Times New Roman"/>
          <w:b w:val="false"/>
          <w:i w:val="false"/>
          <w:color w:val="000000"/>
          <w:sz w:val="28"/>
        </w:rPr>
        <w:t>
      Высокотехнологический лекарственный препарат, который может подпадать под определение препарата тканевой инженерии и определение лекарственного препарата на основе соматических клеток, должен рассматриваться в качестве препарата тканевой инженерии.</w:t>
      </w:r>
    </w:p>
    <w:bookmarkEnd w:id="1307"/>
    <w:bookmarkStart w:name="z11915" w:id="1308"/>
    <w:p>
      <w:pPr>
        <w:spacing w:after="0"/>
        <w:ind w:left="0"/>
        <w:jc w:val="both"/>
      </w:pPr>
      <w:r>
        <w:rPr>
          <w:rFonts w:ascii="Times New Roman"/>
          <w:b w:val="false"/>
          <w:i w:val="false"/>
          <w:color w:val="000000"/>
          <w:sz w:val="28"/>
        </w:rPr>
        <w:t>
      Высокотехнологический лекарственный препарат, который может подпадать под определение лекарственного препарата на основе соматических клеток или определение препарата тканевой инженерии и генотерапевтического лекарственного препарата, должен рассматриваться в качестве генотерапевтического лекарственного препарата.</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17.2.2.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25" w:id="1309"/>
    <w:p>
      <w:pPr>
        <w:spacing w:after="0"/>
        <w:ind w:left="0"/>
        <w:jc w:val="both"/>
      </w:pPr>
      <w:r>
        <w:rPr>
          <w:rFonts w:ascii="Times New Roman"/>
          <w:b w:val="false"/>
          <w:i w:val="false"/>
          <w:color w:val="000000"/>
          <w:sz w:val="28"/>
        </w:rPr>
        <w:t>
      17.3. Специальные требования к модулю 3 регистрационного досье.</w:t>
      </w:r>
    </w:p>
    <w:bookmarkEnd w:id="1309"/>
    <w:bookmarkStart w:name="z1226" w:id="1310"/>
    <w:p>
      <w:pPr>
        <w:spacing w:after="0"/>
        <w:ind w:left="0"/>
        <w:jc w:val="both"/>
      </w:pPr>
      <w:r>
        <w:rPr>
          <w:rFonts w:ascii="Times New Roman"/>
          <w:b w:val="false"/>
          <w:i w:val="false"/>
          <w:color w:val="000000"/>
          <w:sz w:val="28"/>
        </w:rPr>
        <w:t>
      17.3.1. Специальные требования для всех высокотехнологических лекарственных препаратов.</w:t>
      </w:r>
    </w:p>
    <w:bookmarkEnd w:id="1310"/>
    <w:bookmarkStart w:name="z1227" w:id="1311"/>
    <w:p>
      <w:pPr>
        <w:spacing w:after="0"/>
        <w:ind w:left="0"/>
        <w:jc w:val="both"/>
      </w:pPr>
      <w:r>
        <w:rPr>
          <w:rFonts w:ascii="Times New Roman"/>
          <w:b w:val="false"/>
          <w:i w:val="false"/>
          <w:color w:val="000000"/>
          <w:sz w:val="28"/>
        </w:rPr>
        <w:t>
      Необходимо представить описание системы прослеживаемости, которую заявитель обязуется установить и поддерживать, чтобы проследить источники получения (происхождения), производство, упаковку, хранение, транспортировку и доставку в медицинскую организацию отдельного лекарственного препарата и его исходных материалов и сырья, включая все вещества, контактировавшие с содержащимися в нем клетками или тканями.</w:t>
      </w:r>
    </w:p>
    <w:bookmarkEnd w:id="1311"/>
    <w:bookmarkStart w:name="z1228" w:id="1312"/>
    <w:p>
      <w:pPr>
        <w:spacing w:after="0"/>
        <w:ind w:left="0"/>
        <w:jc w:val="both"/>
      </w:pPr>
      <w:r>
        <w:rPr>
          <w:rFonts w:ascii="Times New Roman"/>
          <w:b w:val="false"/>
          <w:i w:val="false"/>
          <w:color w:val="000000"/>
          <w:sz w:val="28"/>
        </w:rPr>
        <w:t>
      Система прослеживаемости должна дополнять требования к системам прослеживаемости государств-членов относительно клеток и тканей человека и согласовываться с ними.</w:t>
      </w:r>
    </w:p>
    <w:bookmarkEnd w:id="1312"/>
    <w:bookmarkStart w:name="z1229" w:id="1313"/>
    <w:p>
      <w:pPr>
        <w:spacing w:after="0"/>
        <w:ind w:left="0"/>
        <w:jc w:val="both"/>
      </w:pPr>
      <w:r>
        <w:rPr>
          <w:rFonts w:ascii="Times New Roman"/>
          <w:b w:val="false"/>
          <w:i w:val="false"/>
          <w:color w:val="000000"/>
          <w:sz w:val="28"/>
        </w:rPr>
        <w:t>
      17.3.2. Специальные требования к генотерапевтическим лекарственным препаратам.</w:t>
      </w:r>
    </w:p>
    <w:bookmarkEnd w:id="1313"/>
    <w:bookmarkStart w:name="z1230" w:id="1314"/>
    <w:p>
      <w:pPr>
        <w:spacing w:after="0"/>
        <w:ind w:left="0"/>
        <w:jc w:val="both"/>
      </w:pPr>
      <w:r>
        <w:rPr>
          <w:rFonts w:ascii="Times New Roman"/>
          <w:b w:val="false"/>
          <w:i w:val="false"/>
          <w:color w:val="000000"/>
          <w:sz w:val="28"/>
        </w:rPr>
        <w:t>
      17.3.2.1. Введение: лекарственный препарат, активное вещество и исходные материалы.</w:t>
      </w:r>
    </w:p>
    <w:bookmarkEnd w:id="1314"/>
    <w:bookmarkStart w:name="z1231" w:id="1315"/>
    <w:p>
      <w:pPr>
        <w:spacing w:after="0"/>
        <w:ind w:left="0"/>
        <w:jc w:val="both"/>
      </w:pPr>
      <w:r>
        <w:rPr>
          <w:rFonts w:ascii="Times New Roman"/>
          <w:b w:val="false"/>
          <w:i w:val="false"/>
          <w:color w:val="000000"/>
          <w:sz w:val="28"/>
        </w:rPr>
        <w:t>
      17.3.2.1.1. Генотерапевтические лекарственные препараты, содержащие последовательность рекомбинантных нуклеиновых кислот или генетически модифицированный микроорганизм или вирус.</w:t>
      </w:r>
    </w:p>
    <w:bookmarkEnd w:id="1315"/>
    <w:bookmarkStart w:name="z1232" w:id="1316"/>
    <w:p>
      <w:pPr>
        <w:spacing w:after="0"/>
        <w:ind w:left="0"/>
        <w:jc w:val="both"/>
      </w:pPr>
      <w:r>
        <w:rPr>
          <w:rFonts w:ascii="Times New Roman"/>
          <w:b w:val="false"/>
          <w:i w:val="false"/>
          <w:color w:val="000000"/>
          <w:sz w:val="28"/>
        </w:rPr>
        <w:t>
      Лекарственный препарат должен состоять из последовательности нуклеиновой кислоты, генетически модифицированного микроорганизма или вируса и быть упакован в первичную упаковку для медицинского использования. Лекарственный препарат может комбинироваться с медицинским изделием.</w:t>
      </w:r>
    </w:p>
    <w:bookmarkEnd w:id="1316"/>
    <w:bookmarkStart w:name="z1233" w:id="1317"/>
    <w:p>
      <w:pPr>
        <w:spacing w:after="0"/>
        <w:ind w:left="0"/>
        <w:jc w:val="both"/>
      </w:pPr>
      <w:r>
        <w:rPr>
          <w:rFonts w:ascii="Times New Roman"/>
          <w:b w:val="false"/>
          <w:i w:val="false"/>
          <w:color w:val="000000"/>
          <w:sz w:val="28"/>
        </w:rPr>
        <w:t>
      Активное вещество должно состоять из последовательности нуклеиновой кислоты или генетически модифицированного микроорганизма или вируса.</w:t>
      </w:r>
    </w:p>
    <w:bookmarkEnd w:id="1317"/>
    <w:bookmarkStart w:name="z1234" w:id="1318"/>
    <w:p>
      <w:pPr>
        <w:spacing w:after="0"/>
        <w:ind w:left="0"/>
        <w:jc w:val="both"/>
      </w:pPr>
      <w:r>
        <w:rPr>
          <w:rFonts w:ascii="Times New Roman"/>
          <w:b w:val="false"/>
          <w:i w:val="false"/>
          <w:color w:val="000000"/>
          <w:sz w:val="28"/>
        </w:rPr>
        <w:t>
      17.3.2.1.2. Генотерапевтические лекарственные препараты, содержащие генетически модифицированные клетки.</w:t>
      </w:r>
    </w:p>
    <w:bookmarkEnd w:id="1318"/>
    <w:bookmarkStart w:name="z1235" w:id="1319"/>
    <w:p>
      <w:pPr>
        <w:spacing w:after="0"/>
        <w:ind w:left="0"/>
        <w:jc w:val="both"/>
      </w:pPr>
      <w:r>
        <w:rPr>
          <w:rFonts w:ascii="Times New Roman"/>
          <w:b w:val="false"/>
          <w:i w:val="false"/>
          <w:color w:val="000000"/>
          <w:sz w:val="28"/>
        </w:rPr>
        <w:t>
      Лекарственный препарат должен состоять из генетически модифицированных клеток и быть упакован в первичную упаковку для медицинского использования. Лекарственный препарат может комбинироваться с медицинским изделием.</w:t>
      </w:r>
    </w:p>
    <w:bookmarkEnd w:id="1319"/>
    <w:bookmarkStart w:name="z1236" w:id="1320"/>
    <w:p>
      <w:pPr>
        <w:spacing w:after="0"/>
        <w:ind w:left="0"/>
        <w:jc w:val="both"/>
      </w:pPr>
      <w:r>
        <w:rPr>
          <w:rFonts w:ascii="Times New Roman"/>
          <w:b w:val="false"/>
          <w:i w:val="false"/>
          <w:color w:val="000000"/>
          <w:sz w:val="28"/>
        </w:rPr>
        <w:t>
      Активное вещество должно состоять из клеток, генетически модифицированных одним из продуктов, указанных в разделе 17.3.2.1.1.</w:t>
      </w:r>
    </w:p>
    <w:bookmarkEnd w:id="1320"/>
    <w:bookmarkStart w:name="z1237" w:id="1321"/>
    <w:p>
      <w:pPr>
        <w:spacing w:after="0"/>
        <w:ind w:left="0"/>
        <w:jc w:val="both"/>
      </w:pPr>
      <w:r>
        <w:rPr>
          <w:rFonts w:ascii="Times New Roman"/>
          <w:b w:val="false"/>
          <w:i w:val="false"/>
          <w:color w:val="000000"/>
          <w:sz w:val="28"/>
        </w:rPr>
        <w:t>
      17.3.2.1.3. Для продуктов, состоящих из вирусов или вирусных векторов, исходными материалами являются компоненты, из которых получают вирусный вектор: главный банк (посевной материал) вирусного или плазмидного вектора, использующийся для трансфекции клеток-реципиентов (пакующих клеток), и главный банк линии клеток-реципиентов (клеточной пакующей линии).</w:t>
      </w:r>
    </w:p>
    <w:bookmarkEnd w:id="1321"/>
    <w:bookmarkStart w:name="z1238" w:id="1322"/>
    <w:p>
      <w:pPr>
        <w:spacing w:after="0"/>
        <w:ind w:left="0"/>
        <w:jc w:val="both"/>
      </w:pPr>
      <w:r>
        <w:rPr>
          <w:rFonts w:ascii="Times New Roman"/>
          <w:b w:val="false"/>
          <w:i w:val="false"/>
          <w:color w:val="000000"/>
          <w:sz w:val="28"/>
        </w:rPr>
        <w:t>
      17.3.2.1.4. Для продуктов, состоящих из плазмид, невирусных векторов и генетически модифицированного организма, отличных от вирусов и вирусных векторов, исходными материалами являются компоненты, используемые для получения клеток-продуцентов: плазмиды, бактериальные клетки-хозяева и главный банк рекомбинантных микробных клеток.</w:t>
      </w:r>
    </w:p>
    <w:bookmarkEnd w:id="1322"/>
    <w:bookmarkStart w:name="z1239" w:id="1323"/>
    <w:p>
      <w:pPr>
        <w:spacing w:after="0"/>
        <w:ind w:left="0"/>
        <w:jc w:val="both"/>
      </w:pPr>
      <w:r>
        <w:rPr>
          <w:rFonts w:ascii="Times New Roman"/>
          <w:b w:val="false"/>
          <w:i w:val="false"/>
          <w:color w:val="000000"/>
          <w:sz w:val="28"/>
        </w:rPr>
        <w:t>
      17.3.2.1.5. Для генетически модифицированных клеток исходными материалами являются компоненты, используемые для получения генетически модифицированных клеток, то есть исходные материалы для получения вектора, вектор и клетки человека и животных. Принципы надлежащей производственной практики должны применяться начиная с системы банков, используемой для производства вектора, и далее до готового продукта.</w:t>
      </w:r>
    </w:p>
    <w:bookmarkEnd w:id="1323"/>
    <w:bookmarkStart w:name="z1240" w:id="1324"/>
    <w:p>
      <w:pPr>
        <w:spacing w:after="0"/>
        <w:ind w:left="0"/>
        <w:jc w:val="both"/>
      </w:pPr>
      <w:r>
        <w:rPr>
          <w:rFonts w:ascii="Times New Roman"/>
          <w:b w:val="false"/>
          <w:i w:val="false"/>
          <w:color w:val="000000"/>
          <w:sz w:val="28"/>
        </w:rPr>
        <w:t>
      17.3.2.2. Специальные требования.</w:t>
      </w:r>
    </w:p>
    <w:bookmarkEnd w:id="1324"/>
    <w:bookmarkStart w:name="z1241" w:id="1325"/>
    <w:p>
      <w:pPr>
        <w:spacing w:after="0"/>
        <w:ind w:left="0"/>
        <w:jc w:val="both"/>
      </w:pPr>
      <w:r>
        <w:rPr>
          <w:rFonts w:ascii="Times New Roman"/>
          <w:b w:val="false"/>
          <w:i w:val="false"/>
          <w:color w:val="000000"/>
          <w:sz w:val="28"/>
        </w:rPr>
        <w:t>
      В дополнение к требованиям, указанным в разделах 3.2.1 и 3.2.2 части I настоящего приложения, должны применяться следующие требования:</w:t>
      </w:r>
    </w:p>
    <w:bookmarkEnd w:id="1325"/>
    <w:bookmarkStart w:name="z1242" w:id="1326"/>
    <w:p>
      <w:pPr>
        <w:spacing w:after="0"/>
        <w:ind w:left="0"/>
        <w:jc w:val="both"/>
      </w:pPr>
      <w:r>
        <w:rPr>
          <w:rFonts w:ascii="Times New Roman"/>
          <w:b w:val="false"/>
          <w:i w:val="false"/>
          <w:color w:val="000000"/>
          <w:sz w:val="28"/>
        </w:rPr>
        <w:t>
      а) информацию необходимо представить по всем исходным материалам, используемым для производства активного вещества, включая продукты, необходимые для генетической модификации клеток человека и животных и последующего культивирования и консервирования генетически модифицированных клеток (при необходимости), учитывая возможное отсутствие этапов очистки;</w:t>
      </w:r>
    </w:p>
    <w:bookmarkEnd w:id="1326"/>
    <w:bookmarkStart w:name="z1243" w:id="1327"/>
    <w:p>
      <w:pPr>
        <w:spacing w:after="0"/>
        <w:ind w:left="0"/>
        <w:jc w:val="both"/>
      </w:pPr>
      <w:r>
        <w:rPr>
          <w:rFonts w:ascii="Times New Roman"/>
          <w:b w:val="false"/>
          <w:i w:val="false"/>
          <w:color w:val="000000"/>
          <w:sz w:val="28"/>
        </w:rPr>
        <w:t>
      б) для продуктов, содержащих микроорганизмы (в том числе вирусы), необходимо представить данные о генетической модификации, секвенировании, аттенуации микроорганизмов, тропизме для определенных типов тканей и клеток, зависимости свойств микроорганизмов от клеточного цикла, патогенности и характеристиках родительского штамма;</w:t>
      </w:r>
    </w:p>
    <w:bookmarkEnd w:id="1327"/>
    <w:bookmarkStart w:name="z1244" w:id="1328"/>
    <w:p>
      <w:pPr>
        <w:spacing w:after="0"/>
        <w:ind w:left="0"/>
        <w:jc w:val="both"/>
      </w:pPr>
      <w:r>
        <w:rPr>
          <w:rFonts w:ascii="Times New Roman"/>
          <w:b w:val="false"/>
          <w:i w:val="false"/>
          <w:color w:val="000000"/>
          <w:sz w:val="28"/>
        </w:rPr>
        <w:t>
      в) необходимо описать в соответствующих разделах регистрационного досье производственные и родственные примеси и в особенности контаминирующие агенты в виде способных к репликации вирусов, если вектор должен быть неспособен к репликации;</w:t>
      </w:r>
    </w:p>
    <w:bookmarkEnd w:id="1328"/>
    <w:bookmarkStart w:name="z1245" w:id="1329"/>
    <w:p>
      <w:pPr>
        <w:spacing w:after="0"/>
        <w:ind w:left="0"/>
        <w:jc w:val="both"/>
      </w:pPr>
      <w:r>
        <w:rPr>
          <w:rFonts w:ascii="Times New Roman"/>
          <w:b w:val="false"/>
          <w:i w:val="false"/>
          <w:color w:val="000000"/>
          <w:sz w:val="28"/>
        </w:rPr>
        <w:t>
      г) для плазмид необходимо проводить количественное определение различных форм плазмид на протяжении срока годности продукта;</w:t>
      </w:r>
    </w:p>
    <w:bookmarkEnd w:id="1329"/>
    <w:bookmarkStart w:name="z1246" w:id="1330"/>
    <w:p>
      <w:pPr>
        <w:spacing w:after="0"/>
        <w:ind w:left="0"/>
        <w:jc w:val="both"/>
      </w:pPr>
      <w:r>
        <w:rPr>
          <w:rFonts w:ascii="Times New Roman"/>
          <w:b w:val="false"/>
          <w:i w:val="false"/>
          <w:color w:val="000000"/>
          <w:sz w:val="28"/>
        </w:rPr>
        <w:t>
      д) для генетически модифицированных клеток необходимо проводить тестирование характеристик клеток до и после генетической модификации, а также до и после какой-либо последующей процедуры заморозки (хранения).</w:t>
      </w:r>
    </w:p>
    <w:bookmarkEnd w:id="1330"/>
    <w:bookmarkStart w:name="z1247" w:id="1331"/>
    <w:p>
      <w:pPr>
        <w:spacing w:after="0"/>
        <w:ind w:left="0"/>
        <w:jc w:val="both"/>
      </w:pPr>
      <w:r>
        <w:rPr>
          <w:rFonts w:ascii="Times New Roman"/>
          <w:b w:val="false"/>
          <w:i w:val="false"/>
          <w:color w:val="000000"/>
          <w:sz w:val="28"/>
        </w:rPr>
        <w:t>
      Для генетически модифицированных клеток в дополнение к определенным требованиям к генотерапевтическим лекарственным препаратам следует применять требования по качеству для лекарственных препаратов на основе соматических клеток и препаратов тканевой инженерии в соответствии с разделом 17.3.3 настоящих Требований.</w:t>
      </w:r>
    </w:p>
    <w:bookmarkEnd w:id="1331"/>
    <w:bookmarkStart w:name="z1248" w:id="1332"/>
    <w:p>
      <w:pPr>
        <w:spacing w:after="0"/>
        <w:ind w:left="0"/>
        <w:jc w:val="both"/>
      </w:pPr>
      <w:r>
        <w:rPr>
          <w:rFonts w:ascii="Times New Roman"/>
          <w:b w:val="false"/>
          <w:i w:val="false"/>
          <w:color w:val="000000"/>
          <w:sz w:val="28"/>
        </w:rPr>
        <w:t>
      17.3.3. Специальные требования к соматотерапевтическим лекарственным препаратам и препаратам тканевой инженерии.</w:t>
      </w:r>
    </w:p>
    <w:bookmarkEnd w:id="1332"/>
    <w:bookmarkStart w:name="z1249" w:id="1333"/>
    <w:p>
      <w:pPr>
        <w:spacing w:after="0"/>
        <w:ind w:left="0"/>
        <w:jc w:val="both"/>
      </w:pPr>
      <w:r>
        <w:rPr>
          <w:rFonts w:ascii="Times New Roman"/>
          <w:b w:val="false"/>
          <w:i w:val="false"/>
          <w:color w:val="000000"/>
          <w:sz w:val="28"/>
        </w:rPr>
        <w:t>
      17.3.3.1. Введение: лекарственный препарат, фармацевтическая субстанция и исходные материалы (вещества).</w:t>
      </w:r>
    </w:p>
    <w:bookmarkEnd w:id="1333"/>
    <w:bookmarkStart w:name="z1250" w:id="1334"/>
    <w:p>
      <w:pPr>
        <w:spacing w:after="0"/>
        <w:ind w:left="0"/>
        <w:jc w:val="both"/>
      </w:pPr>
      <w:r>
        <w:rPr>
          <w:rFonts w:ascii="Times New Roman"/>
          <w:b w:val="false"/>
          <w:i w:val="false"/>
          <w:color w:val="000000"/>
          <w:sz w:val="28"/>
        </w:rPr>
        <w:t>
      Лекарственный препарат должен состоять из фармацевтической субстанции, заключенной в первичную упаковку с целью предлагаемого медицинского применения и в его окончательной комбинации, если это комбинированный высокотехнологичный лекарственный препарат.</w:t>
      </w:r>
    </w:p>
    <w:bookmarkEnd w:id="1334"/>
    <w:bookmarkStart w:name="z1251" w:id="1335"/>
    <w:p>
      <w:pPr>
        <w:spacing w:after="0"/>
        <w:ind w:left="0"/>
        <w:jc w:val="both"/>
      </w:pPr>
      <w:r>
        <w:rPr>
          <w:rFonts w:ascii="Times New Roman"/>
          <w:b w:val="false"/>
          <w:i w:val="false"/>
          <w:color w:val="000000"/>
          <w:sz w:val="28"/>
        </w:rPr>
        <w:t>
      Фармацевтическая субстанция должна состоять из клеток (тканей), подвергнутых инженерии.</w:t>
      </w:r>
    </w:p>
    <w:bookmarkEnd w:id="1335"/>
    <w:bookmarkStart w:name="z1252" w:id="1336"/>
    <w:p>
      <w:pPr>
        <w:spacing w:after="0"/>
        <w:ind w:left="0"/>
        <w:jc w:val="both"/>
      </w:pPr>
      <w:r>
        <w:rPr>
          <w:rFonts w:ascii="Times New Roman"/>
          <w:b w:val="false"/>
          <w:i w:val="false"/>
          <w:color w:val="000000"/>
          <w:sz w:val="28"/>
        </w:rPr>
        <w:t>
      Дополнительные вещества (например, каркасы, матрицы, изделия, биоматериалы, биомолекулы и др.), которые комбинируются с подвергнутыми обработке клетками, вместе с которыми они образуют единое целое, являются исходными материалами, даже если не имеют биологического происхождения.</w:t>
      </w:r>
    </w:p>
    <w:bookmarkEnd w:id="1336"/>
    <w:bookmarkStart w:name="z1253" w:id="1337"/>
    <w:p>
      <w:pPr>
        <w:spacing w:after="0"/>
        <w:ind w:left="0"/>
        <w:jc w:val="both"/>
      </w:pPr>
      <w:r>
        <w:rPr>
          <w:rFonts w:ascii="Times New Roman"/>
          <w:b w:val="false"/>
          <w:i w:val="false"/>
          <w:color w:val="000000"/>
          <w:sz w:val="28"/>
        </w:rPr>
        <w:t>
      Материалы, использованные в производстве фармацевтической субстанции (например, питательная среда, факторы роста), которые не предназначены для включения в качестве компонента фармацевтической субстанции, являются сырьем.</w:t>
      </w:r>
    </w:p>
    <w:bookmarkEnd w:id="1337"/>
    <w:bookmarkStart w:name="z1254" w:id="1338"/>
    <w:p>
      <w:pPr>
        <w:spacing w:after="0"/>
        <w:ind w:left="0"/>
        <w:jc w:val="both"/>
      </w:pPr>
      <w:r>
        <w:rPr>
          <w:rFonts w:ascii="Times New Roman"/>
          <w:b w:val="false"/>
          <w:i w:val="false"/>
          <w:color w:val="000000"/>
          <w:sz w:val="28"/>
        </w:rPr>
        <w:t>
      17.3.3.2. Специальные требования.</w:t>
      </w:r>
    </w:p>
    <w:bookmarkEnd w:id="1338"/>
    <w:bookmarkStart w:name="z1255" w:id="1339"/>
    <w:p>
      <w:pPr>
        <w:spacing w:after="0"/>
        <w:ind w:left="0"/>
        <w:jc w:val="both"/>
      </w:pPr>
      <w:r>
        <w:rPr>
          <w:rFonts w:ascii="Times New Roman"/>
          <w:b w:val="false"/>
          <w:i w:val="false"/>
          <w:color w:val="000000"/>
          <w:sz w:val="28"/>
        </w:rPr>
        <w:t>
      В дополнение к требованиям, указанным в разделах 3.2.1 и 3.2.2 части I настоящего приложения, применяются следующие требования:</w:t>
      </w:r>
    </w:p>
    <w:bookmarkEnd w:id="1339"/>
    <w:bookmarkStart w:name="z1256" w:id="1340"/>
    <w:p>
      <w:pPr>
        <w:spacing w:after="0"/>
        <w:ind w:left="0"/>
        <w:jc w:val="both"/>
      </w:pPr>
      <w:r>
        <w:rPr>
          <w:rFonts w:ascii="Times New Roman"/>
          <w:b w:val="false"/>
          <w:i w:val="false"/>
          <w:color w:val="000000"/>
          <w:sz w:val="28"/>
        </w:rPr>
        <w:t>
      17.3.3.2.1. Исходные материалы.</w:t>
      </w:r>
    </w:p>
    <w:bookmarkEnd w:id="1340"/>
    <w:bookmarkStart w:name="z1257" w:id="1341"/>
    <w:p>
      <w:pPr>
        <w:spacing w:after="0"/>
        <w:ind w:left="0"/>
        <w:jc w:val="both"/>
      </w:pPr>
      <w:r>
        <w:rPr>
          <w:rFonts w:ascii="Times New Roman"/>
          <w:b w:val="false"/>
          <w:i w:val="false"/>
          <w:color w:val="000000"/>
          <w:sz w:val="28"/>
        </w:rPr>
        <w:t>
      Необходимо представить резюме о получении, заготовке и испытании тканей и клеток человека, использованных в качестве исходных материалов. Необходимо представить обоснование, если в качестве исходных материалов использовались нездоровые клетки или ткани (например, раковые).</w:t>
      </w:r>
    </w:p>
    <w:bookmarkEnd w:id="1341"/>
    <w:bookmarkStart w:name="z1258" w:id="1342"/>
    <w:p>
      <w:pPr>
        <w:spacing w:after="0"/>
        <w:ind w:left="0"/>
        <w:jc w:val="both"/>
      </w:pPr>
      <w:r>
        <w:rPr>
          <w:rFonts w:ascii="Times New Roman"/>
          <w:b w:val="false"/>
          <w:i w:val="false"/>
          <w:color w:val="000000"/>
          <w:sz w:val="28"/>
        </w:rPr>
        <w:t>
      Если популяции аллогенных клеток подверглись объединению, необходимо описать стратегию объединения и принять меры, обеспечивающие отслеживание.</w:t>
      </w:r>
    </w:p>
    <w:bookmarkEnd w:id="1342"/>
    <w:bookmarkStart w:name="z1259" w:id="1343"/>
    <w:p>
      <w:pPr>
        <w:spacing w:after="0"/>
        <w:ind w:left="0"/>
        <w:jc w:val="both"/>
      </w:pPr>
      <w:r>
        <w:rPr>
          <w:rFonts w:ascii="Times New Roman"/>
          <w:b w:val="false"/>
          <w:i w:val="false"/>
          <w:color w:val="000000"/>
          <w:sz w:val="28"/>
        </w:rPr>
        <w:t>
      При валидации процесса производства, описании свойств фармацевтической субстанции и лекарственного препарата, аналитических методик, использованных в разработке, составлении спецификаций и определении стабильности, необходимо учитывать потенциальную вариабельность, обусловленную использованием тканей и клеток человека или животных.</w:t>
      </w:r>
    </w:p>
    <w:bookmarkEnd w:id="1343"/>
    <w:bookmarkStart w:name="z1260" w:id="1344"/>
    <w:p>
      <w:pPr>
        <w:spacing w:after="0"/>
        <w:ind w:left="0"/>
        <w:jc w:val="both"/>
      </w:pPr>
      <w:r>
        <w:rPr>
          <w:rFonts w:ascii="Times New Roman"/>
          <w:b w:val="false"/>
          <w:i w:val="false"/>
          <w:color w:val="000000"/>
          <w:sz w:val="28"/>
        </w:rPr>
        <w:t>
      В отношении ксеногенных клеточных лекарственных препаратов необходимо представить сведения об источнике животных (например, географическое происхождение, животноводческое хозяйство, возраст), особых критериях приемлемости, мерах по предотвращению и наблюдению за инфекциями у животных-доноров, испытания животных на инфекционные агенты, включая вертикально передаваемые микроорганизмы и вирусы, и подтверждения пригодности условий содержания животных.</w:t>
      </w:r>
    </w:p>
    <w:bookmarkEnd w:id="1344"/>
    <w:bookmarkStart w:name="z1261" w:id="1345"/>
    <w:p>
      <w:pPr>
        <w:spacing w:after="0"/>
        <w:ind w:left="0"/>
        <w:jc w:val="both"/>
      </w:pPr>
      <w:r>
        <w:rPr>
          <w:rFonts w:ascii="Times New Roman"/>
          <w:b w:val="false"/>
          <w:i w:val="false"/>
          <w:color w:val="000000"/>
          <w:sz w:val="28"/>
        </w:rPr>
        <w:t>
      В отношении клеточных лекарственных препаратов, полученных из генетически модифицированных животных, необходимо описать особые свойства клеток, обусловленные их генетической модификацией. Необходимо представить подробное описание метода создания и описания свойства трансгенных животных.</w:t>
      </w:r>
    </w:p>
    <w:bookmarkEnd w:id="1345"/>
    <w:bookmarkStart w:name="z1262" w:id="1346"/>
    <w:p>
      <w:pPr>
        <w:spacing w:after="0"/>
        <w:ind w:left="0"/>
        <w:jc w:val="both"/>
      </w:pPr>
      <w:r>
        <w:rPr>
          <w:rFonts w:ascii="Times New Roman"/>
          <w:b w:val="false"/>
          <w:i w:val="false"/>
          <w:color w:val="000000"/>
          <w:sz w:val="28"/>
        </w:rPr>
        <w:t>
      В отношении генетически модифицированных клеток необходимо также учитывать требования, указанные в разделе 17.3.2 настоящего приложения.</w:t>
      </w:r>
    </w:p>
    <w:bookmarkEnd w:id="1346"/>
    <w:bookmarkStart w:name="z1263" w:id="1347"/>
    <w:p>
      <w:pPr>
        <w:spacing w:after="0"/>
        <w:ind w:left="0"/>
        <w:jc w:val="both"/>
      </w:pPr>
      <w:r>
        <w:rPr>
          <w:rFonts w:ascii="Times New Roman"/>
          <w:b w:val="false"/>
          <w:i w:val="false"/>
          <w:color w:val="000000"/>
          <w:sz w:val="28"/>
        </w:rPr>
        <w:t>
      Необходимо описать и обосновать условия испытания всех дополнительных веществ (каркасы, матрицы, изделия, биоматериалы, биомолекулы и др.), которые комбинировались с клетками, подвергнутыми инженерии.</w:t>
      </w:r>
    </w:p>
    <w:bookmarkEnd w:id="1347"/>
    <w:bookmarkStart w:name="z1264" w:id="1348"/>
    <w:p>
      <w:pPr>
        <w:spacing w:after="0"/>
        <w:ind w:left="0"/>
        <w:jc w:val="both"/>
      </w:pPr>
      <w:r>
        <w:rPr>
          <w:rFonts w:ascii="Times New Roman"/>
          <w:b w:val="false"/>
          <w:i w:val="false"/>
          <w:color w:val="000000"/>
          <w:sz w:val="28"/>
        </w:rPr>
        <w:t>
      В отношении каркасов, матриц и изделий, подпадающих под определение медицинского изделия или активного имплантируемого медицинского изделия, необходимо представить сведения, указанные в разделе 17.3.4 настоящего приложения, требуемые для экспертизы комбинированных лекарственных препаратов для передовой терапии.</w:t>
      </w:r>
    </w:p>
    <w:bookmarkEnd w:id="1348"/>
    <w:bookmarkStart w:name="z1265" w:id="1349"/>
    <w:p>
      <w:pPr>
        <w:spacing w:after="0"/>
        <w:ind w:left="0"/>
        <w:jc w:val="both"/>
      </w:pPr>
      <w:r>
        <w:rPr>
          <w:rFonts w:ascii="Times New Roman"/>
          <w:b w:val="false"/>
          <w:i w:val="false"/>
          <w:color w:val="000000"/>
          <w:sz w:val="28"/>
        </w:rPr>
        <w:t>
      17.3.3.2.2. Производственный процесс</w:t>
      </w:r>
    </w:p>
    <w:bookmarkEnd w:id="1349"/>
    <w:bookmarkStart w:name="z1266" w:id="1350"/>
    <w:p>
      <w:pPr>
        <w:spacing w:after="0"/>
        <w:ind w:left="0"/>
        <w:jc w:val="both"/>
      </w:pPr>
      <w:r>
        <w:rPr>
          <w:rFonts w:ascii="Times New Roman"/>
          <w:b w:val="false"/>
          <w:i w:val="false"/>
          <w:color w:val="000000"/>
          <w:sz w:val="28"/>
        </w:rPr>
        <w:t>
      В целях обеспечения однородности серий и процесса производства, функциональной целостности клеток в ходе производства и транспортировки (вплоть до момента применения или введения) и надлежащего состояния дифференцировки необходимо валидировать процесс производства.</w:t>
      </w:r>
    </w:p>
    <w:bookmarkEnd w:id="1350"/>
    <w:bookmarkStart w:name="z1267" w:id="1351"/>
    <w:p>
      <w:pPr>
        <w:spacing w:after="0"/>
        <w:ind w:left="0"/>
        <w:jc w:val="both"/>
      </w:pPr>
      <w:r>
        <w:rPr>
          <w:rFonts w:ascii="Times New Roman"/>
          <w:b w:val="false"/>
          <w:i w:val="false"/>
          <w:color w:val="000000"/>
          <w:sz w:val="28"/>
        </w:rPr>
        <w:t>
      Если клетки напрямую выращены внутри или на матрице, каркасе или изделии, необходимо представить сведения о валидации процесса получения клеточной культуры с точки зрения роста клеток, функции и целостности такой комбинации.</w:t>
      </w:r>
    </w:p>
    <w:bookmarkEnd w:id="1351"/>
    <w:bookmarkStart w:name="z1268" w:id="1352"/>
    <w:p>
      <w:pPr>
        <w:spacing w:after="0"/>
        <w:ind w:left="0"/>
        <w:jc w:val="both"/>
      </w:pPr>
      <w:r>
        <w:rPr>
          <w:rFonts w:ascii="Times New Roman"/>
          <w:b w:val="false"/>
          <w:i w:val="false"/>
          <w:color w:val="000000"/>
          <w:sz w:val="28"/>
        </w:rPr>
        <w:t>
      17.3.3.2.3. Стратегия описания свойств и контроля качества.</w:t>
      </w:r>
    </w:p>
    <w:bookmarkEnd w:id="1352"/>
    <w:bookmarkStart w:name="z1269" w:id="1353"/>
    <w:p>
      <w:pPr>
        <w:spacing w:after="0"/>
        <w:ind w:left="0"/>
        <w:jc w:val="both"/>
      </w:pPr>
      <w:r>
        <w:rPr>
          <w:rFonts w:ascii="Times New Roman"/>
          <w:b w:val="false"/>
          <w:i w:val="false"/>
          <w:color w:val="000000"/>
          <w:sz w:val="28"/>
        </w:rPr>
        <w:t>
      Необходимо представить соответствующие сведения об описании свойств популяции клеток или смеси клеток с точки зрения их подлинности, чистоты (например, наличие посторонних микробных агентов или клеточных контаминантов), жизнеспособности, активности, кариологии, туморогенности и пригодности для предлагаемого медицинского применения. Необходимо подтвердить генетическую стабильность клеток.</w:t>
      </w:r>
    </w:p>
    <w:bookmarkEnd w:id="1353"/>
    <w:bookmarkStart w:name="z1270" w:id="1354"/>
    <w:p>
      <w:pPr>
        <w:spacing w:after="0"/>
        <w:ind w:left="0"/>
        <w:jc w:val="both"/>
      </w:pPr>
      <w:r>
        <w:rPr>
          <w:rFonts w:ascii="Times New Roman"/>
          <w:b w:val="false"/>
          <w:i w:val="false"/>
          <w:color w:val="000000"/>
          <w:sz w:val="28"/>
        </w:rPr>
        <w:t>
      Необходимо представить качественные и по возможности количественные сведения о производственных и родственных примесях, а также сведения обо всех материалах, которые могут привести к образованию продуктов деградации в ходе производства. Необходимо обосновать степень изучения примесей.</w:t>
      </w:r>
    </w:p>
    <w:bookmarkEnd w:id="1354"/>
    <w:bookmarkStart w:name="z1271" w:id="1355"/>
    <w:p>
      <w:pPr>
        <w:spacing w:after="0"/>
        <w:ind w:left="0"/>
        <w:jc w:val="both"/>
      </w:pPr>
      <w:r>
        <w:rPr>
          <w:rFonts w:ascii="Times New Roman"/>
          <w:b w:val="false"/>
          <w:i w:val="false"/>
          <w:color w:val="000000"/>
          <w:sz w:val="28"/>
        </w:rPr>
        <w:t>
      Необходимо представить обоснование, что определенные испытания выпускающего контроля качества с фармацевтической субстанцией или лекарственным препаратом провести невозможно, но такое возможно с ключевыми промежуточными продуктами и (или) в рамках внутрипроизводственного контроля.</w:t>
      </w:r>
    </w:p>
    <w:bookmarkEnd w:id="1355"/>
    <w:bookmarkStart w:name="z1272" w:id="1356"/>
    <w:p>
      <w:pPr>
        <w:spacing w:after="0"/>
        <w:ind w:left="0"/>
        <w:jc w:val="both"/>
      </w:pPr>
      <w:r>
        <w:rPr>
          <w:rFonts w:ascii="Times New Roman"/>
          <w:b w:val="false"/>
          <w:i w:val="false"/>
          <w:color w:val="000000"/>
          <w:sz w:val="28"/>
        </w:rPr>
        <w:t>
      Если в качестве компонентов клеточных лекарственных препаратов содержатся биологически активные молекулы (например, факторы роста, цитокины), необходимо описать их влияние и взаимодействие с другими компонентами фармацевтической субстанции.</w:t>
      </w:r>
    </w:p>
    <w:bookmarkEnd w:id="1356"/>
    <w:bookmarkStart w:name="z1273" w:id="1357"/>
    <w:p>
      <w:pPr>
        <w:spacing w:after="0"/>
        <w:ind w:left="0"/>
        <w:jc w:val="both"/>
      </w:pPr>
      <w:r>
        <w:rPr>
          <w:rFonts w:ascii="Times New Roman"/>
          <w:b w:val="false"/>
          <w:i w:val="false"/>
          <w:color w:val="000000"/>
          <w:sz w:val="28"/>
        </w:rPr>
        <w:t>
      Если трехмерная структура является частью предполагаемой функции, частью описания свойств таких клеточных лекарственных препаратов должны стать состояние дифференцировки, структурная и функциональная организация клеток и образующийся внеклеточный матрикс (при необходимости). При необходимости описания физико-химических свойств должны дополнять доклинические исследования.</w:t>
      </w:r>
    </w:p>
    <w:bookmarkEnd w:id="1357"/>
    <w:bookmarkStart w:name="z1274" w:id="1358"/>
    <w:p>
      <w:pPr>
        <w:spacing w:after="0"/>
        <w:ind w:left="0"/>
        <w:jc w:val="both"/>
      </w:pPr>
      <w:r>
        <w:rPr>
          <w:rFonts w:ascii="Times New Roman"/>
          <w:b w:val="false"/>
          <w:i w:val="false"/>
          <w:color w:val="000000"/>
          <w:sz w:val="28"/>
        </w:rPr>
        <w:t>
      17.3.3.2.4. Вспомогательные вещества.</w:t>
      </w:r>
    </w:p>
    <w:bookmarkEnd w:id="1358"/>
    <w:bookmarkStart w:name="z1275" w:id="1359"/>
    <w:p>
      <w:pPr>
        <w:spacing w:after="0"/>
        <w:ind w:left="0"/>
        <w:jc w:val="both"/>
      </w:pPr>
      <w:r>
        <w:rPr>
          <w:rFonts w:ascii="Times New Roman"/>
          <w:b w:val="false"/>
          <w:i w:val="false"/>
          <w:color w:val="000000"/>
          <w:sz w:val="28"/>
        </w:rPr>
        <w:t>
      В отношении вспомогательных веществ, использованных в соматотерапевтических лекарственных препаратах и препаратах тканевой инженерии (например, компоненты среды переноса), применяются требования к новым вспомогательным веществам, указанным в части I настоящего приложения, если данные о взаимодействии между клетками или тканями и вспомогательными веществами отсутствуют.</w:t>
      </w:r>
    </w:p>
    <w:bookmarkEnd w:id="1359"/>
    <w:bookmarkStart w:name="z1276" w:id="1360"/>
    <w:p>
      <w:pPr>
        <w:spacing w:after="0"/>
        <w:ind w:left="0"/>
        <w:jc w:val="both"/>
      </w:pPr>
      <w:r>
        <w:rPr>
          <w:rFonts w:ascii="Times New Roman"/>
          <w:b w:val="false"/>
          <w:i w:val="false"/>
          <w:color w:val="000000"/>
          <w:sz w:val="28"/>
        </w:rPr>
        <w:t>
      17.3.3.2.5. Исследования по разработке.</w:t>
      </w:r>
    </w:p>
    <w:bookmarkEnd w:id="1360"/>
    <w:bookmarkStart w:name="z1277" w:id="1361"/>
    <w:p>
      <w:pPr>
        <w:spacing w:after="0"/>
        <w:ind w:left="0"/>
        <w:jc w:val="both"/>
      </w:pPr>
      <w:r>
        <w:rPr>
          <w:rFonts w:ascii="Times New Roman"/>
          <w:b w:val="false"/>
          <w:i w:val="false"/>
          <w:color w:val="000000"/>
          <w:sz w:val="28"/>
        </w:rPr>
        <w:t>
      При описании программы разработки необходимо представить обоснование выбора материалов и процессов. В частности необходимо проанализировать целостность популяции клеток в готовом лекарственном препарате.</w:t>
      </w:r>
    </w:p>
    <w:bookmarkEnd w:id="1361"/>
    <w:bookmarkStart w:name="z1278" w:id="1362"/>
    <w:p>
      <w:pPr>
        <w:spacing w:after="0"/>
        <w:ind w:left="0"/>
        <w:jc w:val="both"/>
      </w:pPr>
      <w:r>
        <w:rPr>
          <w:rFonts w:ascii="Times New Roman"/>
          <w:b w:val="false"/>
          <w:i w:val="false"/>
          <w:color w:val="000000"/>
          <w:sz w:val="28"/>
        </w:rPr>
        <w:t>
      17.3.3.2.6. Стандартные материалы.</w:t>
      </w:r>
    </w:p>
    <w:bookmarkEnd w:id="1362"/>
    <w:bookmarkStart w:name="z1279" w:id="1363"/>
    <w:p>
      <w:pPr>
        <w:spacing w:after="0"/>
        <w:ind w:left="0"/>
        <w:jc w:val="both"/>
      </w:pPr>
      <w:r>
        <w:rPr>
          <w:rFonts w:ascii="Times New Roman"/>
          <w:b w:val="false"/>
          <w:i w:val="false"/>
          <w:color w:val="000000"/>
          <w:sz w:val="28"/>
        </w:rPr>
        <w:t>
      Необходимо документировать и описать свойства стандартных образцов, значимых и специфичных для фармацевтической субстанции и (или) готового лекарственного препарата.</w:t>
      </w:r>
    </w:p>
    <w:bookmarkEnd w:id="1363"/>
    <w:bookmarkStart w:name="z1280" w:id="1364"/>
    <w:p>
      <w:pPr>
        <w:spacing w:after="0"/>
        <w:ind w:left="0"/>
        <w:jc w:val="both"/>
      </w:pPr>
      <w:r>
        <w:rPr>
          <w:rFonts w:ascii="Times New Roman"/>
          <w:b w:val="false"/>
          <w:i w:val="false"/>
          <w:color w:val="000000"/>
          <w:sz w:val="28"/>
        </w:rPr>
        <w:t>
      17.3.4. Специальные требования к высокотехнологическим лекарственным препаратам, содержащим медицинские изделия.</w:t>
      </w:r>
    </w:p>
    <w:bookmarkEnd w:id="1364"/>
    <w:bookmarkStart w:name="z1281" w:id="1365"/>
    <w:p>
      <w:pPr>
        <w:spacing w:after="0"/>
        <w:ind w:left="0"/>
        <w:jc w:val="both"/>
      </w:pPr>
      <w:r>
        <w:rPr>
          <w:rFonts w:ascii="Times New Roman"/>
          <w:b w:val="false"/>
          <w:i w:val="false"/>
          <w:color w:val="000000"/>
          <w:sz w:val="28"/>
        </w:rPr>
        <w:t>
      17.3.4.1. Высокотехнологические лекарственные препараты, содержащие медицинские изделия.</w:t>
      </w:r>
    </w:p>
    <w:bookmarkEnd w:id="1365"/>
    <w:bookmarkStart w:name="z1282" w:id="1366"/>
    <w:p>
      <w:pPr>
        <w:spacing w:after="0"/>
        <w:ind w:left="0"/>
        <w:jc w:val="both"/>
      </w:pPr>
      <w:r>
        <w:rPr>
          <w:rFonts w:ascii="Times New Roman"/>
          <w:b w:val="false"/>
          <w:i w:val="false"/>
          <w:color w:val="000000"/>
          <w:sz w:val="28"/>
        </w:rPr>
        <w:t>
      Необходимо представить описание физических свойств и действие лекарственного препарата, а также описание методов его конструирования.</w:t>
      </w:r>
    </w:p>
    <w:bookmarkEnd w:id="1366"/>
    <w:bookmarkStart w:name="z1283" w:id="1367"/>
    <w:p>
      <w:pPr>
        <w:spacing w:after="0"/>
        <w:ind w:left="0"/>
        <w:jc w:val="both"/>
      </w:pPr>
      <w:r>
        <w:rPr>
          <w:rFonts w:ascii="Times New Roman"/>
          <w:b w:val="false"/>
          <w:i w:val="false"/>
          <w:color w:val="000000"/>
          <w:sz w:val="28"/>
        </w:rPr>
        <w:t>
      Необходимо описать взаимодействие и совместимость между генами, клетками (тканями) - с одной стороны и структурными компонентами - с другой.</w:t>
      </w:r>
    </w:p>
    <w:bookmarkEnd w:id="1367"/>
    <w:bookmarkStart w:name="z1284" w:id="1368"/>
    <w:p>
      <w:pPr>
        <w:spacing w:after="0"/>
        <w:ind w:left="0"/>
        <w:jc w:val="both"/>
      </w:pPr>
      <w:r>
        <w:rPr>
          <w:rFonts w:ascii="Times New Roman"/>
          <w:b w:val="false"/>
          <w:i w:val="false"/>
          <w:color w:val="000000"/>
          <w:sz w:val="28"/>
        </w:rPr>
        <w:t>
      17.3.4.2. Комбинированные высокотехнологические лекарственные препараты.</w:t>
      </w:r>
    </w:p>
    <w:bookmarkEnd w:id="1368"/>
    <w:bookmarkStart w:name="z1285" w:id="1369"/>
    <w:p>
      <w:pPr>
        <w:spacing w:after="0"/>
        <w:ind w:left="0"/>
        <w:jc w:val="both"/>
      </w:pPr>
      <w:r>
        <w:rPr>
          <w:rFonts w:ascii="Times New Roman"/>
          <w:b w:val="false"/>
          <w:i w:val="false"/>
          <w:color w:val="000000"/>
          <w:sz w:val="28"/>
        </w:rPr>
        <w:t>
      Под "комбинированным высокотехнологичным лекарственным препаратом" понимается высокотехнологичный лекарственный препарат, удовлетворяющий следующим условиям:</w:t>
      </w:r>
    </w:p>
    <w:bookmarkEnd w:id="1369"/>
    <w:bookmarkStart w:name="z1286" w:id="1370"/>
    <w:p>
      <w:pPr>
        <w:spacing w:after="0"/>
        <w:ind w:left="0"/>
        <w:jc w:val="both"/>
      </w:pPr>
      <w:r>
        <w:rPr>
          <w:rFonts w:ascii="Times New Roman"/>
          <w:b w:val="false"/>
          <w:i w:val="false"/>
          <w:color w:val="000000"/>
          <w:sz w:val="28"/>
        </w:rPr>
        <w:t>
      он должен включать в себя в качестве составной части препарата одно или более медицинских изделий в определении законодательства Союза о медицинских изделиях или одно или более активных имплантируемых медицинских изделий в определении законодательства Союза о медицинских изделиях;</w:t>
      </w:r>
    </w:p>
    <w:bookmarkEnd w:id="1370"/>
    <w:bookmarkStart w:name="z1287" w:id="1371"/>
    <w:p>
      <w:pPr>
        <w:spacing w:after="0"/>
        <w:ind w:left="0"/>
        <w:jc w:val="both"/>
      </w:pPr>
      <w:r>
        <w:rPr>
          <w:rFonts w:ascii="Times New Roman"/>
          <w:b w:val="false"/>
          <w:i w:val="false"/>
          <w:color w:val="000000"/>
          <w:sz w:val="28"/>
        </w:rPr>
        <w:t>
      его клеточная или тканевая часть должна содержать жизнеспособные клетки или ткани;</w:t>
      </w:r>
    </w:p>
    <w:bookmarkEnd w:id="1371"/>
    <w:bookmarkStart w:name="z1288" w:id="1372"/>
    <w:p>
      <w:pPr>
        <w:spacing w:after="0"/>
        <w:ind w:left="0"/>
        <w:jc w:val="both"/>
      </w:pPr>
      <w:r>
        <w:rPr>
          <w:rFonts w:ascii="Times New Roman"/>
          <w:b w:val="false"/>
          <w:i w:val="false"/>
          <w:color w:val="000000"/>
          <w:sz w:val="28"/>
        </w:rPr>
        <w:t>
      его клеточная или тканевая часть, содержащая нежизнеспособные клетки или ткани, должна в организме человека обладать способностью оказывать действие, которое можно рассматривать в качестве первичного по отношению к упомянутым изделиям.</w:t>
      </w:r>
    </w:p>
    <w:bookmarkEnd w:id="1372"/>
    <w:bookmarkStart w:name="z1289" w:id="1373"/>
    <w:p>
      <w:pPr>
        <w:spacing w:after="0"/>
        <w:ind w:left="0"/>
        <w:jc w:val="both"/>
      </w:pPr>
      <w:r>
        <w:rPr>
          <w:rFonts w:ascii="Times New Roman"/>
          <w:b w:val="false"/>
          <w:i w:val="false"/>
          <w:color w:val="000000"/>
          <w:sz w:val="28"/>
        </w:rPr>
        <w:t>
      К клеточной или тканевой части комбинированного высокотехнологичного лекарственного препарата предъявляются специальные требования к соматотерапевтическим лекарственным препаратам и препаратам тканевой инженерии, указанные в разделе 17.3.3 настоящего приложения, если клетки подвергались генетической модификации, предъявляются специальные требования к генотерапевтическим лекарственным препаратам, указанные в разделе 17.3.2 настоящих Требований.</w:t>
      </w:r>
    </w:p>
    <w:bookmarkEnd w:id="1373"/>
    <w:bookmarkStart w:name="z1290" w:id="1374"/>
    <w:p>
      <w:pPr>
        <w:spacing w:after="0"/>
        <w:ind w:left="0"/>
        <w:jc w:val="both"/>
      </w:pPr>
      <w:r>
        <w:rPr>
          <w:rFonts w:ascii="Times New Roman"/>
          <w:b w:val="false"/>
          <w:i w:val="false"/>
          <w:color w:val="000000"/>
          <w:sz w:val="28"/>
        </w:rPr>
        <w:t>
      Медицинское изделие или активное имплантируемое медицинское изделие может являться составной частью фармацевтической субстанции. Если медицинское изделие или активное имплантируемое медицинское изделие объединяется с клетками в ходе производства, применения или введения лекарственного препарата, оно признается составной частью готового лекарственного препарата.</w:t>
      </w:r>
    </w:p>
    <w:bookmarkEnd w:id="1374"/>
    <w:bookmarkStart w:name="z1291" w:id="1375"/>
    <w:p>
      <w:pPr>
        <w:spacing w:after="0"/>
        <w:ind w:left="0"/>
        <w:jc w:val="both"/>
      </w:pPr>
      <w:r>
        <w:rPr>
          <w:rFonts w:ascii="Times New Roman"/>
          <w:b w:val="false"/>
          <w:i w:val="false"/>
          <w:color w:val="000000"/>
          <w:sz w:val="28"/>
        </w:rPr>
        <w:t>
      Необходимо представить сведения, затрагивающие медицинское изделие или активное имплантируемое медицинское изделие (являющиеся составной частью фармацевтической субстанции или лекарственного препарата), необходимые для экспертизы комбинированных высокотехнологичных лекарственных препаратов. К таким сведениям относятся:</w:t>
      </w:r>
    </w:p>
    <w:bookmarkEnd w:id="1375"/>
    <w:bookmarkStart w:name="z1292" w:id="1376"/>
    <w:p>
      <w:pPr>
        <w:spacing w:after="0"/>
        <w:ind w:left="0"/>
        <w:jc w:val="both"/>
      </w:pPr>
      <w:r>
        <w:rPr>
          <w:rFonts w:ascii="Times New Roman"/>
          <w:b w:val="false"/>
          <w:i w:val="false"/>
          <w:color w:val="000000"/>
          <w:sz w:val="28"/>
        </w:rPr>
        <w:t>
      сведения о выборе и предполагаемой функции медицинского изделия или имплантируемого медицинского изделия и подтверждение совместимости изделия с другими компонентами препарата;</w:t>
      </w:r>
    </w:p>
    <w:bookmarkEnd w:id="1376"/>
    <w:bookmarkStart w:name="z1293" w:id="1377"/>
    <w:p>
      <w:pPr>
        <w:spacing w:after="0"/>
        <w:ind w:left="0"/>
        <w:jc w:val="both"/>
      </w:pPr>
      <w:r>
        <w:rPr>
          <w:rFonts w:ascii="Times New Roman"/>
          <w:b w:val="false"/>
          <w:i w:val="false"/>
          <w:color w:val="000000"/>
          <w:sz w:val="28"/>
        </w:rPr>
        <w:t>
      подтверждение соответствия медицинского изделия ключевым требованиям, установленным законодательством Союза о медицинских изделиях, или соответствия активного имплантируемого изделия ключевым требованиям, установленным актами, входящими в право Союза в сфере обращения медицинских изделий;</w:t>
      </w:r>
    </w:p>
    <w:bookmarkEnd w:id="1377"/>
    <w:bookmarkStart w:name="z1294" w:id="1378"/>
    <w:p>
      <w:pPr>
        <w:spacing w:after="0"/>
        <w:ind w:left="0"/>
        <w:jc w:val="both"/>
      </w:pPr>
      <w:r>
        <w:rPr>
          <w:rFonts w:ascii="Times New Roman"/>
          <w:b w:val="false"/>
          <w:i w:val="false"/>
          <w:color w:val="000000"/>
          <w:sz w:val="28"/>
        </w:rPr>
        <w:t>
      подтверждение соответствия медицинского изделия или имплантируемого медицинского изделия требованиям о трансмиссивных губчатых энцефалопатиях (при необходимости);</w:t>
      </w:r>
    </w:p>
    <w:bookmarkEnd w:id="1378"/>
    <w:bookmarkStart w:name="z1295" w:id="1379"/>
    <w:p>
      <w:pPr>
        <w:spacing w:after="0"/>
        <w:ind w:left="0"/>
        <w:jc w:val="both"/>
      </w:pPr>
      <w:r>
        <w:rPr>
          <w:rFonts w:ascii="Times New Roman"/>
          <w:b w:val="false"/>
          <w:i w:val="false"/>
          <w:color w:val="000000"/>
          <w:sz w:val="28"/>
        </w:rPr>
        <w:t>
      результаты любой оценки медицинского изделия или активного имплантируемого медицинского изделия уполномоченным органом (организацией) в соответствии с актами, входящими в право Союза в сфере обращения медицинских изделий (при необходимости).</w:t>
      </w:r>
    </w:p>
    <w:bookmarkEnd w:id="1379"/>
    <w:bookmarkStart w:name="z1296" w:id="1380"/>
    <w:p>
      <w:pPr>
        <w:spacing w:after="0"/>
        <w:ind w:left="0"/>
        <w:jc w:val="both"/>
      </w:pPr>
      <w:r>
        <w:rPr>
          <w:rFonts w:ascii="Times New Roman"/>
          <w:b w:val="false"/>
          <w:i w:val="false"/>
          <w:color w:val="000000"/>
          <w:sz w:val="28"/>
        </w:rPr>
        <w:t>
      Уведомленное лицо, проведшее оценку, упомянутую в пункте "г" настоящего раздела, должно по запросу уполномоченного органа, осуществляющего экспертизу заявления, представить все сведения, относящиеся к результатам оценки в соответствии с актами, входящими в право Союза в сфере обращения медицинских изделий. К ним могут относиться сведения и документы, содержащиеся в оценке соответствия рассматриваемого заявления, в целях изучения комбинированного высокотехнологичного лекарственного препарата как единого целого (при необходимости).</w:t>
      </w:r>
    </w:p>
    <w:bookmarkEnd w:id="1380"/>
    <w:bookmarkStart w:name="z1297" w:id="1381"/>
    <w:p>
      <w:pPr>
        <w:spacing w:after="0"/>
        <w:ind w:left="0"/>
        <w:jc w:val="both"/>
      </w:pPr>
      <w:r>
        <w:rPr>
          <w:rFonts w:ascii="Times New Roman"/>
          <w:b w:val="false"/>
          <w:i w:val="false"/>
          <w:color w:val="000000"/>
          <w:sz w:val="28"/>
        </w:rPr>
        <w:t>
      17.4. Специальные требования к модулю 4 регистрационного досье.</w:t>
      </w:r>
    </w:p>
    <w:bookmarkEnd w:id="1381"/>
    <w:bookmarkStart w:name="z1298" w:id="1382"/>
    <w:p>
      <w:pPr>
        <w:spacing w:after="0"/>
        <w:ind w:left="0"/>
        <w:jc w:val="both"/>
      </w:pPr>
      <w:r>
        <w:rPr>
          <w:rFonts w:ascii="Times New Roman"/>
          <w:b w:val="false"/>
          <w:i w:val="false"/>
          <w:color w:val="000000"/>
          <w:sz w:val="28"/>
        </w:rPr>
        <w:t>
      17.4.1. Специальные требования для высокотехнологических лекарственных препаратов.</w:t>
      </w:r>
    </w:p>
    <w:bookmarkEnd w:id="1382"/>
    <w:bookmarkStart w:name="z1299" w:id="1383"/>
    <w:p>
      <w:pPr>
        <w:spacing w:after="0"/>
        <w:ind w:left="0"/>
        <w:jc w:val="both"/>
      </w:pPr>
      <w:r>
        <w:rPr>
          <w:rFonts w:ascii="Times New Roman"/>
          <w:b w:val="false"/>
          <w:i w:val="false"/>
          <w:color w:val="000000"/>
          <w:sz w:val="28"/>
        </w:rPr>
        <w:t>
      Ввиду уникальных и разнообразных структурных и биологических свойств высокотехнологичных лекарственных препаратов, требования к модулю 4 регистрационного досье, указанные в разделе 4 части I настоящего приложения, не всегда применимы к фармакологическим и токсикологическим исследованиям лекарственных препаратов. Технические требования разделов 17.4.1 - 17.4.3 настоящего приложения разъясняют, как выполнить требования части I настоящего приложения в отношении высокотехнологичных лекарственных препаратов. В соответствующих случаях, принимая во внимание особенности высокотехнологичных лекарственных препаратов, устанавливаются дополнительные требования к ним.</w:t>
      </w:r>
    </w:p>
    <w:bookmarkEnd w:id="1383"/>
    <w:bookmarkStart w:name="z1300" w:id="1384"/>
    <w:p>
      <w:pPr>
        <w:spacing w:after="0"/>
        <w:ind w:left="0"/>
        <w:jc w:val="both"/>
      </w:pPr>
      <w:r>
        <w:rPr>
          <w:rFonts w:ascii="Times New Roman"/>
          <w:b w:val="false"/>
          <w:i w:val="false"/>
          <w:color w:val="000000"/>
          <w:sz w:val="28"/>
        </w:rPr>
        <w:t>
      В доклиническом обзоре необходимо представить научное обоснование и анализ доклинической разработки и критериев выбора релевантных видов животных и моделей (in vitro и in vivo). Выбранные животные модели могут представлять собой иммунокомпрометированных, нокаутных, гуманизированных или трансгенных животных. Необходимо рассмотреть возможность использования гомологичных моделей (например, анализ клеток мыши у мышей) или моделей, имитирующих заболевание, в частности при исследованиях иммуногенности и иммунотоксичности.</w:t>
      </w:r>
    </w:p>
    <w:bookmarkEnd w:id="1384"/>
    <w:bookmarkStart w:name="z1301" w:id="1385"/>
    <w:p>
      <w:pPr>
        <w:spacing w:after="0"/>
        <w:ind w:left="0"/>
        <w:jc w:val="both"/>
      </w:pPr>
      <w:r>
        <w:rPr>
          <w:rFonts w:ascii="Times New Roman"/>
          <w:b w:val="false"/>
          <w:i w:val="false"/>
          <w:color w:val="000000"/>
          <w:sz w:val="28"/>
        </w:rPr>
        <w:t>
      В дополнение к требованиям части I настоящего приложения необходимо представить данные о безопасности, пригодности и биосовместимости всех структурных компонентов (например, матриц, каркасов и изделий) и любых дополнительных веществ (например, клеточных продуктов, биомолекул, биоматериалов и химических веществ), содержащихся в лекарственном препарате. Необходимо учитывать их физические, механические, химические и биологические свойства.</w:t>
      </w:r>
    </w:p>
    <w:bookmarkEnd w:id="1385"/>
    <w:bookmarkStart w:name="z1302" w:id="1386"/>
    <w:p>
      <w:pPr>
        <w:spacing w:after="0"/>
        <w:ind w:left="0"/>
        <w:jc w:val="both"/>
      </w:pPr>
      <w:r>
        <w:rPr>
          <w:rFonts w:ascii="Times New Roman"/>
          <w:b w:val="false"/>
          <w:i w:val="false"/>
          <w:color w:val="000000"/>
          <w:sz w:val="28"/>
        </w:rPr>
        <w:t>
      17.4.2. Особые требования к генотерапевтическим лекарственным препаратам.</w:t>
      </w:r>
    </w:p>
    <w:bookmarkEnd w:id="1386"/>
    <w:bookmarkStart w:name="z1303" w:id="1387"/>
    <w:p>
      <w:pPr>
        <w:spacing w:after="0"/>
        <w:ind w:left="0"/>
        <w:jc w:val="both"/>
      </w:pPr>
      <w:r>
        <w:rPr>
          <w:rFonts w:ascii="Times New Roman"/>
          <w:b w:val="false"/>
          <w:i w:val="false"/>
          <w:color w:val="000000"/>
          <w:sz w:val="28"/>
        </w:rPr>
        <w:t>
      Для определения объема и видов доклинических исследований, необходимых для надлежащего описания доклинической безопасности, следует учитывать дизайн и вид генотерапевтического лекарственного препарата.</w:t>
      </w:r>
    </w:p>
    <w:bookmarkEnd w:id="1387"/>
    <w:bookmarkStart w:name="z1304" w:id="1388"/>
    <w:p>
      <w:pPr>
        <w:spacing w:after="0"/>
        <w:ind w:left="0"/>
        <w:jc w:val="both"/>
      </w:pPr>
      <w:r>
        <w:rPr>
          <w:rFonts w:ascii="Times New Roman"/>
          <w:b w:val="false"/>
          <w:i w:val="false"/>
          <w:color w:val="000000"/>
          <w:sz w:val="28"/>
        </w:rPr>
        <w:t>
      17.4.2.1. Фармакология.</w:t>
      </w:r>
    </w:p>
    <w:bookmarkEnd w:id="1388"/>
    <w:bookmarkStart w:name="z1305" w:id="1389"/>
    <w:p>
      <w:pPr>
        <w:spacing w:after="0"/>
        <w:ind w:left="0"/>
        <w:jc w:val="both"/>
      </w:pPr>
      <w:r>
        <w:rPr>
          <w:rFonts w:ascii="Times New Roman"/>
          <w:b w:val="false"/>
          <w:i w:val="false"/>
          <w:color w:val="000000"/>
          <w:sz w:val="28"/>
        </w:rPr>
        <w:t>
      Необходимо представить результаты исследований in vitro и in vivo эффектов, относящихся к заявленному показанию (то есть фармакодинамические исследования механизма действия), в которых использовались модели и подходящие виды животных, приспособленные для подтверждения того, что последовательность нуклеиновой кислоты достигает мишени (органа или клеток) и обеспечивает необходимую функцию (степень экспрессии и функциональной активности). Необходимо описать продолжительность функции последовательности нуклеиновой кислоты и предлагаемый режим дозирования в клинических исследованиях.</w:t>
      </w:r>
    </w:p>
    <w:bookmarkEnd w:id="1389"/>
    <w:bookmarkStart w:name="z1306" w:id="1390"/>
    <w:p>
      <w:pPr>
        <w:spacing w:after="0"/>
        <w:ind w:left="0"/>
        <w:jc w:val="both"/>
      </w:pPr>
      <w:r>
        <w:rPr>
          <w:rFonts w:ascii="Times New Roman"/>
          <w:b w:val="false"/>
          <w:i w:val="false"/>
          <w:color w:val="000000"/>
          <w:sz w:val="28"/>
        </w:rPr>
        <w:t>
      Селективность мишени. Если генотерапевтический лекарственный препарат должен обладать селективностью или функциональностью, ограниченной мишенью, необходимо представить результаты исследований, подтверждающих специфичность и продолжительность функциональности и активности клеток- и тканей-мишеней.</w:t>
      </w:r>
    </w:p>
    <w:bookmarkEnd w:id="1390"/>
    <w:bookmarkStart w:name="z1307" w:id="1391"/>
    <w:p>
      <w:pPr>
        <w:spacing w:after="0"/>
        <w:ind w:left="0"/>
        <w:jc w:val="both"/>
      </w:pPr>
      <w:r>
        <w:rPr>
          <w:rFonts w:ascii="Times New Roman"/>
          <w:b w:val="false"/>
          <w:i w:val="false"/>
          <w:color w:val="000000"/>
          <w:sz w:val="28"/>
        </w:rPr>
        <w:t>
      17.4.2.2. Фармакокинетика.</w:t>
      </w:r>
    </w:p>
    <w:bookmarkEnd w:id="1391"/>
    <w:bookmarkStart w:name="z1308" w:id="1392"/>
    <w:p>
      <w:pPr>
        <w:spacing w:after="0"/>
        <w:ind w:left="0"/>
        <w:jc w:val="both"/>
      </w:pPr>
      <w:r>
        <w:rPr>
          <w:rFonts w:ascii="Times New Roman"/>
          <w:b w:val="false"/>
          <w:i w:val="false"/>
          <w:color w:val="000000"/>
          <w:sz w:val="28"/>
        </w:rPr>
        <w:t>
      В исследованиях биораспределения необходимо изучить персистенцию, клиренс и мобилизацию. Дополнительно в них необходимо прояснить риск генеративной передачи.</w:t>
      </w:r>
    </w:p>
    <w:bookmarkEnd w:id="1392"/>
    <w:bookmarkStart w:name="z1309" w:id="1393"/>
    <w:p>
      <w:pPr>
        <w:spacing w:after="0"/>
        <w:ind w:left="0"/>
        <w:jc w:val="both"/>
      </w:pPr>
      <w:r>
        <w:rPr>
          <w:rFonts w:ascii="Times New Roman"/>
          <w:b w:val="false"/>
          <w:i w:val="false"/>
          <w:color w:val="000000"/>
          <w:sz w:val="28"/>
        </w:rPr>
        <w:t>
      Если в регистрационном досье отсутствует обоснование, основанное на виде рассматриваемого лекарственного препарата, необходимо представить результаты исследований распространения и риска передачи третьим лицам, а также результаты оценки риска для окружающей среды.</w:t>
      </w:r>
    </w:p>
    <w:bookmarkEnd w:id="1393"/>
    <w:bookmarkStart w:name="z1310" w:id="1394"/>
    <w:p>
      <w:pPr>
        <w:spacing w:after="0"/>
        <w:ind w:left="0"/>
        <w:jc w:val="both"/>
      </w:pPr>
      <w:r>
        <w:rPr>
          <w:rFonts w:ascii="Times New Roman"/>
          <w:b w:val="false"/>
          <w:i w:val="false"/>
          <w:color w:val="000000"/>
          <w:sz w:val="28"/>
        </w:rPr>
        <w:t>
      17.4.2.3. Токсикология.</w:t>
      </w:r>
    </w:p>
    <w:bookmarkEnd w:id="1394"/>
    <w:bookmarkStart w:name="z1311" w:id="1395"/>
    <w:p>
      <w:pPr>
        <w:spacing w:after="0"/>
        <w:ind w:left="0"/>
        <w:jc w:val="both"/>
      </w:pPr>
      <w:r>
        <w:rPr>
          <w:rFonts w:ascii="Times New Roman"/>
          <w:b w:val="false"/>
          <w:i w:val="false"/>
          <w:color w:val="000000"/>
          <w:sz w:val="28"/>
        </w:rPr>
        <w:t>
      Необходимо изучить токсичность готового генотерапевтического лекарственного препарата. Кроме того, в зависимости от вида лекарственного препарата необходимо провести отдельное испытание фармацевтической субстанции и вспомогательных веществ, учитывая in vivo эффект продуктов экспрессии последовательности нуклеиновой кислоты, не предназначенных для оценки их физиологической функции.</w:t>
      </w:r>
    </w:p>
    <w:bookmarkEnd w:id="1395"/>
    <w:bookmarkStart w:name="z1312" w:id="1396"/>
    <w:p>
      <w:pPr>
        <w:spacing w:after="0"/>
        <w:ind w:left="0"/>
        <w:jc w:val="both"/>
      </w:pPr>
      <w:r>
        <w:rPr>
          <w:rFonts w:ascii="Times New Roman"/>
          <w:b w:val="false"/>
          <w:i w:val="false"/>
          <w:color w:val="000000"/>
          <w:sz w:val="28"/>
        </w:rPr>
        <w:t>
      Допускается объединить исследования токсичности при однократном введении с исследованиями фармакологической безопасности и фармакокинетическими исследованиями, например, в целях изучения персистенции.</w:t>
      </w:r>
    </w:p>
    <w:bookmarkEnd w:id="1396"/>
    <w:bookmarkStart w:name="z1313" w:id="1397"/>
    <w:p>
      <w:pPr>
        <w:spacing w:after="0"/>
        <w:ind w:left="0"/>
        <w:jc w:val="both"/>
      </w:pPr>
      <w:r>
        <w:rPr>
          <w:rFonts w:ascii="Times New Roman"/>
          <w:b w:val="false"/>
          <w:i w:val="false"/>
          <w:color w:val="000000"/>
          <w:sz w:val="28"/>
        </w:rPr>
        <w:t>
      Если предполагается многократное введение лекарственного препарата человеку, необходимо представить результаты исследований токсичности при многократном введении. Способ и режим введения должны соответствовать способу и режиму введения при клиническом применении. Если однократное введение может привести к длительной функциональности последовательности нуклеиновой кислоты у человека, может потребоваться проведение исследований токсичности при многократном введении. В зависимости от персистенции генотерапевтического лекарственного препарата и ожидаемых потенциальных рисков продолжительность исследований может превышать стандартные токсикологические исследования. Необходимо представить обоснование длительности исследований.</w:t>
      </w:r>
    </w:p>
    <w:bookmarkEnd w:id="1397"/>
    <w:bookmarkStart w:name="z1314" w:id="1398"/>
    <w:p>
      <w:pPr>
        <w:spacing w:after="0"/>
        <w:ind w:left="0"/>
        <w:jc w:val="both"/>
      </w:pPr>
      <w:r>
        <w:rPr>
          <w:rFonts w:ascii="Times New Roman"/>
          <w:b w:val="false"/>
          <w:i w:val="false"/>
          <w:color w:val="000000"/>
          <w:sz w:val="28"/>
        </w:rPr>
        <w:t>
      Необходимо изучить генотоксичность. Однако стандартные исследования генотоксичности необходимо проводить только в случае испытания определенной примеси или компонента системы доставки.</w:t>
      </w:r>
    </w:p>
    <w:bookmarkEnd w:id="1398"/>
    <w:bookmarkStart w:name="z1315" w:id="1399"/>
    <w:p>
      <w:pPr>
        <w:spacing w:after="0"/>
        <w:ind w:left="0"/>
        <w:jc w:val="both"/>
      </w:pPr>
      <w:r>
        <w:rPr>
          <w:rFonts w:ascii="Times New Roman"/>
          <w:b w:val="false"/>
          <w:i w:val="false"/>
          <w:color w:val="000000"/>
          <w:sz w:val="28"/>
        </w:rPr>
        <w:t>
      Необходимо изучить канцерогенность. Стандартные пожизненные исследования канцерогенности у крыс не требуются. Однако в зависимости от вида лекарственного препарата туморогенный потенциал необходимо изучить на подходящих моделях in vivo или in vitro.</w:t>
      </w:r>
    </w:p>
    <w:bookmarkEnd w:id="1399"/>
    <w:bookmarkStart w:name="z1316" w:id="1400"/>
    <w:p>
      <w:pPr>
        <w:spacing w:after="0"/>
        <w:ind w:left="0"/>
        <w:jc w:val="both"/>
      </w:pPr>
      <w:r>
        <w:rPr>
          <w:rFonts w:ascii="Times New Roman"/>
          <w:b w:val="false"/>
          <w:i w:val="false"/>
          <w:color w:val="000000"/>
          <w:sz w:val="28"/>
        </w:rPr>
        <w:t>
      Репродуктивная и онтогенетическая токсичность. Если в регистрационном досье отсутствует надлежащее обоснование, основанное на виде рассматриваемого лекарственного препарата, необходимо представить результаты исследований изучения фертильности и общей репродуктивной функции. Необходимо представить результаты изучения эмбриофетальной и перинатальной токсичности, генеративной передачи.</w:t>
      </w:r>
    </w:p>
    <w:bookmarkEnd w:id="1400"/>
    <w:bookmarkStart w:name="z1317" w:id="1401"/>
    <w:p>
      <w:pPr>
        <w:spacing w:after="0"/>
        <w:ind w:left="0"/>
        <w:jc w:val="both"/>
      </w:pPr>
      <w:r>
        <w:rPr>
          <w:rFonts w:ascii="Times New Roman"/>
          <w:b w:val="false"/>
          <w:i w:val="false"/>
          <w:color w:val="000000"/>
          <w:sz w:val="28"/>
        </w:rPr>
        <w:t>
      Дополнительные токсикологические исследования.</w:t>
      </w:r>
    </w:p>
    <w:bookmarkEnd w:id="1401"/>
    <w:bookmarkStart w:name="z1318" w:id="1402"/>
    <w:p>
      <w:pPr>
        <w:spacing w:after="0"/>
        <w:ind w:left="0"/>
        <w:jc w:val="both"/>
      </w:pPr>
      <w:r>
        <w:rPr>
          <w:rFonts w:ascii="Times New Roman"/>
          <w:b w:val="false"/>
          <w:i w:val="false"/>
          <w:color w:val="000000"/>
          <w:sz w:val="28"/>
        </w:rPr>
        <w:t>
      Исследования интеграции. В отношении всех генотерапевтических лекарственных препаратов необходимо представить результаты исследований их интеграции, если отсутствие таких результатов научно не обосновано, например, вследствие отсутствия проникновения последовательностей нуклеиновой кислоты в ядро клетки. Если по результатам исследований биораспределения обнаруживается риск генеративной передачи, в отношении генотерапевтических лекарственных препаратов, предположительно, не способных к интеграции, необходимо провести исследования интеграции.</w:t>
      </w:r>
    </w:p>
    <w:bookmarkEnd w:id="1402"/>
    <w:bookmarkStart w:name="z1319" w:id="1403"/>
    <w:p>
      <w:pPr>
        <w:spacing w:after="0"/>
        <w:ind w:left="0"/>
        <w:jc w:val="both"/>
      </w:pPr>
      <w:r>
        <w:rPr>
          <w:rFonts w:ascii="Times New Roman"/>
          <w:b w:val="false"/>
          <w:i w:val="false"/>
          <w:color w:val="000000"/>
          <w:sz w:val="28"/>
        </w:rPr>
        <w:t>
      Иммуногенность и иммунотоксичность. Необходимо изучить потенциальные иммуногенные и иммунотоксичные эффекты.</w:t>
      </w:r>
    </w:p>
    <w:bookmarkEnd w:id="1403"/>
    <w:bookmarkStart w:name="z1320" w:id="1404"/>
    <w:p>
      <w:pPr>
        <w:spacing w:after="0"/>
        <w:ind w:left="0"/>
        <w:jc w:val="both"/>
      </w:pPr>
      <w:r>
        <w:rPr>
          <w:rFonts w:ascii="Times New Roman"/>
          <w:b w:val="false"/>
          <w:i w:val="false"/>
          <w:color w:val="000000"/>
          <w:sz w:val="28"/>
        </w:rPr>
        <w:t>
      17.4.3. Особые требования к соматотерапевтическим лекарственным препаратам на основе соматических клеток и препаратам тканевой инженерии.</w:t>
      </w:r>
    </w:p>
    <w:bookmarkEnd w:id="1404"/>
    <w:bookmarkStart w:name="z1321" w:id="1405"/>
    <w:p>
      <w:pPr>
        <w:spacing w:after="0"/>
        <w:ind w:left="0"/>
        <w:jc w:val="both"/>
      </w:pPr>
      <w:r>
        <w:rPr>
          <w:rFonts w:ascii="Times New Roman"/>
          <w:b w:val="false"/>
          <w:i w:val="false"/>
          <w:color w:val="000000"/>
          <w:sz w:val="28"/>
        </w:rPr>
        <w:t>
      17.4.3.1. Фармакология.</w:t>
      </w:r>
    </w:p>
    <w:bookmarkEnd w:id="1405"/>
    <w:bookmarkStart w:name="z1322" w:id="1406"/>
    <w:p>
      <w:pPr>
        <w:spacing w:after="0"/>
        <w:ind w:left="0"/>
        <w:jc w:val="both"/>
      </w:pPr>
      <w:r>
        <w:rPr>
          <w:rFonts w:ascii="Times New Roman"/>
          <w:b w:val="false"/>
          <w:i w:val="false"/>
          <w:color w:val="000000"/>
          <w:sz w:val="28"/>
        </w:rPr>
        <w:t>
      В целях подтверждения механизма действия лекарственного препарата необходимо провести надлежащие исследования первичной фармакологии. Необходимо изучить взаимодействие клеточных лекарственных препаратов с окружающими тканями.</w:t>
      </w:r>
    </w:p>
    <w:bookmarkEnd w:id="1406"/>
    <w:bookmarkStart w:name="z1323" w:id="1407"/>
    <w:p>
      <w:pPr>
        <w:spacing w:after="0"/>
        <w:ind w:left="0"/>
        <w:jc w:val="both"/>
      </w:pPr>
      <w:r>
        <w:rPr>
          <w:rFonts w:ascii="Times New Roman"/>
          <w:b w:val="false"/>
          <w:i w:val="false"/>
          <w:color w:val="000000"/>
          <w:sz w:val="28"/>
        </w:rPr>
        <w:t>
      Следует определить количество лекарственного препарата, необходимого для достижения желаемого эффекта (эффективной дозы) и в зависимости от его вида - режим дозирования.</w:t>
      </w:r>
    </w:p>
    <w:bookmarkEnd w:id="1407"/>
    <w:bookmarkStart w:name="z1324" w:id="1408"/>
    <w:p>
      <w:pPr>
        <w:spacing w:after="0"/>
        <w:ind w:left="0"/>
        <w:jc w:val="both"/>
      </w:pPr>
      <w:r>
        <w:rPr>
          <w:rFonts w:ascii="Times New Roman"/>
          <w:b w:val="false"/>
          <w:i w:val="false"/>
          <w:color w:val="000000"/>
          <w:sz w:val="28"/>
        </w:rPr>
        <w:t>
      В целях оценки потенциальных физиологических эффектов, которые не связаны с терапевтическим эффектом соматотерапевтического лекарственного препарата, препарата тканевой инженерии или дополнительных веществ, необходимо представить результаты исследования вторичной фармакологии, поскольку помимо необходимых белков могут образовываться биологически активные молекулы, или необходимые белки могут иметь нежелательные мишени.</w:t>
      </w:r>
    </w:p>
    <w:bookmarkEnd w:id="1408"/>
    <w:bookmarkStart w:name="z1325" w:id="1409"/>
    <w:p>
      <w:pPr>
        <w:spacing w:after="0"/>
        <w:ind w:left="0"/>
        <w:jc w:val="both"/>
      </w:pPr>
      <w:r>
        <w:rPr>
          <w:rFonts w:ascii="Times New Roman"/>
          <w:b w:val="false"/>
          <w:i w:val="false"/>
          <w:color w:val="000000"/>
          <w:sz w:val="28"/>
        </w:rPr>
        <w:t>
      17.4.3.2. Фармакокинетика.</w:t>
      </w:r>
    </w:p>
    <w:bookmarkEnd w:id="1409"/>
    <w:bookmarkStart w:name="z1326" w:id="1410"/>
    <w:p>
      <w:pPr>
        <w:spacing w:after="0"/>
        <w:ind w:left="0"/>
        <w:jc w:val="both"/>
      </w:pPr>
      <w:r>
        <w:rPr>
          <w:rFonts w:ascii="Times New Roman"/>
          <w:b w:val="false"/>
          <w:i w:val="false"/>
          <w:color w:val="000000"/>
          <w:sz w:val="28"/>
        </w:rPr>
        <w:t>
      Стандартные фармакокинетические исследования для изучения абсорбции, распределения, метаболизма и экскреции не требуются. Однако если в регистрационном досье отсутствует надлежащее обоснование, основанное на виде рассматриваемого лекарственного препарата, необходимо изучить такие параметры, как жизнеспособность, долговечность, распределение, рост, дифференцировка и миграция.</w:t>
      </w:r>
    </w:p>
    <w:bookmarkEnd w:id="1410"/>
    <w:bookmarkStart w:name="z1327" w:id="1411"/>
    <w:p>
      <w:pPr>
        <w:spacing w:after="0"/>
        <w:ind w:left="0"/>
        <w:jc w:val="both"/>
      </w:pPr>
      <w:r>
        <w:rPr>
          <w:rFonts w:ascii="Times New Roman"/>
          <w:b w:val="false"/>
          <w:i w:val="false"/>
          <w:color w:val="000000"/>
          <w:sz w:val="28"/>
        </w:rPr>
        <w:t>
      В отношении соматотерапевтических лекарственных препаратов и препаратов тканевой инженерии, вырабатывающих на постоянной основе активные биомолекулы, необходимо изучить распределение, продолжительность и объем экспрессии таких молекул.</w:t>
      </w:r>
    </w:p>
    <w:bookmarkEnd w:id="1411"/>
    <w:bookmarkStart w:name="z1328" w:id="1412"/>
    <w:p>
      <w:pPr>
        <w:spacing w:after="0"/>
        <w:ind w:left="0"/>
        <w:jc w:val="both"/>
      </w:pPr>
      <w:r>
        <w:rPr>
          <w:rFonts w:ascii="Times New Roman"/>
          <w:b w:val="false"/>
          <w:i w:val="false"/>
          <w:color w:val="000000"/>
          <w:sz w:val="28"/>
        </w:rPr>
        <w:t>
      17.4.3.3. Токсикология.</w:t>
      </w:r>
    </w:p>
    <w:bookmarkEnd w:id="1412"/>
    <w:bookmarkStart w:name="z1329" w:id="1413"/>
    <w:p>
      <w:pPr>
        <w:spacing w:after="0"/>
        <w:ind w:left="0"/>
        <w:jc w:val="both"/>
      </w:pPr>
      <w:r>
        <w:rPr>
          <w:rFonts w:ascii="Times New Roman"/>
          <w:b w:val="false"/>
          <w:i w:val="false"/>
          <w:color w:val="000000"/>
          <w:sz w:val="28"/>
        </w:rPr>
        <w:t>
      Необходимо изучить токсичность готового лекарственного препарата. Необходимо рассмотреть возможность отдельного изучения фармацевтической субстанции, вспомогательных веществ, дополнительных веществ и всех производственных примесей.</w:t>
      </w:r>
    </w:p>
    <w:bookmarkEnd w:id="1413"/>
    <w:bookmarkStart w:name="z1330" w:id="1414"/>
    <w:p>
      <w:pPr>
        <w:spacing w:after="0"/>
        <w:ind w:left="0"/>
        <w:jc w:val="both"/>
      </w:pPr>
      <w:r>
        <w:rPr>
          <w:rFonts w:ascii="Times New Roman"/>
          <w:b w:val="false"/>
          <w:i w:val="false"/>
          <w:color w:val="000000"/>
          <w:sz w:val="28"/>
        </w:rPr>
        <w:t>
      Продолжительность наблюдений может превышать продолжительность наблюдений в стандартных токсикологических исследованиях, поэтому необходимо учитывать предполагаемый жизненный цикл лекарственного препарата, а также его фармакодинамические и фармакокинетические свойства. Необходимо представить обоснование длительности исследований.</w:t>
      </w:r>
    </w:p>
    <w:bookmarkEnd w:id="1414"/>
    <w:bookmarkStart w:name="z1331" w:id="1415"/>
    <w:p>
      <w:pPr>
        <w:spacing w:after="0"/>
        <w:ind w:left="0"/>
        <w:jc w:val="both"/>
      </w:pPr>
      <w:r>
        <w:rPr>
          <w:rFonts w:ascii="Times New Roman"/>
          <w:b w:val="false"/>
          <w:i w:val="false"/>
          <w:color w:val="000000"/>
          <w:sz w:val="28"/>
        </w:rPr>
        <w:t>
      Стандартные исследования канцерогенности и генотоксичности не требуются, за исключением туморогенного потенциала готового лекарственного препарата.</w:t>
      </w:r>
    </w:p>
    <w:bookmarkEnd w:id="1415"/>
    <w:bookmarkStart w:name="z1332" w:id="1416"/>
    <w:p>
      <w:pPr>
        <w:spacing w:after="0"/>
        <w:ind w:left="0"/>
        <w:jc w:val="both"/>
      </w:pPr>
      <w:r>
        <w:rPr>
          <w:rFonts w:ascii="Times New Roman"/>
          <w:b w:val="false"/>
          <w:i w:val="false"/>
          <w:color w:val="000000"/>
          <w:sz w:val="28"/>
        </w:rPr>
        <w:t>
      Необходимо изучить иммуногенный и иммунотоксический потенциал.</w:t>
      </w:r>
    </w:p>
    <w:bookmarkEnd w:id="1416"/>
    <w:bookmarkStart w:name="z1333" w:id="1417"/>
    <w:p>
      <w:pPr>
        <w:spacing w:after="0"/>
        <w:ind w:left="0"/>
        <w:jc w:val="both"/>
      </w:pPr>
      <w:r>
        <w:rPr>
          <w:rFonts w:ascii="Times New Roman"/>
          <w:b w:val="false"/>
          <w:i w:val="false"/>
          <w:color w:val="000000"/>
          <w:sz w:val="28"/>
        </w:rPr>
        <w:t>
      В отношении клеточных лекарственных препаратов, содержащих клетки животных, необходимо изучить обусловленные ими вопросы безопасности, например, риск передачи человеку ксеногенных патогенов.</w:t>
      </w:r>
    </w:p>
    <w:bookmarkEnd w:id="1417"/>
    <w:bookmarkStart w:name="z1334" w:id="1418"/>
    <w:p>
      <w:pPr>
        <w:spacing w:after="0"/>
        <w:ind w:left="0"/>
        <w:jc w:val="both"/>
      </w:pPr>
      <w:r>
        <w:rPr>
          <w:rFonts w:ascii="Times New Roman"/>
          <w:b w:val="false"/>
          <w:i w:val="false"/>
          <w:color w:val="000000"/>
          <w:sz w:val="28"/>
        </w:rPr>
        <w:t>
      17.5. Специальные требования к модулю 5 регистрационного досье.</w:t>
      </w:r>
    </w:p>
    <w:bookmarkEnd w:id="1418"/>
    <w:bookmarkStart w:name="z1335" w:id="1419"/>
    <w:p>
      <w:pPr>
        <w:spacing w:after="0"/>
        <w:ind w:left="0"/>
        <w:jc w:val="both"/>
      </w:pPr>
      <w:r>
        <w:rPr>
          <w:rFonts w:ascii="Times New Roman"/>
          <w:b w:val="false"/>
          <w:i w:val="false"/>
          <w:color w:val="000000"/>
          <w:sz w:val="28"/>
        </w:rPr>
        <w:t>
      17.5.1. Специальные требования к высокотехнологическим лекарственным препаратам.</w:t>
      </w:r>
    </w:p>
    <w:bookmarkEnd w:id="1419"/>
    <w:bookmarkStart w:name="z1336" w:id="1420"/>
    <w:p>
      <w:pPr>
        <w:spacing w:after="0"/>
        <w:ind w:left="0"/>
        <w:jc w:val="both"/>
      </w:pPr>
      <w:r>
        <w:rPr>
          <w:rFonts w:ascii="Times New Roman"/>
          <w:b w:val="false"/>
          <w:i w:val="false"/>
          <w:color w:val="000000"/>
          <w:sz w:val="28"/>
        </w:rPr>
        <w:t>
      17.5.1.1. Специальные требования настоящего раздела являются дополнительными к требованиям, предъявляемым к модулю 5 регистрационного досье раздела 5 части I настоящего приложения.</w:t>
      </w:r>
    </w:p>
    <w:bookmarkEnd w:id="1420"/>
    <w:bookmarkStart w:name="z1337" w:id="1421"/>
    <w:p>
      <w:pPr>
        <w:spacing w:after="0"/>
        <w:ind w:left="0"/>
        <w:jc w:val="both"/>
      </w:pPr>
      <w:r>
        <w:rPr>
          <w:rFonts w:ascii="Times New Roman"/>
          <w:b w:val="false"/>
          <w:i w:val="false"/>
          <w:color w:val="000000"/>
          <w:sz w:val="28"/>
        </w:rPr>
        <w:t>
      17.5.1.2. Если для клинического применения высокотехнологичных лекарственных препаратов необходимы специальная вспомогательная терапия или хирургические процедуры, весь комплекс терапевтических мероприятий необходимо изучить как единое целое. Необходимо представить сведения по стандартизации и оптимизации таких процедур в ходе клинической разработки.</w:t>
      </w:r>
    </w:p>
    <w:bookmarkEnd w:id="1421"/>
    <w:bookmarkStart w:name="z1338" w:id="1422"/>
    <w:p>
      <w:pPr>
        <w:spacing w:after="0"/>
        <w:ind w:left="0"/>
        <w:jc w:val="both"/>
      </w:pPr>
      <w:r>
        <w:rPr>
          <w:rFonts w:ascii="Times New Roman"/>
          <w:b w:val="false"/>
          <w:i w:val="false"/>
          <w:color w:val="000000"/>
          <w:sz w:val="28"/>
        </w:rPr>
        <w:t>
      Если медицинские изделия, использованные в ходе хирургических процедур для применения, имплантации или введения высокотехнологичного лекарственного препарата, могут повлиять на эффективность и безопасность этого препарата, необходимо представить сведения о таких изделиях.</w:t>
      </w:r>
    </w:p>
    <w:bookmarkEnd w:id="1422"/>
    <w:bookmarkStart w:name="z1339" w:id="1423"/>
    <w:p>
      <w:pPr>
        <w:spacing w:after="0"/>
        <w:ind w:left="0"/>
        <w:jc w:val="both"/>
      </w:pPr>
      <w:r>
        <w:rPr>
          <w:rFonts w:ascii="Times New Roman"/>
          <w:b w:val="false"/>
          <w:i w:val="false"/>
          <w:color w:val="000000"/>
          <w:sz w:val="28"/>
        </w:rPr>
        <w:t>
      Необходимо предусмотреть отдельный анализ, направленный на оценку проведенного применения, имплантации, введения и последующего наблюдения. При необходимости следует представить план обучения медицинских работников процедурам использования, применения, имплантации и введения.</w:t>
      </w:r>
    </w:p>
    <w:bookmarkEnd w:id="1423"/>
    <w:bookmarkStart w:name="z1340" w:id="1424"/>
    <w:p>
      <w:pPr>
        <w:spacing w:after="0"/>
        <w:ind w:left="0"/>
        <w:jc w:val="both"/>
      </w:pPr>
      <w:r>
        <w:rPr>
          <w:rFonts w:ascii="Times New Roman"/>
          <w:b w:val="false"/>
          <w:i w:val="false"/>
          <w:color w:val="000000"/>
          <w:sz w:val="28"/>
        </w:rPr>
        <w:t>
      17.5.1.3. Учитывая, что в ходе клинической разработки процесс производства высокотехнологичных лекарственных препаратов может претерпевать изменения, могут потребоваться дополнительные исследования, подтверждающие сопоставимость.</w:t>
      </w:r>
    </w:p>
    <w:bookmarkEnd w:id="1424"/>
    <w:bookmarkStart w:name="z1341" w:id="1425"/>
    <w:p>
      <w:pPr>
        <w:spacing w:after="0"/>
        <w:ind w:left="0"/>
        <w:jc w:val="both"/>
      </w:pPr>
      <w:r>
        <w:rPr>
          <w:rFonts w:ascii="Times New Roman"/>
          <w:b w:val="false"/>
          <w:i w:val="false"/>
          <w:color w:val="000000"/>
          <w:sz w:val="28"/>
        </w:rPr>
        <w:t>
      17.5.1.4. В ходе клинической разработки необходимо изучить риски, обусловленные потенциальными инфекционными агентами или использованием материала, полученного из животных источников, и описать меры, направленные на снижение таких рисков.</w:t>
      </w:r>
    </w:p>
    <w:bookmarkEnd w:id="1425"/>
    <w:bookmarkStart w:name="z1342" w:id="1426"/>
    <w:p>
      <w:pPr>
        <w:spacing w:after="0"/>
        <w:ind w:left="0"/>
        <w:jc w:val="both"/>
      </w:pPr>
      <w:r>
        <w:rPr>
          <w:rFonts w:ascii="Times New Roman"/>
          <w:b w:val="false"/>
          <w:i w:val="false"/>
          <w:color w:val="000000"/>
          <w:sz w:val="28"/>
        </w:rPr>
        <w:t>
      17.5.1.5. С помощью исследований по подбору дозы необходимо определить дозы и режим дозирования.</w:t>
      </w:r>
    </w:p>
    <w:bookmarkEnd w:id="1426"/>
    <w:bookmarkStart w:name="z1343" w:id="1427"/>
    <w:p>
      <w:pPr>
        <w:spacing w:after="0"/>
        <w:ind w:left="0"/>
        <w:jc w:val="both"/>
      </w:pPr>
      <w:r>
        <w:rPr>
          <w:rFonts w:ascii="Times New Roman"/>
          <w:b w:val="false"/>
          <w:i w:val="false"/>
          <w:color w:val="000000"/>
          <w:sz w:val="28"/>
        </w:rPr>
        <w:t>
      17.5.1.6. Эффективность по заявленным показаниям необходимо подтвердить соответствующими результатами клинических исследований, в которых использовались клинически значимые для предполагаемого применения конечные точки. При определенных клинических состояниях может потребоваться подтверждение долгосрочной эффективности. Необходимо представить стратегию оценки долгосрочной эффективности.</w:t>
      </w:r>
    </w:p>
    <w:bookmarkEnd w:id="1427"/>
    <w:bookmarkStart w:name="z1344" w:id="1428"/>
    <w:p>
      <w:pPr>
        <w:spacing w:after="0"/>
        <w:ind w:left="0"/>
        <w:jc w:val="both"/>
      </w:pPr>
      <w:r>
        <w:rPr>
          <w:rFonts w:ascii="Times New Roman"/>
          <w:b w:val="false"/>
          <w:i w:val="false"/>
          <w:color w:val="000000"/>
          <w:sz w:val="28"/>
        </w:rPr>
        <w:t>
      17.5.1.7. В плане управления рисками необходимо предусмотреть стратегию долгосрочного наблюдения за безопасностью и эффективностью.</w:t>
      </w:r>
    </w:p>
    <w:bookmarkEnd w:id="1428"/>
    <w:bookmarkStart w:name="z1345" w:id="1429"/>
    <w:p>
      <w:pPr>
        <w:spacing w:after="0"/>
        <w:ind w:left="0"/>
        <w:jc w:val="both"/>
      </w:pPr>
      <w:r>
        <w:rPr>
          <w:rFonts w:ascii="Times New Roman"/>
          <w:b w:val="false"/>
          <w:i w:val="false"/>
          <w:color w:val="000000"/>
          <w:sz w:val="28"/>
        </w:rPr>
        <w:t>
      17.5.1.8. Исследования безопасности и эффективности комбинированных лекарственных препаратов для передовой терапии необходимо планировать и проводить на целом комбинированном препарате.</w:t>
      </w:r>
    </w:p>
    <w:bookmarkEnd w:id="1429"/>
    <w:bookmarkStart w:name="z1346" w:id="1430"/>
    <w:p>
      <w:pPr>
        <w:spacing w:after="0"/>
        <w:ind w:left="0"/>
        <w:jc w:val="both"/>
      </w:pPr>
      <w:r>
        <w:rPr>
          <w:rFonts w:ascii="Times New Roman"/>
          <w:b w:val="false"/>
          <w:i w:val="false"/>
          <w:color w:val="000000"/>
          <w:sz w:val="28"/>
        </w:rPr>
        <w:t>
      17.5.2. Особые требования к генотерапевтическим лекарственным средствам.</w:t>
      </w:r>
    </w:p>
    <w:bookmarkEnd w:id="1430"/>
    <w:bookmarkStart w:name="z1347" w:id="1431"/>
    <w:p>
      <w:pPr>
        <w:spacing w:after="0"/>
        <w:ind w:left="0"/>
        <w:jc w:val="both"/>
      </w:pPr>
      <w:r>
        <w:rPr>
          <w:rFonts w:ascii="Times New Roman"/>
          <w:b w:val="false"/>
          <w:i w:val="false"/>
          <w:color w:val="000000"/>
          <w:sz w:val="28"/>
        </w:rPr>
        <w:t>
      17.5.2.1. Фармакокинетические исследования у человека.</w:t>
      </w:r>
    </w:p>
    <w:bookmarkEnd w:id="1431"/>
    <w:bookmarkStart w:name="z1348" w:id="1432"/>
    <w:p>
      <w:pPr>
        <w:spacing w:after="0"/>
        <w:ind w:left="0"/>
        <w:jc w:val="both"/>
      </w:pPr>
      <w:r>
        <w:rPr>
          <w:rFonts w:ascii="Times New Roman"/>
          <w:b w:val="false"/>
          <w:i w:val="false"/>
          <w:color w:val="000000"/>
          <w:sz w:val="28"/>
        </w:rPr>
        <w:t>
      В фармакокинетических исследованиях у человека необходимо учесть следующее:</w:t>
      </w:r>
    </w:p>
    <w:bookmarkEnd w:id="1432"/>
    <w:bookmarkStart w:name="z1349" w:id="1433"/>
    <w:p>
      <w:pPr>
        <w:spacing w:after="0"/>
        <w:ind w:left="0"/>
        <w:jc w:val="both"/>
      </w:pPr>
      <w:r>
        <w:rPr>
          <w:rFonts w:ascii="Times New Roman"/>
          <w:b w:val="false"/>
          <w:i w:val="false"/>
          <w:color w:val="000000"/>
          <w:sz w:val="28"/>
        </w:rPr>
        <w:t>
      исследования распространения (shedding studies), направленные на изучение экскреции генотерапевтических лекарственных препаратов;</w:t>
      </w:r>
    </w:p>
    <w:bookmarkEnd w:id="1433"/>
    <w:bookmarkStart w:name="z1350" w:id="1434"/>
    <w:p>
      <w:pPr>
        <w:spacing w:after="0"/>
        <w:ind w:left="0"/>
        <w:jc w:val="both"/>
      </w:pPr>
      <w:r>
        <w:rPr>
          <w:rFonts w:ascii="Times New Roman"/>
          <w:b w:val="false"/>
          <w:i w:val="false"/>
          <w:color w:val="000000"/>
          <w:sz w:val="28"/>
        </w:rPr>
        <w:t>
      исследования биораспределения;</w:t>
      </w:r>
    </w:p>
    <w:bookmarkEnd w:id="1434"/>
    <w:bookmarkStart w:name="z1351" w:id="1435"/>
    <w:p>
      <w:pPr>
        <w:spacing w:after="0"/>
        <w:ind w:left="0"/>
        <w:jc w:val="both"/>
      </w:pPr>
      <w:r>
        <w:rPr>
          <w:rFonts w:ascii="Times New Roman"/>
          <w:b w:val="false"/>
          <w:i w:val="false"/>
          <w:color w:val="000000"/>
          <w:sz w:val="28"/>
        </w:rPr>
        <w:t>
      фармакокинетические исследования лекарственного препарата и продуктов экспрессии гена (например, экспрессированные белки или геномные сигнатуры).</w:t>
      </w:r>
    </w:p>
    <w:bookmarkEnd w:id="1435"/>
    <w:bookmarkStart w:name="z1352" w:id="1436"/>
    <w:p>
      <w:pPr>
        <w:spacing w:after="0"/>
        <w:ind w:left="0"/>
        <w:jc w:val="both"/>
      </w:pPr>
      <w:r>
        <w:rPr>
          <w:rFonts w:ascii="Times New Roman"/>
          <w:b w:val="false"/>
          <w:i w:val="false"/>
          <w:color w:val="000000"/>
          <w:sz w:val="28"/>
        </w:rPr>
        <w:t>
      17.5.2.2. Фармакодинамические исследования у человека.</w:t>
      </w:r>
    </w:p>
    <w:bookmarkEnd w:id="1436"/>
    <w:bookmarkStart w:name="z1353" w:id="1437"/>
    <w:p>
      <w:pPr>
        <w:spacing w:after="0"/>
        <w:ind w:left="0"/>
        <w:jc w:val="both"/>
      </w:pPr>
      <w:r>
        <w:rPr>
          <w:rFonts w:ascii="Times New Roman"/>
          <w:b w:val="false"/>
          <w:i w:val="false"/>
          <w:color w:val="000000"/>
          <w:sz w:val="28"/>
        </w:rPr>
        <w:t>
      В фармакодинамических исследованиях необходимо изучить экспрессию и функции последовательности нуклеиновой кислоты после введения генотерапевтического лекарственного препарата.</w:t>
      </w:r>
    </w:p>
    <w:bookmarkEnd w:id="1437"/>
    <w:bookmarkStart w:name="z1354" w:id="1438"/>
    <w:p>
      <w:pPr>
        <w:spacing w:after="0"/>
        <w:ind w:left="0"/>
        <w:jc w:val="both"/>
      </w:pPr>
      <w:r>
        <w:rPr>
          <w:rFonts w:ascii="Times New Roman"/>
          <w:b w:val="false"/>
          <w:i w:val="false"/>
          <w:color w:val="000000"/>
          <w:sz w:val="28"/>
        </w:rPr>
        <w:t>
      17.5.2.3. Исследования безопасности.</w:t>
      </w:r>
    </w:p>
    <w:bookmarkEnd w:id="1438"/>
    <w:bookmarkStart w:name="z1355" w:id="1439"/>
    <w:p>
      <w:pPr>
        <w:spacing w:after="0"/>
        <w:ind w:left="0"/>
        <w:jc w:val="both"/>
      </w:pPr>
      <w:r>
        <w:rPr>
          <w:rFonts w:ascii="Times New Roman"/>
          <w:b w:val="false"/>
          <w:i w:val="false"/>
          <w:color w:val="000000"/>
          <w:sz w:val="28"/>
        </w:rPr>
        <w:t>
      В исследованиях безопасности необходимо учесть следующее:</w:t>
      </w:r>
    </w:p>
    <w:bookmarkEnd w:id="1439"/>
    <w:bookmarkStart w:name="z1356" w:id="1440"/>
    <w:p>
      <w:pPr>
        <w:spacing w:after="0"/>
        <w:ind w:left="0"/>
        <w:jc w:val="both"/>
      </w:pPr>
      <w:r>
        <w:rPr>
          <w:rFonts w:ascii="Times New Roman"/>
          <w:b w:val="false"/>
          <w:i w:val="false"/>
          <w:color w:val="000000"/>
          <w:sz w:val="28"/>
        </w:rPr>
        <w:t>
      возникновение векторов, способных к репликации;</w:t>
      </w:r>
    </w:p>
    <w:bookmarkEnd w:id="1440"/>
    <w:bookmarkStart w:name="z1357" w:id="1441"/>
    <w:p>
      <w:pPr>
        <w:spacing w:after="0"/>
        <w:ind w:left="0"/>
        <w:jc w:val="both"/>
      </w:pPr>
      <w:r>
        <w:rPr>
          <w:rFonts w:ascii="Times New Roman"/>
          <w:b w:val="false"/>
          <w:i w:val="false"/>
          <w:color w:val="000000"/>
          <w:sz w:val="28"/>
        </w:rPr>
        <w:t>
      возникновение новых штаммов;</w:t>
      </w:r>
    </w:p>
    <w:bookmarkEnd w:id="1441"/>
    <w:bookmarkStart w:name="z1358" w:id="1442"/>
    <w:p>
      <w:pPr>
        <w:spacing w:after="0"/>
        <w:ind w:left="0"/>
        <w:jc w:val="both"/>
      </w:pPr>
      <w:r>
        <w:rPr>
          <w:rFonts w:ascii="Times New Roman"/>
          <w:b w:val="false"/>
          <w:i w:val="false"/>
          <w:color w:val="000000"/>
          <w:sz w:val="28"/>
        </w:rPr>
        <w:t>
      реассортация существующих геномных последовательностей;</w:t>
      </w:r>
    </w:p>
    <w:bookmarkEnd w:id="1442"/>
    <w:bookmarkStart w:name="z1359" w:id="1443"/>
    <w:p>
      <w:pPr>
        <w:spacing w:after="0"/>
        <w:ind w:left="0"/>
        <w:jc w:val="both"/>
      </w:pPr>
      <w:r>
        <w:rPr>
          <w:rFonts w:ascii="Times New Roman"/>
          <w:b w:val="false"/>
          <w:i w:val="false"/>
          <w:color w:val="000000"/>
          <w:sz w:val="28"/>
        </w:rPr>
        <w:t>
      опухолевая пролиферация вследствие вставочного мутагенеза.</w:t>
      </w:r>
    </w:p>
    <w:bookmarkEnd w:id="1443"/>
    <w:bookmarkStart w:name="z1360" w:id="1444"/>
    <w:p>
      <w:pPr>
        <w:spacing w:after="0"/>
        <w:ind w:left="0"/>
        <w:jc w:val="both"/>
      </w:pPr>
      <w:r>
        <w:rPr>
          <w:rFonts w:ascii="Times New Roman"/>
          <w:b w:val="false"/>
          <w:i w:val="false"/>
          <w:color w:val="000000"/>
          <w:sz w:val="28"/>
        </w:rPr>
        <w:t>
      17.5.3. Особые требования к лекарственным средствам на основе соматических клеток.</w:t>
      </w:r>
    </w:p>
    <w:bookmarkEnd w:id="1444"/>
    <w:bookmarkStart w:name="z1361" w:id="1445"/>
    <w:p>
      <w:pPr>
        <w:spacing w:after="0"/>
        <w:ind w:left="0"/>
        <w:jc w:val="both"/>
      </w:pPr>
      <w:r>
        <w:rPr>
          <w:rFonts w:ascii="Times New Roman"/>
          <w:b w:val="false"/>
          <w:i w:val="false"/>
          <w:color w:val="000000"/>
          <w:sz w:val="28"/>
        </w:rPr>
        <w:t>
      17.5.3.1. Лекарственные средства на основе соматических клеток, механизм действия которых основывается на выработке определенных активных биологических молекул.</w:t>
      </w:r>
    </w:p>
    <w:bookmarkEnd w:id="1445"/>
    <w:bookmarkStart w:name="z1362" w:id="1446"/>
    <w:p>
      <w:pPr>
        <w:spacing w:after="0"/>
        <w:ind w:left="0"/>
        <w:jc w:val="both"/>
      </w:pPr>
      <w:r>
        <w:rPr>
          <w:rFonts w:ascii="Times New Roman"/>
          <w:b w:val="false"/>
          <w:i w:val="false"/>
          <w:color w:val="000000"/>
          <w:sz w:val="28"/>
        </w:rPr>
        <w:t>
      Если механизмом действия соматотерапевтических лекарственных препаратов является продукция определенной активной биомолекулы, необходимо по возможности описать фармакокинетические свойства (в частности распределение, продолжительность и объем экспрессии) таких молекул.</w:t>
      </w:r>
    </w:p>
    <w:bookmarkEnd w:id="1446"/>
    <w:bookmarkStart w:name="z1363" w:id="1447"/>
    <w:p>
      <w:pPr>
        <w:spacing w:after="0"/>
        <w:ind w:left="0"/>
        <w:jc w:val="both"/>
      </w:pPr>
      <w:r>
        <w:rPr>
          <w:rFonts w:ascii="Times New Roman"/>
          <w:b w:val="false"/>
          <w:i w:val="false"/>
          <w:color w:val="000000"/>
          <w:sz w:val="28"/>
        </w:rPr>
        <w:t>
      17.5.3.2. Биологическое распределение, персистенция и долгосрочное приживление компонентов соматотерапевтических лекарственных препаратов.</w:t>
      </w:r>
    </w:p>
    <w:bookmarkEnd w:id="1447"/>
    <w:bookmarkStart w:name="z1364" w:id="1448"/>
    <w:p>
      <w:pPr>
        <w:spacing w:after="0"/>
        <w:ind w:left="0"/>
        <w:jc w:val="both"/>
      </w:pPr>
      <w:r>
        <w:rPr>
          <w:rFonts w:ascii="Times New Roman"/>
          <w:b w:val="false"/>
          <w:i w:val="false"/>
          <w:color w:val="000000"/>
          <w:sz w:val="28"/>
        </w:rPr>
        <w:t>
      В ходе клинической разработки необходимо изучить биораспределение, персистенцию и долгосрочное приживление компонентов соматотерапевтического лекарственного препарата.</w:t>
      </w:r>
    </w:p>
    <w:bookmarkEnd w:id="1448"/>
    <w:bookmarkStart w:name="z1365" w:id="1449"/>
    <w:p>
      <w:pPr>
        <w:spacing w:after="0"/>
        <w:ind w:left="0"/>
        <w:jc w:val="both"/>
      </w:pPr>
      <w:r>
        <w:rPr>
          <w:rFonts w:ascii="Times New Roman"/>
          <w:b w:val="false"/>
          <w:i w:val="false"/>
          <w:color w:val="000000"/>
          <w:sz w:val="28"/>
        </w:rPr>
        <w:t>
      17.5.3.3. Исследования безопасности.</w:t>
      </w:r>
    </w:p>
    <w:bookmarkEnd w:id="1449"/>
    <w:bookmarkStart w:name="z1366" w:id="1450"/>
    <w:p>
      <w:pPr>
        <w:spacing w:after="0"/>
        <w:ind w:left="0"/>
        <w:jc w:val="both"/>
      </w:pPr>
      <w:r>
        <w:rPr>
          <w:rFonts w:ascii="Times New Roman"/>
          <w:b w:val="false"/>
          <w:i w:val="false"/>
          <w:color w:val="000000"/>
          <w:sz w:val="28"/>
        </w:rPr>
        <w:t>
      В исследованиях безопасности необходимо учесть следующее:</w:t>
      </w:r>
    </w:p>
    <w:bookmarkEnd w:id="1450"/>
    <w:bookmarkStart w:name="z1367" w:id="1451"/>
    <w:p>
      <w:pPr>
        <w:spacing w:after="0"/>
        <w:ind w:left="0"/>
        <w:jc w:val="both"/>
      </w:pPr>
      <w:r>
        <w:rPr>
          <w:rFonts w:ascii="Times New Roman"/>
          <w:b w:val="false"/>
          <w:i w:val="false"/>
          <w:color w:val="000000"/>
          <w:sz w:val="28"/>
        </w:rPr>
        <w:t>
      распределение и приживление после введения;</w:t>
      </w:r>
    </w:p>
    <w:bookmarkEnd w:id="1451"/>
    <w:bookmarkStart w:name="z1368" w:id="1452"/>
    <w:p>
      <w:pPr>
        <w:spacing w:after="0"/>
        <w:ind w:left="0"/>
        <w:jc w:val="both"/>
      </w:pPr>
      <w:r>
        <w:rPr>
          <w:rFonts w:ascii="Times New Roman"/>
          <w:b w:val="false"/>
          <w:i w:val="false"/>
          <w:color w:val="000000"/>
          <w:sz w:val="28"/>
        </w:rPr>
        <w:t>
      эктопическое приживление;</w:t>
      </w:r>
    </w:p>
    <w:bookmarkEnd w:id="1452"/>
    <w:bookmarkStart w:name="z1369" w:id="1453"/>
    <w:p>
      <w:pPr>
        <w:spacing w:after="0"/>
        <w:ind w:left="0"/>
        <w:jc w:val="both"/>
      </w:pPr>
      <w:r>
        <w:rPr>
          <w:rFonts w:ascii="Times New Roman"/>
          <w:b w:val="false"/>
          <w:i w:val="false"/>
          <w:color w:val="000000"/>
          <w:sz w:val="28"/>
        </w:rPr>
        <w:t>
      онкогенную трансформацию и соответствие свойствам соответствующей линии клеток (тканей).</w:t>
      </w:r>
    </w:p>
    <w:bookmarkEnd w:id="1453"/>
    <w:bookmarkStart w:name="z1370" w:id="1454"/>
    <w:p>
      <w:pPr>
        <w:spacing w:after="0"/>
        <w:ind w:left="0"/>
        <w:jc w:val="both"/>
      </w:pPr>
      <w:r>
        <w:rPr>
          <w:rFonts w:ascii="Times New Roman"/>
          <w:b w:val="false"/>
          <w:i w:val="false"/>
          <w:color w:val="000000"/>
          <w:sz w:val="28"/>
        </w:rPr>
        <w:t>
      17.5.4. Особые требования к препаратам тканевой инженерии.</w:t>
      </w:r>
    </w:p>
    <w:bookmarkEnd w:id="1454"/>
    <w:bookmarkStart w:name="z1371" w:id="1455"/>
    <w:p>
      <w:pPr>
        <w:spacing w:after="0"/>
        <w:ind w:left="0"/>
        <w:jc w:val="both"/>
      </w:pPr>
      <w:r>
        <w:rPr>
          <w:rFonts w:ascii="Times New Roman"/>
          <w:b w:val="false"/>
          <w:i w:val="false"/>
          <w:color w:val="000000"/>
          <w:sz w:val="28"/>
        </w:rPr>
        <w:t>
      17.5.4.1. Фармакокинетические исследования.</w:t>
      </w:r>
    </w:p>
    <w:bookmarkEnd w:id="1455"/>
    <w:bookmarkStart w:name="z1372" w:id="1456"/>
    <w:p>
      <w:pPr>
        <w:spacing w:after="0"/>
        <w:ind w:left="0"/>
        <w:jc w:val="both"/>
      </w:pPr>
      <w:r>
        <w:rPr>
          <w:rFonts w:ascii="Times New Roman"/>
          <w:b w:val="false"/>
          <w:i w:val="false"/>
          <w:color w:val="000000"/>
          <w:sz w:val="28"/>
        </w:rPr>
        <w:t>
      Если стандартные фармакокинетические исследования для препаратов тканевой инженерии не значимы, в ходе клинической разработки необходимо изучить биораспределение, персистенцию и деградацию их компонентов.</w:t>
      </w:r>
    </w:p>
    <w:bookmarkEnd w:id="1456"/>
    <w:bookmarkStart w:name="z1373" w:id="1457"/>
    <w:p>
      <w:pPr>
        <w:spacing w:after="0"/>
        <w:ind w:left="0"/>
        <w:jc w:val="both"/>
      </w:pPr>
      <w:r>
        <w:rPr>
          <w:rFonts w:ascii="Times New Roman"/>
          <w:b w:val="false"/>
          <w:i w:val="false"/>
          <w:color w:val="000000"/>
          <w:sz w:val="28"/>
        </w:rPr>
        <w:t>
      17.5.4.2. Фармакодинамические исследования.</w:t>
      </w:r>
    </w:p>
    <w:bookmarkEnd w:id="1457"/>
    <w:bookmarkStart w:name="z1374" w:id="1458"/>
    <w:p>
      <w:pPr>
        <w:spacing w:after="0"/>
        <w:ind w:left="0"/>
        <w:jc w:val="both"/>
      </w:pPr>
      <w:r>
        <w:rPr>
          <w:rFonts w:ascii="Times New Roman"/>
          <w:b w:val="false"/>
          <w:i w:val="false"/>
          <w:color w:val="000000"/>
          <w:sz w:val="28"/>
        </w:rPr>
        <w:t>
      Дизайн фармакодинамических исследований должен основываться на особенностях препаратов тканевой инженерии. Необходимо представить подтверждение "доказательства концепции" и кинетики препарата, требуемой для достижения предполагаемой регенерации, репарации или замены. Необходимо учитывать подходящие фармакодинамические маркеры, связанные с рассматриваемой функцией и структурой.</w:t>
      </w:r>
    </w:p>
    <w:bookmarkEnd w:id="1458"/>
    <w:bookmarkStart w:name="z1375" w:id="1459"/>
    <w:p>
      <w:pPr>
        <w:spacing w:after="0"/>
        <w:ind w:left="0"/>
        <w:jc w:val="both"/>
      </w:pPr>
      <w:r>
        <w:rPr>
          <w:rFonts w:ascii="Times New Roman"/>
          <w:b w:val="false"/>
          <w:i w:val="false"/>
          <w:color w:val="000000"/>
          <w:sz w:val="28"/>
        </w:rPr>
        <w:t>
      17.5.4.3. Исследования безопасности.</w:t>
      </w:r>
    </w:p>
    <w:bookmarkEnd w:id="1459"/>
    <w:bookmarkStart w:name="z1376" w:id="1460"/>
    <w:p>
      <w:pPr>
        <w:spacing w:after="0"/>
        <w:ind w:left="0"/>
        <w:jc w:val="both"/>
      </w:pPr>
      <w:r>
        <w:rPr>
          <w:rFonts w:ascii="Times New Roman"/>
          <w:b w:val="false"/>
          <w:i w:val="false"/>
          <w:color w:val="000000"/>
          <w:sz w:val="28"/>
        </w:rPr>
        <w:t>
      При исследовании безопасности препаратов тканевой инженерии следует руководствоваться требованиями, указанными в разделе 17.5.3.3 настоящего приложения.</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2 с изменениями, внесенными решениями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23.04.2021 </w:t>
      </w:r>
      <w:r>
        <w:rPr>
          <w:rFonts w:ascii="Times New Roman"/>
          <w:b w:val="false"/>
          <w:i w:val="false"/>
          <w:color w:val="ff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78" w:id="1461"/>
    <w:p>
      <w:pPr>
        <w:spacing w:after="0"/>
        <w:ind w:left="0"/>
        <w:jc w:val="left"/>
      </w:pPr>
      <w:r>
        <w:rPr>
          <w:rFonts w:ascii="Times New Roman"/>
          <w:b/>
          <w:i w:val="false"/>
          <w:color w:val="000000"/>
        </w:rPr>
        <w:t xml:space="preserve"> ФОРМЫ ЗАЯВЛЕНИЙ</w:t>
      </w:r>
      <w:r>
        <w:br/>
      </w:r>
      <w:r>
        <w:rPr>
          <w:rFonts w:ascii="Times New Roman"/>
          <w:b/>
          <w:i w:val="false"/>
          <w:color w:val="000000"/>
        </w:rPr>
        <w:t>О РЕГИСТРАЦИИ, ПЕРЕРЕГИСТРАЦИИ ЛЕКАРСТВЕННОГО ПРЕПАРАТА, ПРИВЕДЕНИИ В СООТВЕТСТВИЕ С ТРЕБОВАНИЯМИ ЕВРАЗИЙСКОГО ЭКОНОМИЧЕСКОГО СОЮЗА И ВНЕСЕНИИ</w:t>
      </w:r>
      <w:r>
        <w:br/>
      </w:r>
      <w:r>
        <w:rPr>
          <w:rFonts w:ascii="Times New Roman"/>
          <w:b/>
          <w:i w:val="false"/>
          <w:color w:val="000000"/>
        </w:rPr>
        <w:t xml:space="preserve">ИЗМЕНЕНИЙ В РЕГИСТРАЦИОННОЕ ДОСЬЕ ЛЕКАРСТВЕННОГО ПРЕПАРАТА </w:t>
      </w:r>
    </w:p>
    <w:bookmarkEnd w:id="1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80" w:id="1462"/>
    <w:p>
      <w:pPr>
        <w:spacing w:after="0"/>
        <w:ind w:left="0"/>
        <w:jc w:val="left"/>
      </w:pPr>
      <w:r>
        <w:rPr>
          <w:rFonts w:ascii="Times New Roman"/>
          <w:b/>
          <w:i w:val="false"/>
          <w:color w:val="000000"/>
        </w:rPr>
        <w:t xml:space="preserve"> I. ЗАЯВЛЕНИЕ</w:t>
      </w:r>
      <w:r>
        <w:br/>
      </w:r>
      <w:r>
        <w:rPr>
          <w:rFonts w:ascii="Times New Roman"/>
          <w:b/>
          <w:i w:val="false"/>
          <w:color w:val="000000"/>
        </w:rPr>
        <w:t>о регистрации лекарственного препарата (приведении регистрационного досье лекарственного препарата</w:t>
      </w:r>
      <w:r>
        <w:br/>
      </w:r>
      <w:r>
        <w:rPr>
          <w:rFonts w:ascii="Times New Roman"/>
          <w:b/>
          <w:i w:val="false"/>
          <w:color w:val="000000"/>
        </w:rPr>
        <w:t>в соответствие с требованиями Евразийского экономического союза)</w:t>
      </w:r>
    </w:p>
    <w:bookmarkEnd w:id="14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81" w:id="1463"/>
          <w:p>
            <w:pPr>
              <w:spacing w:after="20"/>
              <w:ind w:left="20"/>
              <w:jc w:val="both"/>
            </w:pPr>
            <w:r>
              <w:rPr>
                <w:rFonts w:ascii="Times New Roman"/>
                <w:b w:val="false"/>
                <w:i w:val="false"/>
                <w:color w:val="000000"/>
                <w:sz w:val="20"/>
              </w:rPr>
              <w:t xml:space="preserve">
Дата поступления заявления "__" ___________ 20__ г. </w:t>
            </w:r>
          </w:p>
          <w:bookmarkEnd w:id="146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______________________ </w:t>
            </w:r>
          </w:p>
        </w:tc>
      </w:tr>
      <w:tr>
        <w:trPr>
          <w:trHeight w:val="30" w:hRule="atLeast"/>
        </w:trPr>
        <w:tc>
          <w:tcPr>
            <w:tcW w:w="6150" w:type="dxa"/>
            <w:tcBorders/>
            <w:tcMar>
              <w:top w:w="15" w:type="dxa"/>
              <w:left w:w="15" w:type="dxa"/>
              <w:bottom w:w="15" w:type="dxa"/>
              <w:right w:w="15" w:type="dxa"/>
            </w:tcMar>
            <w:vAlign w:val="center"/>
          </w:tcPr>
          <w:bookmarkStart w:name="z1382" w:id="1464"/>
          <w:p>
            <w:pPr>
              <w:spacing w:after="20"/>
              <w:ind w:left="20"/>
              <w:jc w:val="both"/>
            </w:pPr>
            <w:r>
              <w:rPr>
                <w:rFonts w:ascii="Times New Roman"/>
                <w:b w:val="false"/>
                <w:i w:val="false"/>
                <w:color w:val="000000"/>
                <w:sz w:val="20"/>
              </w:rPr>
              <w:t xml:space="preserve">
Торговые наименования лекарственного препарата </w:t>
            </w:r>
          </w:p>
          <w:bookmarkEnd w:id="1464"/>
        </w:tc>
        <w:tc>
          <w:tcPr>
            <w:tcW w:w="6150"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383" w:id="1465"/>
          <w:p>
            <w:pPr>
              <w:spacing w:after="20"/>
              <w:ind w:left="20"/>
              <w:jc w:val="both"/>
            </w:pPr>
            <w:r>
              <w:rPr>
                <w:rFonts w:ascii="Times New Roman"/>
                <w:b w:val="false"/>
                <w:i w:val="false"/>
                <w:color w:val="000000"/>
                <w:sz w:val="20"/>
              </w:rPr>
              <w:t xml:space="preserve">
Активные фармацевтические субстанции </w:t>
            </w:r>
          </w:p>
          <w:bookmarkEnd w:id="1465"/>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bookmarkStart w:name="z1384" w:id="1466"/>
          <w:p>
            <w:pPr>
              <w:spacing w:after="20"/>
              <w:ind w:left="20"/>
              <w:jc w:val="both"/>
            </w:pPr>
            <w:r>
              <w:rPr>
                <w:rFonts w:ascii="Times New Roman"/>
                <w:b w:val="false"/>
                <w:i w:val="false"/>
                <w:color w:val="000000"/>
                <w:sz w:val="20"/>
              </w:rPr>
              <w:t xml:space="preserve">
Дозировки или концентрация и лекарственная форма </w:t>
            </w:r>
          </w:p>
          <w:bookmarkEnd w:id="1466"/>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bookmarkStart w:name="z1385" w:id="1467"/>
          <w:p>
            <w:pPr>
              <w:spacing w:after="20"/>
              <w:ind w:left="20"/>
              <w:jc w:val="both"/>
            </w:pPr>
            <w:r>
              <w:rPr>
                <w:rFonts w:ascii="Times New Roman"/>
                <w:b w:val="false"/>
                <w:i w:val="false"/>
                <w:color w:val="000000"/>
                <w:sz w:val="20"/>
              </w:rPr>
              <w:t xml:space="preserve">
Форма выпуска </w:t>
            </w:r>
          </w:p>
          <w:bookmarkEnd w:id="1467"/>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bookmarkStart w:name="z1386" w:id="1468"/>
          <w:p>
            <w:pPr>
              <w:spacing w:after="20"/>
              <w:ind w:left="20"/>
              <w:jc w:val="both"/>
            </w:pPr>
            <w:r>
              <w:rPr>
                <w:rFonts w:ascii="Times New Roman"/>
                <w:b w:val="false"/>
                <w:i w:val="false"/>
                <w:color w:val="000000"/>
                <w:sz w:val="20"/>
              </w:rPr>
              <w:t xml:space="preserve">
Держатель регистрационного удостоверения </w:t>
            </w:r>
          </w:p>
          <w:bookmarkEnd w:id="1468"/>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bookmarkStart w:name="z1387" w:id="1469"/>
          <w:p>
            <w:pPr>
              <w:spacing w:after="20"/>
              <w:ind w:left="20"/>
              <w:jc w:val="both"/>
            </w:pPr>
            <w:r>
              <w:rPr>
                <w:rFonts w:ascii="Times New Roman"/>
                <w:b w:val="false"/>
                <w:i w:val="false"/>
                <w:color w:val="000000"/>
                <w:sz w:val="20"/>
              </w:rPr>
              <w:t xml:space="preserve">
Заявитель </w:t>
            </w:r>
          </w:p>
          <w:bookmarkEnd w:id="1469"/>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bookmarkStart w:name="z1388" w:id="1470"/>
          <w:p>
            <w:pPr>
              <w:spacing w:after="20"/>
              <w:ind w:left="20"/>
              <w:jc w:val="both"/>
            </w:pPr>
            <w:r>
              <w:rPr>
                <w:rFonts w:ascii="Times New Roman"/>
                <w:b w:val="false"/>
                <w:i w:val="false"/>
                <w:color w:val="000000"/>
                <w:sz w:val="20"/>
              </w:rPr>
              <w:t xml:space="preserve">
Представитель заявителя </w:t>
            </w:r>
          </w:p>
          <w:bookmarkEnd w:id="1470"/>
        </w:tc>
        <w:tc>
          <w:tcPr>
            <w:tcW w:w="0" w:type="auto"/>
            <w:vMerge/>
            <w:tcBorders>
              <w:top w:val="nil"/>
            </w:tcBorders>
          </w:tcPr>
          <w:p/>
        </w:tc>
      </w:tr>
    </w:tbl>
    <w:bookmarkStart w:name="z1389" w:id="1471"/>
    <w:p>
      <w:pPr>
        <w:spacing w:after="0"/>
        <w:ind w:left="0"/>
        <w:jc w:val="both"/>
      </w:pPr>
      <w:r>
        <w:rPr>
          <w:rFonts w:ascii="Times New Roman"/>
          <w:b w:val="false"/>
          <w:i w:val="false"/>
          <w:color w:val="000000"/>
          <w:sz w:val="28"/>
        </w:rPr>
        <w:t>
      Я гарантирую достоверность и несу ответственность за информацию, содержащуюся в представленных документах и данных, включенных в регистрационное досье.</w:t>
      </w:r>
    </w:p>
    <w:bookmarkEnd w:id="1471"/>
    <w:bookmarkStart w:name="z1390" w:id="1472"/>
    <w:p>
      <w:pPr>
        <w:spacing w:after="0"/>
        <w:ind w:left="0"/>
        <w:jc w:val="both"/>
      </w:pPr>
      <w:r>
        <w:rPr>
          <w:rFonts w:ascii="Times New Roman"/>
          <w:b w:val="false"/>
          <w:i w:val="false"/>
          <w:color w:val="000000"/>
          <w:sz w:val="28"/>
        </w:rPr>
        <w:t>
       Я согласен, что в случае непредставления в течение 90 дней документов и данных, необходимых для восполнения регистрационного досье, по замечаниям уполномоченного органа (экспертной организации) референтного государства в рассмотрении данного заявления будет отказано.</w:t>
      </w:r>
    </w:p>
    <w:bookmarkEnd w:id="1472"/>
    <w:bookmarkStart w:name="z1391" w:id="1473"/>
    <w:p>
      <w:pPr>
        <w:spacing w:after="0"/>
        <w:ind w:left="0"/>
        <w:jc w:val="both"/>
      </w:pPr>
      <w:r>
        <w:rPr>
          <w:rFonts w:ascii="Times New Roman"/>
          <w:b w:val="false"/>
          <w:i w:val="false"/>
          <w:color w:val="000000"/>
          <w:sz w:val="28"/>
        </w:rPr>
        <w:t>
       Я подтверждаю, что все данные в составе регистрационного досье получены в установленном порядке и не нарушают права третьих лиц на интеллектуальную собственность (подпункты 4.3 и 4.4 приложения к настоящему заявлению).</w:t>
      </w:r>
    </w:p>
    <w:bookmarkEnd w:id="1473"/>
    <w:bookmarkStart w:name="z1392" w:id="1474"/>
    <w:p>
      <w:pPr>
        <w:spacing w:after="0"/>
        <w:ind w:left="0"/>
        <w:jc w:val="both"/>
      </w:pPr>
      <w:r>
        <w:rPr>
          <w:rFonts w:ascii="Times New Roman"/>
          <w:b w:val="false"/>
          <w:i w:val="false"/>
          <w:color w:val="000000"/>
          <w:sz w:val="28"/>
        </w:rPr>
        <w:t>
       Я также подтверждаю, что все предусмотренные сборы (пошлины) оплачены (будут оплачены) в соответствии с требованиями законодательства.</w:t>
      </w:r>
    </w:p>
    <w:bookmarkEnd w:id="1474"/>
    <w:bookmarkStart w:name="z1393" w:id="1475"/>
    <w:p>
      <w:pPr>
        <w:spacing w:after="0"/>
        <w:ind w:left="0"/>
        <w:jc w:val="both"/>
      </w:pPr>
      <w:r>
        <w:rPr>
          <w:rFonts w:ascii="Times New Roman"/>
          <w:b w:val="false"/>
          <w:i w:val="false"/>
          <w:color w:val="000000"/>
          <w:sz w:val="28"/>
        </w:rPr>
        <w:t>
       Доверенность на осуществление юридически значимых действий от имени держателя регистрационного удостоверения прилагается (подпункт 4.1 приложения к настоящему заявлению).</w:t>
      </w:r>
    </w:p>
    <w:bookmarkEnd w:id="1475"/>
    <w:bookmarkStart w:name="z1394" w:id="1476"/>
    <w:p>
      <w:pPr>
        <w:spacing w:after="0"/>
        <w:ind w:left="0"/>
        <w:jc w:val="both"/>
      </w:pPr>
      <w:r>
        <w:rPr>
          <w:rFonts w:ascii="Times New Roman"/>
          <w:b w:val="false"/>
          <w:i w:val="false"/>
          <w:color w:val="000000"/>
          <w:sz w:val="28"/>
        </w:rPr>
        <w:t>
       От имени заявителя</w:t>
      </w:r>
    </w:p>
    <w:bookmarkEnd w:id="1476"/>
    <w:bookmarkStart w:name="z1395" w:id="1477"/>
    <w:p>
      <w:pPr>
        <w:spacing w:after="0"/>
        <w:ind w:left="0"/>
        <w:jc w:val="both"/>
      </w:pPr>
      <w:r>
        <w:rPr>
          <w:rFonts w:ascii="Times New Roman"/>
          <w:b w:val="false"/>
          <w:i w:val="false"/>
          <w:color w:val="000000"/>
          <w:sz w:val="28"/>
        </w:rPr>
        <w:t>
      ________________________</w:t>
      </w:r>
    </w:p>
    <w:bookmarkEnd w:id="1477"/>
    <w:bookmarkStart w:name="z1396" w:id="1478"/>
    <w:p>
      <w:pPr>
        <w:spacing w:after="0"/>
        <w:ind w:left="0"/>
        <w:jc w:val="both"/>
      </w:pPr>
      <w:r>
        <w:rPr>
          <w:rFonts w:ascii="Times New Roman"/>
          <w:b w:val="false"/>
          <w:i w:val="false"/>
          <w:color w:val="000000"/>
          <w:sz w:val="28"/>
        </w:rPr>
        <w:t>
       (подпись)</w:t>
      </w:r>
    </w:p>
    <w:bookmarkEnd w:id="1478"/>
    <w:bookmarkStart w:name="z1397" w:id="1479"/>
    <w:p>
      <w:pPr>
        <w:spacing w:after="0"/>
        <w:ind w:left="0"/>
        <w:jc w:val="both"/>
      </w:pPr>
      <w:r>
        <w:rPr>
          <w:rFonts w:ascii="Times New Roman"/>
          <w:b w:val="false"/>
          <w:i w:val="false"/>
          <w:color w:val="000000"/>
          <w:sz w:val="28"/>
        </w:rPr>
        <w:t>
      ________________________</w:t>
      </w:r>
    </w:p>
    <w:bookmarkEnd w:id="1479"/>
    <w:bookmarkStart w:name="z1398" w:id="1480"/>
    <w:p>
      <w:pPr>
        <w:spacing w:after="0"/>
        <w:ind w:left="0"/>
        <w:jc w:val="both"/>
      </w:pPr>
      <w:r>
        <w:rPr>
          <w:rFonts w:ascii="Times New Roman"/>
          <w:b w:val="false"/>
          <w:i w:val="false"/>
          <w:color w:val="000000"/>
          <w:sz w:val="28"/>
        </w:rPr>
        <w:t>
      (фамилия, имя, отчество)</w:t>
      </w:r>
    </w:p>
    <w:bookmarkEnd w:id="1480"/>
    <w:bookmarkStart w:name="z1399" w:id="1481"/>
    <w:p>
      <w:pPr>
        <w:spacing w:after="0"/>
        <w:ind w:left="0"/>
        <w:jc w:val="both"/>
      </w:pPr>
      <w:r>
        <w:rPr>
          <w:rFonts w:ascii="Times New Roman"/>
          <w:b w:val="false"/>
          <w:i w:val="false"/>
          <w:color w:val="000000"/>
          <w:sz w:val="28"/>
        </w:rPr>
        <w:t>
      ________________________</w:t>
      </w:r>
    </w:p>
    <w:bookmarkEnd w:id="1481"/>
    <w:bookmarkStart w:name="z1400" w:id="1482"/>
    <w:p>
      <w:pPr>
        <w:spacing w:after="0"/>
        <w:ind w:left="0"/>
        <w:jc w:val="both"/>
      </w:pPr>
      <w:r>
        <w:rPr>
          <w:rFonts w:ascii="Times New Roman"/>
          <w:b w:val="false"/>
          <w:i w:val="false"/>
          <w:color w:val="000000"/>
          <w:sz w:val="28"/>
        </w:rPr>
        <w:t>
       (должность)</w:t>
      </w:r>
    </w:p>
    <w:bookmarkEnd w:id="1482"/>
    <w:bookmarkStart w:name="z1401" w:id="1483"/>
    <w:p>
      <w:pPr>
        <w:spacing w:after="0"/>
        <w:ind w:left="0"/>
        <w:jc w:val="both"/>
      </w:pPr>
      <w:r>
        <w:rPr>
          <w:rFonts w:ascii="Times New Roman"/>
          <w:b w:val="false"/>
          <w:i w:val="false"/>
          <w:color w:val="000000"/>
          <w:sz w:val="28"/>
        </w:rPr>
        <w:t>
       М.П.</w:t>
      </w:r>
    </w:p>
    <w:bookmarkEnd w:id="1483"/>
    <w:bookmarkStart w:name="z1402" w:id="1484"/>
    <w:p>
      <w:pPr>
        <w:spacing w:after="0"/>
        <w:ind w:left="0"/>
        <w:jc w:val="left"/>
      </w:pPr>
      <w:r>
        <w:rPr>
          <w:rFonts w:ascii="Times New Roman"/>
          <w:b/>
          <w:i w:val="false"/>
          <w:color w:val="000000"/>
        </w:rPr>
        <w:t xml:space="preserve">  1. Общие пункты заявления</w:t>
      </w:r>
    </w:p>
    <w:bookmarkEnd w:id="1484"/>
    <w:bookmarkStart w:name="z1403" w:id="1485"/>
    <w:p>
      <w:pPr>
        <w:spacing w:after="0"/>
        <w:ind w:left="0"/>
        <w:jc w:val="both"/>
      </w:pPr>
      <w:r>
        <w:rPr>
          <w:rFonts w:ascii="Times New Roman"/>
          <w:b w:val="false"/>
          <w:i w:val="false"/>
          <w:color w:val="000000"/>
          <w:sz w:val="28"/>
        </w:rPr>
        <w:t>
      1.1. Это заявление подается в соответствии с нижеследующим.</w:t>
      </w:r>
    </w:p>
    <w:bookmarkEnd w:id="1485"/>
    <w:bookmarkStart w:name="z1404" w:id="1486"/>
    <w:p>
      <w:pPr>
        <w:spacing w:after="0"/>
        <w:ind w:left="0"/>
        <w:jc w:val="both"/>
      </w:pPr>
      <w:r>
        <w:rPr>
          <w:rFonts w:ascii="Times New Roman"/>
          <w:b w:val="false"/>
          <w:i w:val="false"/>
          <w:color w:val="000000"/>
          <w:sz w:val="28"/>
        </w:rPr>
        <w:t xml:space="preserve">
      1.1.1. Заявление подано по процедуре взаимного признания: </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487"/>
          <w:p>
            <w:pPr>
              <w:spacing w:after="20"/>
              <w:ind w:left="20"/>
              <w:jc w:val="both"/>
            </w:pPr>
            <w:r>
              <w:rPr>
                <w:rFonts w:ascii="Times New Roman"/>
                <w:b w:val="false"/>
                <w:i w:val="false"/>
                <w:color w:val="000000"/>
                <w:sz w:val="20"/>
              </w:rPr>
              <w:t xml:space="preserve">
референтное государство </w:t>
            </w:r>
          </w:p>
          <w:bookmarkEnd w:id="1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488"/>
          <w:p>
            <w:pPr>
              <w:spacing w:after="20"/>
              <w:ind w:left="20"/>
              <w:jc w:val="both"/>
            </w:pPr>
            <w:r>
              <w:rPr>
                <w:rFonts w:ascii="Times New Roman"/>
                <w:b w:val="false"/>
                <w:i w:val="false"/>
                <w:color w:val="000000"/>
                <w:sz w:val="20"/>
              </w:rPr>
              <w:t xml:space="preserve">
торговое наименование в референтном государстве </w:t>
            </w:r>
          </w:p>
          <w:bookmarkEnd w:id="1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489"/>
          <w:p>
            <w:pPr>
              <w:spacing w:after="20"/>
              <w:ind w:left="20"/>
              <w:jc w:val="both"/>
            </w:pPr>
            <w:r>
              <w:rPr>
                <w:rFonts w:ascii="Times New Roman"/>
                <w:b w:val="false"/>
                <w:i w:val="false"/>
                <w:color w:val="000000"/>
                <w:sz w:val="20"/>
              </w:rPr>
              <w:t xml:space="preserve">
дата регистрации </w:t>
            </w:r>
          </w:p>
          <w:bookmarkEnd w:id="1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490"/>
          <w:p>
            <w:pPr>
              <w:spacing w:after="20"/>
              <w:ind w:left="20"/>
              <w:jc w:val="both"/>
            </w:pPr>
            <w:r>
              <w:rPr>
                <w:rFonts w:ascii="Times New Roman"/>
                <w:b w:val="false"/>
                <w:i w:val="false"/>
                <w:color w:val="000000"/>
                <w:sz w:val="20"/>
              </w:rPr>
              <w:t xml:space="preserve">
номер регистрационного удостоверения </w:t>
            </w:r>
          </w:p>
          <w:bookmarkEnd w:id="1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491"/>
          <w:p>
            <w:pPr>
              <w:spacing w:after="20"/>
              <w:ind w:left="20"/>
              <w:jc w:val="both"/>
            </w:pPr>
            <w:r>
              <w:rPr>
                <w:rFonts w:ascii="Times New Roman"/>
                <w:b w:val="false"/>
                <w:i w:val="false"/>
                <w:color w:val="000000"/>
                <w:sz w:val="20"/>
              </w:rPr>
              <w:t xml:space="preserve">
копия регистрационного удостоверения </w:t>
            </w:r>
          </w:p>
          <w:bookmarkEnd w:id="1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492"/>
          <w:p>
            <w:pPr>
              <w:spacing w:after="20"/>
              <w:ind w:left="20"/>
              <w:jc w:val="both"/>
            </w:pPr>
            <w:r>
              <w:rPr>
                <w:rFonts w:ascii="Times New Roman"/>
                <w:b w:val="false"/>
                <w:i w:val="false"/>
                <w:color w:val="000000"/>
                <w:sz w:val="20"/>
              </w:rPr>
              <w:t xml:space="preserve">
идентификационный номер заявления на регистрацию </w:t>
            </w:r>
          </w:p>
          <w:bookmarkEnd w:id="1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493"/>
          <w:p>
            <w:pPr>
              <w:spacing w:after="20"/>
              <w:ind w:left="20"/>
              <w:jc w:val="both"/>
            </w:pPr>
            <w:r>
              <w:rPr>
                <w:rFonts w:ascii="Times New Roman"/>
                <w:b w:val="false"/>
                <w:i w:val="false"/>
                <w:color w:val="000000"/>
                <w:sz w:val="20"/>
              </w:rPr>
              <w:t xml:space="preserve">
государства признания, в которых данный лекарственный препарат уже зарегистрирован (при наличии) </w:t>
            </w:r>
          </w:p>
          <w:bookmarkEnd w:id="1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494"/>
          <w:p>
            <w:pPr>
              <w:spacing w:after="20"/>
              <w:ind w:left="20"/>
              <w:jc w:val="both"/>
            </w:pPr>
            <w:r>
              <w:rPr>
                <w:rFonts w:ascii="Times New Roman"/>
                <w:b w:val="false"/>
                <w:i w:val="false"/>
                <w:color w:val="000000"/>
                <w:sz w:val="20"/>
              </w:rPr>
              <w:t xml:space="preserve">
торговые наименования в государствах признания (в случае отличия торгового наименования от зарегистрированного в референтном государстве), где лекарственный препарат уже зарегистрирован </w:t>
            </w:r>
          </w:p>
          <w:bookmarkEnd w:id="1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495"/>
          <w:p>
            <w:pPr>
              <w:spacing w:after="20"/>
              <w:ind w:left="20"/>
              <w:jc w:val="both"/>
            </w:pPr>
            <w:r>
              <w:rPr>
                <w:rFonts w:ascii="Times New Roman"/>
                <w:b w:val="false"/>
                <w:i w:val="false"/>
                <w:color w:val="000000"/>
                <w:sz w:val="20"/>
              </w:rPr>
              <w:t xml:space="preserve">
дата регистрации в государствах признания, если лекарственный препарат зарегистрирован </w:t>
            </w:r>
          </w:p>
          <w:bookmarkEnd w:id="1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496"/>
          <w:p>
            <w:pPr>
              <w:spacing w:after="20"/>
              <w:ind w:left="20"/>
              <w:jc w:val="both"/>
            </w:pPr>
            <w:r>
              <w:rPr>
                <w:rFonts w:ascii="Times New Roman"/>
                <w:b w:val="false"/>
                <w:i w:val="false"/>
                <w:color w:val="000000"/>
                <w:sz w:val="20"/>
              </w:rPr>
              <w:t xml:space="preserve">
номер регистрационного удостоверения в государствах признания </w:t>
            </w:r>
          </w:p>
          <w:bookmarkEnd w:id="1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497"/>
          <w:p>
            <w:pPr>
              <w:spacing w:after="20"/>
              <w:ind w:left="20"/>
              <w:jc w:val="both"/>
            </w:pPr>
            <w:r>
              <w:rPr>
                <w:rFonts w:ascii="Times New Roman"/>
                <w:b w:val="false"/>
                <w:i w:val="false"/>
                <w:color w:val="000000"/>
                <w:sz w:val="20"/>
              </w:rPr>
              <w:t xml:space="preserve">
иные государства - члены Евразийского экономического союза для подачи заявления (при наличии) </w:t>
            </w:r>
          </w:p>
          <w:bookmarkEnd w:id="1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498"/>
          <w:p>
            <w:pPr>
              <w:spacing w:after="20"/>
              <w:ind w:left="20"/>
              <w:jc w:val="both"/>
            </w:pPr>
            <w:r>
              <w:rPr>
                <w:rFonts w:ascii="Times New Roman"/>
                <w:b w:val="false"/>
                <w:i w:val="false"/>
                <w:color w:val="000000"/>
                <w:sz w:val="20"/>
              </w:rPr>
              <w:t xml:space="preserve">
торговые наименования в государствах признания (в случае отличия торгового наименования от наименования, зарегистрированного в референтном государстве и (или) государствах признания (если применимо)) </w:t>
            </w:r>
          </w:p>
          <w:bookmarkEnd w:id="1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7" w:id="1499"/>
    <w:p>
      <w:pPr>
        <w:spacing w:after="0"/>
        <w:ind w:left="0"/>
        <w:jc w:val="both"/>
      </w:pPr>
      <w:r>
        <w:rPr>
          <w:rFonts w:ascii="Times New Roman"/>
          <w:b w:val="false"/>
          <w:i w:val="false"/>
          <w:color w:val="000000"/>
          <w:sz w:val="28"/>
        </w:rPr>
        <w:t xml:space="preserve">
      1.1.2. Заявление подано по децентрализованной процедуре: </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500"/>
          <w:p>
            <w:pPr>
              <w:spacing w:after="20"/>
              <w:ind w:left="20"/>
              <w:jc w:val="both"/>
            </w:pPr>
            <w:r>
              <w:rPr>
                <w:rFonts w:ascii="Times New Roman"/>
                <w:b w:val="false"/>
                <w:i w:val="false"/>
                <w:color w:val="000000"/>
                <w:sz w:val="20"/>
              </w:rPr>
              <w:t xml:space="preserve">
идентификационный номер заявления </w:t>
            </w:r>
          </w:p>
          <w:bookmarkEnd w:id="1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501"/>
          <w:p>
            <w:pPr>
              <w:spacing w:after="20"/>
              <w:ind w:left="20"/>
              <w:jc w:val="both"/>
            </w:pPr>
            <w:r>
              <w:rPr>
                <w:rFonts w:ascii="Times New Roman"/>
                <w:b w:val="false"/>
                <w:i w:val="false"/>
                <w:color w:val="000000"/>
                <w:sz w:val="20"/>
              </w:rPr>
              <w:t xml:space="preserve">
референтное государство </w:t>
            </w:r>
          </w:p>
          <w:bookmarkEnd w:id="1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502"/>
          <w:p>
            <w:pPr>
              <w:spacing w:after="20"/>
              <w:ind w:left="20"/>
              <w:jc w:val="both"/>
            </w:pPr>
            <w:r>
              <w:rPr>
                <w:rFonts w:ascii="Times New Roman"/>
                <w:b w:val="false"/>
                <w:i w:val="false"/>
                <w:color w:val="000000"/>
                <w:sz w:val="20"/>
              </w:rPr>
              <w:t xml:space="preserve">
торговое наименование в референтном государстве </w:t>
            </w:r>
          </w:p>
          <w:bookmarkEnd w:id="1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503"/>
          <w:p>
            <w:pPr>
              <w:spacing w:after="20"/>
              <w:ind w:left="20"/>
              <w:jc w:val="both"/>
            </w:pPr>
            <w:r>
              <w:rPr>
                <w:rFonts w:ascii="Times New Roman"/>
                <w:b w:val="false"/>
                <w:i w:val="false"/>
                <w:color w:val="000000"/>
                <w:sz w:val="20"/>
              </w:rPr>
              <w:t xml:space="preserve">
государства признания для подачи заявления </w:t>
            </w:r>
          </w:p>
          <w:bookmarkEnd w:id="1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504"/>
          <w:p>
            <w:pPr>
              <w:spacing w:after="20"/>
              <w:ind w:left="20"/>
              <w:jc w:val="both"/>
            </w:pPr>
            <w:r>
              <w:rPr>
                <w:rFonts w:ascii="Times New Roman"/>
                <w:b w:val="false"/>
                <w:i w:val="false"/>
                <w:color w:val="000000"/>
                <w:sz w:val="20"/>
              </w:rPr>
              <w:t xml:space="preserve">
торговые наименования в государствах признания (в случае отличия торгового наименования от наименования в референтном государстве и (или) государствах признания (если применимо)) </w:t>
            </w:r>
          </w:p>
          <w:bookmarkEnd w:id="1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3" w:id="1505"/>
    <w:p>
      <w:pPr>
        <w:spacing w:after="0"/>
        <w:ind w:left="0"/>
        <w:jc w:val="both"/>
      </w:pPr>
      <w:r>
        <w:rPr>
          <w:rFonts w:ascii="Times New Roman"/>
          <w:b w:val="false"/>
          <w:i w:val="false"/>
          <w:color w:val="000000"/>
          <w:sz w:val="28"/>
        </w:rPr>
        <w:t xml:space="preserve">
      1.1.3. Заявление подано с целью приведения регистрационного досье в соответствие с требованиями Евразийского экономического союза по процедуре взаимного признания: </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506"/>
          <w:p>
            <w:pPr>
              <w:spacing w:after="20"/>
              <w:ind w:left="20"/>
              <w:jc w:val="both"/>
            </w:pPr>
            <w:r>
              <w:rPr>
                <w:rFonts w:ascii="Times New Roman"/>
                <w:b w:val="false"/>
                <w:i w:val="false"/>
                <w:color w:val="000000"/>
                <w:sz w:val="20"/>
              </w:rPr>
              <w:t xml:space="preserve">
референтное государство </w:t>
            </w:r>
          </w:p>
          <w:bookmarkEnd w:id="1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507"/>
          <w:p>
            <w:pPr>
              <w:spacing w:after="20"/>
              <w:ind w:left="20"/>
              <w:jc w:val="both"/>
            </w:pPr>
            <w:r>
              <w:rPr>
                <w:rFonts w:ascii="Times New Roman"/>
                <w:b w:val="false"/>
                <w:i w:val="false"/>
                <w:color w:val="000000"/>
                <w:sz w:val="20"/>
              </w:rPr>
              <w:t xml:space="preserve">
торговое наименование в референтном государстве </w:t>
            </w:r>
          </w:p>
          <w:bookmarkEnd w:id="1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508"/>
          <w:p>
            <w:pPr>
              <w:spacing w:after="20"/>
              <w:ind w:left="20"/>
              <w:jc w:val="both"/>
            </w:pPr>
            <w:r>
              <w:rPr>
                <w:rFonts w:ascii="Times New Roman"/>
                <w:b w:val="false"/>
                <w:i w:val="false"/>
                <w:color w:val="000000"/>
                <w:sz w:val="20"/>
              </w:rPr>
              <w:t xml:space="preserve">
дата регистрации </w:t>
            </w:r>
          </w:p>
          <w:bookmarkEnd w:id="1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509"/>
          <w:p>
            <w:pPr>
              <w:spacing w:after="20"/>
              <w:ind w:left="20"/>
              <w:jc w:val="both"/>
            </w:pPr>
            <w:r>
              <w:rPr>
                <w:rFonts w:ascii="Times New Roman"/>
                <w:b w:val="false"/>
                <w:i w:val="false"/>
                <w:color w:val="000000"/>
                <w:sz w:val="20"/>
              </w:rPr>
              <w:t xml:space="preserve">
номер регистрационного удостоверения </w:t>
            </w:r>
          </w:p>
          <w:bookmarkEnd w:id="1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510"/>
          <w:p>
            <w:pPr>
              <w:spacing w:after="20"/>
              <w:ind w:left="20"/>
              <w:jc w:val="both"/>
            </w:pPr>
            <w:r>
              <w:rPr>
                <w:rFonts w:ascii="Times New Roman"/>
                <w:b w:val="false"/>
                <w:i w:val="false"/>
                <w:color w:val="000000"/>
                <w:sz w:val="20"/>
              </w:rPr>
              <w:t xml:space="preserve">
копия регистрационного удостоверения </w:t>
            </w:r>
          </w:p>
          <w:bookmarkEnd w:id="1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511"/>
          <w:p>
            <w:pPr>
              <w:spacing w:after="20"/>
              <w:ind w:left="20"/>
              <w:jc w:val="both"/>
            </w:pPr>
            <w:r>
              <w:rPr>
                <w:rFonts w:ascii="Times New Roman"/>
                <w:b w:val="false"/>
                <w:i w:val="false"/>
                <w:color w:val="000000"/>
                <w:sz w:val="20"/>
              </w:rPr>
              <w:t>
идентификационный номер заявления на приведение регистрационного досье лекарственного препарата в соответствие с требованиями Евразийского экономического союза</w:t>
            </w:r>
          </w:p>
          <w:bookmarkEnd w:id="1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512"/>
          <w:p>
            <w:pPr>
              <w:spacing w:after="20"/>
              <w:ind w:left="20"/>
              <w:jc w:val="both"/>
            </w:pPr>
            <w:r>
              <w:rPr>
                <w:rFonts w:ascii="Times New Roman"/>
                <w:b w:val="false"/>
                <w:i w:val="false"/>
                <w:color w:val="000000"/>
                <w:sz w:val="20"/>
              </w:rPr>
              <w:t xml:space="preserve">
государства - члены Евразийского экономического союза, в которых лекарственный препарат уже зарегистрирован (при наличии) </w:t>
            </w:r>
          </w:p>
          <w:bookmarkEnd w:id="1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513"/>
          <w:p>
            <w:pPr>
              <w:spacing w:after="20"/>
              <w:ind w:left="20"/>
              <w:jc w:val="both"/>
            </w:pPr>
            <w:r>
              <w:rPr>
                <w:rFonts w:ascii="Times New Roman"/>
                <w:b w:val="false"/>
                <w:i w:val="false"/>
                <w:color w:val="000000"/>
                <w:sz w:val="20"/>
              </w:rPr>
              <w:t xml:space="preserve">
торговые наименования в государствах признания, где лекарственный препарат уже зарегистрирован (в случае отличия торгового наименования от наименования, зарегистрированного в референтном государстве) </w:t>
            </w:r>
          </w:p>
          <w:bookmarkEnd w:id="1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514"/>
          <w:p>
            <w:pPr>
              <w:spacing w:after="20"/>
              <w:ind w:left="20"/>
              <w:jc w:val="both"/>
            </w:pPr>
            <w:r>
              <w:rPr>
                <w:rFonts w:ascii="Times New Roman"/>
                <w:b w:val="false"/>
                <w:i w:val="false"/>
                <w:color w:val="000000"/>
                <w:sz w:val="20"/>
              </w:rPr>
              <w:t xml:space="preserve">
дата регистрации в государствах признания, если лекарственный препарат зарегистрирован </w:t>
            </w:r>
          </w:p>
          <w:bookmarkEnd w:id="1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515"/>
          <w:p>
            <w:pPr>
              <w:spacing w:after="20"/>
              <w:ind w:left="20"/>
              <w:jc w:val="both"/>
            </w:pPr>
            <w:r>
              <w:rPr>
                <w:rFonts w:ascii="Times New Roman"/>
                <w:b w:val="false"/>
                <w:i w:val="false"/>
                <w:color w:val="000000"/>
                <w:sz w:val="20"/>
              </w:rPr>
              <w:t xml:space="preserve">
номер регистрационного удостоверения в государствах признания </w:t>
            </w:r>
          </w:p>
          <w:bookmarkEnd w:id="1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государства – члены Евразийского экономического союза для подачи заявления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4" w:id="1516"/>
    <w:p>
      <w:pPr>
        <w:spacing w:after="0"/>
        <w:ind w:left="0"/>
        <w:jc w:val="both"/>
      </w:pPr>
      <w:r>
        <w:rPr>
          <w:rFonts w:ascii="Times New Roman"/>
          <w:b w:val="false"/>
          <w:i w:val="false"/>
          <w:color w:val="000000"/>
          <w:sz w:val="28"/>
        </w:rPr>
        <w:t xml:space="preserve">
      Примечание. Раздел должен быть заполнен для любого заявления, включая заявления, на которые есть ссылки в этом разделе. </w:t>
      </w:r>
    </w:p>
    <w:bookmarkEnd w:id="1516"/>
    <w:bookmarkStart w:name="z1435" w:id="1517"/>
    <w:p>
      <w:pPr>
        <w:spacing w:after="0"/>
        <w:ind w:left="0"/>
        <w:jc w:val="both"/>
      </w:pPr>
      <w:r>
        <w:rPr>
          <w:rFonts w:ascii="Times New Roman"/>
          <w:b w:val="false"/>
          <w:i w:val="false"/>
          <w:color w:val="000000"/>
          <w:sz w:val="28"/>
        </w:rPr>
        <w:t>
      В случае представления заявления на соответствующий тип лекарственного препарата, оставшиеся разделы заявления, касающиеся других лекарственных препаратов, не заполняются.</w:t>
      </w:r>
    </w:p>
    <w:bookmarkEnd w:id="1517"/>
    <w:bookmarkStart w:name="z1436" w:id="1518"/>
    <w:p>
      <w:pPr>
        <w:spacing w:after="0"/>
        <w:ind w:left="0"/>
        <w:jc w:val="both"/>
      </w:pPr>
      <w:r>
        <w:rPr>
          <w:rFonts w:ascii="Times New Roman"/>
          <w:b w:val="false"/>
          <w:i w:val="false"/>
          <w:color w:val="000000"/>
          <w:sz w:val="28"/>
        </w:rPr>
        <w:t xml:space="preserve">
      </w:t>
      </w:r>
    </w:p>
    <w:bookmarkEnd w:id="1518"/>
    <w:p>
      <w:pPr>
        <w:spacing w:after="0"/>
        <w:ind w:left="0"/>
        <w:jc w:val="both"/>
      </w:pPr>
      <w:r>
        <w:t>[MISSING IMAGE: ,  ]</w:t>
      </w:r>
    </w:p>
    <w:p>
      <w:pPr>
        <w:spacing w:after="0"/>
        <w:ind w:left="0"/>
        <w:jc w:val="left"/>
      </w:pPr>
      <w:r>
        <w:rPr>
          <w:rFonts w:ascii="Times New Roman"/>
          <w:b w:val="false"/>
          <w:i w:val="false"/>
          <w:color w:val="000000"/>
          <w:sz w:val="28"/>
        </w:rPr>
        <w:t>ОРИГИНАЛЬНЫЙ ЛЕКАРСТВЕННЫЙ ПРЕПАРАТ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37" w:id="1519"/>
          <w:p>
            <w:pPr>
              <w:spacing w:after="20"/>
              <w:ind w:left="20"/>
              <w:jc w:val="both"/>
            </w:pPr>
          </w:p>
          <w:bookmarkEnd w:id="1519"/>
          <w:p>
            <w:pPr>
              <w:spacing w:after="20"/>
              <w:ind w:left="20"/>
              <w:jc w:val="both"/>
            </w:pPr>
            <w:r>
              <w:t>[MISSING IMAGE: ,  ]</w:t>
            </w:r>
          </w:p>
          <w:p>
            <w:pPr>
              <w:spacing w:after="0"/>
              <w:ind w:left="0"/>
              <w:jc w:val="both"/>
            </w:pPr>
            <w:r>
              <w:rPr>
                <w:rFonts w:ascii="Times New Roman"/>
                <w:b w:val="false"/>
                <w:i w:val="false"/>
                <w:color w:val="000000"/>
                <w:sz w:val="20"/>
              </w:rPr>
              <w:t xml:space="preserve"> биологический лекарственный препарат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другой лекарственный препарат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1438" w:id="1520"/>
          <w:p>
            <w:pPr>
              <w:spacing w:after="20"/>
              <w:ind w:left="20"/>
              <w:jc w:val="both"/>
            </w:pPr>
          </w:p>
          <w:bookmarkEnd w:id="1520"/>
          <w:p>
            <w:pPr>
              <w:spacing w:after="20"/>
              <w:ind w:left="20"/>
              <w:jc w:val="both"/>
            </w:pPr>
            <w:r>
              <w:t>[MISSING IMAGE: ,  ]</w:t>
            </w:r>
          </w:p>
          <w:p>
            <w:pPr>
              <w:spacing w:after="0"/>
              <w:ind w:left="0"/>
              <w:jc w:val="both"/>
            </w:pPr>
            <w:r>
              <w:rPr>
                <w:rFonts w:ascii="Times New Roman"/>
                <w:b w:val="false"/>
                <w:i w:val="false"/>
                <w:color w:val="000000"/>
                <w:sz w:val="20"/>
              </w:rPr>
              <w:t xml:space="preserve"> новая активная фармацевтическая субстанция (далее - АФС) </w:t>
            </w:r>
          </w:p>
          <w:p>
            <w:pPr>
              <w:spacing w:after="20"/>
              <w:ind w:left="20"/>
              <w:jc w:val="both"/>
            </w:pPr>
          </w:p>
          <w:p>
            <w:pPr>
              <w:spacing w:after="20"/>
              <w:ind w:left="20"/>
              <w:jc w:val="both"/>
            </w:pPr>
          </w:p>
        </w:tc>
      </w:tr>
    </w:tbl>
    <w:bookmarkStart w:name="z1439" w:id="1521"/>
    <w:p>
      <w:pPr>
        <w:spacing w:after="0"/>
        <w:ind w:left="0"/>
        <w:jc w:val="both"/>
      </w:pPr>
      <w:r>
        <w:rPr>
          <w:rFonts w:ascii="Times New Roman"/>
          <w:b w:val="false"/>
          <w:i w:val="false"/>
          <w:color w:val="000000"/>
          <w:sz w:val="28"/>
        </w:rPr>
        <w:t xml:space="preserve">
      Примечание. Сведения об АФС в едином реестре зарегистрированных лекарственных </w:t>
      </w:r>
    </w:p>
    <w:bookmarkEnd w:id="1521"/>
    <w:bookmarkStart w:name="z1440" w:id="1522"/>
    <w:p>
      <w:pPr>
        <w:spacing w:after="0"/>
        <w:ind w:left="0"/>
        <w:jc w:val="both"/>
      </w:pPr>
      <w:r>
        <w:rPr>
          <w:rFonts w:ascii="Times New Roman"/>
          <w:b w:val="false"/>
          <w:i w:val="false"/>
          <w:color w:val="000000"/>
          <w:sz w:val="28"/>
        </w:rPr>
        <w:t xml:space="preserve">
      средств Евразийского экономического союза или в соответствующих национальных реестрах </w:t>
      </w:r>
    </w:p>
    <w:bookmarkEnd w:id="1522"/>
    <w:bookmarkStart w:name="z1441" w:id="1523"/>
    <w:p>
      <w:pPr>
        <w:spacing w:after="0"/>
        <w:ind w:left="0"/>
        <w:jc w:val="both"/>
      </w:pPr>
      <w:r>
        <w:rPr>
          <w:rFonts w:ascii="Times New Roman"/>
          <w:b w:val="false"/>
          <w:i w:val="false"/>
          <w:color w:val="000000"/>
          <w:sz w:val="28"/>
        </w:rPr>
        <w:t>
      государств - членов Евразийского экономического союза отсутствуют.</w:t>
      </w:r>
    </w:p>
    <w:bookmarkEnd w:id="1523"/>
    <w:bookmarkStart w:name="z1442" w:id="1524"/>
    <w:p>
      <w:pPr>
        <w:spacing w:after="0"/>
        <w:ind w:left="0"/>
        <w:jc w:val="both"/>
      </w:pPr>
      <w:r>
        <w:rPr>
          <w:rFonts w:ascii="Times New Roman"/>
          <w:b w:val="false"/>
          <w:i w:val="false"/>
          <w:color w:val="000000"/>
          <w:sz w:val="28"/>
        </w:rPr>
        <w:t xml:space="preserve">
      </w:t>
      </w:r>
    </w:p>
    <w:bookmarkEnd w:id="1524"/>
    <w:p>
      <w:pPr>
        <w:spacing w:after="0"/>
        <w:ind w:left="0"/>
        <w:jc w:val="both"/>
      </w:pPr>
      <w:r>
        <w:t>[MISSING IMAGE: ,  ]</w:t>
      </w:r>
    </w:p>
    <w:p>
      <w:pPr>
        <w:spacing w:after="0"/>
        <w:ind w:left="0"/>
        <w:jc w:val="left"/>
      </w:pPr>
      <w:r>
        <w:rPr>
          <w:rFonts w:ascii="Times New Roman"/>
          <w:b w:val="false"/>
          <w:i w:val="false"/>
          <w:color w:val="000000"/>
          <w:sz w:val="28"/>
        </w:rPr>
        <w:t xml:space="preserve"> известное АФС</w:t>
      </w:r>
      <w:r>
        <w:br/>
      </w:r>
      <w:r>
        <w:rPr>
          <w:rFonts w:ascii="Times New Roman"/>
          <w:b w:val="false"/>
          <w:i w:val="false"/>
          <w:color w:val="000000"/>
          <w:sz w:val="28"/>
        </w:rPr>
        <w:t>
</w:t>
      </w:r>
    </w:p>
    <w:bookmarkStart w:name="z1443" w:id="1525"/>
    <w:p>
      <w:pPr>
        <w:spacing w:after="0"/>
        <w:ind w:left="0"/>
        <w:jc w:val="both"/>
      </w:pPr>
      <w:r>
        <w:rPr>
          <w:rFonts w:ascii="Times New Roman"/>
          <w:b w:val="false"/>
          <w:i w:val="false"/>
          <w:color w:val="000000"/>
          <w:sz w:val="28"/>
        </w:rPr>
        <w:t xml:space="preserve">
      Примечание. Сведения об АФС в едином реестре зарегистрированных лекарственных </w:t>
      </w:r>
    </w:p>
    <w:bookmarkEnd w:id="1525"/>
    <w:bookmarkStart w:name="z1444" w:id="1526"/>
    <w:p>
      <w:pPr>
        <w:spacing w:after="0"/>
        <w:ind w:left="0"/>
        <w:jc w:val="both"/>
      </w:pPr>
      <w:r>
        <w:rPr>
          <w:rFonts w:ascii="Times New Roman"/>
          <w:b w:val="false"/>
          <w:i w:val="false"/>
          <w:color w:val="000000"/>
          <w:sz w:val="28"/>
        </w:rPr>
        <w:t xml:space="preserve">
      средств Евразийского экономического союза или в соответствующих национальных реестрах </w:t>
      </w:r>
    </w:p>
    <w:bookmarkEnd w:id="1526"/>
    <w:bookmarkStart w:name="z1445" w:id="1527"/>
    <w:p>
      <w:pPr>
        <w:spacing w:after="0"/>
        <w:ind w:left="0"/>
        <w:jc w:val="both"/>
      </w:pPr>
      <w:r>
        <w:rPr>
          <w:rFonts w:ascii="Times New Roman"/>
          <w:b w:val="false"/>
          <w:i w:val="false"/>
          <w:color w:val="000000"/>
          <w:sz w:val="28"/>
        </w:rPr>
        <w:t>
      государств - членов Евразийского экономического союза имеются</w:t>
      </w:r>
    </w:p>
    <w:bookmarkEnd w:id="1527"/>
    <w:bookmarkStart w:name="z1446" w:id="1528"/>
    <w:p>
      <w:pPr>
        <w:spacing w:after="0"/>
        <w:ind w:left="0"/>
        <w:jc w:val="both"/>
      </w:pPr>
      <w:r>
        <w:rPr>
          <w:rFonts w:ascii="Times New Roman"/>
          <w:b w:val="false"/>
          <w:i w:val="false"/>
          <w:color w:val="000000"/>
          <w:sz w:val="28"/>
        </w:rPr>
        <w:t xml:space="preserve">
      </w:t>
      </w:r>
    </w:p>
    <w:bookmarkEnd w:id="1528"/>
    <w:p>
      <w:pPr>
        <w:spacing w:after="0"/>
        <w:ind w:left="0"/>
        <w:jc w:val="both"/>
      </w:pPr>
      <w:r>
        <w:t>[MISSING IMAGE: ,  ]</w:t>
      </w:r>
    </w:p>
    <w:p>
      <w:pPr>
        <w:spacing w:after="0"/>
        <w:ind w:left="0"/>
        <w:jc w:val="left"/>
      </w:pPr>
      <w:r>
        <w:rPr>
          <w:rFonts w:ascii="Times New Roman"/>
          <w:b w:val="false"/>
          <w:i w:val="false"/>
          <w:color w:val="000000"/>
          <w:sz w:val="28"/>
        </w:rPr>
        <w:t>ВОСПРОИЗВЕДЕННЫЙ ЛЕКАРСТВЕННЫЙ ПРЕПАРАТ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47" w:id="1529"/>
          <w:p>
            <w:pPr>
              <w:spacing w:after="20"/>
              <w:ind w:left="20"/>
              <w:jc w:val="both"/>
            </w:pPr>
          </w:p>
          <w:bookmarkEnd w:id="1529"/>
          <w:p>
            <w:pPr>
              <w:spacing w:after="20"/>
              <w:ind w:left="20"/>
              <w:jc w:val="both"/>
            </w:pPr>
            <w:r>
              <w:t>[MISSING IMAGE: ,  ]</w:t>
            </w:r>
          </w:p>
          <w:p>
            <w:pPr>
              <w:spacing w:after="0"/>
              <w:ind w:left="0"/>
              <w:jc w:val="both"/>
            </w:pPr>
            <w:r>
              <w:rPr>
                <w:rFonts w:ascii="Times New Roman"/>
                <w:b w:val="false"/>
                <w:i w:val="false"/>
                <w:color w:val="000000"/>
                <w:sz w:val="20"/>
              </w:rPr>
              <w:t xml:space="preserve"> однокомпонентный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многокомпонентный </w:t>
            </w:r>
          </w:p>
          <w:p>
            <w:pPr>
              <w:spacing w:after="20"/>
              <w:ind w:left="20"/>
              <w:jc w:val="both"/>
            </w:pPr>
          </w:p>
          <w:p>
            <w:pPr>
              <w:spacing w:after="20"/>
              <w:ind w:left="20"/>
              <w:jc w:val="both"/>
            </w:pPr>
          </w:p>
        </w:tc>
      </w:tr>
    </w:tbl>
    <w:bookmarkStart w:name="z1448" w:id="1530"/>
    <w:p>
      <w:pPr>
        <w:spacing w:after="0"/>
        <w:ind w:left="0"/>
        <w:jc w:val="both"/>
      </w:pPr>
      <w:r>
        <w:rPr>
          <w:rFonts w:ascii="Times New Roman"/>
          <w:b w:val="false"/>
          <w:i w:val="false"/>
          <w:color w:val="000000"/>
          <w:sz w:val="28"/>
        </w:rPr>
        <w:t xml:space="preserve">
       Оригинальный лекарственный препарат: </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531"/>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532"/>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1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1" w:id="1533"/>
    <w:p>
      <w:pPr>
        <w:spacing w:after="0"/>
        <w:ind w:left="0"/>
        <w:jc w:val="both"/>
      </w:pPr>
      <w:r>
        <w:rPr>
          <w:rFonts w:ascii="Times New Roman"/>
          <w:b w:val="false"/>
          <w:i w:val="false"/>
          <w:color w:val="000000"/>
          <w:sz w:val="28"/>
        </w:rPr>
        <w:t>
       Референтный лекарственный препарат, который использовался в исследованиях эквивалентности (если таковые проводились):</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534"/>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535"/>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референтный лекарственный препарат </w:t>
            </w:r>
          </w:p>
          <w:bookmarkEnd w:id="1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536"/>
          <w:p>
            <w:pPr>
              <w:spacing w:after="20"/>
              <w:ind w:left="20"/>
              <w:jc w:val="both"/>
            </w:pPr>
            <w:r>
              <w:rPr>
                <w:rFonts w:ascii="Times New Roman"/>
                <w:b w:val="false"/>
                <w:i w:val="false"/>
                <w:color w:val="000000"/>
                <w:sz w:val="20"/>
              </w:rPr>
              <w:t xml:space="preserve">
привести обоснования использования референтного препарата при его отличии от оригинального препарата </w:t>
            </w:r>
          </w:p>
          <w:bookmarkEnd w:id="1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537"/>
          <w:p>
            <w:pPr>
              <w:spacing w:after="20"/>
              <w:ind w:left="20"/>
              <w:jc w:val="both"/>
            </w:pPr>
            <w:r>
              <w:rPr>
                <w:rFonts w:ascii="Times New Roman"/>
                <w:b w:val="false"/>
                <w:i w:val="false"/>
                <w:color w:val="000000"/>
                <w:sz w:val="20"/>
              </w:rPr>
              <w:t xml:space="preserve">
наличие рекомендаций Экспертного комитета по лекарственным средствам по выбору референтного лекарственного препарата </w:t>
            </w:r>
          </w:p>
          <w:bookmarkEnd w:id="1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6" w:id="1538"/>
    <w:p>
      <w:pPr>
        <w:spacing w:after="0"/>
        <w:ind w:left="0"/>
        <w:jc w:val="both"/>
      </w:pPr>
      <w:r>
        <w:rPr>
          <w:rFonts w:ascii="Times New Roman"/>
          <w:b w:val="false"/>
          <w:i w:val="false"/>
          <w:color w:val="000000"/>
          <w:sz w:val="28"/>
        </w:rPr>
        <w:t>
       Примечание.</w:t>
      </w:r>
    </w:p>
    <w:bookmarkEnd w:id="1538"/>
    <w:bookmarkStart w:name="z1457" w:id="1539"/>
    <w:p>
      <w:pPr>
        <w:spacing w:after="0"/>
        <w:ind w:left="0"/>
        <w:jc w:val="both"/>
      </w:pPr>
      <w:r>
        <w:rPr>
          <w:rFonts w:ascii="Times New Roman"/>
          <w:b w:val="false"/>
          <w:i w:val="false"/>
          <w:color w:val="000000"/>
          <w:sz w:val="28"/>
        </w:rPr>
        <w:t xml:space="preserve">
      1. Раздел необходимо заполнять для каждого лекарственного препарата, который </w:t>
      </w:r>
    </w:p>
    <w:bookmarkEnd w:id="1539"/>
    <w:bookmarkStart w:name="z1458" w:id="1540"/>
    <w:p>
      <w:pPr>
        <w:spacing w:after="0"/>
        <w:ind w:left="0"/>
        <w:jc w:val="both"/>
      </w:pPr>
      <w:r>
        <w:rPr>
          <w:rFonts w:ascii="Times New Roman"/>
          <w:b w:val="false"/>
          <w:i w:val="false"/>
          <w:color w:val="000000"/>
          <w:sz w:val="28"/>
        </w:rPr>
        <w:t>
      использовался в исследованиях эквивалентности.</w:t>
      </w:r>
    </w:p>
    <w:bookmarkEnd w:id="1540"/>
    <w:bookmarkStart w:name="z1459" w:id="1541"/>
    <w:p>
      <w:pPr>
        <w:spacing w:after="0"/>
        <w:ind w:left="0"/>
        <w:jc w:val="both"/>
      </w:pPr>
      <w:r>
        <w:rPr>
          <w:rFonts w:ascii="Times New Roman"/>
          <w:b w:val="false"/>
          <w:i w:val="false"/>
          <w:color w:val="000000"/>
          <w:sz w:val="28"/>
        </w:rPr>
        <w:t xml:space="preserve">
       2. При заполнении заявления в поле "оригинальный препарат" указывается информация </w:t>
      </w:r>
    </w:p>
    <w:bookmarkEnd w:id="1541"/>
    <w:bookmarkStart w:name="z1460" w:id="1542"/>
    <w:p>
      <w:pPr>
        <w:spacing w:after="0"/>
        <w:ind w:left="0"/>
        <w:jc w:val="both"/>
      </w:pPr>
      <w:r>
        <w:rPr>
          <w:rFonts w:ascii="Times New Roman"/>
          <w:b w:val="false"/>
          <w:i w:val="false"/>
          <w:color w:val="000000"/>
          <w:sz w:val="28"/>
        </w:rPr>
        <w:t xml:space="preserve">
      об оригинальном препарате, воспроизведенной копией которого является лекарственный </w:t>
      </w:r>
    </w:p>
    <w:bookmarkEnd w:id="1542"/>
    <w:bookmarkStart w:name="z1461" w:id="1543"/>
    <w:p>
      <w:pPr>
        <w:spacing w:after="0"/>
        <w:ind w:left="0"/>
        <w:jc w:val="both"/>
      </w:pPr>
      <w:r>
        <w:rPr>
          <w:rFonts w:ascii="Times New Roman"/>
          <w:b w:val="false"/>
          <w:i w:val="false"/>
          <w:color w:val="000000"/>
          <w:sz w:val="28"/>
        </w:rPr>
        <w:t xml:space="preserve">
      препарат. В поле "референтный препарат" указывается информация о препарате, который </w:t>
      </w:r>
    </w:p>
    <w:bookmarkEnd w:id="1543"/>
    <w:bookmarkStart w:name="z1462" w:id="1544"/>
    <w:p>
      <w:pPr>
        <w:spacing w:after="0"/>
        <w:ind w:left="0"/>
        <w:jc w:val="both"/>
      </w:pPr>
      <w:r>
        <w:rPr>
          <w:rFonts w:ascii="Times New Roman"/>
          <w:b w:val="false"/>
          <w:i w:val="false"/>
          <w:color w:val="000000"/>
          <w:sz w:val="28"/>
        </w:rPr>
        <w:t xml:space="preserve">
      использовался для подтверждения эквивалентности. В случае совпадения информации о </w:t>
      </w:r>
    </w:p>
    <w:bookmarkEnd w:id="1544"/>
    <w:bookmarkStart w:name="z1463" w:id="1545"/>
    <w:p>
      <w:pPr>
        <w:spacing w:after="0"/>
        <w:ind w:left="0"/>
        <w:jc w:val="both"/>
      </w:pPr>
      <w:r>
        <w:rPr>
          <w:rFonts w:ascii="Times New Roman"/>
          <w:b w:val="false"/>
          <w:i w:val="false"/>
          <w:color w:val="000000"/>
          <w:sz w:val="28"/>
        </w:rPr>
        <w:t>
      референтном и оригинальном препарате соответствующая информация дублируется.</w:t>
      </w:r>
    </w:p>
    <w:bookmarkEnd w:id="1545"/>
    <w:bookmarkStart w:name="z1464" w:id="1546"/>
    <w:p>
      <w:pPr>
        <w:spacing w:after="0"/>
        <w:ind w:left="0"/>
        <w:jc w:val="both"/>
      </w:pPr>
      <w:r>
        <w:rPr>
          <w:rFonts w:ascii="Times New Roman"/>
          <w:b w:val="false"/>
          <w:i w:val="false"/>
          <w:color w:val="000000"/>
          <w:sz w:val="28"/>
        </w:rPr>
        <w:t xml:space="preserve">
      </w:t>
      </w:r>
    </w:p>
    <w:bookmarkEnd w:id="1546"/>
    <w:p>
      <w:pPr>
        <w:spacing w:after="0"/>
        <w:ind w:left="0"/>
        <w:jc w:val="both"/>
      </w:pPr>
      <w:r>
        <w:t>[MISSING IMAGE: ,  ]</w:t>
      </w:r>
    </w:p>
    <w:p>
      <w:pPr>
        <w:spacing w:after="0"/>
        <w:ind w:left="0"/>
        <w:jc w:val="left"/>
      </w:pPr>
      <w:r>
        <w:rPr>
          <w:rFonts w:ascii="Times New Roman"/>
          <w:b w:val="false"/>
          <w:i w:val="false"/>
          <w:color w:val="000000"/>
          <w:sz w:val="28"/>
        </w:rPr>
        <w:t xml:space="preserve"> БИОПОДОБНЫЙ ЛЕКАРСТВЕННЫЙ ПРЕПАРАТ (БИОАНАЛОГ)</w:t>
      </w:r>
      <w:r>
        <w:br/>
      </w:r>
      <w:r>
        <w:rPr>
          <w:rFonts w:ascii="Times New Roman"/>
          <w:b w:val="false"/>
          <w:i w:val="false"/>
          <w:color w:val="000000"/>
          <w:sz w:val="28"/>
        </w:rPr>
        <w:t>
</w:t>
      </w:r>
    </w:p>
    <w:bookmarkStart w:name="z1465" w:id="1547"/>
    <w:p>
      <w:pPr>
        <w:spacing w:after="0"/>
        <w:ind w:left="0"/>
        <w:jc w:val="both"/>
      </w:pPr>
      <w:r>
        <w:rPr>
          <w:rFonts w:ascii="Times New Roman"/>
          <w:b w:val="false"/>
          <w:i w:val="false"/>
          <w:color w:val="000000"/>
          <w:sz w:val="28"/>
        </w:rPr>
        <w:t>
      Оригинальный биологический лекарственный препарат:</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548"/>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549"/>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1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1550"/>
    <w:p>
      <w:pPr>
        <w:spacing w:after="0"/>
        <w:ind w:left="0"/>
        <w:jc w:val="both"/>
      </w:pPr>
      <w:r>
        <w:rPr>
          <w:rFonts w:ascii="Times New Roman"/>
          <w:b w:val="false"/>
          <w:i w:val="false"/>
          <w:color w:val="000000"/>
          <w:sz w:val="28"/>
        </w:rPr>
        <w:t>
       Референтный биологический лекарственный препарат:</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551"/>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552"/>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государства - члены Евразийского экономического союза, где зарегистрирован референтный лекарственный препарат </w:t>
            </w:r>
          </w:p>
          <w:bookmarkEnd w:id="1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553"/>
          <w:p>
            <w:pPr>
              <w:spacing w:after="20"/>
              <w:ind w:left="20"/>
              <w:jc w:val="both"/>
            </w:pPr>
            <w:r>
              <w:rPr>
                <w:rFonts w:ascii="Times New Roman"/>
                <w:b w:val="false"/>
                <w:i w:val="false"/>
                <w:color w:val="000000"/>
                <w:sz w:val="20"/>
              </w:rPr>
              <w:t xml:space="preserve">
наличие рекомендаций Экспертного комитета по лекарственным средствам по выбору референтного лекарственного препарата </w:t>
            </w:r>
          </w:p>
          <w:bookmarkEnd w:id="1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554"/>
          <w:p>
            <w:pPr>
              <w:spacing w:after="20"/>
              <w:ind w:left="20"/>
              <w:jc w:val="both"/>
            </w:pPr>
            <w:r>
              <w:rPr>
                <w:rFonts w:ascii="Times New Roman"/>
                <w:b w:val="false"/>
                <w:i w:val="false"/>
                <w:color w:val="000000"/>
                <w:sz w:val="20"/>
              </w:rPr>
              <w:t xml:space="preserve">
различия по сравнению с референтным биологическим лекарственным препаратом (если имеются): </w:t>
            </w:r>
          </w:p>
          <w:bookmarkEnd w:id="1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различия в исходных материалах</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различия в производственном процессе</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другие показания к применению</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различия в лекарственной форме</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другие дозировки (количественные изменения АФС)</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другой способ введения</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другие отличия: _______</w:t>
            </w:r>
          </w:p>
          <w:p>
            <w:pPr>
              <w:spacing w:after="20"/>
              <w:ind w:left="20"/>
              <w:jc w:val="both"/>
            </w:pPr>
          </w:p>
          <w:p>
            <w:pPr>
              <w:spacing w:after="20"/>
              <w:ind w:left="20"/>
              <w:jc w:val="both"/>
            </w:pPr>
            <w:r>
              <w:rPr>
                <w:rFonts w:ascii="Times New Roman"/>
                <w:b w:val="false"/>
                <w:i w:val="false"/>
                <w:color w:val="000000"/>
                <w:sz w:val="20"/>
              </w:rPr>
              <w:t xml:space="preserve">_________________________ </w:t>
            </w:r>
          </w:p>
          <w:p>
            <w:pPr>
              <w:spacing w:after="20"/>
              <w:ind w:left="20"/>
              <w:jc w:val="both"/>
            </w:pPr>
          </w:p>
        </w:tc>
      </w:tr>
    </w:tbl>
    <w:bookmarkStart w:name="z1473" w:id="1555"/>
    <w:p>
      <w:pPr>
        <w:spacing w:after="0"/>
        <w:ind w:left="0"/>
        <w:jc w:val="both"/>
      </w:pPr>
      <w:r>
        <w:rPr>
          <w:rFonts w:ascii="Times New Roman"/>
          <w:b w:val="false"/>
          <w:i w:val="false"/>
          <w:color w:val="000000"/>
          <w:sz w:val="28"/>
        </w:rPr>
        <w:t xml:space="preserve">
      Примечание. При заполнении заявления в поле "оригинальный биологический </w:t>
      </w:r>
    </w:p>
    <w:bookmarkEnd w:id="1555"/>
    <w:bookmarkStart w:name="z1474" w:id="1556"/>
    <w:p>
      <w:pPr>
        <w:spacing w:after="0"/>
        <w:ind w:left="0"/>
        <w:jc w:val="both"/>
      </w:pPr>
      <w:r>
        <w:rPr>
          <w:rFonts w:ascii="Times New Roman"/>
          <w:b w:val="false"/>
          <w:i w:val="false"/>
          <w:color w:val="000000"/>
          <w:sz w:val="28"/>
        </w:rPr>
        <w:t xml:space="preserve">
      лекарственный препарат" указывается информация об оригинальном препарате, биоаналогом </w:t>
      </w:r>
    </w:p>
    <w:bookmarkEnd w:id="1556"/>
    <w:bookmarkStart w:name="z1475" w:id="1557"/>
    <w:p>
      <w:pPr>
        <w:spacing w:after="0"/>
        <w:ind w:left="0"/>
        <w:jc w:val="both"/>
      </w:pPr>
      <w:r>
        <w:rPr>
          <w:rFonts w:ascii="Times New Roman"/>
          <w:b w:val="false"/>
          <w:i w:val="false"/>
          <w:color w:val="000000"/>
          <w:sz w:val="28"/>
        </w:rPr>
        <w:t xml:space="preserve">
      которого является подаваемый на регистрацию лекарственный препарат. В поле </w:t>
      </w:r>
    </w:p>
    <w:bookmarkEnd w:id="1557"/>
    <w:bookmarkStart w:name="z1476" w:id="1558"/>
    <w:p>
      <w:pPr>
        <w:spacing w:after="0"/>
        <w:ind w:left="0"/>
        <w:jc w:val="both"/>
      </w:pPr>
      <w:r>
        <w:rPr>
          <w:rFonts w:ascii="Times New Roman"/>
          <w:b w:val="false"/>
          <w:i w:val="false"/>
          <w:color w:val="000000"/>
          <w:sz w:val="28"/>
        </w:rPr>
        <w:t xml:space="preserve">
      "референтный препарат" указывается информация о препарате (препаратах), </w:t>
      </w:r>
    </w:p>
    <w:bookmarkEnd w:id="1558"/>
    <w:bookmarkStart w:name="z1477" w:id="1559"/>
    <w:p>
      <w:pPr>
        <w:spacing w:after="0"/>
        <w:ind w:left="0"/>
        <w:jc w:val="both"/>
      </w:pPr>
      <w:r>
        <w:rPr>
          <w:rFonts w:ascii="Times New Roman"/>
          <w:b w:val="false"/>
          <w:i w:val="false"/>
          <w:color w:val="000000"/>
          <w:sz w:val="28"/>
        </w:rPr>
        <w:t xml:space="preserve">
      использованном (использованных) для подтверждения биоаналогичности. В случае </w:t>
      </w:r>
    </w:p>
    <w:bookmarkEnd w:id="1559"/>
    <w:bookmarkStart w:name="z1478" w:id="1560"/>
    <w:p>
      <w:pPr>
        <w:spacing w:after="0"/>
        <w:ind w:left="0"/>
        <w:jc w:val="both"/>
      </w:pPr>
      <w:r>
        <w:rPr>
          <w:rFonts w:ascii="Times New Roman"/>
          <w:b w:val="false"/>
          <w:i w:val="false"/>
          <w:color w:val="000000"/>
          <w:sz w:val="28"/>
        </w:rPr>
        <w:t xml:space="preserve">
      совпадения информации о референтном и оригинальном препарате соответствующая </w:t>
      </w:r>
    </w:p>
    <w:bookmarkEnd w:id="1560"/>
    <w:bookmarkStart w:name="z1479" w:id="1561"/>
    <w:p>
      <w:pPr>
        <w:spacing w:after="0"/>
        <w:ind w:left="0"/>
        <w:jc w:val="both"/>
      </w:pPr>
      <w:r>
        <w:rPr>
          <w:rFonts w:ascii="Times New Roman"/>
          <w:b w:val="false"/>
          <w:i w:val="false"/>
          <w:color w:val="000000"/>
          <w:sz w:val="28"/>
        </w:rPr>
        <w:t>
      информация дублируется.</w:t>
      </w:r>
    </w:p>
    <w:bookmarkEnd w:id="1561"/>
    <w:bookmarkStart w:name="z1480" w:id="1562"/>
    <w:p>
      <w:pPr>
        <w:spacing w:after="0"/>
        <w:ind w:left="0"/>
        <w:jc w:val="both"/>
      </w:pPr>
      <w:r>
        <w:rPr>
          <w:rFonts w:ascii="Times New Roman"/>
          <w:b w:val="false"/>
          <w:i w:val="false"/>
          <w:color w:val="000000"/>
          <w:sz w:val="28"/>
        </w:rPr>
        <w:t xml:space="preserve">
      </w:t>
      </w:r>
    </w:p>
    <w:bookmarkEnd w:id="1562"/>
    <w:p>
      <w:pPr>
        <w:spacing w:after="0"/>
        <w:ind w:left="0"/>
        <w:jc w:val="both"/>
      </w:pPr>
      <w:r>
        <w:t>[MISSING IMAGE: ,  ]</w:t>
      </w:r>
    </w:p>
    <w:p>
      <w:pPr>
        <w:spacing w:after="0"/>
        <w:ind w:left="0"/>
        <w:jc w:val="left"/>
      </w:pPr>
      <w:r>
        <w:rPr>
          <w:rFonts w:ascii="Times New Roman"/>
          <w:b w:val="false"/>
          <w:i w:val="false"/>
          <w:color w:val="000000"/>
          <w:sz w:val="28"/>
        </w:rPr>
        <w:t>ГИБРИДНЫЙ ЛЕКАРСТВЕННЫЙ ПРЕПАРАТ</w:t>
      </w:r>
      <w:r>
        <w:br/>
      </w:r>
      <w:r>
        <w:rPr>
          <w:rFonts w:ascii="Times New Roman"/>
          <w:b w:val="false"/>
          <w:i w:val="false"/>
          <w:color w:val="000000"/>
          <w:sz w:val="28"/>
        </w:rPr>
        <w:t>
</w:t>
      </w:r>
    </w:p>
    <w:bookmarkStart w:name="z1481" w:id="1563"/>
    <w:p>
      <w:pPr>
        <w:spacing w:after="0"/>
        <w:ind w:left="0"/>
        <w:jc w:val="both"/>
      </w:pPr>
      <w:r>
        <w:rPr>
          <w:rFonts w:ascii="Times New Roman"/>
          <w:b w:val="false"/>
          <w:i w:val="false"/>
          <w:color w:val="000000"/>
          <w:sz w:val="28"/>
        </w:rPr>
        <w:t xml:space="preserve">
      Оригинальный лекарственный препарат: </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564"/>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565"/>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1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566"/>
          <w:p>
            <w:pPr>
              <w:spacing w:after="20"/>
              <w:ind w:left="20"/>
              <w:jc w:val="both"/>
            </w:pPr>
            <w:r>
              <w:rPr>
                <w:rFonts w:ascii="Times New Roman"/>
                <w:b w:val="false"/>
                <w:i w:val="false"/>
                <w:color w:val="000000"/>
                <w:sz w:val="20"/>
              </w:rPr>
              <w:t xml:space="preserve">
различия по сравнению с оригинальным лекарственным препаратом: </w:t>
            </w:r>
          </w:p>
          <w:bookmarkEnd w:id="1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изменения активной фармацевтической субстанции</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другая лекарственная форма</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другие дозировки (количественные изменения АФС)</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другой способ введения</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другая фармакокинетика (включая другую биодоступность);</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другое показание к применению</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другие отличия: _______</w:t>
            </w:r>
          </w:p>
          <w:p>
            <w:pPr>
              <w:spacing w:after="20"/>
              <w:ind w:left="20"/>
              <w:jc w:val="both"/>
            </w:pPr>
          </w:p>
          <w:p>
            <w:pPr>
              <w:spacing w:after="20"/>
              <w:ind w:left="20"/>
              <w:jc w:val="both"/>
            </w:pPr>
            <w:r>
              <w:rPr>
                <w:rFonts w:ascii="Times New Roman"/>
                <w:b w:val="false"/>
                <w:i w:val="false"/>
                <w:color w:val="000000"/>
                <w:sz w:val="20"/>
              </w:rPr>
              <w:t xml:space="preserve">_________________________ </w:t>
            </w:r>
          </w:p>
          <w:p>
            <w:pPr>
              <w:spacing w:after="20"/>
              <w:ind w:left="20"/>
              <w:jc w:val="both"/>
            </w:pPr>
          </w:p>
        </w:tc>
      </w:tr>
    </w:tbl>
    <w:bookmarkStart w:name="z1485" w:id="1567"/>
    <w:p>
      <w:pPr>
        <w:spacing w:after="0"/>
        <w:ind w:left="0"/>
        <w:jc w:val="both"/>
      </w:pPr>
      <w:r>
        <w:rPr>
          <w:rFonts w:ascii="Times New Roman"/>
          <w:b w:val="false"/>
          <w:i w:val="false"/>
          <w:color w:val="000000"/>
          <w:sz w:val="28"/>
        </w:rPr>
        <w:t xml:space="preserve">
      Примечание. При заполнении заявления в данном поле указывается информация об оригинальном препарате, гибридной копией которого является лекарственный препарат. </w:t>
      </w:r>
    </w:p>
    <w:bookmarkEnd w:id="1567"/>
    <w:bookmarkStart w:name="z1486" w:id="1568"/>
    <w:p>
      <w:pPr>
        <w:spacing w:after="0"/>
        <w:ind w:left="0"/>
        <w:jc w:val="both"/>
      </w:pPr>
      <w:r>
        <w:rPr>
          <w:rFonts w:ascii="Times New Roman"/>
          <w:b w:val="false"/>
          <w:i w:val="false"/>
          <w:color w:val="000000"/>
          <w:sz w:val="28"/>
        </w:rPr>
        <w:t>
      Указанное поле заполняется вне зависимости от наличия оригинального препарата на фармацевтическом рынке.</w:t>
      </w:r>
    </w:p>
    <w:bookmarkEnd w:id="1568"/>
    <w:bookmarkStart w:name="z1487" w:id="1569"/>
    <w:p>
      <w:pPr>
        <w:spacing w:after="0"/>
        <w:ind w:left="0"/>
        <w:jc w:val="both"/>
      </w:pPr>
      <w:r>
        <w:rPr>
          <w:rFonts w:ascii="Times New Roman"/>
          <w:b w:val="false"/>
          <w:i w:val="false"/>
          <w:color w:val="000000"/>
          <w:sz w:val="28"/>
        </w:rPr>
        <w:t xml:space="preserve">
      </w:t>
      </w:r>
    </w:p>
    <w:bookmarkEnd w:id="1569"/>
    <w:p>
      <w:pPr>
        <w:spacing w:after="0"/>
        <w:ind w:left="0"/>
        <w:jc w:val="both"/>
      </w:pPr>
      <w:r>
        <w:t>[MISSING IMAGE: ,  ]</w:t>
      </w:r>
    </w:p>
    <w:p>
      <w:pPr>
        <w:spacing w:after="0"/>
        <w:ind w:left="0"/>
        <w:jc w:val="left"/>
      </w:pPr>
      <w:r>
        <w:rPr>
          <w:rFonts w:ascii="Times New Roman"/>
          <w:b w:val="false"/>
          <w:i w:val="false"/>
          <w:color w:val="000000"/>
          <w:sz w:val="28"/>
        </w:rPr>
        <w:t xml:space="preserve"> КОМБИНИРОВАННЫЙ ЛЕКАРСТВЕННЫЙ ПРЕПАРАТ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88" w:id="1570"/>
          <w:p>
            <w:pPr>
              <w:spacing w:after="20"/>
              <w:ind w:left="20"/>
              <w:jc w:val="both"/>
            </w:pPr>
          </w:p>
          <w:bookmarkEnd w:id="1570"/>
          <w:p>
            <w:pPr>
              <w:spacing w:after="20"/>
              <w:ind w:left="20"/>
              <w:jc w:val="both"/>
            </w:pPr>
            <w:r>
              <w:t>[MISSING IMAGE: ,  ]</w:t>
            </w:r>
          </w:p>
          <w:p>
            <w:pPr>
              <w:spacing w:after="0"/>
              <w:ind w:left="0"/>
              <w:jc w:val="both"/>
            </w:pPr>
            <w:r>
              <w:rPr>
                <w:rFonts w:ascii="Times New Roman"/>
                <w:b w:val="false"/>
                <w:i w:val="false"/>
                <w:color w:val="000000"/>
                <w:sz w:val="20"/>
              </w:rPr>
              <w:t xml:space="preserve"> известная комбинация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новая комбинация </w:t>
            </w:r>
          </w:p>
          <w:p>
            <w:pPr>
              <w:spacing w:after="20"/>
              <w:ind w:left="20"/>
              <w:jc w:val="both"/>
            </w:pPr>
          </w:p>
          <w:p>
            <w:pPr>
              <w:spacing w:after="20"/>
              <w:ind w:left="20"/>
              <w:jc w:val="both"/>
            </w:pPr>
          </w:p>
        </w:tc>
      </w:tr>
    </w:tbl>
    <w:bookmarkStart w:name="z1489" w:id="1571"/>
    <w:p>
      <w:pPr>
        <w:spacing w:after="0"/>
        <w:ind w:left="0"/>
        <w:jc w:val="both"/>
      </w:pPr>
      <w:r>
        <w:rPr>
          <w:rFonts w:ascii="Times New Roman"/>
          <w:b w:val="false"/>
          <w:i w:val="false"/>
          <w:color w:val="000000"/>
          <w:sz w:val="28"/>
        </w:rPr>
        <w:t>
      Оригинальный лекарственный препарат (в случае известной комбинации):</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572"/>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573"/>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1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2" w:id="1574"/>
    <w:p>
      <w:pPr>
        <w:spacing w:after="0"/>
        <w:ind w:left="0"/>
        <w:jc w:val="both"/>
      </w:pPr>
      <w:r>
        <w:rPr>
          <w:rFonts w:ascii="Times New Roman"/>
          <w:b w:val="false"/>
          <w:i w:val="false"/>
          <w:color w:val="000000"/>
          <w:sz w:val="28"/>
        </w:rPr>
        <w:t xml:space="preserve">
      </w:t>
      </w:r>
    </w:p>
    <w:bookmarkEnd w:id="1574"/>
    <w:p>
      <w:pPr>
        <w:spacing w:after="0"/>
        <w:ind w:left="0"/>
        <w:jc w:val="both"/>
      </w:pPr>
      <w:r>
        <w:t>[MISSING IMAGE: ,  ]</w:t>
      </w:r>
    </w:p>
    <w:p>
      <w:pPr>
        <w:spacing w:after="0"/>
        <w:ind w:left="0"/>
        <w:jc w:val="left"/>
      </w:pPr>
      <w:r>
        <w:rPr>
          <w:rFonts w:ascii="Times New Roman"/>
          <w:b w:val="false"/>
          <w:i w:val="false"/>
          <w:color w:val="000000"/>
          <w:sz w:val="28"/>
        </w:rPr>
        <w:t xml:space="preserve"> ЛЕКАРСТВЕННЫЙ ПРЕПАРАТ С ХОРОШО ИЗУЧЕННЫМ МЕДИЦИНСКИМ ПРИМЕНЕНИЕМ</w:t>
      </w:r>
      <w:r>
        <w:br/>
      </w:r>
      <w:r>
        <w:rPr>
          <w:rFonts w:ascii="Times New Roman"/>
          <w:b w:val="false"/>
          <w:i w:val="false"/>
          <w:color w:val="000000"/>
          <w:sz w:val="28"/>
        </w:rPr>
        <w:t>
</w:t>
      </w:r>
    </w:p>
    <w:bookmarkStart w:name="z1493" w:id="1575"/>
    <w:p>
      <w:pPr>
        <w:spacing w:after="0"/>
        <w:ind w:left="0"/>
        <w:jc w:val="both"/>
      </w:pPr>
      <w:r>
        <w:rPr>
          <w:rFonts w:ascii="Times New Roman"/>
          <w:b w:val="false"/>
          <w:i w:val="false"/>
          <w:color w:val="000000"/>
          <w:sz w:val="28"/>
        </w:rPr>
        <w:t xml:space="preserve">
      </w:t>
      </w:r>
    </w:p>
    <w:bookmarkEnd w:id="1575"/>
    <w:p>
      <w:pPr>
        <w:spacing w:after="0"/>
        <w:ind w:left="0"/>
        <w:jc w:val="both"/>
      </w:pPr>
      <w:r>
        <w:t>[MISSING IMAGE: ,  ]</w:t>
      </w:r>
    </w:p>
    <w:p>
      <w:pPr>
        <w:spacing w:after="0"/>
        <w:ind w:left="0"/>
        <w:jc w:val="left"/>
      </w:pPr>
      <w:r>
        <w:rPr>
          <w:rFonts w:ascii="Times New Roman"/>
          <w:b w:val="false"/>
          <w:i w:val="false"/>
          <w:color w:val="000000"/>
          <w:sz w:val="28"/>
        </w:rPr>
        <w:t>РАДИОФАРМАЦЕВТИЧЕСКИЙ ЛЕКАРСТВЕННЫЙ ПРЕПАРАТ ИЛИ ПРЕКУРСОР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4" w:id="1576"/>
          <w:p>
            <w:pPr>
              <w:spacing w:after="20"/>
              <w:ind w:left="20"/>
              <w:jc w:val="both"/>
            </w:pPr>
          </w:p>
          <w:bookmarkEnd w:id="1576"/>
          <w:p>
            <w:pPr>
              <w:spacing w:after="20"/>
              <w:ind w:left="20"/>
              <w:jc w:val="both"/>
            </w:pPr>
            <w:r>
              <w:t>[MISSING IMAGE: ,  ]</w:t>
            </w:r>
          </w:p>
          <w:p>
            <w:pPr>
              <w:spacing w:after="0"/>
              <w:ind w:left="0"/>
              <w:jc w:val="both"/>
            </w:pPr>
            <w:r>
              <w:rPr>
                <w:rFonts w:ascii="Times New Roman"/>
                <w:b w:val="false"/>
                <w:i w:val="false"/>
                <w:color w:val="000000"/>
                <w:sz w:val="20"/>
              </w:rPr>
              <w:t xml:space="preserve">радиофармацевтический набор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495" w:id="1577"/>
          <w:p>
            <w:pPr>
              <w:spacing w:after="20"/>
              <w:ind w:left="20"/>
              <w:jc w:val="both"/>
            </w:pPr>
          </w:p>
          <w:bookmarkEnd w:id="1577"/>
          <w:p>
            <w:pPr>
              <w:spacing w:after="20"/>
              <w:ind w:left="20"/>
              <w:jc w:val="both"/>
            </w:pPr>
            <w:r>
              <w:t>[MISSING IMAGE: ,  ]</w:t>
            </w:r>
          </w:p>
          <w:p>
            <w:pPr>
              <w:spacing w:after="0"/>
              <w:ind w:left="0"/>
              <w:jc w:val="both"/>
            </w:pPr>
            <w:r>
              <w:rPr>
                <w:rFonts w:ascii="Times New Roman"/>
                <w:b w:val="false"/>
                <w:i w:val="false"/>
                <w:color w:val="000000"/>
                <w:sz w:val="20"/>
              </w:rPr>
              <w:t xml:space="preserve"> прекурсор радионуклида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578"/>
          <w:p>
            <w:pPr>
              <w:spacing w:after="20"/>
              <w:ind w:left="20"/>
              <w:jc w:val="both"/>
            </w:pPr>
            <w:r>
              <w:rPr>
                <w:rFonts w:ascii="Times New Roman"/>
                <w:b w:val="false"/>
                <w:i w:val="false"/>
                <w:color w:val="000000"/>
                <w:sz w:val="20"/>
              </w:rPr>
              <w:t xml:space="preserve">
источник радионуклида (первичный и вторичный) (при наличии) </w:t>
            </w:r>
          </w:p>
          <w:bookmarkEnd w:id="1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579"/>
          <w:p>
            <w:pPr>
              <w:spacing w:after="20"/>
              <w:ind w:left="20"/>
              <w:jc w:val="both"/>
            </w:pPr>
            <w:r>
              <w:rPr>
                <w:rFonts w:ascii="Times New Roman"/>
                <w:b w:val="false"/>
                <w:i w:val="false"/>
                <w:color w:val="000000"/>
                <w:sz w:val="20"/>
              </w:rPr>
              <w:t xml:space="preserve">
Генератор </w:t>
            </w:r>
          </w:p>
          <w:bookmarkEnd w:id="1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8" w:id="1580"/>
    <w:p>
      <w:pPr>
        <w:spacing w:after="0"/>
        <w:ind w:left="0"/>
        <w:jc w:val="both"/>
      </w:pPr>
      <w:r>
        <w:rPr>
          <w:rFonts w:ascii="Times New Roman"/>
          <w:b w:val="false"/>
          <w:i w:val="false"/>
          <w:color w:val="000000"/>
          <w:sz w:val="28"/>
        </w:rPr>
        <w:t xml:space="preserve">
      </w:t>
      </w:r>
    </w:p>
    <w:bookmarkEnd w:id="1580"/>
    <w:p>
      <w:pPr>
        <w:spacing w:after="0"/>
        <w:ind w:left="0"/>
        <w:jc w:val="both"/>
      </w:pPr>
      <w:r>
        <w:t>[MISSING IMAGE: ,  ]</w:t>
      </w:r>
    </w:p>
    <w:p>
      <w:pPr>
        <w:spacing w:after="0"/>
        <w:ind w:left="0"/>
        <w:jc w:val="left"/>
      </w:pPr>
      <w:r>
        <w:rPr>
          <w:rFonts w:ascii="Times New Roman"/>
          <w:b w:val="false"/>
          <w:i w:val="false"/>
          <w:color w:val="000000"/>
          <w:sz w:val="28"/>
        </w:rPr>
        <w:t xml:space="preserve"> ГОМЕОПАТИЧЕСКИЙ ЛЕКАРСТВЕННЫЙ ПРЕПАРАТ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499" w:id="1581"/>
          <w:p>
            <w:pPr>
              <w:spacing w:after="20"/>
              <w:ind w:left="20"/>
              <w:jc w:val="both"/>
            </w:pPr>
          </w:p>
          <w:bookmarkEnd w:id="1581"/>
          <w:p>
            <w:pPr>
              <w:spacing w:after="20"/>
              <w:ind w:left="20"/>
              <w:jc w:val="both"/>
            </w:pPr>
            <w:r>
              <w:t>[MISSING IMAGE: ,  ]</w:t>
            </w:r>
          </w:p>
          <w:p>
            <w:pPr>
              <w:spacing w:after="0"/>
              <w:ind w:left="0"/>
              <w:jc w:val="both"/>
            </w:pPr>
            <w:r>
              <w:rPr>
                <w:rFonts w:ascii="Times New Roman"/>
                <w:b w:val="false"/>
                <w:i w:val="false"/>
                <w:color w:val="000000"/>
                <w:sz w:val="20"/>
              </w:rPr>
              <w:t xml:space="preserve"> новый гомеопатический препарат, не включенный в фармакопеи и монографии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00" w:id="1582"/>
          <w:p>
            <w:pPr>
              <w:spacing w:after="20"/>
              <w:ind w:left="20"/>
              <w:jc w:val="both"/>
            </w:pPr>
          </w:p>
          <w:bookmarkEnd w:id="1582"/>
          <w:p>
            <w:pPr>
              <w:spacing w:after="20"/>
              <w:ind w:left="20"/>
              <w:jc w:val="both"/>
            </w:pPr>
            <w:r>
              <w:t>[MISSING IMAGE: ,  ]</w:t>
            </w:r>
          </w:p>
          <w:p>
            <w:pPr>
              <w:spacing w:after="0"/>
              <w:ind w:left="0"/>
              <w:jc w:val="both"/>
            </w:pPr>
            <w:r>
              <w:rPr>
                <w:rFonts w:ascii="Times New Roman"/>
                <w:b w:val="false"/>
                <w:i w:val="false"/>
                <w:color w:val="000000"/>
                <w:sz w:val="20"/>
              </w:rPr>
              <w:t xml:space="preserve"> гомеопатический препарат, включенный в фармакопеи и монографии </w:t>
            </w:r>
          </w:p>
          <w:p>
            <w:pPr>
              <w:spacing w:after="20"/>
              <w:ind w:left="20"/>
              <w:jc w:val="both"/>
            </w:pPr>
          </w:p>
          <w:p>
            <w:pPr>
              <w:spacing w:after="20"/>
              <w:ind w:left="20"/>
              <w:jc w:val="both"/>
            </w:pPr>
          </w:p>
        </w:tc>
      </w:tr>
    </w:tbl>
    <w:bookmarkStart w:name="z1501" w:id="1583"/>
    <w:p>
      <w:pPr>
        <w:spacing w:after="0"/>
        <w:ind w:left="0"/>
        <w:jc w:val="both"/>
      </w:pPr>
      <w:r>
        <w:rPr>
          <w:rFonts w:ascii="Times New Roman"/>
          <w:b w:val="false"/>
          <w:i w:val="false"/>
          <w:color w:val="000000"/>
          <w:sz w:val="28"/>
        </w:rPr>
        <w:t xml:space="preserve">
      </w:t>
      </w:r>
    </w:p>
    <w:bookmarkEnd w:id="1583"/>
    <w:p>
      <w:pPr>
        <w:spacing w:after="0"/>
        <w:ind w:left="0"/>
        <w:jc w:val="both"/>
      </w:pPr>
      <w:r>
        <w:t>[MISSING IMAGE: ,  ]</w:t>
      </w:r>
    </w:p>
    <w:p>
      <w:pPr>
        <w:spacing w:after="0"/>
        <w:ind w:left="0"/>
        <w:jc w:val="left"/>
      </w:pPr>
      <w:r>
        <w:rPr>
          <w:rFonts w:ascii="Times New Roman"/>
          <w:b w:val="false"/>
          <w:i w:val="false"/>
          <w:color w:val="000000"/>
          <w:sz w:val="28"/>
        </w:rPr>
        <w:t xml:space="preserve"> РАСТИТЕЛЬНЫЙ ЛЕКАРСТВЕННЫЙ ПРЕПАРАТ</w:t>
      </w:r>
      <w:r>
        <w:br/>
      </w:r>
      <w:r>
        <w:rPr>
          <w:rFonts w:ascii="Times New Roman"/>
          <w:b w:val="false"/>
          <w:i w:val="false"/>
          <w:color w:val="000000"/>
          <w:sz w:val="28"/>
        </w:rPr>
        <w:t>
</w:t>
      </w:r>
    </w:p>
    <w:bookmarkStart w:name="z1502" w:id="1584"/>
    <w:p>
      <w:pPr>
        <w:spacing w:after="0"/>
        <w:ind w:left="0"/>
        <w:jc w:val="both"/>
      </w:pPr>
      <w:r>
        <w:rPr>
          <w:rFonts w:ascii="Times New Roman"/>
          <w:b w:val="false"/>
          <w:i w:val="false"/>
          <w:color w:val="000000"/>
          <w:sz w:val="28"/>
        </w:rPr>
        <w:t xml:space="preserve">
      </w:t>
      </w:r>
    </w:p>
    <w:bookmarkEnd w:id="1584"/>
    <w:p>
      <w:pPr>
        <w:spacing w:after="0"/>
        <w:ind w:left="0"/>
        <w:jc w:val="both"/>
      </w:pPr>
      <w:r>
        <w:t>[MISSING IMAGE: ,  ]</w:t>
      </w:r>
    </w:p>
    <w:p>
      <w:pPr>
        <w:spacing w:after="0"/>
        <w:ind w:left="0"/>
        <w:jc w:val="left"/>
      </w:pPr>
      <w:r>
        <w:rPr>
          <w:rFonts w:ascii="Times New Roman"/>
          <w:b w:val="false"/>
          <w:i w:val="false"/>
          <w:color w:val="000000"/>
          <w:sz w:val="28"/>
        </w:rPr>
        <w:t xml:space="preserve"> ИЗМЕНЕНИЯ, КОТОРЫЕ ТРЕБУЮТ НОВОЙ РЕГИСТРАЦИИ</w:t>
      </w:r>
      <w:r>
        <w:br/>
      </w:r>
      <w:r>
        <w:rPr>
          <w:rFonts w:ascii="Times New Roman"/>
          <w:b w:val="false"/>
          <w:i w:val="false"/>
          <w:color w:val="000000"/>
          <w:sz w:val="28"/>
        </w:rPr>
        <w:t>
</w:t>
      </w:r>
    </w:p>
    <w:bookmarkStart w:name="z1503" w:id="1585"/>
    <w:p>
      <w:pPr>
        <w:spacing w:after="0"/>
        <w:ind w:left="0"/>
        <w:jc w:val="both"/>
      </w:pPr>
      <w:r>
        <w:rPr>
          <w:rFonts w:ascii="Times New Roman"/>
          <w:b w:val="false"/>
          <w:i w:val="false"/>
          <w:color w:val="000000"/>
          <w:sz w:val="28"/>
        </w:rPr>
        <w:t>
      Отметить необходимое:</w:t>
      </w:r>
    </w:p>
    <w:bookmarkEnd w:id="158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504" w:id="1586"/>
          <w:p>
            <w:pPr>
              <w:spacing w:after="20"/>
              <w:ind w:left="20"/>
              <w:jc w:val="both"/>
            </w:pPr>
          </w:p>
          <w:bookmarkEnd w:id="1586"/>
          <w:p>
            <w:pPr>
              <w:spacing w:after="20"/>
              <w:ind w:left="20"/>
              <w:jc w:val="both"/>
            </w:pPr>
            <w:r>
              <w:t>[MISSING IMAGE: ,  ]</w:t>
            </w:r>
          </w:p>
          <w:p>
            <w:pPr>
              <w:spacing w:after="0"/>
              <w:ind w:left="0"/>
              <w:jc w:val="both"/>
            </w:pPr>
            <w:r>
              <w:rPr>
                <w:rFonts w:ascii="Times New Roman"/>
                <w:b w:val="false"/>
                <w:i w:val="false"/>
                <w:color w:val="000000"/>
                <w:sz w:val="20"/>
              </w:rPr>
              <w:t xml:space="preserve"> изменения активных фармацевтических субстанций, которые не расцениваются как новая АФС: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05" w:id="1587"/>
          <w:p>
            <w:pPr>
              <w:spacing w:after="20"/>
              <w:ind w:left="20"/>
              <w:jc w:val="both"/>
            </w:pPr>
          </w:p>
          <w:bookmarkEnd w:id="1587"/>
          <w:p>
            <w:pPr>
              <w:spacing w:after="20"/>
              <w:ind w:left="20"/>
              <w:jc w:val="both"/>
            </w:pPr>
            <w:r>
              <w:t>[MISSING IMAGE: ,  ]</w:t>
            </w:r>
          </w:p>
          <w:p>
            <w:pPr>
              <w:spacing w:after="0"/>
              <w:ind w:left="0"/>
              <w:jc w:val="both"/>
            </w:pPr>
            <w:r>
              <w:rPr>
                <w:rFonts w:ascii="Times New Roman"/>
                <w:b w:val="false"/>
                <w:i w:val="false"/>
                <w:color w:val="000000"/>
                <w:sz w:val="20"/>
              </w:rPr>
              <w:t xml:space="preserve"> замена химической АФС другой солью (эфиром, комплексом, производным) с той же самой активной функциональной частью молекулы действующего вещества, отвечающей за терапевтический эффект, при отсутствии значимых различий в эффективности/безопасности;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06" w:id="1588"/>
          <w:p>
            <w:pPr>
              <w:spacing w:after="20"/>
              <w:ind w:left="20"/>
              <w:jc w:val="both"/>
            </w:pPr>
          </w:p>
          <w:bookmarkEnd w:id="1588"/>
          <w:p>
            <w:pPr>
              <w:spacing w:after="20"/>
              <w:ind w:left="20"/>
              <w:jc w:val="both"/>
            </w:pPr>
            <w:r>
              <w:t>[MISSING IMAGE: ,  ]</w:t>
            </w:r>
          </w:p>
          <w:p>
            <w:pPr>
              <w:spacing w:after="0"/>
              <w:ind w:left="0"/>
              <w:jc w:val="both"/>
            </w:pPr>
            <w:r>
              <w:rPr>
                <w:rFonts w:ascii="Times New Roman"/>
                <w:b w:val="false"/>
                <w:i w:val="false"/>
                <w:color w:val="000000"/>
                <w:sz w:val="20"/>
              </w:rPr>
              <w:t xml:space="preserve"> замена другим изомером, иной смесью изомеров, смесью отдельных изомеров (например, рацемата на единственный энантиомер) при отсутствии значимых различий в эффективности/безопасности;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07" w:id="1589"/>
          <w:p>
            <w:pPr>
              <w:spacing w:after="20"/>
              <w:ind w:left="20"/>
              <w:jc w:val="both"/>
            </w:pPr>
          </w:p>
          <w:bookmarkEnd w:id="1589"/>
          <w:p>
            <w:pPr>
              <w:spacing w:after="20"/>
              <w:ind w:left="20"/>
              <w:jc w:val="both"/>
            </w:pPr>
            <w:r>
              <w:t>[MISSING IMAGE: ,  ]</w:t>
            </w:r>
          </w:p>
          <w:p>
            <w:pPr>
              <w:spacing w:after="0"/>
              <w:ind w:left="0"/>
              <w:jc w:val="both"/>
            </w:pPr>
            <w:r>
              <w:rPr>
                <w:rFonts w:ascii="Times New Roman"/>
                <w:b w:val="false"/>
                <w:i w:val="false"/>
                <w:color w:val="000000"/>
                <w:sz w:val="20"/>
              </w:rPr>
              <w:t xml:space="preserve"> замена биологической АФС на другую с несколько измененной молекулярной структурой при отсутствии существенных различий по эффективности и (или) безопасности, за исключением изменений АФС сезонной, препандемической или пандемической вакцины для профилактики гриппа человека;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08" w:id="1590"/>
          <w:p>
            <w:pPr>
              <w:spacing w:after="20"/>
              <w:ind w:left="20"/>
              <w:jc w:val="both"/>
            </w:pPr>
          </w:p>
          <w:bookmarkEnd w:id="1590"/>
          <w:p>
            <w:pPr>
              <w:spacing w:after="20"/>
              <w:ind w:left="20"/>
              <w:jc w:val="both"/>
            </w:pPr>
            <w:r>
              <w:t>[MISSING IMAGE: ,  ]</w:t>
            </w:r>
          </w:p>
          <w:p>
            <w:pPr>
              <w:spacing w:after="0"/>
              <w:ind w:left="0"/>
              <w:jc w:val="both"/>
            </w:pPr>
            <w:r>
              <w:rPr>
                <w:rFonts w:ascii="Times New Roman"/>
                <w:b w:val="false"/>
                <w:i w:val="false"/>
                <w:color w:val="000000"/>
                <w:sz w:val="20"/>
              </w:rPr>
              <w:t xml:space="preserve"> модификации вектора, используемого для получения антигена или исходного материала, включая новый главный банк клеток из другого источника при отсутствии значимых различий в эффективности/безопасности;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09" w:id="1591"/>
          <w:p>
            <w:pPr>
              <w:spacing w:after="20"/>
              <w:ind w:left="20"/>
              <w:jc w:val="both"/>
            </w:pPr>
          </w:p>
          <w:bookmarkEnd w:id="1591"/>
          <w:p>
            <w:pPr>
              <w:spacing w:after="20"/>
              <w:ind w:left="20"/>
              <w:jc w:val="both"/>
            </w:pPr>
            <w:r>
              <w:t>[MISSING IMAGE: ,  ]</w:t>
            </w:r>
          </w:p>
          <w:p>
            <w:pPr>
              <w:spacing w:after="0"/>
              <w:ind w:left="0"/>
              <w:jc w:val="both"/>
            </w:pPr>
            <w:r>
              <w:rPr>
                <w:rFonts w:ascii="Times New Roman"/>
                <w:b w:val="false"/>
                <w:i w:val="false"/>
                <w:color w:val="000000"/>
                <w:sz w:val="20"/>
              </w:rPr>
              <w:t xml:space="preserve"> новый лиганд или связывающий механизм радиофармацевтического препарата при отсутствии значимых различий в эффективности/безопасности;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10" w:id="1592"/>
          <w:p>
            <w:pPr>
              <w:spacing w:after="20"/>
              <w:ind w:left="20"/>
              <w:jc w:val="both"/>
            </w:pPr>
          </w:p>
          <w:bookmarkEnd w:id="1592"/>
          <w:p>
            <w:pPr>
              <w:spacing w:after="20"/>
              <w:ind w:left="20"/>
              <w:jc w:val="both"/>
            </w:pPr>
            <w:r>
              <w:t>[MISSING IMAGE: ,  ]</w:t>
            </w:r>
          </w:p>
          <w:p>
            <w:pPr>
              <w:spacing w:after="0"/>
              <w:ind w:left="0"/>
              <w:jc w:val="both"/>
            </w:pPr>
            <w:r>
              <w:rPr>
                <w:rFonts w:ascii="Times New Roman"/>
                <w:b w:val="false"/>
                <w:i w:val="false"/>
                <w:color w:val="000000"/>
                <w:sz w:val="20"/>
              </w:rPr>
              <w:t xml:space="preserve"> изменение экстрагента (растворителя) или соотношения лекарственного растительного сырья и фармацевтической субстанции растительного происхождения при отсутствии значимых различий в эффективности/безопасности;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11" w:id="1593"/>
          <w:p>
            <w:pPr>
              <w:spacing w:after="20"/>
              <w:ind w:left="20"/>
              <w:jc w:val="both"/>
            </w:pPr>
          </w:p>
          <w:bookmarkEnd w:id="1593"/>
          <w:p>
            <w:pPr>
              <w:spacing w:after="20"/>
              <w:ind w:left="20"/>
              <w:jc w:val="both"/>
            </w:pPr>
            <w:r>
              <w:t>[MISSING IMAGE: ,  ]</w:t>
            </w:r>
          </w:p>
          <w:p>
            <w:pPr>
              <w:spacing w:after="0"/>
              <w:ind w:left="0"/>
              <w:jc w:val="both"/>
            </w:pPr>
            <w:r>
              <w:rPr>
                <w:rFonts w:ascii="Times New Roman"/>
                <w:b w:val="false"/>
                <w:i w:val="false"/>
                <w:color w:val="000000"/>
                <w:sz w:val="20"/>
              </w:rPr>
              <w:t xml:space="preserve"> изменения дозировки, лекарственной формы и способа применения: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12" w:id="1594"/>
          <w:p>
            <w:pPr>
              <w:spacing w:after="20"/>
              <w:ind w:left="20"/>
              <w:jc w:val="both"/>
            </w:pPr>
          </w:p>
          <w:bookmarkEnd w:id="1594"/>
          <w:p>
            <w:pPr>
              <w:spacing w:after="20"/>
              <w:ind w:left="20"/>
              <w:jc w:val="both"/>
            </w:pPr>
            <w:r>
              <w:t>[MISSING IMAGE: ,  ]</w:t>
            </w:r>
          </w:p>
          <w:p>
            <w:pPr>
              <w:spacing w:after="0"/>
              <w:ind w:left="0"/>
              <w:jc w:val="both"/>
            </w:pPr>
            <w:r>
              <w:rPr>
                <w:rFonts w:ascii="Times New Roman"/>
                <w:b w:val="false"/>
                <w:i w:val="false"/>
                <w:color w:val="000000"/>
                <w:sz w:val="20"/>
              </w:rPr>
              <w:t xml:space="preserve"> изменение биодоступности;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13" w:id="1595"/>
          <w:p>
            <w:pPr>
              <w:spacing w:after="20"/>
              <w:ind w:left="20"/>
              <w:jc w:val="both"/>
            </w:pPr>
          </w:p>
          <w:bookmarkEnd w:id="1595"/>
          <w:p>
            <w:pPr>
              <w:spacing w:after="20"/>
              <w:ind w:left="20"/>
              <w:jc w:val="both"/>
            </w:pPr>
            <w:r>
              <w:t>[MISSING IMAGE: ,  ]</w:t>
            </w:r>
          </w:p>
          <w:p>
            <w:pPr>
              <w:spacing w:after="0"/>
              <w:ind w:left="0"/>
              <w:jc w:val="both"/>
            </w:pPr>
            <w:r>
              <w:rPr>
                <w:rFonts w:ascii="Times New Roman"/>
                <w:b w:val="false"/>
                <w:i w:val="false"/>
                <w:color w:val="000000"/>
                <w:sz w:val="20"/>
              </w:rPr>
              <w:t xml:space="preserve"> изменение фармакокинетики;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14" w:id="1596"/>
          <w:p>
            <w:pPr>
              <w:spacing w:after="20"/>
              <w:ind w:left="20"/>
              <w:jc w:val="both"/>
            </w:pPr>
          </w:p>
          <w:bookmarkEnd w:id="1596"/>
          <w:p>
            <w:pPr>
              <w:spacing w:after="20"/>
              <w:ind w:left="20"/>
              <w:jc w:val="both"/>
            </w:pPr>
            <w:r>
              <w:t>[MISSING IMAGE: ,  ]</w:t>
            </w:r>
          </w:p>
          <w:p>
            <w:pPr>
              <w:spacing w:after="0"/>
              <w:ind w:left="0"/>
              <w:jc w:val="both"/>
            </w:pPr>
            <w:r>
              <w:rPr>
                <w:rFonts w:ascii="Times New Roman"/>
                <w:b w:val="false"/>
                <w:i w:val="false"/>
                <w:color w:val="000000"/>
                <w:sz w:val="20"/>
              </w:rPr>
              <w:t xml:space="preserve"> изменение или добавление новой дозировки/активности;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15" w:id="1597"/>
          <w:p>
            <w:pPr>
              <w:spacing w:after="20"/>
              <w:ind w:left="20"/>
              <w:jc w:val="both"/>
            </w:pPr>
          </w:p>
          <w:bookmarkEnd w:id="1597"/>
          <w:p>
            <w:pPr>
              <w:spacing w:after="20"/>
              <w:ind w:left="20"/>
              <w:jc w:val="both"/>
            </w:pPr>
            <w:r>
              <w:t>[MISSING IMAGE: ,  ]</w:t>
            </w:r>
          </w:p>
          <w:p>
            <w:pPr>
              <w:spacing w:after="0"/>
              <w:ind w:left="0"/>
              <w:jc w:val="both"/>
            </w:pPr>
            <w:r>
              <w:rPr>
                <w:rFonts w:ascii="Times New Roman"/>
                <w:b w:val="false"/>
                <w:i w:val="false"/>
                <w:color w:val="000000"/>
                <w:sz w:val="20"/>
              </w:rPr>
              <w:t xml:space="preserve"> изменение или добавление новой лекарственной формы;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516" w:id="1598"/>
          <w:p>
            <w:pPr>
              <w:spacing w:after="20"/>
              <w:ind w:left="20"/>
              <w:jc w:val="both"/>
            </w:pPr>
          </w:p>
          <w:bookmarkEnd w:id="1598"/>
          <w:p>
            <w:pPr>
              <w:spacing w:after="20"/>
              <w:ind w:left="20"/>
              <w:jc w:val="both"/>
            </w:pPr>
            <w:r>
              <w:t>[MISSING IMAGE: ,  ]</w:t>
            </w:r>
          </w:p>
          <w:p>
            <w:pPr>
              <w:spacing w:after="0"/>
              <w:ind w:left="0"/>
              <w:jc w:val="both"/>
            </w:pPr>
            <w:r>
              <w:rPr>
                <w:rFonts w:ascii="Times New Roman"/>
                <w:b w:val="false"/>
                <w:i w:val="false"/>
                <w:color w:val="000000"/>
                <w:sz w:val="20"/>
              </w:rPr>
              <w:t xml:space="preserve"> изменение или добавление нового пути введения </w:t>
            </w:r>
          </w:p>
          <w:p>
            <w:pPr>
              <w:spacing w:after="20"/>
              <w:ind w:left="20"/>
              <w:jc w:val="both"/>
            </w:pPr>
          </w:p>
          <w:p>
            <w:pPr>
              <w:spacing w:after="20"/>
              <w:ind w:left="20"/>
              <w:jc w:val="both"/>
            </w:pPr>
          </w:p>
        </w:tc>
      </w:tr>
    </w:tbl>
    <w:p>
      <w:pPr>
        <w:spacing w:after="0"/>
        <w:ind w:left="0"/>
        <w:jc w:val="both"/>
      </w:pPr>
      <w:bookmarkStart w:name="z1517" w:id="1599"/>
      <w:r>
        <w:rPr>
          <w:rFonts w:ascii="Times New Roman"/>
          <w:b w:val="false"/>
          <w:i w:val="false"/>
          <w:color w:val="000000"/>
          <w:sz w:val="28"/>
        </w:rPr>
        <w:t>
      Лекарственный препарат, который зарегистрирован в референтном государстве __________________________________________ и в который вносятся</w:t>
      </w:r>
    </w:p>
    <w:bookmarkEnd w:id="1599"/>
    <w:p>
      <w:pPr>
        <w:spacing w:after="0"/>
        <w:ind w:left="0"/>
        <w:jc w:val="both"/>
      </w:pPr>
      <w:r>
        <w:rPr>
          <w:rFonts w:ascii="Times New Roman"/>
          <w:b w:val="false"/>
          <w:i w:val="false"/>
          <w:color w:val="000000"/>
          <w:sz w:val="28"/>
        </w:rPr>
        <w:t xml:space="preserve">                                                                                     (наименование государства)</w:t>
      </w:r>
    </w:p>
    <w:bookmarkStart w:name="z1518" w:id="1600"/>
    <w:p>
      <w:pPr>
        <w:spacing w:after="0"/>
        <w:ind w:left="0"/>
        <w:jc w:val="both"/>
      </w:pPr>
      <w:r>
        <w:rPr>
          <w:rFonts w:ascii="Times New Roman"/>
          <w:b w:val="false"/>
          <w:i w:val="false"/>
          <w:color w:val="000000"/>
          <w:sz w:val="28"/>
        </w:rPr>
        <w:t>
      соответствующие изменения:</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601"/>
          <w:p>
            <w:pPr>
              <w:spacing w:after="20"/>
              <w:ind w:left="20"/>
              <w:jc w:val="both"/>
            </w:pPr>
            <w:r>
              <w:rPr>
                <w:rFonts w:ascii="Times New Roman"/>
                <w:b w:val="false"/>
                <w:i w:val="false"/>
                <w:color w:val="000000"/>
                <w:sz w:val="20"/>
              </w:rPr>
              <w:t xml:space="preserve">
торговое наименование лекарственного препарата, дозировка, лекарственная форма </w:t>
            </w:r>
          </w:p>
          <w:bookmarkEnd w:id="1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602"/>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w:t>
            </w:r>
          </w:p>
          <w:bookmarkEnd w:id="16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603"/>
          <w:p>
            <w:pPr>
              <w:spacing w:after="20"/>
              <w:ind w:left="20"/>
              <w:jc w:val="both"/>
            </w:pPr>
            <w:r>
              <w:rPr>
                <w:rFonts w:ascii="Times New Roman"/>
                <w:b w:val="false"/>
                <w:i w:val="false"/>
                <w:color w:val="000000"/>
                <w:sz w:val="20"/>
              </w:rPr>
              <w:t xml:space="preserve">
номер регистрационного удостоверения </w:t>
            </w:r>
          </w:p>
          <w:bookmarkEnd w:id="1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2" w:id="1604"/>
    <w:p>
      <w:pPr>
        <w:spacing w:after="0"/>
        <w:ind w:left="0"/>
        <w:jc w:val="both"/>
      </w:pPr>
      <w:r>
        <w:rPr>
          <w:rFonts w:ascii="Times New Roman"/>
          <w:b w:val="false"/>
          <w:i w:val="false"/>
          <w:color w:val="000000"/>
          <w:sz w:val="28"/>
        </w:rPr>
        <w:t xml:space="preserve">
      </w:t>
      </w:r>
    </w:p>
    <w:bookmarkEnd w:id="1604"/>
    <w:p>
      <w:pPr>
        <w:spacing w:after="0"/>
        <w:ind w:left="0"/>
        <w:jc w:val="both"/>
      </w:pPr>
      <w:r>
        <w:t>[MISSING IMAGE: ,  ]</w:t>
      </w:r>
    </w:p>
    <w:p>
      <w:pPr>
        <w:spacing w:after="0"/>
        <w:ind w:left="0"/>
        <w:jc w:val="left"/>
      </w:pPr>
      <w:r>
        <w:rPr>
          <w:rFonts w:ascii="Times New Roman"/>
          <w:b w:val="false"/>
          <w:i w:val="false"/>
          <w:color w:val="000000"/>
          <w:sz w:val="28"/>
        </w:rPr>
        <w:t xml:space="preserve"> ОРФАННЫЙ ЛЕКАРСТВЕННЫЙ ПРЕПАРАТ</w:t>
      </w:r>
      <w:r>
        <w:br/>
      </w:r>
      <w:r>
        <w:rPr>
          <w:rFonts w:ascii="Times New Roman"/>
          <w:b w:val="false"/>
          <w:i w:val="false"/>
          <w:color w:val="000000"/>
          <w:sz w:val="28"/>
        </w:rPr>
        <w:t>
</w:t>
      </w:r>
    </w:p>
    <w:bookmarkStart w:name="z1523" w:id="1605"/>
    <w:p>
      <w:pPr>
        <w:spacing w:after="0"/>
        <w:ind w:left="0"/>
        <w:jc w:val="both"/>
      </w:pPr>
      <w:r>
        <w:rPr>
          <w:rFonts w:ascii="Times New Roman"/>
          <w:b w:val="false"/>
          <w:i w:val="false"/>
          <w:color w:val="000000"/>
          <w:sz w:val="28"/>
        </w:rPr>
        <w:t xml:space="preserve">
      Присвоен ли лекарственному препарату статус орфанного лекарственного препарата в </w:t>
      </w:r>
    </w:p>
    <w:bookmarkEnd w:id="1605"/>
    <w:bookmarkStart w:name="z1524" w:id="1606"/>
    <w:p>
      <w:pPr>
        <w:spacing w:after="0"/>
        <w:ind w:left="0"/>
        <w:jc w:val="both"/>
      </w:pPr>
      <w:r>
        <w:rPr>
          <w:rFonts w:ascii="Times New Roman"/>
          <w:b w:val="false"/>
          <w:i w:val="false"/>
          <w:color w:val="000000"/>
          <w:sz w:val="28"/>
        </w:rPr>
        <w:t>
      государствах - членах Евразийского экономического союза или за его пределами</w:t>
      </w:r>
    </w:p>
    <w:bookmarkEnd w:id="1606"/>
    <w:bookmarkStart w:name="z1525" w:id="1607"/>
    <w:p>
      <w:pPr>
        <w:spacing w:after="0"/>
        <w:ind w:left="0"/>
        <w:jc w:val="both"/>
      </w:pPr>
      <w:r>
        <w:rPr>
          <w:rFonts w:ascii="Times New Roman"/>
          <w:b w:val="false"/>
          <w:i w:val="false"/>
          <w:color w:val="000000"/>
          <w:sz w:val="28"/>
        </w:rPr>
        <w:t xml:space="preserve">
       </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608"/>
          <w:p>
            <w:pPr>
              <w:spacing w:after="20"/>
              <w:ind w:left="20"/>
              <w:jc w:val="both"/>
            </w:pPr>
          </w:p>
          <w:bookmarkEnd w:id="1608"/>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в процессе рассмотрения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609"/>
          <w:p>
            <w:pPr>
              <w:spacing w:after="20"/>
              <w:ind w:left="20"/>
              <w:jc w:val="both"/>
            </w:pPr>
            <w:r>
              <w:rPr>
                <w:rFonts w:ascii="Times New Roman"/>
                <w:b w:val="false"/>
                <w:i w:val="false"/>
                <w:color w:val="000000"/>
                <w:sz w:val="20"/>
              </w:rPr>
              <w:t xml:space="preserve">
Дата </w:t>
            </w:r>
          </w:p>
          <w:bookmarkEnd w:id="1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610"/>
          <w:p>
            <w:pPr>
              <w:spacing w:after="20"/>
              <w:ind w:left="20"/>
              <w:jc w:val="both"/>
            </w:pPr>
            <w:r>
              <w:rPr>
                <w:rFonts w:ascii="Times New Roman"/>
                <w:b w:val="false"/>
                <w:i w:val="false"/>
                <w:color w:val="000000"/>
                <w:sz w:val="20"/>
              </w:rPr>
              <w:t xml:space="preserve">
номер регистрационного удостоверения орфанного лекарственного препарата </w:t>
            </w:r>
          </w:p>
          <w:bookmarkEnd w:id="1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611"/>
          <w:p>
            <w:pPr>
              <w:spacing w:after="20"/>
              <w:ind w:left="20"/>
              <w:jc w:val="both"/>
            </w:pPr>
            <w:r>
              <w:rPr>
                <w:rFonts w:ascii="Times New Roman"/>
                <w:b w:val="false"/>
                <w:i w:val="false"/>
                <w:color w:val="000000"/>
                <w:sz w:val="20"/>
              </w:rPr>
              <w:t xml:space="preserve">
государства - члены Евразийского экономического союза и/или иные государства, присвоившие данному лекарственному препарату статус орфанного лекарственного препарата </w:t>
            </w:r>
          </w:p>
          <w:bookmarkEnd w:id="1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0" w:id="1612"/>
    <w:p>
      <w:pPr>
        <w:spacing w:after="0"/>
        <w:ind w:left="0"/>
        <w:jc w:val="both"/>
      </w:pPr>
      <w:r>
        <w:rPr>
          <w:rFonts w:ascii="Times New Roman"/>
          <w:b w:val="false"/>
          <w:i w:val="false"/>
          <w:color w:val="000000"/>
          <w:sz w:val="28"/>
        </w:rPr>
        <w:t>
      Отказано в присвоении статуса орфанного лекарственного препарата:</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613"/>
          <w:p>
            <w:pPr>
              <w:spacing w:after="20"/>
              <w:ind w:left="20"/>
              <w:jc w:val="both"/>
            </w:pPr>
            <w:r>
              <w:rPr>
                <w:rFonts w:ascii="Times New Roman"/>
                <w:b w:val="false"/>
                <w:i w:val="false"/>
                <w:color w:val="000000"/>
                <w:sz w:val="20"/>
              </w:rPr>
              <w:t xml:space="preserve">
дата </w:t>
            </w:r>
          </w:p>
          <w:bookmarkEnd w:id="16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614"/>
          <w:p>
            <w:pPr>
              <w:spacing w:after="20"/>
              <w:ind w:left="20"/>
              <w:jc w:val="both"/>
            </w:pPr>
            <w:r>
              <w:rPr>
                <w:rFonts w:ascii="Times New Roman"/>
                <w:b w:val="false"/>
                <w:i w:val="false"/>
                <w:color w:val="000000"/>
                <w:sz w:val="20"/>
              </w:rPr>
              <w:t xml:space="preserve">
номер решения </w:t>
            </w:r>
          </w:p>
          <w:bookmarkEnd w:id="1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615"/>
          <w:p>
            <w:pPr>
              <w:spacing w:after="20"/>
              <w:ind w:left="20"/>
              <w:jc w:val="both"/>
            </w:pPr>
            <w:r>
              <w:rPr>
                <w:rFonts w:ascii="Times New Roman"/>
                <w:b w:val="false"/>
                <w:i w:val="false"/>
                <w:color w:val="000000"/>
                <w:sz w:val="20"/>
              </w:rPr>
              <w:t xml:space="preserve">
заявление на присвоение статуса отозвано </w:t>
            </w:r>
          </w:p>
          <w:bookmarkEnd w:id="161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616"/>
          <w:p>
            <w:pPr>
              <w:spacing w:after="20"/>
              <w:ind w:left="20"/>
              <w:jc w:val="both"/>
            </w:pPr>
            <w:r>
              <w:rPr>
                <w:rFonts w:ascii="Times New Roman"/>
                <w:b w:val="false"/>
                <w:i w:val="false"/>
                <w:color w:val="000000"/>
                <w:sz w:val="20"/>
              </w:rPr>
              <w:t xml:space="preserve">
дата </w:t>
            </w:r>
          </w:p>
          <w:bookmarkEnd w:id="16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5" w:id="1617"/>
    <w:p>
      <w:pPr>
        <w:spacing w:after="0"/>
        <w:ind w:left="0"/>
        <w:jc w:val="both"/>
      </w:pPr>
      <w:r>
        <w:rPr>
          <w:rFonts w:ascii="Times New Roman"/>
          <w:b w:val="false"/>
          <w:i w:val="false"/>
          <w:color w:val="000000"/>
          <w:sz w:val="28"/>
        </w:rPr>
        <w:t>
      Копия документа, подтверждающего присвоение лекарственному препарату статуса орфанного препарата (при наличии) (подпункт 4.2 приложения к настоящему заявлению).</w:t>
      </w:r>
    </w:p>
    <w:bookmarkEnd w:id="1617"/>
    <w:bookmarkStart w:name="z1536" w:id="1618"/>
    <w:p>
      <w:pPr>
        <w:spacing w:after="0"/>
        <w:ind w:left="0"/>
        <w:jc w:val="both"/>
      </w:pPr>
      <w:r>
        <w:rPr>
          <w:rFonts w:ascii="Times New Roman"/>
          <w:b w:val="false"/>
          <w:i w:val="false"/>
          <w:color w:val="000000"/>
          <w:sz w:val="28"/>
        </w:rPr>
        <w:t>
      2. Особые пункты заявления</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619"/>
          <w:p>
            <w:pPr>
              <w:spacing w:after="20"/>
              <w:ind w:left="20"/>
              <w:jc w:val="both"/>
            </w:pPr>
            <w:r>
              <w:rPr>
                <w:rFonts w:ascii="Times New Roman"/>
                <w:b w:val="false"/>
                <w:i w:val="false"/>
                <w:color w:val="000000"/>
                <w:sz w:val="20"/>
              </w:rPr>
              <w:t xml:space="preserve">
2.1. Наименование и код АТХ </w:t>
            </w:r>
          </w:p>
          <w:bookmarkEnd w:id="16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620"/>
          <w:p>
            <w:pPr>
              <w:spacing w:after="20"/>
              <w:ind w:left="20"/>
              <w:jc w:val="both"/>
            </w:pPr>
            <w:r>
              <w:rPr>
                <w:rFonts w:ascii="Times New Roman"/>
                <w:b w:val="false"/>
                <w:i w:val="false"/>
                <w:color w:val="000000"/>
                <w:sz w:val="20"/>
              </w:rPr>
              <w:t xml:space="preserve">
2.1.1. Наименование лекарственного препарата </w:t>
            </w:r>
          </w:p>
          <w:bookmarkEnd w:id="16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621"/>
          <w:p>
            <w:pPr>
              <w:spacing w:after="20"/>
              <w:ind w:left="20"/>
              <w:jc w:val="both"/>
            </w:pPr>
            <w:r>
              <w:rPr>
                <w:rFonts w:ascii="Times New Roman"/>
                <w:b w:val="false"/>
                <w:i w:val="false"/>
                <w:color w:val="000000"/>
                <w:sz w:val="20"/>
              </w:rPr>
              <w:t xml:space="preserve">
2.1.2. Наименование АФС или состав </w:t>
            </w:r>
          </w:p>
          <w:bookmarkEnd w:id="16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0" w:id="1622"/>
    <w:p>
      <w:pPr>
        <w:spacing w:after="0"/>
        <w:ind w:left="0"/>
        <w:jc w:val="both"/>
      </w:pPr>
      <w:r>
        <w:rPr>
          <w:rFonts w:ascii="Times New Roman"/>
          <w:b w:val="false"/>
          <w:i w:val="false"/>
          <w:color w:val="000000"/>
          <w:sz w:val="28"/>
        </w:rPr>
        <w:t>
      Примечание. Только одно наименование должно быть приведено в таком порядке: международное непатентованное наименование (далее - МНН) *, наименование по Фармакопее Евразийского экономического союза, фармакопеям государств-членов (или основным фармакопеям в соответствии с Концепцией гармонизации фармакопей государств – членов Евразийского экономического союза), общепринятое или группировочное наименование, научное (химическое) название.</w:t>
      </w:r>
    </w:p>
    <w:bookmarkEnd w:id="1622"/>
    <w:bookmarkStart w:name="z1541" w:id="1623"/>
    <w:p>
      <w:pPr>
        <w:spacing w:after="0"/>
        <w:ind w:left="0"/>
        <w:jc w:val="both"/>
      </w:pPr>
      <w:r>
        <w:rPr>
          <w:rFonts w:ascii="Times New Roman"/>
          <w:b w:val="false"/>
          <w:i w:val="false"/>
          <w:color w:val="000000"/>
          <w:sz w:val="28"/>
        </w:rPr>
        <w:t>
      ────────────────────────────────</w:t>
      </w:r>
    </w:p>
    <w:bookmarkEnd w:id="1623"/>
    <w:bookmarkStart w:name="z1542" w:id="1624"/>
    <w:p>
      <w:pPr>
        <w:spacing w:after="0"/>
        <w:ind w:left="0"/>
        <w:jc w:val="both"/>
      </w:pPr>
      <w:r>
        <w:rPr>
          <w:rFonts w:ascii="Times New Roman"/>
          <w:b w:val="false"/>
          <w:i w:val="false"/>
          <w:color w:val="000000"/>
          <w:sz w:val="28"/>
        </w:rPr>
        <w:t>
       * Наименование АФС необходимо указывать по ее рекомендованному МНН с указанием его солей или гидратной формы, если необходимо.</w:t>
      </w:r>
    </w:p>
    <w:bookmarkEnd w:id="1624"/>
    <w:bookmarkStart w:name="z1543" w:id="1625"/>
    <w:p>
      <w:pPr>
        <w:spacing w:after="0"/>
        <w:ind w:left="0"/>
        <w:jc w:val="both"/>
      </w:pPr>
      <w:r>
        <w:rPr>
          <w:rFonts w:ascii="Times New Roman"/>
          <w:b w:val="false"/>
          <w:i w:val="false"/>
          <w:color w:val="000000"/>
          <w:sz w:val="28"/>
        </w:rPr>
        <w:t>
      2.1.3. Фармакотерапевтическая группа</w:t>
      </w:r>
    </w:p>
    <w:bookmarkEnd w:id="1625"/>
    <w:bookmarkStart w:name="z1544" w:id="1626"/>
    <w:p>
      <w:pPr>
        <w:spacing w:after="0"/>
        <w:ind w:left="0"/>
        <w:jc w:val="both"/>
      </w:pPr>
      <w:r>
        <w:rPr>
          <w:rFonts w:ascii="Times New Roman"/>
          <w:b w:val="false"/>
          <w:i w:val="false"/>
          <w:color w:val="000000"/>
          <w:sz w:val="28"/>
        </w:rPr>
        <w:t>
      (используйте действующий код АТХ)</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627"/>
          <w:p>
            <w:pPr>
              <w:spacing w:after="20"/>
              <w:ind w:left="20"/>
              <w:jc w:val="both"/>
            </w:pPr>
            <w:r>
              <w:rPr>
                <w:rFonts w:ascii="Times New Roman"/>
                <w:b w:val="false"/>
                <w:i w:val="false"/>
                <w:color w:val="000000"/>
                <w:sz w:val="20"/>
              </w:rPr>
              <w:t xml:space="preserve">
код АТХ </w:t>
            </w:r>
          </w:p>
          <w:bookmarkEnd w:id="1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628"/>
          <w:p>
            <w:pPr>
              <w:spacing w:after="20"/>
              <w:ind w:left="20"/>
              <w:jc w:val="both"/>
            </w:pPr>
            <w:r>
              <w:rPr>
                <w:rFonts w:ascii="Times New Roman"/>
                <w:b w:val="false"/>
                <w:i w:val="false"/>
                <w:color w:val="000000"/>
                <w:sz w:val="20"/>
              </w:rPr>
              <w:t xml:space="preserve">
группа </w:t>
            </w:r>
          </w:p>
          <w:bookmarkEnd w:id="16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7" w:id="1629"/>
    <w:p>
      <w:pPr>
        <w:spacing w:after="0"/>
        <w:ind w:left="0"/>
        <w:jc w:val="both"/>
      </w:pPr>
      <w:r>
        <w:rPr>
          <w:rFonts w:ascii="Times New Roman"/>
          <w:b w:val="false"/>
          <w:i w:val="false"/>
          <w:color w:val="000000"/>
          <w:sz w:val="28"/>
        </w:rPr>
        <w:t>
      Если код АТХ не присвоен, укажите, было ли подано заявление на присвоение кода АТХ</w:t>
      </w:r>
    </w:p>
    <w:bookmarkEnd w:id="1629"/>
    <w:bookmarkStart w:name="z1548" w:id="1630"/>
    <w:p>
      <w:pPr>
        <w:spacing w:after="0"/>
        <w:ind w:left="0"/>
        <w:jc w:val="both"/>
      </w:pPr>
      <w:r>
        <w:rPr>
          <w:rFonts w:ascii="Times New Roman"/>
          <w:b w:val="false"/>
          <w:i w:val="false"/>
          <w:color w:val="000000"/>
          <w:sz w:val="28"/>
        </w:rPr>
        <w:t>
       2.2. Дозировка, лекарственная форма и упаковка, путь введения, вместимость первичной упаковки, число единиц дозирования в упаковке</w:t>
      </w:r>
    </w:p>
    <w:bookmarkEnd w:id="1630"/>
    <w:bookmarkStart w:name="z1549" w:id="1631"/>
    <w:p>
      <w:pPr>
        <w:spacing w:after="0"/>
        <w:ind w:left="0"/>
        <w:jc w:val="both"/>
      </w:pPr>
      <w:r>
        <w:rPr>
          <w:rFonts w:ascii="Times New Roman"/>
          <w:b w:val="false"/>
          <w:i w:val="false"/>
          <w:color w:val="000000"/>
          <w:sz w:val="28"/>
        </w:rPr>
        <w:t>
       2.2.1. Дозировка и лекарственная форма</w:t>
      </w:r>
    </w:p>
    <w:bookmarkEnd w:id="1631"/>
    <w:bookmarkStart w:name="z1550" w:id="1632"/>
    <w:p>
      <w:pPr>
        <w:spacing w:after="0"/>
        <w:ind w:left="0"/>
        <w:jc w:val="both"/>
      </w:pPr>
      <w:r>
        <w:rPr>
          <w:rFonts w:ascii="Times New Roman"/>
          <w:b w:val="false"/>
          <w:i w:val="false"/>
          <w:color w:val="000000"/>
          <w:sz w:val="28"/>
        </w:rPr>
        <w:t>
      (используйте перечень стандартных терминов номенклатуры лекарственных форм, применяемой в Евразийском экономическом союзе)</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633"/>
          <w:p>
            <w:pPr>
              <w:spacing w:after="20"/>
              <w:ind w:left="20"/>
              <w:jc w:val="both"/>
            </w:pPr>
            <w:r>
              <w:rPr>
                <w:rFonts w:ascii="Times New Roman"/>
                <w:b w:val="false"/>
                <w:i w:val="false"/>
                <w:color w:val="000000"/>
                <w:sz w:val="20"/>
              </w:rPr>
              <w:t xml:space="preserve">
 лекарственная форма </w:t>
            </w:r>
          </w:p>
          <w:bookmarkEnd w:id="1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634"/>
          <w:p>
            <w:pPr>
              <w:spacing w:after="20"/>
              <w:ind w:left="20"/>
              <w:jc w:val="both"/>
            </w:pPr>
            <w:r>
              <w:rPr>
                <w:rFonts w:ascii="Times New Roman"/>
                <w:b w:val="false"/>
                <w:i w:val="false"/>
                <w:color w:val="000000"/>
                <w:sz w:val="20"/>
              </w:rPr>
              <w:t xml:space="preserve">
дозировки или концентрации </w:t>
            </w:r>
          </w:p>
          <w:bookmarkEnd w:id="1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635"/>
          <w:p>
            <w:pPr>
              <w:spacing w:after="20"/>
              <w:ind w:left="20"/>
              <w:jc w:val="both"/>
            </w:pPr>
            <w:r>
              <w:rPr>
                <w:rFonts w:ascii="Times New Roman"/>
                <w:b w:val="false"/>
                <w:i w:val="false"/>
                <w:color w:val="000000"/>
                <w:sz w:val="20"/>
              </w:rPr>
              <w:t xml:space="preserve">
2.2.2. Путь введения (используйте перечень стандартных терминов номенклатуры лекарственных форм) </w:t>
            </w:r>
          </w:p>
          <w:bookmarkEnd w:id="1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636"/>
          <w:p>
            <w:pPr>
              <w:spacing w:after="20"/>
              <w:ind w:left="20"/>
              <w:jc w:val="both"/>
            </w:pPr>
            <w:r>
              <w:rPr>
                <w:rFonts w:ascii="Times New Roman"/>
                <w:b w:val="false"/>
                <w:i w:val="false"/>
                <w:color w:val="000000"/>
                <w:sz w:val="20"/>
              </w:rPr>
              <w:t xml:space="preserve">
2.2.3. Упаковка: первичная и вторичная упаковка, промежуточная упаковка (при наличии), укупорочная система и устройства для ввода, включая описание материала, из которого они изготовлены (используйте перечень стандартных терминов номенклатуры лекарственных форм) , упаковка нерасфасованной продукции (при наличии) </w:t>
            </w:r>
          </w:p>
          <w:bookmarkEnd w:id="1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5" w:id="1637"/>
    <w:p>
      <w:pPr>
        <w:spacing w:after="0"/>
        <w:ind w:left="0"/>
        <w:jc w:val="both"/>
      </w:pPr>
      <w:r>
        <w:rPr>
          <w:rFonts w:ascii="Times New Roman"/>
          <w:b w:val="false"/>
          <w:i w:val="false"/>
          <w:color w:val="000000"/>
          <w:sz w:val="28"/>
        </w:rPr>
        <w:t>
      Для каждого вида упаковки укажите:</w:t>
      </w:r>
    </w:p>
    <w:bookmarkEnd w:id="1637"/>
    <w:bookmarkStart w:name="z1556" w:id="1638"/>
    <w:p>
      <w:pPr>
        <w:spacing w:after="0"/>
        <w:ind w:left="0"/>
        <w:jc w:val="both"/>
      </w:pPr>
      <w:r>
        <w:rPr>
          <w:rFonts w:ascii="Times New Roman"/>
          <w:b w:val="false"/>
          <w:i w:val="false"/>
          <w:color w:val="000000"/>
          <w:sz w:val="28"/>
        </w:rPr>
        <w:t>
       2.2.3.1. Число единиц дозирования в упаковке.</w:t>
      </w:r>
    </w:p>
    <w:bookmarkEnd w:id="1638"/>
    <w:bookmarkStart w:name="z1557" w:id="1639"/>
    <w:p>
      <w:pPr>
        <w:spacing w:after="0"/>
        <w:ind w:left="0"/>
        <w:jc w:val="both"/>
      </w:pPr>
      <w:r>
        <w:rPr>
          <w:rFonts w:ascii="Times New Roman"/>
          <w:b w:val="false"/>
          <w:i w:val="false"/>
          <w:color w:val="000000"/>
          <w:sz w:val="28"/>
        </w:rPr>
        <w:t>
       2.2.3.2. Предлагаемый срок хранения.</w:t>
      </w:r>
    </w:p>
    <w:bookmarkEnd w:id="1639"/>
    <w:bookmarkStart w:name="z1558" w:id="1640"/>
    <w:p>
      <w:pPr>
        <w:spacing w:after="0"/>
        <w:ind w:left="0"/>
        <w:jc w:val="both"/>
      </w:pPr>
      <w:r>
        <w:rPr>
          <w:rFonts w:ascii="Times New Roman"/>
          <w:b w:val="false"/>
          <w:i w:val="false"/>
          <w:color w:val="000000"/>
          <w:sz w:val="28"/>
        </w:rPr>
        <w:t>
       2.2.3.3. Предлагаемый срок хранения (после первого вскрытия первичной или промежуточной упаковки).</w:t>
      </w:r>
    </w:p>
    <w:bookmarkEnd w:id="1640"/>
    <w:bookmarkStart w:name="z1559" w:id="1641"/>
    <w:p>
      <w:pPr>
        <w:spacing w:after="0"/>
        <w:ind w:left="0"/>
        <w:jc w:val="both"/>
      </w:pPr>
      <w:r>
        <w:rPr>
          <w:rFonts w:ascii="Times New Roman"/>
          <w:b w:val="false"/>
          <w:i w:val="false"/>
          <w:color w:val="000000"/>
          <w:sz w:val="28"/>
        </w:rPr>
        <w:t>
       2.2.3.4. Предлагаемый срок хранения (после восстановления/растворения или разведения).</w:t>
      </w:r>
    </w:p>
    <w:bookmarkEnd w:id="1641"/>
    <w:bookmarkStart w:name="z1560" w:id="1642"/>
    <w:p>
      <w:pPr>
        <w:spacing w:after="0"/>
        <w:ind w:left="0"/>
        <w:jc w:val="both"/>
      </w:pPr>
      <w:r>
        <w:rPr>
          <w:rFonts w:ascii="Times New Roman"/>
          <w:b w:val="false"/>
          <w:i w:val="false"/>
          <w:color w:val="000000"/>
          <w:sz w:val="28"/>
        </w:rPr>
        <w:t>
       2.2.3.5. Предлагаемые условия хранения.</w:t>
      </w:r>
    </w:p>
    <w:bookmarkEnd w:id="1642"/>
    <w:bookmarkStart w:name="z1561" w:id="1643"/>
    <w:p>
      <w:pPr>
        <w:spacing w:after="0"/>
        <w:ind w:left="0"/>
        <w:jc w:val="both"/>
      </w:pPr>
      <w:r>
        <w:rPr>
          <w:rFonts w:ascii="Times New Roman"/>
          <w:b w:val="false"/>
          <w:i w:val="false"/>
          <w:color w:val="000000"/>
          <w:sz w:val="28"/>
        </w:rPr>
        <w:t>
       2.2.3.6. Предлагаемые условия хранения после первого вскрытия упаковки (первичной или промежуточной).</w:t>
      </w:r>
    </w:p>
    <w:bookmarkEnd w:id="1643"/>
    <w:bookmarkStart w:name="z1562" w:id="1644"/>
    <w:p>
      <w:pPr>
        <w:spacing w:after="0"/>
        <w:ind w:left="0"/>
        <w:jc w:val="both"/>
      </w:pPr>
      <w:r>
        <w:rPr>
          <w:rFonts w:ascii="Times New Roman"/>
          <w:b w:val="false"/>
          <w:i w:val="false"/>
          <w:color w:val="000000"/>
          <w:sz w:val="28"/>
        </w:rPr>
        <w:t>
       2.2.4. Информация по устройствам для ввода</w:t>
      </w:r>
    </w:p>
    <w:bookmarkEnd w:id="1644"/>
    <w:bookmarkStart w:name="z1563" w:id="1645"/>
    <w:p>
      <w:pPr>
        <w:spacing w:after="0"/>
        <w:ind w:left="0"/>
        <w:jc w:val="both"/>
      </w:pPr>
      <w:r>
        <w:rPr>
          <w:rFonts w:ascii="Times New Roman"/>
          <w:b w:val="false"/>
          <w:i w:val="false"/>
          <w:color w:val="000000"/>
          <w:sz w:val="28"/>
        </w:rPr>
        <w:t>
       2.3. Категория отпуска</w:t>
      </w:r>
    </w:p>
    <w:bookmarkEnd w:id="16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64" w:id="1646"/>
          <w:p>
            <w:pPr>
              <w:spacing w:after="20"/>
              <w:ind w:left="20"/>
              <w:jc w:val="both"/>
            </w:pPr>
          </w:p>
          <w:bookmarkEnd w:id="164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по рецепту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565" w:id="1647"/>
          <w:p>
            <w:pPr>
              <w:spacing w:after="20"/>
              <w:ind w:left="20"/>
              <w:jc w:val="both"/>
            </w:pPr>
            <w:r>
              <w:rPr>
                <w:rFonts w:ascii="Times New Roman"/>
                <w:b w:val="false"/>
                <w:i w:val="false"/>
                <w:color w:val="000000"/>
                <w:sz w:val="20"/>
              </w:rPr>
              <w:t xml:space="preserve">
2.3.1. Предлагаемая категория отпуска: </w:t>
            </w:r>
          </w:p>
          <w:bookmarkEnd w:id="164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без рецепта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566" w:id="1648"/>
          <w:p>
            <w:pPr>
              <w:spacing w:after="20"/>
              <w:ind w:left="20"/>
              <w:jc w:val="both"/>
            </w:pPr>
          </w:p>
          <w:bookmarkEnd w:id="164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в условиях лечебно-профилактического учреждения</w:t>
            </w:r>
          </w:p>
          <w:p>
            <w:pPr>
              <w:spacing w:after="20"/>
              <w:ind w:left="20"/>
              <w:jc w:val="both"/>
            </w:pPr>
          </w:p>
          <w:p>
            <w:pPr>
              <w:spacing w:after="20"/>
              <w:ind w:left="20"/>
              <w:jc w:val="both"/>
            </w:pPr>
          </w:p>
        </w:tc>
      </w:tr>
    </w:tbl>
    <w:bookmarkStart w:name="z1567" w:id="1649"/>
    <w:p>
      <w:pPr>
        <w:spacing w:after="0"/>
        <w:ind w:left="0"/>
        <w:jc w:val="both"/>
      </w:pPr>
      <w:r>
        <w:rPr>
          <w:rFonts w:ascii="Times New Roman"/>
          <w:b w:val="false"/>
          <w:i w:val="false"/>
          <w:color w:val="000000"/>
          <w:sz w:val="28"/>
        </w:rPr>
        <w:t>
      2.4. Держатель регистрационного удостоверения</w:t>
      </w:r>
    </w:p>
    <w:bookmarkEnd w:id="1649"/>
    <w:bookmarkStart w:name="z1568" w:id="1650"/>
    <w:p>
      <w:pPr>
        <w:spacing w:after="0"/>
        <w:ind w:left="0"/>
        <w:jc w:val="both"/>
      </w:pPr>
      <w:r>
        <w:rPr>
          <w:rFonts w:ascii="Times New Roman"/>
          <w:b w:val="false"/>
          <w:i w:val="false"/>
          <w:color w:val="000000"/>
          <w:sz w:val="28"/>
        </w:rPr>
        <w:t>
       2.4.1. Держатель регистрационного удостоверения:</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651"/>
          <w:p>
            <w:pPr>
              <w:spacing w:after="20"/>
              <w:ind w:left="20"/>
              <w:jc w:val="both"/>
            </w:pPr>
            <w:r>
              <w:rPr>
                <w:rFonts w:ascii="Times New Roman"/>
                <w:b w:val="false"/>
                <w:i w:val="false"/>
                <w:color w:val="000000"/>
                <w:sz w:val="20"/>
              </w:rPr>
              <w:t xml:space="preserve">
наименование юридического лица </w:t>
            </w:r>
          </w:p>
          <w:bookmarkEnd w:id="1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652"/>
          <w:p>
            <w:pPr>
              <w:spacing w:after="20"/>
              <w:ind w:left="20"/>
              <w:jc w:val="both"/>
            </w:pPr>
            <w:r>
              <w:rPr>
                <w:rFonts w:ascii="Times New Roman"/>
                <w:b w:val="false"/>
                <w:i w:val="false"/>
                <w:color w:val="000000"/>
                <w:sz w:val="20"/>
              </w:rPr>
              <w:t xml:space="preserve">
юридический адрес </w:t>
            </w:r>
          </w:p>
          <w:bookmarkEnd w:id="1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653"/>
          <w:p>
            <w:pPr>
              <w:spacing w:after="20"/>
              <w:ind w:left="20"/>
              <w:jc w:val="both"/>
            </w:pPr>
            <w:r>
              <w:rPr>
                <w:rFonts w:ascii="Times New Roman"/>
                <w:b w:val="false"/>
                <w:i w:val="false"/>
                <w:color w:val="000000"/>
                <w:sz w:val="20"/>
              </w:rPr>
              <w:t xml:space="preserve">
государство </w:t>
            </w:r>
          </w:p>
          <w:bookmarkEnd w:id="1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654"/>
          <w:p>
            <w:pPr>
              <w:spacing w:after="20"/>
              <w:ind w:left="20"/>
              <w:jc w:val="both"/>
            </w:pPr>
            <w:r>
              <w:rPr>
                <w:rFonts w:ascii="Times New Roman"/>
                <w:b w:val="false"/>
                <w:i w:val="false"/>
                <w:color w:val="000000"/>
                <w:sz w:val="20"/>
              </w:rPr>
              <w:t xml:space="preserve">
номера телефона и факса (при наличии) </w:t>
            </w:r>
          </w:p>
          <w:bookmarkEnd w:id="1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655"/>
          <w:p>
            <w:pPr>
              <w:spacing w:after="20"/>
              <w:ind w:left="20"/>
              <w:jc w:val="both"/>
            </w:pPr>
            <w:r>
              <w:rPr>
                <w:rFonts w:ascii="Times New Roman"/>
                <w:b w:val="false"/>
                <w:i w:val="false"/>
                <w:color w:val="000000"/>
                <w:sz w:val="20"/>
              </w:rPr>
              <w:t xml:space="preserve">
адрес электронной почты </w:t>
            </w:r>
          </w:p>
          <w:bookmarkEnd w:id="1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4" w:id="1656"/>
    <w:p>
      <w:pPr>
        <w:spacing w:after="0"/>
        <w:ind w:left="0"/>
        <w:jc w:val="both"/>
      </w:pPr>
      <w:r>
        <w:rPr>
          <w:rFonts w:ascii="Times New Roman"/>
          <w:b w:val="false"/>
          <w:i w:val="false"/>
          <w:color w:val="000000"/>
          <w:sz w:val="28"/>
        </w:rPr>
        <w:t>
      2.4.2. Представитель держателя регистрационного удостоверения (лицо, выступающее от имени держателя регистрационного удостоверения, - заявитель):</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657"/>
          <w:p>
            <w:pPr>
              <w:spacing w:after="20"/>
              <w:ind w:left="20"/>
              <w:jc w:val="both"/>
            </w:pPr>
            <w:r>
              <w:rPr>
                <w:rFonts w:ascii="Times New Roman"/>
                <w:b w:val="false"/>
                <w:i w:val="false"/>
                <w:color w:val="000000"/>
                <w:sz w:val="20"/>
              </w:rPr>
              <w:t xml:space="preserve">
 наименование юридического лица или фамилия, имя, отчество физического лица </w:t>
            </w:r>
          </w:p>
          <w:bookmarkEnd w:id="1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658"/>
          <w:p>
            <w:pPr>
              <w:spacing w:after="20"/>
              <w:ind w:left="20"/>
              <w:jc w:val="both"/>
            </w:pPr>
            <w:r>
              <w:rPr>
                <w:rFonts w:ascii="Times New Roman"/>
                <w:b w:val="false"/>
                <w:i w:val="false"/>
                <w:color w:val="000000"/>
                <w:sz w:val="20"/>
              </w:rPr>
              <w:t xml:space="preserve">
номер телефона и факса (при наличии) </w:t>
            </w:r>
          </w:p>
          <w:bookmarkEnd w:id="1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659"/>
          <w:p>
            <w:pPr>
              <w:spacing w:after="20"/>
              <w:ind w:left="20"/>
              <w:jc w:val="both"/>
            </w:pPr>
            <w:r>
              <w:rPr>
                <w:rFonts w:ascii="Times New Roman"/>
                <w:b w:val="false"/>
                <w:i w:val="false"/>
                <w:color w:val="000000"/>
                <w:sz w:val="20"/>
              </w:rPr>
              <w:t xml:space="preserve">
адрес электронной почты </w:t>
            </w:r>
          </w:p>
          <w:bookmarkEnd w:id="1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8" w:id="1660"/>
    <w:p>
      <w:pPr>
        <w:spacing w:after="0"/>
        <w:ind w:left="0"/>
        <w:jc w:val="both"/>
      </w:pPr>
      <w:r>
        <w:rPr>
          <w:rFonts w:ascii="Times New Roman"/>
          <w:b w:val="false"/>
          <w:i w:val="false"/>
          <w:color w:val="000000"/>
          <w:sz w:val="28"/>
        </w:rPr>
        <w:t>
      При заполнении данного пункта приложите доверенность на совершение юридически значимых действий от имени держателя регистрационного удостоверения (подпункт 4.1 приложения к настоящему заявлению).</w:t>
      </w:r>
    </w:p>
    <w:bookmarkEnd w:id="1660"/>
    <w:bookmarkStart w:name="z1579" w:id="1661"/>
    <w:p>
      <w:pPr>
        <w:spacing w:after="0"/>
        <w:ind w:left="0"/>
        <w:jc w:val="both"/>
      </w:pPr>
      <w:r>
        <w:rPr>
          <w:rFonts w:ascii="Times New Roman"/>
          <w:b w:val="false"/>
          <w:i w:val="false"/>
          <w:color w:val="000000"/>
          <w:sz w:val="28"/>
        </w:rPr>
        <w:t xml:space="preserve">
      2.4.3. Представитель заявителя (лицо, выступающее от имени заявителя) после регистрации лекарственного препарата, если они отличаются от определенных в подпункте </w:t>
      </w:r>
    </w:p>
    <w:bookmarkEnd w:id="1661"/>
    <w:bookmarkStart w:name="z1580" w:id="1662"/>
    <w:p>
      <w:pPr>
        <w:spacing w:after="0"/>
        <w:ind w:left="0"/>
        <w:jc w:val="both"/>
      </w:pPr>
      <w:r>
        <w:rPr>
          <w:rFonts w:ascii="Times New Roman"/>
          <w:b w:val="false"/>
          <w:i w:val="false"/>
          <w:color w:val="000000"/>
          <w:sz w:val="28"/>
        </w:rPr>
        <w:t>
      2.4.2 настоящего заявления:</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663"/>
          <w:p>
            <w:pPr>
              <w:spacing w:after="20"/>
              <w:ind w:left="20"/>
              <w:jc w:val="both"/>
            </w:pPr>
            <w:r>
              <w:rPr>
                <w:rFonts w:ascii="Times New Roman"/>
                <w:b w:val="false"/>
                <w:i w:val="false"/>
                <w:color w:val="000000"/>
                <w:sz w:val="20"/>
              </w:rPr>
              <w:t xml:space="preserve">
фамилия, имя, отчество представителя заявителя или наименование юридического лица </w:t>
            </w:r>
          </w:p>
          <w:bookmarkEnd w:id="1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664"/>
          <w:p>
            <w:pPr>
              <w:spacing w:after="20"/>
              <w:ind w:left="20"/>
              <w:jc w:val="both"/>
            </w:pPr>
            <w:r>
              <w:rPr>
                <w:rFonts w:ascii="Times New Roman"/>
                <w:b w:val="false"/>
                <w:i w:val="false"/>
                <w:color w:val="000000"/>
                <w:sz w:val="20"/>
              </w:rPr>
              <w:t xml:space="preserve">
юридический адрес юридического лица </w:t>
            </w:r>
          </w:p>
          <w:bookmarkEnd w:id="1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665"/>
          <w:p>
            <w:pPr>
              <w:spacing w:after="20"/>
              <w:ind w:left="20"/>
              <w:jc w:val="both"/>
            </w:pPr>
            <w:r>
              <w:rPr>
                <w:rFonts w:ascii="Times New Roman"/>
                <w:b w:val="false"/>
                <w:i w:val="false"/>
                <w:color w:val="000000"/>
                <w:sz w:val="20"/>
              </w:rPr>
              <w:t xml:space="preserve">
страна </w:t>
            </w:r>
          </w:p>
          <w:bookmarkEnd w:id="1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666"/>
          <w:p>
            <w:pPr>
              <w:spacing w:after="20"/>
              <w:ind w:left="20"/>
              <w:jc w:val="both"/>
            </w:pPr>
            <w:r>
              <w:rPr>
                <w:rFonts w:ascii="Times New Roman"/>
                <w:b w:val="false"/>
                <w:i w:val="false"/>
                <w:color w:val="000000"/>
                <w:sz w:val="20"/>
              </w:rPr>
              <w:t xml:space="preserve">
номера телефона и факса (при наличии) </w:t>
            </w:r>
          </w:p>
          <w:bookmarkEnd w:id="1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667"/>
          <w:p>
            <w:pPr>
              <w:spacing w:after="20"/>
              <w:ind w:left="20"/>
              <w:jc w:val="both"/>
            </w:pPr>
            <w:r>
              <w:rPr>
                <w:rFonts w:ascii="Times New Roman"/>
                <w:b w:val="false"/>
                <w:i w:val="false"/>
                <w:color w:val="000000"/>
                <w:sz w:val="20"/>
              </w:rPr>
              <w:t xml:space="preserve">
адрес электронной почты </w:t>
            </w:r>
          </w:p>
          <w:bookmarkEnd w:id="1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668"/>
    <w:p>
      <w:pPr>
        <w:spacing w:after="0"/>
        <w:ind w:left="0"/>
        <w:jc w:val="both"/>
      </w:pPr>
      <w:r>
        <w:rPr>
          <w:rFonts w:ascii="Times New Roman"/>
          <w:b w:val="false"/>
          <w:i w:val="false"/>
          <w:color w:val="000000"/>
          <w:sz w:val="28"/>
        </w:rPr>
        <w:t>
      При заполнении данного пункта приложите доверенность (подпункт 4.1 приложения к настоящему заявлению).</w:t>
      </w:r>
    </w:p>
    <w:bookmarkEnd w:id="1668"/>
    <w:bookmarkStart w:name="z1587" w:id="1669"/>
    <w:p>
      <w:pPr>
        <w:spacing w:after="0"/>
        <w:ind w:left="0"/>
        <w:jc w:val="both"/>
      </w:pPr>
      <w:r>
        <w:rPr>
          <w:rFonts w:ascii="Times New Roman"/>
          <w:b w:val="false"/>
          <w:i w:val="false"/>
          <w:color w:val="000000"/>
          <w:sz w:val="28"/>
        </w:rPr>
        <w:t>
      2.4.4. Уполномоченное лицо держателя регистрационного удостоверения, ответственное за фармаконадзор в государствах - членах Евразийского экономического союза:</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670"/>
          <w:p>
            <w:pPr>
              <w:spacing w:after="20"/>
              <w:ind w:left="20"/>
              <w:jc w:val="both"/>
            </w:pPr>
            <w:r>
              <w:rPr>
                <w:rFonts w:ascii="Times New Roman"/>
                <w:b w:val="false"/>
                <w:i w:val="false"/>
                <w:color w:val="000000"/>
                <w:sz w:val="20"/>
              </w:rPr>
              <w:t xml:space="preserve">
фамилия, имя, отчество уполномоченного лица держателя регистрационного удостоверения, ответственного за фармаконадзор </w:t>
            </w:r>
          </w:p>
          <w:bookmarkEnd w:id="1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671"/>
          <w:p>
            <w:pPr>
              <w:spacing w:after="20"/>
              <w:ind w:left="20"/>
              <w:jc w:val="both"/>
            </w:pPr>
            <w:r>
              <w:rPr>
                <w:rFonts w:ascii="Times New Roman"/>
                <w:b w:val="false"/>
                <w:i w:val="false"/>
                <w:color w:val="000000"/>
                <w:sz w:val="20"/>
              </w:rPr>
              <w:t xml:space="preserve">
наименование юридического лица (держателя регистрационного удостоверения) </w:t>
            </w:r>
          </w:p>
          <w:bookmarkEnd w:id="1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672"/>
          <w:p>
            <w:pPr>
              <w:spacing w:after="20"/>
              <w:ind w:left="20"/>
              <w:jc w:val="both"/>
            </w:pPr>
            <w:r>
              <w:rPr>
                <w:rFonts w:ascii="Times New Roman"/>
                <w:b w:val="false"/>
                <w:i w:val="false"/>
                <w:color w:val="000000"/>
                <w:sz w:val="20"/>
              </w:rPr>
              <w:t xml:space="preserve">
юридический адрес юридического лица (держателя регистрационного удостоверения) </w:t>
            </w:r>
          </w:p>
          <w:bookmarkEnd w:id="1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673"/>
          <w:p>
            <w:pPr>
              <w:spacing w:after="20"/>
              <w:ind w:left="20"/>
              <w:jc w:val="both"/>
            </w:pPr>
            <w:r>
              <w:rPr>
                <w:rFonts w:ascii="Times New Roman"/>
                <w:b w:val="false"/>
                <w:i w:val="false"/>
                <w:color w:val="000000"/>
                <w:sz w:val="20"/>
              </w:rPr>
              <w:t xml:space="preserve">
государство </w:t>
            </w:r>
          </w:p>
          <w:bookmarkEnd w:id="1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674"/>
          <w:p>
            <w:pPr>
              <w:spacing w:after="20"/>
              <w:ind w:left="20"/>
              <w:jc w:val="both"/>
            </w:pPr>
            <w:r>
              <w:rPr>
                <w:rFonts w:ascii="Times New Roman"/>
                <w:b w:val="false"/>
                <w:i w:val="false"/>
                <w:color w:val="000000"/>
                <w:sz w:val="20"/>
              </w:rPr>
              <w:t xml:space="preserve">
номера круглосуточного телефона и факса </w:t>
            </w:r>
          </w:p>
          <w:bookmarkEnd w:id="1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675"/>
          <w:p>
            <w:pPr>
              <w:spacing w:after="20"/>
              <w:ind w:left="20"/>
              <w:jc w:val="both"/>
            </w:pPr>
            <w:r>
              <w:rPr>
                <w:rFonts w:ascii="Times New Roman"/>
                <w:b w:val="false"/>
                <w:i w:val="false"/>
                <w:color w:val="000000"/>
                <w:sz w:val="20"/>
              </w:rPr>
              <w:t xml:space="preserve">
адрес электронной почты </w:t>
            </w:r>
          </w:p>
          <w:bookmarkEnd w:id="1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4" w:id="1676"/>
    <w:p>
      <w:pPr>
        <w:spacing w:after="0"/>
        <w:ind w:left="0"/>
        <w:jc w:val="both"/>
      </w:pPr>
      <w:r>
        <w:rPr>
          <w:rFonts w:ascii="Times New Roman"/>
          <w:b w:val="false"/>
          <w:i w:val="false"/>
          <w:color w:val="000000"/>
          <w:sz w:val="28"/>
        </w:rPr>
        <w:t>
      ___________________________________________________________________________</w:t>
      </w:r>
    </w:p>
    <w:bookmarkEnd w:id="1676"/>
    <w:bookmarkStart w:name="z1595" w:id="1677"/>
    <w:p>
      <w:pPr>
        <w:spacing w:after="0"/>
        <w:ind w:left="0"/>
        <w:jc w:val="both"/>
      </w:pPr>
      <w:r>
        <w:rPr>
          <w:rFonts w:ascii="Times New Roman"/>
          <w:b w:val="false"/>
          <w:i w:val="false"/>
          <w:color w:val="000000"/>
          <w:sz w:val="28"/>
        </w:rPr>
        <w:t>
       Укажите место регистрации и фактическое место жительства уполномоченного лица держателя регистрационного удостоверения, ответственного за фармаконадзор.</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678"/>
          <w:p>
            <w:pPr>
              <w:spacing w:after="20"/>
              <w:ind w:left="20"/>
              <w:jc w:val="both"/>
            </w:pPr>
            <w:r>
              <w:rPr>
                <w:rFonts w:ascii="Times New Roman"/>
                <w:b w:val="false"/>
                <w:i w:val="false"/>
                <w:color w:val="000000"/>
                <w:sz w:val="20"/>
              </w:rPr>
              <w:t>
 реквизиты мастер-файла фармаконадзора:</w:t>
            </w:r>
          </w:p>
          <w:bookmarkEnd w:id="1678"/>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 xml:space="preserve">адрес местонахождения: </w:t>
            </w:r>
          </w:p>
        </w:tc>
      </w:tr>
    </w:tbl>
    <w:bookmarkStart w:name="z1598" w:id="1679"/>
    <w:p>
      <w:pPr>
        <w:spacing w:after="0"/>
        <w:ind w:left="0"/>
        <w:jc w:val="both"/>
      </w:pPr>
      <w:r>
        <w:rPr>
          <w:rFonts w:ascii="Times New Roman"/>
          <w:b w:val="false"/>
          <w:i w:val="false"/>
          <w:color w:val="000000"/>
          <w:sz w:val="28"/>
        </w:rPr>
        <w:t>
      2.4.5. Уполномоченное лицо держателя регистрационного удостоверения в государстве - члене Евразийского экономического союза для осуществления фармаконадзора, если оно отличается от указанного в пункте 2.4.4 настоящего заявления:</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680"/>
          <w:p>
            <w:pPr>
              <w:spacing w:after="20"/>
              <w:ind w:left="20"/>
              <w:jc w:val="both"/>
            </w:pPr>
            <w:r>
              <w:rPr>
                <w:rFonts w:ascii="Times New Roman"/>
                <w:b w:val="false"/>
                <w:i w:val="false"/>
                <w:color w:val="000000"/>
                <w:sz w:val="20"/>
              </w:rPr>
              <w:t xml:space="preserve">
фамилия, имя, отчество уполномоченного лица держателя регистрационного удостоверения, ответственного за фармаконадзор </w:t>
            </w:r>
          </w:p>
          <w:bookmarkEnd w:id="1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681"/>
          <w:p>
            <w:pPr>
              <w:spacing w:after="20"/>
              <w:ind w:left="20"/>
              <w:jc w:val="both"/>
            </w:pPr>
            <w:r>
              <w:rPr>
                <w:rFonts w:ascii="Times New Roman"/>
                <w:b w:val="false"/>
                <w:i w:val="false"/>
                <w:color w:val="000000"/>
                <w:sz w:val="20"/>
              </w:rPr>
              <w:t xml:space="preserve">
наименование юридического лица (держателя регистрационного удостоверения) </w:t>
            </w:r>
          </w:p>
          <w:bookmarkEnd w:id="1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682"/>
          <w:p>
            <w:pPr>
              <w:spacing w:after="20"/>
              <w:ind w:left="20"/>
              <w:jc w:val="both"/>
            </w:pPr>
            <w:r>
              <w:rPr>
                <w:rFonts w:ascii="Times New Roman"/>
                <w:b w:val="false"/>
                <w:i w:val="false"/>
                <w:color w:val="000000"/>
                <w:sz w:val="20"/>
              </w:rPr>
              <w:t xml:space="preserve">
адрес юридического лица </w:t>
            </w:r>
          </w:p>
          <w:bookmarkEnd w:id="1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683"/>
          <w:p>
            <w:pPr>
              <w:spacing w:after="20"/>
              <w:ind w:left="20"/>
              <w:jc w:val="both"/>
            </w:pPr>
            <w:r>
              <w:rPr>
                <w:rFonts w:ascii="Times New Roman"/>
                <w:b w:val="false"/>
                <w:i w:val="false"/>
                <w:color w:val="000000"/>
                <w:sz w:val="20"/>
              </w:rPr>
              <w:t xml:space="preserve">
государство </w:t>
            </w:r>
          </w:p>
          <w:bookmarkEnd w:id="1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684"/>
          <w:p>
            <w:pPr>
              <w:spacing w:after="20"/>
              <w:ind w:left="20"/>
              <w:jc w:val="both"/>
            </w:pPr>
            <w:r>
              <w:rPr>
                <w:rFonts w:ascii="Times New Roman"/>
                <w:b w:val="false"/>
                <w:i w:val="false"/>
                <w:color w:val="000000"/>
                <w:sz w:val="20"/>
              </w:rPr>
              <w:t xml:space="preserve">
номера круглосуточного телефона и факса </w:t>
            </w:r>
          </w:p>
          <w:bookmarkEnd w:id="1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685"/>
          <w:p>
            <w:pPr>
              <w:spacing w:after="20"/>
              <w:ind w:left="20"/>
              <w:jc w:val="both"/>
            </w:pPr>
            <w:r>
              <w:rPr>
                <w:rFonts w:ascii="Times New Roman"/>
                <w:b w:val="false"/>
                <w:i w:val="false"/>
                <w:color w:val="000000"/>
                <w:sz w:val="20"/>
              </w:rPr>
              <w:t xml:space="preserve">
адрес электронной почты </w:t>
            </w:r>
          </w:p>
          <w:bookmarkEnd w:id="1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686"/>
    <w:p>
      <w:pPr>
        <w:spacing w:after="0"/>
        <w:ind w:left="0"/>
        <w:jc w:val="both"/>
      </w:pPr>
      <w:r>
        <w:rPr>
          <w:rFonts w:ascii="Times New Roman"/>
          <w:b w:val="false"/>
          <w:i w:val="false"/>
          <w:color w:val="000000"/>
          <w:sz w:val="28"/>
        </w:rPr>
        <w:t>
      Укажите место регистрации и фактическое место жительства контактного лица по фармаконадзору в государстве - члене Евразийского экономического союза, номер его телефона.</w:t>
      </w:r>
    </w:p>
    <w:bookmarkEnd w:id="1686"/>
    <w:bookmarkStart w:name="z1606" w:id="1687"/>
    <w:p>
      <w:pPr>
        <w:spacing w:after="0"/>
        <w:ind w:left="0"/>
        <w:jc w:val="both"/>
      </w:pPr>
      <w:r>
        <w:rPr>
          <w:rFonts w:ascii="Times New Roman"/>
          <w:b w:val="false"/>
          <w:i w:val="false"/>
          <w:color w:val="000000"/>
          <w:sz w:val="28"/>
        </w:rPr>
        <w:t>
       2.5. Производитель лекарственного препарата</w:t>
      </w:r>
    </w:p>
    <w:bookmarkEnd w:id="1687"/>
    <w:bookmarkStart w:name="z1607" w:id="1688"/>
    <w:p>
      <w:pPr>
        <w:spacing w:after="0"/>
        <w:ind w:left="0"/>
        <w:jc w:val="both"/>
      </w:pPr>
      <w:r>
        <w:rPr>
          <w:rFonts w:ascii="Times New Roman"/>
          <w:b w:val="false"/>
          <w:i w:val="false"/>
          <w:color w:val="000000"/>
          <w:sz w:val="28"/>
        </w:rPr>
        <w:t>
       2.5.1. Производитель, который отвечает за выпускающий контроль качества серий лекарственного препарата (как указано в общей характеристике лекарственного препарата, листке-вкладыше и при необходимости на вторичной (потребительской) упаковке)</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689"/>
          <w:p>
            <w:pPr>
              <w:spacing w:after="20"/>
              <w:ind w:left="20"/>
              <w:jc w:val="both"/>
            </w:pPr>
            <w:r>
              <w:rPr>
                <w:rFonts w:ascii="Times New Roman"/>
                <w:b w:val="false"/>
                <w:i w:val="false"/>
                <w:color w:val="000000"/>
                <w:sz w:val="20"/>
              </w:rPr>
              <w:t xml:space="preserve">
наименование юридического лица </w:t>
            </w:r>
          </w:p>
          <w:bookmarkEnd w:id="1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690"/>
          <w:p>
            <w:pPr>
              <w:spacing w:after="20"/>
              <w:ind w:left="20"/>
              <w:jc w:val="both"/>
            </w:pPr>
            <w:r>
              <w:rPr>
                <w:rFonts w:ascii="Times New Roman"/>
                <w:b w:val="false"/>
                <w:i w:val="false"/>
                <w:color w:val="000000"/>
                <w:sz w:val="20"/>
              </w:rPr>
              <w:t xml:space="preserve">
адрес места осуществления деятельности </w:t>
            </w:r>
          </w:p>
          <w:bookmarkEnd w:id="1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691"/>
          <w:p>
            <w:pPr>
              <w:spacing w:after="20"/>
              <w:ind w:left="20"/>
              <w:jc w:val="both"/>
            </w:pPr>
            <w:r>
              <w:rPr>
                <w:rFonts w:ascii="Times New Roman"/>
                <w:b w:val="false"/>
                <w:i w:val="false"/>
                <w:color w:val="000000"/>
                <w:sz w:val="20"/>
              </w:rPr>
              <w:t xml:space="preserve">
государство </w:t>
            </w:r>
          </w:p>
          <w:bookmarkEnd w:id="1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692"/>
          <w:p>
            <w:pPr>
              <w:spacing w:after="20"/>
              <w:ind w:left="20"/>
              <w:jc w:val="both"/>
            </w:pPr>
            <w:r>
              <w:rPr>
                <w:rFonts w:ascii="Times New Roman"/>
                <w:b w:val="false"/>
                <w:i w:val="false"/>
                <w:color w:val="000000"/>
                <w:sz w:val="20"/>
              </w:rPr>
              <w:t xml:space="preserve">
номера телефона и факса (при наличии) </w:t>
            </w:r>
          </w:p>
          <w:bookmarkEnd w:id="1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693"/>
          <w:p>
            <w:pPr>
              <w:spacing w:after="20"/>
              <w:ind w:left="20"/>
              <w:jc w:val="both"/>
            </w:pPr>
            <w:r>
              <w:rPr>
                <w:rFonts w:ascii="Times New Roman"/>
                <w:b w:val="false"/>
                <w:i w:val="false"/>
                <w:color w:val="000000"/>
                <w:sz w:val="20"/>
              </w:rPr>
              <w:t xml:space="preserve">
адрес электронной почты </w:t>
            </w:r>
          </w:p>
          <w:bookmarkEnd w:id="1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3" w:id="1694"/>
    <w:p>
      <w:pPr>
        <w:spacing w:after="0"/>
        <w:ind w:left="0"/>
        <w:jc w:val="both"/>
      </w:pPr>
      <w:r>
        <w:rPr>
          <w:rFonts w:ascii="Times New Roman"/>
          <w:b w:val="false"/>
          <w:i w:val="false"/>
          <w:color w:val="000000"/>
          <w:sz w:val="28"/>
        </w:rPr>
        <w:t>
      2.5.2. Лаборатория страны-производителя по контролю качества препаратов крови и вакцин, ответственная за контроль качества (выпуск) серии</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695"/>
          <w:p>
            <w:pPr>
              <w:spacing w:after="20"/>
              <w:ind w:left="20"/>
              <w:jc w:val="both"/>
            </w:pPr>
            <w:r>
              <w:rPr>
                <w:rFonts w:ascii="Times New Roman"/>
                <w:b w:val="false"/>
                <w:i w:val="false"/>
                <w:color w:val="000000"/>
                <w:sz w:val="20"/>
              </w:rPr>
              <w:t xml:space="preserve">
наименование лаборатории </w:t>
            </w:r>
          </w:p>
          <w:bookmarkEnd w:id="1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696"/>
          <w:p>
            <w:pPr>
              <w:spacing w:after="20"/>
              <w:ind w:left="20"/>
              <w:jc w:val="both"/>
            </w:pPr>
            <w:r>
              <w:rPr>
                <w:rFonts w:ascii="Times New Roman"/>
                <w:b w:val="false"/>
                <w:i w:val="false"/>
                <w:color w:val="000000"/>
                <w:sz w:val="20"/>
              </w:rPr>
              <w:t xml:space="preserve">
адрес места осуществления деятельности </w:t>
            </w:r>
          </w:p>
          <w:bookmarkEnd w:id="1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97"/>
          <w:p>
            <w:pPr>
              <w:spacing w:after="20"/>
              <w:ind w:left="20"/>
              <w:jc w:val="both"/>
            </w:pPr>
            <w:r>
              <w:rPr>
                <w:rFonts w:ascii="Times New Roman"/>
                <w:b w:val="false"/>
                <w:i w:val="false"/>
                <w:color w:val="000000"/>
                <w:sz w:val="20"/>
              </w:rPr>
              <w:t xml:space="preserve">
государство </w:t>
            </w:r>
          </w:p>
          <w:bookmarkEnd w:id="1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698"/>
          <w:p>
            <w:pPr>
              <w:spacing w:after="20"/>
              <w:ind w:left="20"/>
              <w:jc w:val="both"/>
            </w:pPr>
            <w:r>
              <w:rPr>
                <w:rFonts w:ascii="Times New Roman"/>
                <w:b w:val="false"/>
                <w:i w:val="false"/>
                <w:color w:val="000000"/>
                <w:sz w:val="20"/>
              </w:rPr>
              <w:t xml:space="preserve">
номера телефона и факса (при наличии) </w:t>
            </w:r>
          </w:p>
          <w:bookmarkEnd w:id="1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699"/>
          <w:p>
            <w:pPr>
              <w:spacing w:after="20"/>
              <w:ind w:left="20"/>
              <w:jc w:val="both"/>
            </w:pPr>
            <w:r>
              <w:rPr>
                <w:rFonts w:ascii="Times New Roman"/>
                <w:b w:val="false"/>
                <w:i w:val="false"/>
                <w:color w:val="000000"/>
                <w:sz w:val="20"/>
              </w:rPr>
              <w:t xml:space="preserve">
адрес электронной почты </w:t>
            </w:r>
          </w:p>
          <w:bookmarkEnd w:id="1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9" w:id="1700"/>
    <w:p>
      <w:pPr>
        <w:spacing w:after="0"/>
        <w:ind w:left="0"/>
        <w:jc w:val="both"/>
      </w:pPr>
      <w:r>
        <w:rPr>
          <w:rFonts w:ascii="Times New Roman"/>
          <w:b w:val="false"/>
          <w:i w:val="false"/>
          <w:color w:val="000000"/>
          <w:sz w:val="28"/>
        </w:rPr>
        <w:t>
      2.5.3. Организация, ответственная за работу с рекламациями в рамках Евразийского экономического союза (для каждого государства (при наличии))</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701"/>
          <w:p>
            <w:pPr>
              <w:spacing w:after="20"/>
              <w:ind w:left="20"/>
              <w:jc w:val="both"/>
            </w:pPr>
            <w:r>
              <w:rPr>
                <w:rFonts w:ascii="Times New Roman"/>
                <w:b w:val="false"/>
                <w:i w:val="false"/>
                <w:color w:val="000000"/>
                <w:sz w:val="20"/>
              </w:rPr>
              <w:t xml:space="preserve">
наименование юридического лица </w:t>
            </w:r>
          </w:p>
          <w:bookmarkEnd w:id="1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702"/>
          <w:p>
            <w:pPr>
              <w:spacing w:after="20"/>
              <w:ind w:left="20"/>
              <w:jc w:val="both"/>
            </w:pPr>
            <w:r>
              <w:rPr>
                <w:rFonts w:ascii="Times New Roman"/>
                <w:b w:val="false"/>
                <w:i w:val="false"/>
                <w:color w:val="000000"/>
                <w:sz w:val="20"/>
              </w:rPr>
              <w:t xml:space="preserve">
местонахождение юридического лица </w:t>
            </w:r>
          </w:p>
          <w:bookmarkEnd w:id="1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703"/>
          <w:p>
            <w:pPr>
              <w:spacing w:after="20"/>
              <w:ind w:left="20"/>
              <w:jc w:val="both"/>
            </w:pPr>
            <w:r>
              <w:rPr>
                <w:rFonts w:ascii="Times New Roman"/>
                <w:b w:val="false"/>
                <w:i w:val="false"/>
                <w:color w:val="000000"/>
                <w:sz w:val="20"/>
              </w:rPr>
              <w:t xml:space="preserve">
страна </w:t>
            </w:r>
          </w:p>
          <w:bookmarkEnd w:id="1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704"/>
          <w:p>
            <w:pPr>
              <w:spacing w:after="20"/>
              <w:ind w:left="20"/>
              <w:jc w:val="both"/>
            </w:pPr>
            <w:r>
              <w:rPr>
                <w:rFonts w:ascii="Times New Roman"/>
                <w:b w:val="false"/>
                <w:i w:val="false"/>
                <w:color w:val="000000"/>
                <w:sz w:val="20"/>
              </w:rPr>
              <w:t xml:space="preserve">
номера круглосуточного телефона и факса </w:t>
            </w:r>
          </w:p>
          <w:bookmarkEnd w:id="1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705"/>
          <w:p>
            <w:pPr>
              <w:spacing w:after="20"/>
              <w:ind w:left="20"/>
              <w:jc w:val="both"/>
            </w:pPr>
            <w:r>
              <w:rPr>
                <w:rFonts w:ascii="Times New Roman"/>
                <w:b w:val="false"/>
                <w:i w:val="false"/>
                <w:color w:val="000000"/>
                <w:sz w:val="20"/>
              </w:rPr>
              <w:t xml:space="preserve">
адрес электронной почты </w:t>
            </w:r>
          </w:p>
          <w:bookmarkEnd w:id="1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5" w:id="1706"/>
    <w:p>
      <w:pPr>
        <w:spacing w:after="0"/>
        <w:ind w:left="0"/>
        <w:jc w:val="both"/>
      </w:pPr>
      <w:r>
        <w:rPr>
          <w:rFonts w:ascii="Times New Roman"/>
          <w:b w:val="false"/>
          <w:i w:val="false"/>
          <w:color w:val="000000"/>
          <w:sz w:val="28"/>
        </w:rPr>
        <w:t>
      2.5.4. Производитель лекарственного препарата и производственные площадки</w:t>
      </w:r>
    </w:p>
    <w:bookmarkEnd w:id="1706"/>
    <w:bookmarkStart w:name="z1626" w:id="1707"/>
    <w:p>
      <w:pPr>
        <w:spacing w:after="0"/>
        <w:ind w:left="0"/>
        <w:jc w:val="both"/>
      </w:pPr>
      <w:r>
        <w:rPr>
          <w:rFonts w:ascii="Times New Roman"/>
          <w:b w:val="false"/>
          <w:i w:val="false"/>
          <w:color w:val="000000"/>
          <w:sz w:val="28"/>
        </w:rPr>
        <w:t>
      Все производственные площадки, участвующие в процессе производства лекарственного препарата (включая растворители) с указанием стадий производственного процесса:</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708"/>
          <w:p>
            <w:pPr>
              <w:spacing w:after="20"/>
              <w:ind w:left="20"/>
              <w:jc w:val="both"/>
            </w:pPr>
            <w:r>
              <w:rPr>
                <w:rFonts w:ascii="Times New Roman"/>
                <w:b w:val="false"/>
                <w:i w:val="false"/>
                <w:color w:val="000000"/>
                <w:sz w:val="20"/>
              </w:rPr>
              <w:t xml:space="preserve">
наименование стадии производственного процесса *, наименование юридического лица * </w:t>
            </w:r>
          </w:p>
          <w:bookmarkEnd w:id="1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709"/>
          <w:p>
            <w:pPr>
              <w:spacing w:after="20"/>
              <w:ind w:left="20"/>
              <w:jc w:val="both"/>
            </w:pPr>
            <w:r>
              <w:rPr>
                <w:rFonts w:ascii="Times New Roman"/>
                <w:b w:val="false"/>
                <w:i w:val="false"/>
                <w:color w:val="000000"/>
                <w:sz w:val="20"/>
              </w:rPr>
              <w:t xml:space="preserve">
адрес места осуществления деятельности * </w:t>
            </w:r>
          </w:p>
          <w:bookmarkEnd w:id="1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710"/>
          <w:p>
            <w:pPr>
              <w:spacing w:after="20"/>
              <w:ind w:left="20"/>
              <w:jc w:val="both"/>
            </w:pPr>
            <w:r>
              <w:rPr>
                <w:rFonts w:ascii="Times New Roman"/>
                <w:b w:val="false"/>
                <w:i w:val="false"/>
                <w:color w:val="000000"/>
                <w:sz w:val="20"/>
              </w:rPr>
              <w:t xml:space="preserve">
государство * </w:t>
            </w:r>
          </w:p>
          <w:bookmarkEnd w:id="1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711"/>
          <w:p>
            <w:pPr>
              <w:spacing w:after="20"/>
              <w:ind w:left="20"/>
              <w:jc w:val="both"/>
            </w:pPr>
            <w:r>
              <w:rPr>
                <w:rFonts w:ascii="Times New Roman"/>
                <w:b w:val="false"/>
                <w:i w:val="false"/>
                <w:color w:val="000000"/>
                <w:sz w:val="20"/>
              </w:rPr>
              <w:t xml:space="preserve">
номер телефона и факса (при наличии) * </w:t>
            </w:r>
          </w:p>
          <w:bookmarkEnd w:id="1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712"/>
          <w:p>
            <w:pPr>
              <w:spacing w:after="20"/>
              <w:ind w:left="20"/>
              <w:jc w:val="both"/>
            </w:pPr>
            <w:r>
              <w:rPr>
                <w:rFonts w:ascii="Times New Roman"/>
                <w:b w:val="false"/>
                <w:i w:val="false"/>
                <w:color w:val="000000"/>
                <w:sz w:val="20"/>
              </w:rPr>
              <w:t xml:space="preserve">
адрес электронной почты * </w:t>
            </w:r>
          </w:p>
          <w:bookmarkEnd w:id="1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2" w:id="1713"/>
    <w:p>
      <w:pPr>
        <w:spacing w:after="0"/>
        <w:ind w:left="0"/>
        <w:jc w:val="both"/>
      </w:pPr>
      <w:r>
        <w:rPr>
          <w:rFonts w:ascii="Times New Roman"/>
          <w:b w:val="false"/>
          <w:i w:val="false"/>
          <w:color w:val="000000"/>
          <w:sz w:val="28"/>
        </w:rPr>
        <w:t xml:space="preserve">
      * Указанные поля заполняются для каждой стадии производственного процесса (приложите схему, включающую последовательность и действия для различных производственных площадок, вовлеченных в процесс производства, включая выпускающий контроль). </w:t>
      </w:r>
    </w:p>
    <w:bookmarkEnd w:id="1713"/>
    <w:bookmarkStart w:name="z1633" w:id="1714"/>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Евразийского экономического союза уполномоченным органом государства - члена Евразийского экономического союза:</w:t>
      </w:r>
    </w:p>
    <w:bookmarkEnd w:id="17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34" w:id="1715"/>
          <w:p>
            <w:pPr>
              <w:spacing w:after="20"/>
              <w:ind w:left="20"/>
              <w:jc w:val="both"/>
            </w:pPr>
          </w:p>
          <w:bookmarkEnd w:id="1715"/>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635" w:id="1716"/>
    <w:p>
      <w:pPr>
        <w:spacing w:after="0"/>
        <w:ind w:left="0"/>
        <w:jc w:val="both"/>
      </w:pPr>
      <w:r>
        <w:rPr>
          <w:rFonts w:ascii="Times New Roman"/>
          <w:b w:val="false"/>
          <w:i w:val="false"/>
          <w:color w:val="000000"/>
          <w:sz w:val="28"/>
        </w:rPr>
        <w:t>
       Если да, укажите:</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717"/>
          <w:p>
            <w:pPr>
              <w:spacing w:after="20"/>
              <w:ind w:left="20"/>
              <w:jc w:val="both"/>
            </w:pPr>
            <w:r>
              <w:rPr>
                <w:rFonts w:ascii="Times New Roman"/>
                <w:b w:val="false"/>
                <w:i w:val="false"/>
                <w:color w:val="000000"/>
                <w:sz w:val="20"/>
              </w:rPr>
              <w:t xml:space="preserve">
дата последней инспекции </w:t>
            </w:r>
          </w:p>
          <w:bookmarkEnd w:id="1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718"/>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1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719"/>
          <w:p>
            <w:pPr>
              <w:spacing w:after="20"/>
              <w:ind w:left="20"/>
              <w:jc w:val="both"/>
            </w:pPr>
            <w:r>
              <w:rPr>
                <w:rFonts w:ascii="Times New Roman"/>
                <w:b w:val="false"/>
                <w:i w:val="false"/>
                <w:color w:val="000000"/>
                <w:sz w:val="20"/>
              </w:rPr>
              <w:t xml:space="preserve">
вид инспекции </w:t>
            </w:r>
          </w:p>
          <w:bookmarkEnd w:id="1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720"/>
          <w:p>
            <w:pPr>
              <w:spacing w:after="20"/>
              <w:ind w:left="20"/>
              <w:jc w:val="both"/>
            </w:pPr>
            <w:r>
              <w:rPr>
                <w:rFonts w:ascii="Times New Roman"/>
                <w:b w:val="false"/>
                <w:i w:val="false"/>
                <w:color w:val="000000"/>
                <w:sz w:val="20"/>
              </w:rPr>
              <w:t xml:space="preserve">
категория проверяемых лекарственных препаратов и АФС </w:t>
            </w:r>
          </w:p>
          <w:bookmarkEnd w:id="1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721"/>
          <w:p>
            <w:pPr>
              <w:spacing w:after="20"/>
              <w:ind w:left="20"/>
              <w:jc w:val="both"/>
            </w:pPr>
            <w:r>
              <w:rPr>
                <w:rFonts w:ascii="Times New Roman"/>
                <w:b w:val="false"/>
                <w:i w:val="false"/>
                <w:color w:val="000000"/>
                <w:sz w:val="20"/>
              </w:rPr>
              <w:t xml:space="preserve">
заключение </w:t>
            </w:r>
          </w:p>
          <w:bookmarkEnd w:id="1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tc>
      </w:tr>
    </w:tbl>
    <w:bookmarkStart w:name="z1641" w:id="1722"/>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уполномоченным органом другого государства:</w:t>
      </w:r>
    </w:p>
    <w:bookmarkEnd w:id="17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42" w:id="1723"/>
          <w:p>
            <w:pPr>
              <w:spacing w:after="20"/>
              <w:ind w:left="20"/>
              <w:jc w:val="both"/>
            </w:pPr>
          </w:p>
          <w:bookmarkEnd w:id="1723"/>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643" w:id="1724"/>
    <w:p>
      <w:pPr>
        <w:spacing w:after="0"/>
        <w:ind w:left="0"/>
        <w:jc w:val="both"/>
      </w:pPr>
      <w:r>
        <w:rPr>
          <w:rFonts w:ascii="Times New Roman"/>
          <w:b w:val="false"/>
          <w:i w:val="false"/>
          <w:color w:val="000000"/>
          <w:sz w:val="28"/>
        </w:rPr>
        <w:t>
      Если да, укажите:</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725"/>
          <w:p>
            <w:pPr>
              <w:spacing w:after="20"/>
              <w:ind w:left="20"/>
              <w:jc w:val="both"/>
            </w:pPr>
            <w:r>
              <w:rPr>
                <w:rFonts w:ascii="Times New Roman"/>
                <w:b w:val="false"/>
                <w:i w:val="false"/>
                <w:color w:val="000000"/>
                <w:sz w:val="20"/>
              </w:rPr>
              <w:t xml:space="preserve">
дата последней инспекции </w:t>
            </w:r>
          </w:p>
          <w:bookmarkEnd w:id="1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726"/>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1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727"/>
          <w:p>
            <w:pPr>
              <w:spacing w:after="20"/>
              <w:ind w:left="20"/>
              <w:jc w:val="both"/>
            </w:pPr>
            <w:r>
              <w:rPr>
                <w:rFonts w:ascii="Times New Roman"/>
                <w:b w:val="false"/>
                <w:i w:val="false"/>
                <w:color w:val="000000"/>
                <w:sz w:val="20"/>
              </w:rPr>
              <w:t xml:space="preserve">
вид инспекции </w:t>
            </w:r>
          </w:p>
          <w:bookmarkEnd w:id="1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728"/>
          <w:p>
            <w:pPr>
              <w:spacing w:after="20"/>
              <w:ind w:left="20"/>
              <w:jc w:val="both"/>
            </w:pPr>
            <w:r>
              <w:rPr>
                <w:rFonts w:ascii="Times New Roman"/>
                <w:b w:val="false"/>
                <w:i w:val="false"/>
                <w:color w:val="000000"/>
                <w:sz w:val="20"/>
              </w:rPr>
              <w:t xml:space="preserve">
категория проверяемых лекарственных препаратов и АФС </w:t>
            </w:r>
          </w:p>
          <w:bookmarkEnd w:id="1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729"/>
          <w:p>
            <w:pPr>
              <w:spacing w:after="20"/>
              <w:ind w:left="20"/>
              <w:jc w:val="both"/>
            </w:pPr>
            <w:r>
              <w:rPr>
                <w:rFonts w:ascii="Times New Roman"/>
                <w:b w:val="false"/>
                <w:i w:val="false"/>
                <w:color w:val="000000"/>
                <w:sz w:val="20"/>
              </w:rPr>
              <w:t xml:space="preserve">
заключение </w:t>
            </w:r>
          </w:p>
          <w:bookmarkEnd w:id="1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tc>
      </w:tr>
    </w:tbl>
    <w:bookmarkStart w:name="z1649" w:id="1730"/>
    <w:p>
      <w:pPr>
        <w:spacing w:after="0"/>
        <w:ind w:left="0"/>
        <w:jc w:val="both"/>
      </w:pPr>
      <w:r>
        <w:rPr>
          <w:rFonts w:ascii="Times New Roman"/>
          <w:b w:val="false"/>
          <w:i w:val="false"/>
          <w:color w:val="000000"/>
          <w:sz w:val="28"/>
        </w:rPr>
        <w:t>
      2.5.5. Производитель АФС и производственные площадки</w:t>
      </w:r>
    </w:p>
    <w:bookmarkEnd w:id="1730"/>
    <w:bookmarkStart w:name="z1650" w:id="1731"/>
    <w:p>
      <w:pPr>
        <w:spacing w:after="0"/>
        <w:ind w:left="0"/>
        <w:jc w:val="both"/>
      </w:pPr>
      <w:r>
        <w:rPr>
          <w:rFonts w:ascii="Times New Roman"/>
          <w:b w:val="false"/>
          <w:i w:val="false"/>
          <w:color w:val="000000"/>
          <w:sz w:val="28"/>
        </w:rPr>
        <w:t>
      Все производственные площадки, участвующие в процессе производства каждой АФС с указанием этапа производства. Для биологических лекарственных препаратов должны быть перечислены все площадки, осуществляющие хранение главного и рабочего банков клеток, и площадки, осуществляющие приготовление рабочего банка клеток:</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732"/>
          <w:p>
            <w:pPr>
              <w:spacing w:after="20"/>
              <w:ind w:left="20"/>
              <w:jc w:val="both"/>
            </w:pPr>
            <w:r>
              <w:rPr>
                <w:rFonts w:ascii="Times New Roman"/>
                <w:b w:val="false"/>
                <w:i w:val="false"/>
                <w:color w:val="000000"/>
                <w:sz w:val="20"/>
              </w:rPr>
              <w:t xml:space="preserve">
наименование стадии производственного процесса, активная фармацевтическая субстанция </w:t>
            </w:r>
          </w:p>
          <w:bookmarkEnd w:id="1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733"/>
          <w:p>
            <w:pPr>
              <w:spacing w:after="20"/>
              <w:ind w:left="20"/>
              <w:jc w:val="both"/>
            </w:pPr>
            <w:r>
              <w:rPr>
                <w:rFonts w:ascii="Times New Roman"/>
                <w:b w:val="false"/>
                <w:i w:val="false"/>
                <w:color w:val="000000"/>
                <w:sz w:val="20"/>
              </w:rPr>
              <w:t xml:space="preserve">
наименование юридического лица, фамилия, имя, отчество физического лица - индивидуального предпринимателя </w:t>
            </w:r>
          </w:p>
          <w:bookmarkEnd w:id="1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734"/>
          <w:p>
            <w:pPr>
              <w:spacing w:after="20"/>
              <w:ind w:left="20"/>
              <w:jc w:val="both"/>
            </w:pPr>
            <w:r>
              <w:rPr>
                <w:rFonts w:ascii="Times New Roman"/>
                <w:b w:val="false"/>
                <w:i w:val="false"/>
                <w:color w:val="000000"/>
                <w:sz w:val="20"/>
              </w:rPr>
              <w:t xml:space="preserve">
адрес места осуществления деятельности </w:t>
            </w:r>
          </w:p>
          <w:bookmarkEnd w:id="1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735"/>
          <w:p>
            <w:pPr>
              <w:spacing w:after="20"/>
              <w:ind w:left="20"/>
              <w:jc w:val="both"/>
            </w:pPr>
            <w:r>
              <w:rPr>
                <w:rFonts w:ascii="Times New Roman"/>
                <w:b w:val="false"/>
                <w:i w:val="false"/>
                <w:color w:val="000000"/>
                <w:sz w:val="20"/>
              </w:rPr>
              <w:t xml:space="preserve">
государство </w:t>
            </w:r>
          </w:p>
          <w:bookmarkEnd w:id="1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736"/>
          <w:p>
            <w:pPr>
              <w:spacing w:after="20"/>
              <w:ind w:left="20"/>
              <w:jc w:val="both"/>
            </w:pPr>
            <w:r>
              <w:rPr>
                <w:rFonts w:ascii="Times New Roman"/>
                <w:b w:val="false"/>
                <w:i w:val="false"/>
                <w:color w:val="000000"/>
                <w:sz w:val="20"/>
              </w:rPr>
              <w:t xml:space="preserve">
номера телефона и факса (при наличии) </w:t>
            </w:r>
          </w:p>
          <w:bookmarkEnd w:id="1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737"/>
          <w:p>
            <w:pPr>
              <w:spacing w:after="20"/>
              <w:ind w:left="20"/>
              <w:jc w:val="both"/>
            </w:pPr>
            <w:r>
              <w:rPr>
                <w:rFonts w:ascii="Times New Roman"/>
                <w:b w:val="false"/>
                <w:i w:val="false"/>
                <w:color w:val="000000"/>
                <w:sz w:val="20"/>
              </w:rPr>
              <w:t xml:space="preserve">
адрес электронной почты </w:t>
            </w:r>
          </w:p>
          <w:bookmarkEnd w:id="1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7" w:id="1738"/>
    <w:p>
      <w:pPr>
        <w:spacing w:after="0"/>
        <w:ind w:left="0"/>
        <w:jc w:val="both"/>
      </w:pPr>
      <w:r>
        <w:rPr>
          <w:rFonts w:ascii="Times New Roman"/>
          <w:b w:val="false"/>
          <w:i w:val="false"/>
          <w:color w:val="000000"/>
          <w:sz w:val="28"/>
        </w:rPr>
        <w:t>
      Для каждой АФС приложите заявление уполномоченного лица производителя согласно пункту 4.5 приложения к настоящему заявлению (приложите схему, включающую последовательность и действия для различных производственных площадок, вовлеченных в процесс производства, включая выпускающий контроль).</w:t>
      </w:r>
    </w:p>
    <w:bookmarkEnd w:id="1738"/>
    <w:bookmarkStart w:name="z1658" w:id="1739"/>
    <w:p>
      <w:pPr>
        <w:spacing w:after="0"/>
        <w:ind w:left="0"/>
        <w:jc w:val="both"/>
      </w:pPr>
      <w:r>
        <w:rPr>
          <w:rFonts w:ascii="Times New Roman"/>
          <w:b w:val="false"/>
          <w:i w:val="false"/>
          <w:color w:val="000000"/>
          <w:sz w:val="28"/>
        </w:rPr>
        <w:t>
      Проводилась ли инспекция площадки АФС на соблюдение требований правил надлежащей производственной практики Евразийского экономического союза уполномоченным органом государства-члена Евразийского экономического союза:</w:t>
      </w:r>
    </w:p>
    <w:bookmarkEnd w:id="17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59" w:id="1740"/>
          <w:p>
            <w:pPr>
              <w:spacing w:after="20"/>
              <w:ind w:left="20"/>
              <w:jc w:val="both"/>
            </w:pPr>
          </w:p>
          <w:bookmarkEnd w:id="174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660" w:id="1741"/>
    <w:p>
      <w:pPr>
        <w:spacing w:after="0"/>
        <w:ind w:left="0"/>
        <w:jc w:val="both"/>
      </w:pPr>
      <w:r>
        <w:rPr>
          <w:rFonts w:ascii="Times New Roman"/>
          <w:b w:val="false"/>
          <w:i w:val="false"/>
          <w:color w:val="000000"/>
          <w:sz w:val="28"/>
        </w:rPr>
        <w:t>
      Выдан ли сертификат соответствия монографии Европейской фармакопеи для АФС:</w:t>
      </w:r>
    </w:p>
    <w:bookmarkEnd w:id="17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1" w:id="1742"/>
          <w:p>
            <w:pPr>
              <w:spacing w:after="20"/>
              <w:ind w:left="20"/>
              <w:jc w:val="both"/>
            </w:pPr>
          </w:p>
          <w:bookmarkEnd w:id="1742"/>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743"/>
          <w:p>
            <w:pPr>
              <w:spacing w:after="20"/>
              <w:ind w:left="20"/>
              <w:jc w:val="both"/>
            </w:pPr>
            <w:r>
              <w:rPr>
                <w:rFonts w:ascii="Times New Roman"/>
                <w:b w:val="false"/>
                <w:i w:val="false"/>
                <w:color w:val="000000"/>
                <w:sz w:val="20"/>
              </w:rPr>
              <w:t xml:space="preserve">
Если да: </w:t>
            </w:r>
          </w:p>
          <w:bookmarkEnd w:id="1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744"/>
          <w:p>
            <w:pPr>
              <w:spacing w:after="20"/>
              <w:ind w:left="20"/>
              <w:jc w:val="both"/>
            </w:pPr>
            <w:r>
              <w:rPr>
                <w:rFonts w:ascii="Times New Roman"/>
                <w:b w:val="false"/>
                <w:i w:val="false"/>
                <w:color w:val="000000"/>
                <w:sz w:val="20"/>
              </w:rPr>
              <w:t xml:space="preserve">
наименование активной фармацевтической субстанции </w:t>
            </w:r>
          </w:p>
          <w:bookmarkEnd w:id="1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745"/>
          <w:p>
            <w:pPr>
              <w:spacing w:after="20"/>
              <w:ind w:left="20"/>
              <w:jc w:val="both"/>
            </w:pPr>
            <w:r>
              <w:rPr>
                <w:rFonts w:ascii="Times New Roman"/>
                <w:b w:val="false"/>
                <w:i w:val="false"/>
                <w:color w:val="000000"/>
                <w:sz w:val="20"/>
              </w:rPr>
              <w:t xml:space="preserve">
наименование юридического лица или фамилия, имя, отчество физического лица - предпринимателя (производителя) </w:t>
            </w:r>
          </w:p>
          <w:bookmarkEnd w:id="1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746"/>
          <w:p>
            <w:pPr>
              <w:spacing w:after="20"/>
              <w:ind w:left="20"/>
              <w:jc w:val="both"/>
            </w:pPr>
            <w:r>
              <w:rPr>
                <w:rFonts w:ascii="Times New Roman"/>
                <w:b w:val="false"/>
                <w:i w:val="false"/>
                <w:color w:val="000000"/>
                <w:sz w:val="20"/>
              </w:rPr>
              <w:t xml:space="preserve">
номер сертификата соответствия </w:t>
            </w:r>
          </w:p>
          <w:bookmarkEnd w:id="1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747"/>
          <w:p>
            <w:pPr>
              <w:spacing w:after="20"/>
              <w:ind w:left="20"/>
              <w:jc w:val="both"/>
            </w:pPr>
            <w:r>
              <w:rPr>
                <w:rFonts w:ascii="Times New Roman"/>
                <w:b w:val="false"/>
                <w:i w:val="false"/>
                <w:color w:val="000000"/>
                <w:sz w:val="20"/>
              </w:rPr>
              <w:t xml:space="preserve">
дата последнего пересмотра </w:t>
            </w:r>
          </w:p>
          <w:bookmarkEnd w:id="1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7" w:id="1748"/>
    <w:p>
      <w:pPr>
        <w:spacing w:after="0"/>
        <w:ind w:left="0"/>
        <w:jc w:val="both"/>
      </w:pPr>
      <w:r>
        <w:rPr>
          <w:rFonts w:ascii="Times New Roman"/>
          <w:b w:val="false"/>
          <w:i w:val="false"/>
          <w:color w:val="000000"/>
          <w:sz w:val="28"/>
        </w:rPr>
        <w:t>
      Проводилась ли инспекция площадки АФС на соблюдение требований надлежащей производственной практики уполномоченным органом другого государства:</w:t>
      </w:r>
    </w:p>
    <w:bookmarkEnd w:id="17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8" w:id="1749"/>
          <w:p>
            <w:pPr>
              <w:spacing w:after="20"/>
              <w:ind w:left="20"/>
              <w:jc w:val="both"/>
            </w:pPr>
          </w:p>
          <w:bookmarkEnd w:id="1749"/>
          <w:p>
            <w:pPr>
              <w:spacing w:after="20"/>
              <w:ind w:left="20"/>
              <w:jc w:val="both"/>
            </w:pPr>
            <w:r>
              <w:t>[MISSING IMAGE: ,  ]</w:t>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750"/>
          <w:p>
            <w:pPr>
              <w:spacing w:after="20"/>
              <w:ind w:left="20"/>
              <w:jc w:val="both"/>
            </w:pPr>
            <w:r>
              <w:rPr>
                <w:rFonts w:ascii="Times New Roman"/>
                <w:b w:val="false"/>
                <w:i w:val="false"/>
                <w:color w:val="000000"/>
                <w:sz w:val="20"/>
              </w:rPr>
              <w:t xml:space="preserve">
Если да, укажите: </w:t>
            </w:r>
          </w:p>
          <w:bookmarkEnd w:id="1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751"/>
          <w:p>
            <w:pPr>
              <w:spacing w:after="20"/>
              <w:ind w:left="20"/>
              <w:jc w:val="both"/>
            </w:pPr>
            <w:r>
              <w:rPr>
                <w:rFonts w:ascii="Times New Roman"/>
                <w:b w:val="false"/>
                <w:i w:val="false"/>
                <w:color w:val="000000"/>
                <w:sz w:val="20"/>
              </w:rPr>
              <w:t xml:space="preserve">
дата последней инспекции </w:t>
            </w:r>
          </w:p>
          <w:bookmarkEnd w:id="1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752"/>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1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753"/>
          <w:p>
            <w:pPr>
              <w:spacing w:after="20"/>
              <w:ind w:left="20"/>
              <w:jc w:val="both"/>
            </w:pPr>
            <w:r>
              <w:rPr>
                <w:rFonts w:ascii="Times New Roman"/>
                <w:b w:val="false"/>
                <w:i w:val="false"/>
                <w:color w:val="000000"/>
                <w:sz w:val="20"/>
              </w:rPr>
              <w:t xml:space="preserve">
вид инспекции </w:t>
            </w:r>
          </w:p>
          <w:bookmarkEnd w:id="1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754"/>
          <w:p>
            <w:pPr>
              <w:spacing w:after="20"/>
              <w:ind w:left="20"/>
              <w:jc w:val="both"/>
            </w:pPr>
            <w:r>
              <w:rPr>
                <w:rFonts w:ascii="Times New Roman"/>
                <w:b w:val="false"/>
                <w:i w:val="false"/>
                <w:color w:val="000000"/>
                <w:sz w:val="20"/>
              </w:rPr>
              <w:t xml:space="preserve">
номер документа о соответствии </w:t>
            </w:r>
          </w:p>
          <w:bookmarkEnd w:id="1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755"/>
          <w:p>
            <w:pPr>
              <w:spacing w:after="20"/>
              <w:ind w:left="20"/>
              <w:jc w:val="both"/>
            </w:pPr>
            <w:r>
              <w:rPr>
                <w:rFonts w:ascii="Times New Roman"/>
                <w:b w:val="false"/>
                <w:i w:val="false"/>
                <w:color w:val="000000"/>
                <w:sz w:val="20"/>
              </w:rPr>
              <w:t xml:space="preserve">
заключение </w:t>
            </w:r>
          </w:p>
          <w:bookmarkEnd w:id="1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tc>
      </w:tr>
    </w:tbl>
    <w:bookmarkStart w:name="z1675" w:id="1756"/>
    <w:p>
      <w:pPr>
        <w:spacing w:after="0"/>
        <w:ind w:left="0"/>
        <w:jc w:val="both"/>
      </w:pPr>
      <w:r>
        <w:rPr>
          <w:rFonts w:ascii="Times New Roman"/>
          <w:b w:val="false"/>
          <w:i w:val="false"/>
          <w:color w:val="000000"/>
          <w:sz w:val="28"/>
        </w:rPr>
        <w:t>
      Будет ли использован мастер-файл производителя АФС в составе регистрационного досье:</w:t>
      </w:r>
    </w:p>
    <w:bookmarkEnd w:id="17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76" w:id="1757"/>
          <w:p>
            <w:pPr>
              <w:spacing w:after="20"/>
              <w:ind w:left="20"/>
              <w:jc w:val="both"/>
            </w:pPr>
          </w:p>
          <w:bookmarkEnd w:id="1757"/>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758"/>
          <w:p>
            <w:pPr>
              <w:spacing w:after="20"/>
              <w:ind w:left="20"/>
              <w:jc w:val="both"/>
            </w:pPr>
            <w:r>
              <w:rPr>
                <w:rFonts w:ascii="Times New Roman"/>
                <w:b w:val="false"/>
                <w:i w:val="false"/>
                <w:color w:val="000000"/>
                <w:sz w:val="20"/>
              </w:rPr>
              <w:t xml:space="preserve">
Если да: </w:t>
            </w:r>
          </w:p>
          <w:bookmarkEnd w:id="1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759"/>
          <w:p>
            <w:pPr>
              <w:spacing w:after="20"/>
              <w:ind w:left="20"/>
              <w:jc w:val="both"/>
            </w:pPr>
            <w:r>
              <w:rPr>
                <w:rFonts w:ascii="Times New Roman"/>
                <w:b w:val="false"/>
                <w:i w:val="false"/>
                <w:color w:val="000000"/>
                <w:sz w:val="20"/>
              </w:rPr>
              <w:t xml:space="preserve">
наименование активной фармацевтической субстанции </w:t>
            </w:r>
          </w:p>
          <w:bookmarkEnd w:id="1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760"/>
          <w:p>
            <w:pPr>
              <w:spacing w:after="20"/>
              <w:ind w:left="20"/>
              <w:jc w:val="both"/>
            </w:pPr>
            <w:r>
              <w:rPr>
                <w:rFonts w:ascii="Times New Roman"/>
                <w:b w:val="false"/>
                <w:i w:val="false"/>
                <w:color w:val="000000"/>
                <w:sz w:val="20"/>
              </w:rPr>
              <w:t xml:space="preserve">
наименование держателя мастер-файла производителя АФС </w:t>
            </w:r>
          </w:p>
          <w:bookmarkEnd w:id="1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761"/>
          <w:p>
            <w:pPr>
              <w:spacing w:after="20"/>
              <w:ind w:left="20"/>
              <w:jc w:val="both"/>
            </w:pPr>
            <w:r>
              <w:rPr>
                <w:rFonts w:ascii="Times New Roman"/>
                <w:b w:val="false"/>
                <w:i w:val="false"/>
                <w:color w:val="000000"/>
                <w:sz w:val="20"/>
              </w:rPr>
              <w:t xml:space="preserve">
наименование производителя АФС, если отличается от держателя мастер-файла производителя АФС </w:t>
            </w:r>
          </w:p>
          <w:bookmarkEnd w:id="1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762"/>
          <w:p>
            <w:pPr>
              <w:spacing w:after="20"/>
              <w:ind w:left="20"/>
              <w:jc w:val="both"/>
            </w:pPr>
            <w:r>
              <w:rPr>
                <w:rFonts w:ascii="Times New Roman"/>
                <w:b w:val="false"/>
                <w:i w:val="false"/>
                <w:color w:val="000000"/>
                <w:sz w:val="20"/>
              </w:rPr>
              <w:t xml:space="preserve">
дата последнего пересмотра </w:t>
            </w:r>
          </w:p>
          <w:bookmarkEnd w:id="1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2" w:id="1763"/>
    <w:p>
      <w:pPr>
        <w:spacing w:after="0"/>
        <w:ind w:left="0"/>
        <w:jc w:val="both"/>
      </w:pPr>
      <w:r>
        <w:rPr>
          <w:rFonts w:ascii="Times New Roman"/>
          <w:b w:val="false"/>
          <w:i w:val="false"/>
          <w:color w:val="000000"/>
          <w:sz w:val="28"/>
        </w:rPr>
        <w:t>
      Выдан ли сертификат на мастер-файл на вакцинный антиген (далее - МФВА), который используется в этом досье, или подано заявление на его получение:</w:t>
      </w:r>
    </w:p>
    <w:bookmarkEnd w:id="17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83" w:id="1764"/>
          <w:p>
            <w:pPr>
              <w:spacing w:after="20"/>
              <w:ind w:left="20"/>
              <w:jc w:val="both"/>
            </w:pPr>
          </w:p>
          <w:bookmarkEnd w:id="1764"/>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765"/>
          <w:p>
            <w:pPr>
              <w:spacing w:after="20"/>
              <w:ind w:left="20"/>
              <w:jc w:val="both"/>
            </w:pPr>
            <w:r>
              <w:rPr>
                <w:rFonts w:ascii="Times New Roman"/>
                <w:b w:val="false"/>
                <w:i w:val="false"/>
                <w:color w:val="000000"/>
                <w:sz w:val="20"/>
              </w:rPr>
              <w:t xml:space="preserve">
Если да: </w:t>
            </w:r>
          </w:p>
          <w:bookmarkEnd w:id="1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766"/>
          <w:p>
            <w:pPr>
              <w:spacing w:after="20"/>
              <w:ind w:left="20"/>
              <w:jc w:val="both"/>
            </w:pPr>
            <w:r>
              <w:rPr>
                <w:rFonts w:ascii="Times New Roman"/>
                <w:b w:val="false"/>
                <w:i w:val="false"/>
                <w:color w:val="000000"/>
                <w:sz w:val="20"/>
              </w:rPr>
              <w:t xml:space="preserve">
наименование вакцинного антигена </w:t>
            </w:r>
          </w:p>
          <w:bookmarkEnd w:id="1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767"/>
          <w:p>
            <w:pPr>
              <w:spacing w:after="20"/>
              <w:ind w:left="20"/>
              <w:jc w:val="both"/>
            </w:pPr>
            <w:r>
              <w:rPr>
                <w:rFonts w:ascii="Times New Roman"/>
                <w:b w:val="false"/>
                <w:i w:val="false"/>
                <w:color w:val="000000"/>
                <w:sz w:val="20"/>
              </w:rPr>
              <w:t xml:space="preserve">
наименование производителя вакцинного антигена (владельца сертификата на МФВА) </w:t>
            </w:r>
          </w:p>
          <w:bookmarkEnd w:id="1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768"/>
          <w:p>
            <w:pPr>
              <w:spacing w:after="20"/>
              <w:ind w:left="20"/>
              <w:jc w:val="both"/>
            </w:pPr>
            <w:r>
              <w:rPr>
                <w:rFonts w:ascii="Times New Roman"/>
                <w:b w:val="false"/>
                <w:i w:val="false"/>
                <w:color w:val="000000"/>
                <w:sz w:val="20"/>
              </w:rPr>
              <w:t xml:space="preserve">
номер заявления (сертификата) </w:t>
            </w:r>
          </w:p>
          <w:bookmarkEnd w:id="1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769"/>
          <w:p>
            <w:pPr>
              <w:spacing w:after="20"/>
              <w:ind w:left="20"/>
              <w:jc w:val="both"/>
            </w:pPr>
            <w:r>
              <w:rPr>
                <w:rFonts w:ascii="Times New Roman"/>
                <w:b w:val="false"/>
                <w:i w:val="false"/>
                <w:color w:val="000000"/>
                <w:sz w:val="20"/>
              </w:rPr>
              <w:t xml:space="preserve">
дата подачи (если на рассмотрении) </w:t>
            </w:r>
          </w:p>
          <w:bookmarkEnd w:id="1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770"/>
          <w:p>
            <w:pPr>
              <w:spacing w:after="20"/>
              <w:ind w:left="20"/>
              <w:jc w:val="both"/>
            </w:pPr>
            <w:r>
              <w:rPr>
                <w:rFonts w:ascii="Times New Roman"/>
                <w:b w:val="false"/>
                <w:i w:val="false"/>
                <w:color w:val="000000"/>
                <w:sz w:val="20"/>
              </w:rPr>
              <w:t xml:space="preserve">
дата утверждения или последнего пересмотра (если имеется) </w:t>
            </w:r>
          </w:p>
          <w:bookmarkEnd w:id="1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0" w:id="1771"/>
    <w:p>
      <w:pPr>
        <w:spacing w:after="0"/>
        <w:ind w:left="0"/>
        <w:jc w:val="both"/>
      </w:pPr>
      <w:r>
        <w:rPr>
          <w:rFonts w:ascii="Times New Roman"/>
          <w:b w:val="false"/>
          <w:i w:val="false"/>
          <w:color w:val="000000"/>
          <w:sz w:val="28"/>
        </w:rPr>
        <w:t>
      2.5.6. Контрактные исследовательские организации, привлекаемые к клиническому исследованию для определения биодоступности и (или) биоэквивалентности, или которые привлекались для валидации процессов производства препаратов крови</w:t>
      </w:r>
    </w:p>
    <w:bookmarkEnd w:id="1771"/>
    <w:bookmarkStart w:name="z1691" w:id="1772"/>
    <w:p>
      <w:pPr>
        <w:spacing w:after="0"/>
        <w:ind w:left="0"/>
        <w:jc w:val="both"/>
      </w:pPr>
      <w:r>
        <w:rPr>
          <w:rFonts w:ascii="Times New Roman"/>
          <w:b w:val="false"/>
          <w:i w:val="false"/>
          <w:color w:val="000000"/>
          <w:sz w:val="28"/>
        </w:rPr>
        <w:t>
      Для каждой контрактной исследовательской организации укажите, где проводились аналитические испытания и осуществлялся сбор клинических данных, а также:</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773"/>
          <w:p>
            <w:pPr>
              <w:spacing w:after="20"/>
              <w:ind w:left="20"/>
              <w:jc w:val="both"/>
            </w:pPr>
            <w:r>
              <w:rPr>
                <w:rFonts w:ascii="Times New Roman"/>
                <w:b w:val="false"/>
                <w:i w:val="false"/>
                <w:color w:val="000000"/>
                <w:sz w:val="20"/>
              </w:rPr>
              <w:t xml:space="preserve">
название исследования </w:t>
            </w:r>
          </w:p>
          <w:bookmarkEnd w:id="1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774"/>
          <w:p>
            <w:pPr>
              <w:spacing w:after="20"/>
              <w:ind w:left="20"/>
              <w:jc w:val="both"/>
            </w:pPr>
            <w:r>
              <w:rPr>
                <w:rFonts w:ascii="Times New Roman"/>
                <w:b w:val="false"/>
                <w:i w:val="false"/>
                <w:color w:val="000000"/>
                <w:sz w:val="20"/>
              </w:rPr>
              <w:t xml:space="preserve">
код протокола </w:t>
            </w:r>
          </w:p>
          <w:bookmarkEnd w:id="1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775"/>
          <w:p>
            <w:pPr>
              <w:spacing w:after="20"/>
              <w:ind w:left="20"/>
              <w:jc w:val="both"/>
            </w:pPr>
            <w:r>
              <w:rPr>
                <w:rFonts w:ascii="Times New Roman"/>
                <w:b w:val="false"/>
                <w:i w:val="false"/>
                <w:color w:val="000000"/>
                <w:sz w:val="20"/>
              </w:rPr>
              <w:t xml:space="preserve">
номер EudraCT (при наличии) </w:t>
            </w:r>
          </w:p>
          <w:bookmarkEnd w:id="1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776"/>
          <w:p>
            <w:pPr>
              <w:spacing w:after="20"/>
              <w:ind w:left="20"/>
              <w:jc w:val="both"/>
            </w:pPr>
            <w:r>
              <w:rPr>
                <w:rFonts w:ascii="Times New Roman"/>
                <w:b w:val="false"/>
                <w:i w:val="false"/>
                <w:color w:val="000000"/>
                <w:sz w:val="20"/>
              </w:rPr>
              <w:t xml:space="preserve">
номер ClinicalTrials.gov (при наличии) </w:t>
            </w:r>
          </w:p>
          <w:bookmarkEnd w:id="1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777"/>
          <w:p>
            <w:pPr>
              <w:spacing w:after="20"/>
              <w:ind w:left="20"/>
              <w:jc w:val="both"/>
            </w:pPr>
            <w:r>
              <w:rPr>
                <w:rFonts w:ascii="Times New Roman"/>
                <w:b w:val="false"/>
                <w:i w:val="false"/>
                <w:color w:val="000000"/>
                <w:sz w:val="20"/>
              </w:rPr>
              <w:t xml:space="preserve">
наименование контрактной исследовательской организации </w:t>
            </w:r>
          </w:p>
          <w:bookmarkEnd w:id="1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778"/>
          <w:p>
            <w:pPr>
              <w:spacing w:after="20"/>
              <w:ind w:left="20"/>
              <w:jc w:val="both"/>
            </w:pPr>
            <w:r>
              <w:rPr>
                <w:rFonts w:ascii="Times New Roman"/>
                <w:b w:val="false"/>
                <w:i w:val="false"/>
                <w:color w:val="000000"/>
                <w:sz w:val="20"/>
              </w:rPr>
              <w:t xml:space="preserve">
адрес контрактной исследовательской организации </w:t>
            </w:r>
          </w:p>
          <w:bookmarkEnd w:id="1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779"/>
          <w:p>
            <w:pPr>
              <w:spacing w:after="20"/>
              <w:ind w:left="20"/>
              <w:jc w:val="both"/>
            </w:pPr>
            <w:r>
              <w:rPr>
                <w:rFonts w:ascii="Times New Roman"/>
                <w:b w:val="false"/>
                <w:i w:val="false"/>
                <w:color w:val="000000"/>
                <w:sz w:val="20"/>
              </w:rPr>
              <w:t xml:space="preserve">
номера телефона и факса (при наличии) </w:t>
            </w:r>
          </w:p>
          <w:bookmarkEnd w:id="1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780"/>
          <w:p>
            <w:pPr>
              <w:spacing w:after="20"/>
              <w:ind w:left="20"/>
              <w:jc w:val="both"/>
            </w:pPr>
            <w:r>
              <w:rPr>
                <w:rFonts w:ascii="Times New Roman"/>
                <w:b w:val="false"/>
                <w:i w:val="false"/>
                <w:color w:val="000000"/>
                <w:sz w:val="20"/>
              </w:rPr>
              <w:t xml:space="preserve">
адрес электронной почты </w:t>
            </w:r>
          </w:p>
          <w:bookmarkEnd w:id="1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0" w:id="1781"/>
    <w:p>
      <w:pPr>
        <w:spacing w:after="0"/>
        <w:ind w:left="0"/>
        <w:jc w:val="both"/>
      </w:pPr>
      <w:r>
        <w:rPr>
          <w:rFonts w:ascii="Times New Roman"/>
          <w:b w:val="false"/>
          <w:i w:val="false"/>
          <w:color w:val="000000"/>
          <w:sz w:val="28"/>
        </w:rPr>
        <w:t>
      2.6. Качественный и количественный состав лекарственного препарата</w:t>
      </w:r>
    </w:p>
    <w:bookmarkEnd w:id="1781"/>
    <w:bookmarkStart w:name="z1701" w:id="1782"/>
    <w:p>
      <w:pPr>
        <w:spacing w:after="0"/>
        <w:ind w:left="0"/>
        <w:jc w:val="both"/>
      </w:pPr>
      <w:r>
        <w:rPr>
          <w:rFonts w:ascii="Times New Roman"/>
          <w:b w:val="false"/>
          <w:i w:val="false"/>
          <w:color w:val="000000"/>
          <w:sz w:val="28"/>
        </w:rPr>
        <w:t>
      2.6.1. Качественный и количественный состав лекарственного препарата (АФС и вспомогательные вещества):</w:t>
      </w:r>
    </w:p>
    <w:bookmarkEnd w:id="1782"/>
    <w:bookmarkStart w:name="z1702" w:id="1783"/>
    <w:p>
      <w:pPr>
        <w:spacing w:after="0"/>
        <w:ind w:left="0"/>
        <w:jc w:val="both"/>
      </w:pPr>
      <w:r>
        <w:rPr>
          <w:rFonts w:ascii="Times New Roman"/>
          <w:b w:val="false"/>
          <w:i w:val="false"/>
          <w:color w:val="000000"/>
          <w:sz w:val="28"/>
        </w:rPr>
        <w:t>
      Необходимо указать, на какую единицу состав (на единицу дозированной формы, на единицу объема, на единицу массы и др.).</w:t>
      </w:r>
    </w:p>
    <w:bookmarkEnd w:id="1783"/>
    <w:bookmarkStart w:name="z1703" w:id="1784"/>
    <w:p>
      <w:pPr>
        <w:spacing w:after="0"/>
        <w:ind w:left="0"/>
        <w:jc w:val="both"/>
      </w:pPr>
      <w:r>
        <w:rPr>
          <w:rFonts w:ascii="Times New Roman"/>
          <w:b w:val="false"/>
          <w:i w:val="false"/>
          <w:color w:val="000000"/>
          <w:sz w:val="28"/>
        </w:rPr>
        <w:t>
      Перечислите АФС отдельно от вспомогательных веществ:</w:t>
      </w:r>
    </w:p>
    <w:bookmarkEnd w:id="1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785"/>
          <w:p>
            <w:pPr>
              <w:spacing w:after="20"/>
              <w:ind w:left="20"/>
              <w:jc w:val="both"/>
            </w:pPr>
            <w:r>
              <w:rPr>
                <w:rFonts w:ascii="Times New Roman"/>
                <w:b w:val="false"/>
                <w:i w:val="false"/>
                <w:color w:val="000000"/>
                <w:sz w:val="20"/>
              </w:rPr>
              <w:t xml:space="preserve">
№ </w:t>
            </w:r>
          </w:p>
          <w:bookmarkEnd w:id="17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АФС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 единицах массы, объема, активности или концентрации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(монография)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786"/>
          <w:p>
            <w:pPr>
              <w:spacing w:after="20"/>
              <w:ind w:left="20"/>
              <w:jc w:val="both"/>
            </w:pPr>
            <w:r>
              <w:rPr>
                <w:rFonts w:ascii="Times New Roman"/>
                <w:b w:val="false"/>
                <w:i w:val="false"/>
                <w:color w:val="000000"/>
                <w:sz w:val="20"/>
              </w:rPr>
              <w:t xml:space="preserve">
№ </w:t>
            </w:r>
          </w:p>
          <w:bookmarkEnd w:id="17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вспомогательных веществ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 единицах массы, объема, активности или концентрации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(монография) </w:t>
            </w:r>
          </w:p>
        </w:tc>
      </w:tr>
    </w:tbl>
    <w:bookmarkStart w:name="z1706" w:id="1787"/>
    <w:p>
      <w:pPr>
        <w:spacing w:after="0"/>
        <w:ind w:left="0"/>
        <w:jc w:val="both"/>
      </w:pPr>
      <w:r>
        <w:rPr>
          <w:rFonts w:ascii="Times New Roman"/>
          <w:b w:val="false"/>
          <w:i w:val="false"/>
          <w:color w:val="000000"/>
          <w:sz w:val="28"/>
        </w:rPr>
        <w:t>
      Примечание. Только одно наименование для каждого АФС необходимо указать в такой последовательности: МНН &lt;*&gt;, наименование по Фармакопее Евразийского экономического союза, фармакопеям государств - членов Евразийского экономического союза (или основным фармакопеям в соответствии с концепцией гармонизации фармакопей государств – членов Евразийского экономического союза), общепринятое или группировочное наименование, научное (химическое) название.</w:t>
      </w:r>
    </w:p>
    <w:bookmarkEnd w:id="1787"/>
    <w:bookmarkStart w:name="z1707" w:id="1788"/>
    <w:p>
      <w:pPr>
        <w:spacing w:after="0"/>
        <w:ind w:left="0"/>
        <w:jc w:val="both"/>
      </w:pPr>
      <w:r>
        <w:rPr>
          <w:rFonts w:ascii="Times New Roman"/>
          <w:b w:val="false"/>
          <w:i w:val="false"/>
          <w:color w:val="000000"/>
          <w:sz w:val="28"/>
        </w:rPr>
        <w:t>
      ────────────────────────────────</w:t>
      </w:r>
    </w:p>
    <w:bookmarkEnd w:id="1788"/>
    <w:bookmarkStart w:name="z1708" w:id="1789"/>
    <w:p>
      <w:pPr>
        <w:spacing w:after="0"/>
        <w:ind w:left="0"/>
        <w:jc w:val="both"/>
      </w:pPr>
      <w:r>
        <w:rPr>
          <w:rFonts w:ascii="Times New Roman"/>
          <w:b w:val="false"/>
          <w:i w:val="false"/>
          <w:color w:val="000000"/>
          <w:sz w:val="28"/>
        </w:rPr>
        <w:t>
       * Наименование АФС необходимо указывать по его рекомендованному Всемирной организацией здравоохранения МНН с указанием его солей или гидратной формы, если необходимо.</w:t>
      </w:r>
    </w:p>
    <w:bookmarkEnd w:id="1789"/>
    <w:bookmarkStart w:name="z1709" w:id="1790"/>
    <w:p>
      <w:pPr>
        <w:spacing w:after="0"/>
        <w:ind w:left="0"/>
        <w:jc w:val="both"/>
      </w:pPr>
      <w:r>
        <w:rPr>
          <w:rFonts w:ascii="Times New Roman"/>
          <w:b w:val="false"/>
          <w:i w:val="false"/>
          <w:color w:val="000000"/>
          <w:sz w:val="28"/>
        </w:rPr>
        <w:t xml:space="preserve">
      Сведения об избытке указывать в столбцах о составе не допускается, их необходимо изложить ниже: </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791"/>
          <w:p>
            <w:pPr>
              <w:spacing w:after="20"/>
              <w:ind w:left="20"/>
              <w:jc w:val="both"/>
            </w:pPr>
            <w:r>
              <w:rPr>
                <w:rFonts w:ascii="Times New Roman"/>
                <w:b w:val="false"/>
                <w:i w:val="false"/>
                <w:color w:val="000000"/>
                <w:sz w:val="20"/>
              </w:rPr>
              <w:t xml:space="preserve">
активные фармацевтические субстанции </w:t>
            </w:r>
          </w:p>
          <w:bookmarkEnd w:id="1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792"/>
          <w:p>
            <w:pPr>
              <w:spacing w:after="20"/>
              <w:ind w:left="20"/>
              <w:jc w:val="both"/>
            </w:pPr>
            <w:r>
              <w:rPr>
                <w:rFonts w:ascii="Times New Roman"/>
                <w:b w:val="false"/>
                <w:i w:val="false"/>
                <w:color w:val="000000"/>
                <w:sz w:val="20"/>
              </w:rPr>
              <w:t xml:space="preserve">
вспомогательные вещества </w:t>
            </w:r>
          </w:p>
          <w:bookmarkEnd w:id="1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2" w:id="1793"/>
    <w:p>
      <w:pPr>
        <w:spacing w:after="0"/>
        <w:ind w:left="0"/>
        <w:jc w:val="both"/>
      </w:pPr>
      <w:r>
        <w:rPr>
          <w:rFonts w:ascii="Times New Roman"/>
          <w:b w:val="false"/>
          <w:i w:val="false"/>
          <w:color w:val="000000"/>
          <w:sz w:val="28"/>
        </w:rPr>
        <w:t xml:space="preserve">
      2.6.2. Перечень материалов животного и (или) человеческого происхождения, </w:t>
      </w:r>
    </w:p>
    <w:bookmarkEnd w:id="1793"/>
    <w:bookmarkStart w:name="z1713" w:id="1794"/>
    <w:p>
      <w:pPr>
        <w:spacing w:after="0"/>
        <w:ind w:left="0"/>
        <w:jc w:val="both"/>
      </w:pPr>
      <w:r>
        <w:rPr>
          <w:rFonts w:ascii="Times New Roman"/>
          <w:b w:val="false"/>
          <w:i w:val="false"/>
          <w:color w:val="000000"/>
          <w:sz w:val="28"/>
        </w:rPr>
        <w:t xml:space="preserve">
      входящих в состав лекарственного препарата или используемых в процессе его </w:t>
      </w:r>
    </w:p>
    <w:bookmarkEnd w:id="1794"/>
    <w:bookmarkStart w:name="z1714" w:id="1795"/>
    <w:p>
      <w:pPr>
        <w:spacing w:after="0"/>
        <w:ind w:left="0"/>
        <w:jc w:val="both"/>
      </w:pPr>
      <w:r>
        <w:rPr>
          <w:rFonts w:ascii="Times New Roman"/>
          <w:b w:val="false"/>
          <w:i w:val="false"/>
          <w:color w:val="000000"/>
          <w:sz w:val="28"/>
        </w:rPr>
        <w:t>
      производства</w:t>
      </w:r>
    </w:p>
    <w:bookmarkEnd w:id="1795"/>
    <w:bookmarkStart w:name="z1715" w:id="1796"/>
    <w:p>
      <w:pPr>
        <w:spacing w:after="0"/>
        <w:ind w:left="0"/>
        <w:jc w:val="both"/>
      </w:pPr>
      <w:r>
        <w:rPr>
          <w:rFonts w:ascii="Times New Roman"/>
          <w:b w:val="false"/>
          <w:i w:val="false"/>
          <w:color w:val="000000"/>
          <w:sz w:val="28"/>
        </w:rPr>
        <w:t xml:space="preserve">
      </w:t>
      </w:r>
    </w:p>
    <w:bookmarkEnd w:id="1796"/>
    <w:p>
      <w:pPr>
        <w:spacing w:after="0"/>
        <w:ind w:left="0"/>
        <w:jc w:val="both"/>
      </w:pPr>
      <w:r>
        <w:t>[MISSING IMAGE: ,  ]</w:t>
      </w:r>
    </w:p>
    <w:p>
      <w:pPr>
        <w:spacing w:after="0"/>
        <w:ind w:left="0"/>
        <w:jc w:val="left"/>
      </w:pPr>
      <w:r>
        <w:rPr>
          <w:rFonts w:ascii="Times New Roman"/>
          <w:b w:val="false"/>
          <w:i w:val="false"/>
          <w:color w:val="000000"/>
          <w:sz w:val="28"/>
        </w:rPr>
        <w:t>отсутствуют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797"/>
          <w:p>
            <w:pPr>
              <w:spacing w:after="20"/>
              <w:ind w:left="20"/>
              <w:jc w:val="both"/>
            </w:pPr>
            <w:r>
              <w:rPr>
                <w:rFonts w:ascii="Times New Roman"/>
                <w:b w:val="false"/>
                <w:i w:val="false"/>
                <w:color w:val="000000"/>
                <w:sz w:val="20"/>
              </w:rPr>
              <w:t>
Название</w:t>
            </w:r>
          </w:p>
          <w:bookmarkEnd w:id="17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животных, восприимчивых к ТГЭ </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животные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Человеческого происхождения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сертификата соответствия Европейской фармакопеи относительно ТГЭ </w:t>
            </w:r>
            <w:r>
              <w:rPr>
                <w:rFonts w:ascii="Times New Roman"/>
                <w:b w:val="false"/>
                <w:i w:val="false"/>
                <w:color w:val="000000"/>
                <w:vertAlign w:val="superscript"/>
              </w:rPr>
              <w:t>3</w:t>
            </w:r>
            <w:r>
              <w:rPr>
                <w:rFonts w:ascii="Times New Roman"/>
                <w:b w:val="false"/>
                <w:i w:val="false"/>
                <w:color w:val="000000"/>
                <w:sz w:val="20"/>
              </w:rPr>
              <w:t xml:space="preserve">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798"/>
          <w:p>
            <w:pPr>
              <w:spacing w:after="20"/>
              <w:ind w:left="20"/>
              <w:jc w:val="both"/>
            </w:pPr>
          </w:p>
          <w:bookmarkEnd w:id="17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perscript"/>
              </w:rPr>
              <w:t>2</w:t>
            </w:r>
            <w:r>
              <w:rPr>
                <w:rFonts w:ascii="Times New Roman"/>
                <w:b w:val="false"/>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799"/>
          <w:p>
            <w:pPr>
              <w:spacing w:after="20"/>
              <w:ind w:left="20"/>
              <w:jc w:val="both"/>
            </w:pPr>
            <w:r>
              <w:rPr>
                <w:rFonts w:ascii="Times New Roman"/>
                <w:b w:val="false"/>
                <w:i w:val="false"/>
                <w:color w:val="000000"/>
                <w:sz w:val="20"/>
              </w:rPr>
              <w:t xml:space="preserve">
1 </w:t>
            </w:r>
          </w:p>
          <w:bookmarkEnd w:id="17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800"/>
          <w:p>
            <w:pPr>
              <w:spacing w:after="20"/>
              <w:ind w:left="20"/>
              <w:jc w:val="both"/>
            </w:pPr>
            <w:r>
              <w:rPr>
                <w:rFonts w:ascii="Times New Roman"/>
                <w:b w:val="false"/>
                <w:i w:val="false"/>
                <w:color w:val="000000"/>
                <w:sz w:val="20"/>
              </w:rPr>
              <w:t xml:space="preserve">
2 </w:t>
            </w:r>
          </w:p>
          <w:bookmarkEnd w:id="18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801"/>
          <w:p>
            <w:pPr>
              <w:spacing w:after="20"/>
              <w:ind w:left="20"/>
              <w:jc w:val="both"/>
            </w:pPr>
            <w:r>
              <w:rPr>
                <w:rFonts w:ascii="Times New Roman"/>
                <w:b w:val="false"/>
                <w:i w:val="false"/>
                <w:color w:val="000000"/>
                <w:sz w:val="20"/>
              </w:rPr>
              <w:t xml:space="preserve">
3 </w:t>
            </w:r>
          </w:p>
          <w:bookmarkEnd w:id="18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802"/>
          <w:p>
            <w:pPr>
              <w:spacing w:after="20"/>
              <w:ind w:left="20"/>
              <w:jc w:val="both"/>
            </w:pPr>
            <w:r>
              <w:rPr>
                <w:rFonts w:ascii="Times New Roman"/>
                <w:b w:val="false"/>
                <w:i w:val="false"/>
                <w:color w:val="000000"/>
                <w:sz w:val="20"/>
              </w:rPr>
              <w:t xml:space="preserve">
... </w:t>
            </w:r>
          </w:p>
          <w:bookmarkEnd w:id="18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2" w:id="1803"/>
    <w:p>
      <w:pPr>
        <w:spacing w:after="0"/>
        <w:ind w:left="0"/>
        <w:jc w:val="both"/>
      </w:pPr>
      <w:r>
        <w:rPr>
          <w:rFonts w:ascii="Times New Roman"/>
          <w:b w:val="false"/>
          <w:i w:val="false"/>
          <w:color w:val="000000"/>
          <w:sz w:val="28"/>
        </w:rPr>
        <w:t xml:space="preserve">
      Указать наличие сертификата соответствия Европейской фармакопеи относительно ТГЭ </w:t>
      </w:r>
      <w:r>
        <w:rPr>
          <w:rFonts w:ascii="Times New Roman"/>
          <w:b w:val="false"/>
          <w:i w:val="false"/>
          <w:color w:val="000000"/>
          <w:vertAlign w:val="superscript"/>
        </w:rPr>
        <w:t>3</w:t>
      </w:r>
      <w:r>
        <w:rPr>
          <w:rFonts w:ascii="Times New Roman"/>
          <w:b w:val="false"/>
          <w:i w:val="false"/>
          <w:color w:val="000000"/>
          <w:sz w:val="28"/>
        </w:rPr>
        <w:t xml:space="preserve"> или документа, выданного уполномоченными органами ветеринарного надзора страны происхождения сырья относительно регистрации в стране (по результатам клинического и лабораторного контроля) случаев ТГЭ </w:t>
      </w:r>
      <w:r>
        <w:rPr>
          <w:rFonts w:ascii="Times New Roman"/>
          <w:b w:val="false"/>
          <w:i w:val="false"/>
          <w:color w:val="000000"/>
          <w:vertAlign w:val="superscript"/>
        </w:rPr>
        <w:t>3</w:t>
      </w:r>
    </w:p>
    <w:bookmarkEnd w:id="1803"/>
    <w:bookmarkStart w:name="z1723" w:id="1804"/>
    <w:p>
      <w:pPr>
        <w:spacing w:after="0"/>
        <w:ind w:left="0"/>
        <w:jc w:val="both"/>
      </w:pPr>
      <w:r>
        <w:rPr>
          <w:rFonts w:ascii="Times New Roman"/>
          <w:b w:val="false"/>
          <w:i w:val="false"/>
          <w:color w:val="000000"/>
          <w:sz w:val="28"/>
        </w:rPr>
        <w:t>
      ────────────────────────────────</w:t>
      </w:r>
    </w:p>
    <w:bookmarkEnd w:id="1804"/>
    <w:bookmarkStart w:name="z1724" w:id="18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ВВ - вспомогательное вещество (включая исходные материалы, которые </w:t>
      </w:r>
    </w:p>
    <w:bookmarkEnd w:id="1805"/>
    <w:bookmarkStart w:name="z1725" w:id="1806"/>
    <w:p>
      <w:pPr>
        <w:spacing w:after="0"/>
        <w:ind w:left="0"/>
        <w:jc w:val="both"/>
      </w:pPr>
      <w:r>
        <w:rPr>
          <w:rFonts w:ascii="Times New Roman"/>
          <w:b w:val="false"/>
          <w:i w:val="false"/>
          <w:color w:val="000000"/>
          <w:sz w:val="28"/>
        </w:rPr>
        <w:t>
      используются в производстве АФС/вспомогательного вещества).</w:t>
      </w:r>
    </w:p>
    <w:bookmarkEnd w:id="1806"/>
    <w:bookmarkStart w:name="z1726" w:id="18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 - реагент/среда культивирования (включая используемые для приготовления </w:t>
      </w:r>
    </w:p>
    <w:bookmarkEnd w:id="1807"/>
    <w:bookmarkStart w:name="z1727" w:id="1808"/>
    <w:p>
      <w:pPr>
        <w:spacing w:after="0"/>
        <w:ind w:left="0"/>
        <w:jc w:val="both"/>
      </w:pPr>
      <w:r>
        <w:rPr>
          <w:rFonts w:ascii="Times New Roman"/>
          <w:b w:val="false"/>
          <w:i w:val="false"/>
          <w:color w:val="000000"/>
          <w:sz w:val="28"/>
        </w:rPr>
        <w:t>
      главного и рабочего банков клеток).</w:t>
      </w:r>
    </w:p>
    <w:bookmarkEnd w:id="1808"/>
    <w:bookmarkStart w:name="z1728" w:id="18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ТГЭ - трансмиссивная губчатая энцефалопатия.</w:t>
      </w:r>
    </w:p>
    <w:bookmarkEnd w:id="1809"/>
    <w:bookmarkStart w:name="z1729" w:id="1810"/>
    <w:p>
      <w:pPr>
        <w:spacing w:after="0"/>
        <w:ind w:left="0"/>
        <w:jc w:val="both"/>
      </w:pPr>
      <w:r>
        <w:rPr>
          <w:rFonts w:ascii="Times New Roman"/>
          <w:b w:val="false"/>
          <w:i w:val="false"/>
          <w:color w:val="000000"/>
          <w:sz w:val="28"/>
        </w:rPr>
        <w:t>
      2.6.3. Выдан ли сертификат на мастер-файл на плазму (далее - МФП), который используется в регистрационном досье, или подано заявление на его получение:</w:t>
      </w:r>
    </w:p>
    <w:bookmarkEnd w:id="18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30" w:id="1811"/>
          <w:p>
            <w:pPr>
              <w:spacing w:after="20"/>
              <w:ind w:left="20"/>
              <w:jc w:val="both"/>
            </w:pPr>
          </w:p>
          <w:bookmarkEnd w:id="1811"/>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812"/>
          <w:p>
            <w:pPr>
              <w:spacing w:after="20"/>
              <w:ind w:left="20"/>
              <w:jc w:val="both"/>
            </w:pPr>
            <w:r>
              <w:rPr>
                <w:rFonts w:ascii="Times New Roman"/>
                <w:b w:val="false"/>
                <w:i w:val="false"/>
                <w:color w:val="000000"/>
                <w:sz w:val="20"/>
              </w:rPr>
              <w:t xml:space="preserve">
Если да: </w:t>
            </w:r>
          </w:p>
          <w:bookmarkEnd w:id="1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813"/>
          <w:p>
            <w:pPr>
              <w:spacing w:after="20"/>
              <w:ind w:left="20"/>
              <w:jc w:val="both"/>
            </w:pPr>
            <w:r>
              <w:rPr>
                <w:rFonts w:ascii="Times New Roman"/>
                <w:b w:val="false"/>
                <w:i w:val="false"/>
                <w:color w:val="000000"/>
                <w:sz w:val="20"/>
              </w:rPr>
              <w:t xml:space="preserve">
вещество (субстанция) со ссылкой на МФП </w:t>
            </w:r>
          </w:p>
          <w:bookmarkEnd w:id="1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3" w:id="1814"/>
    <w:p>
      <w:pPr>
        <w:spacing w:after="0"/>
        <w:ind w:left="0"/>
        <w:jc w:val="both"/>
      </w:pPr>
      <w:r>
        <w:rPr>
          <w:rFonts w:ascii="Times New Roman"/>
          <w:b w:val="false"/>
          <w:i w:val="false"/>
          <w:color w:val="000000"/>
          <w:sz w:val="28"/>
        </w:rPr>
        <w:t xml:space="preserve">
       </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815"/>
          <w:p>
            <w:pPr>
              <w:spacing w:after="20"/>
              <w:ind w:left="20"/>
              <w:jc w:val="both"/>
            </w:pPr>
            <w:r>
              <w:rPr>
                <w:rFonts w:ascii="Times New Roman"/>
                <w:b w:val="false"/>
                <w:i w:val="false"/>
                <w:color w:val="000000"/>
                <w:sz w:val="20"/>
              </w:rPr>
              <w:t xml:space="preserve">
функция </w:t>
            </w:r>
          </w:p>
          <w:bookmarkEnd w:id="1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w:t>
            </w:r>
            <w:r>
              <w:rPr>
                <w:rFonts w:ascii="Times New Roman"/>
                <w:b w:val="false"/>
                <w:i w:val="false"/>
                <w:color w:val="000000"/>
                <w:vertAlign w:val="superscript"/>
              </w:rPr>
              <w:t>1</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816"/>
          <w:p>
            <w:pPr>
              <w:spacing w:after="20"/>
              <w:ind w:left="20"/>
              <w:jc w:val="both"/>
            </w:pPr>
            <w:r>
              <w:rPr>
                <w:rFonts w:ascii="Times New Roman"/>
                <w:b w:val="false"/>
                <w:i w:val="false"/>
                <w:color w:val="000000"/>
                <w:sz w:val="20"/>
              </w:rPr>
              <w:t xml:space="preserve">
наименование владельца/заявителя МФП </w:t>
            </w:r>
          </w:p>
          <w:bookmarkEnd w:id="18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817"/>
          <w:p>
            <w:pPr>
              <w:spacing w:after="20"/>
              <w:ind w:left="20"/>
              <w:jc w:val="both"/>
            </w:pPr>
            <w:r>
              <w:rPr>
                <w:rFonts w:ascii="Times New Roman"/>
                <w:b w:val="false"/>
                <w:i w:val="false"/>
                <w:color w:val="000000"/>
                <w:sz w:val="20"/>
              </w:rPr>
              <w:t xml:space="preserve">
номер сертификата/ заявления </w:t>
            </w:r>
          </w:p>
          <w:bookmarkEnd w:id="18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818"/>
          <w:p>
            <w:pPr>
              <w:spacing w:after="20"/>
              <w:ind w:left="20"/>
              <w:jc w:val="both"/>
            </w:pPr>
            <w:r>
              <w:rPr>
                <w:rFonts w:ascii="Times New Roman"/>
                <w:b w:val="false"/>
                <w:i w:val="false"/>
                <w:color w:val="000000"/>
                <w:sz w:val="20"/>
              </w:rPr>
              <w:t xml:space="preserve">
дата подачи заявления (если на рассмотрении) </w:t>
            </w:r>
          </w:p>
          <w:bookmarkEnd w:id="1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819"/>
          <w:p>
            <w:pPr>
              <w:spacing w:after="20"/>
              <w:ind w:left="20"/>
              <w:jc w:val="both"/>
            </w:pPr>
            <w:r>
              <w:rPr>
                <w:rFonts w:ascii="Times New Roman"/>
                <w:b w:val="false"/>
                <w:i w:val="false"/>
                <w:color w:val="000000"/>
                <w:sz w:val="20"/>
              </w:rPr>
              <w:t xml:space="preserve">
дата утверждения или последнего пересмотра (если сертификат имеется) </w:t>
            </w:r>
          </w:p>
          <w:bookmarkEnd w:id="1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0" w:id="1820"/>
    <w:p>
      <w:pPr>
        <w:spacing w:after="0"/>
        <w:ind w:left="0"/>
        <w:jc w:val="both"/>
      </w:pPr>
      <w:r>
        <w:rPr>
          <w:rFonts w:ascii="Times New Roman"/>
          <w:b w:val="false"/>
          <w:i w:val="false"/>
          <w:color w:val="000000"/>
          <w:sz w:val="28"/>
        </w:rPr>
        <w:t>
      ────────────────────────────────</w:t>
      </w:r>
    </w:p>
    <w:bookmarkEnd w:id="1820"/>
    <w:bookmarkStart w:name="z1741" w:id="18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ВВ - вспомогательное вещество (включая исходные материалы, которые </w:t>
      </w:r>
    </w:p>
    <w:bookmarkEnd w:id="1821"/>
    <w:bookmarkStart w:name="z1742" w:id="1822"/>
    <w:p>
      <w:pPr>
        <w:spacing w:after="0"/>
        <w:ind w:left="0"/>
        <w:jc w:val="both"/>
      </w:pPr>
      <w:r>
        <w:rPr>
          <w:rFonts w:ascii="Times New Roman"/>
          <w:b w:val="false"/>
          <w:i w:val="false"/>
          <w:color w:val="000000"/>
          <w:sz w:val="28"/>
        </w:rPr>
        <w:t>
      используются в производстве АФС/вспомогательного вещества).</w:t>
      </w:r>
    </w:p>
    <w:bookmarkEnd w:id="1822"/>
    <w:bookmarkStart w:name="z1743" w:id="18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 - реагент/среда культивирования (включая используемые для приготовления </w:t>
      </w:r>
    </w:p>
    <w:bookmarkEnd w:id="1823"/>
    <w:bookmarkStart w:name="z1744" w:id="1824"/>
    <w:p>
      <w:pPr>
        <w:spacing w:after="0"/>
        <w:ind w:left="0"/>
        <w:jc w:val="both"/>
      </w:pPr>
      <w:r>
        <w:rPr>
          <w:rFonts w:ascii="Times New Roman"/>
          <w:b w:val="false"/>
          <w:i w:val="false"/>
          <w:color w:val="000000"/>
          <w:sz w:val="28"/>
        </w:rPr>
        <w:t>
      главного и рабочего банков клеток).</w:t>
      </w:r>
    </w:p>
    <w:bookmarkEnd w:id="1824"/>
    <w:bookmarkStart w:name="z1745" w:id="1825"/>
    <w:p>
      <w:pPr>
        <w:spacing w:after="0"/>
        <w:ind w:left="0"/>
        <w:jc w:val="both"/>
      </w:pPr>
      <w:r>
        <w:rPr>
          <w:rFonts w:ascii="Times New Roman"/>
          <w:b w:val="false"/>
          <w:i w:val="false"/>
          <w:color w:val="000000"/>
          <w:sz w:val="28"/>
        </w:rPr>
        <w:t xml:space="preserve">
       </w:t>
      </w:r>
    </w:p>
    <w:bookmarkEnd w:id="1825"/>
    <w:bookmarkStart w:name="z1746" w:id="1826"/>
    <w:p>
      <w:pPr>
        <w:spacing w:after="0"/>
        <w:ind w:left="0"/>
        <w:jc w:val="both"/>
      </w:pPr>
      <w:r>
        <w:rPr>
          <w:rFonts w:ascii="Times New Roman"/>
          <w:b w:val="false"/>
          <w:i w:val="false"/>
          <w:color w:val="000000"/>
          <w:sz w:val="28"/>
        </w:rPr>
        <w:t>
      2.6.4. Содержит ли или состоит ли лекарственный препарат из генетически модифицированных организмов (ГМО):</w:t>
      </w:r>
    </w:p>
    <w:bookmarkEnd w:id="1826"/>
    <w:bookmarkStart w:name="z1747" w:id="1827"/>
    <w:p>
      <w:pPr>
        <w:spacing w:after="0"/>
        <w:ind w:left="0"/>
        <w:jc w:val="both"/>
      </w:pPr>
      <w:r>
        <w:rPr>
          <w:rFonts w:ascii="Times New Roman"/>
          <w:b w:val="false"/>
          <w:i w:val="false"/>
          <w:color w:val="000000"/>
          <w:sz w:val="28"/>
        </w:rPr>
        <w:t xml:space="preserve">
       </w:t>
      </w:r>
    </w:p>
    <w:bookmarkEnd w:id="18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48" w:id="1828"/>
          <w:p>
            <w:pPr>
              <w:spacing w:after="20"/>
              <w:ind w:left="20"/>
              <w:jc w:val="both"/>
            </w:pPr>
          </w:p>
          <w:bookmarkEnd w:id="1828"/>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749" w:id="1829"/>
    <w:p>
      <w:pPr>
        <w:spacing w:after="0"/>
        <w:ind w:left="0"/>
        <w:jc w:val="both"/>
      </w:pPr>
      <w:r>
        <w:rPr>
          <w:rFonts w:ascii="Times New Roman"/>
          <w:b w:val="false"/>
          <w:i w:val="false"/>
          <w:color w:val="000000"/>
          <w:sz w:val="28"/>
        </w:rPr>
        <w:t xml:space="preserve">
      Если да, то соответствует ли препарат установленным требованиям: </w:t>
      </w:r>
    </w:p>
    <w:bookmarkEnd w:id="18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50" w:id="1830"/>
          <w:p>
            <w:pPr>
              <w:spacing w:after="20"/>
              <w:ind w:left="20"/>
              <w:jc w:val="both"/>
            </w:pPr>
          </w:p>
          <w:bookmarkEnd w:id="183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751" w:id="1831"/>
    <w:p>
      <w:pPr>
        <w:spacing w:after="0"/>
        <w:ind w:left="0"/>
        <w:jc w:val="both"/>
      </w:pPr>
      <w:r>
        <w:rPr>
          <w:rFonts w:ascii="Times New Roman"/>
          <w:b w:val="false"/>
          <w:i w:val="false"/>
          <w:color w:val="000000"/>
          <w:sz w:val="28"/>
        </w:rPr>
        <w:t>
      Сделайте необходимую ссылку.</w:t>
      </w:r>
    </w:p>
    <w:bookmarkEnd w:id="1831"/>
    <w:bookmarkStart w:name="z1752" w:id="1832"/>
    <w:p>
      <w:pPr>
        <w:spacing w:after="0"/>
        <w:ind w:left="0"/>
        <w:jc w:val="both"/>
      </w:pPr>
      <w:r>
        <w:rPr>
          <w:rFonts w:ascii="Times New Roman"/>
          <w:b w:val="false"/>
          <w:i w:val="false"/>
          <w:color w:val="000000"/>
          <w:sz w:val="28"/>
        </w:rPr>
        <w:t>
      3. Другие сведения</w:t>
      </w:r>
    </w:p>
    <w:bookmarkEnd w:id="1832"/>
    <w:bookmarkStart w:name="z1753" w:id="1833"/>
    <w:p>
      <w:pPr>
        <w:spacing w:after="0"/>
        <w:ind w:left="0"/>
        <w:jc w:val="both"/>
      </w:pPr>
      <w:r>
        <w:rPr>
          <w:rFonts w:ascii="Times New Roman"/>
          <w:b w:val="false"/>
          <w:i w:val="false"/>
          <w:color w:val="000000"/>
          <w:sz w:val="28"/>
        </w:rPr>
        <w:t>
      3.1. Охраняются ли интеллектуальные права на лекарственный препарат патентами, действующими на территории государства-члена Евразийского экономического союза:</w:t>
      </w:r>
    </w:p>
    <w:bookmarkEnd w:id="18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54" w:id="1834"/>
          <w:p>
            <w:pPr>
              <w:spacing w:after="20"/>
              <w:ind w:left="20"/>
              <w:jc w:val="both"/>
            </w:pPr>
          </w:p>
          <w:bookmarkEnd w:id="1834"/>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755" w:id="1835"/>
    <w:p>
      <w:pPr>
        <w:spacing w:after="0"/>
        <w:ind w:left="0"/>
        <w:jc w:val="both"/>
      </w:pPr>
      <w:r>
        <w:rPr>
          <w:rFonts w:ascii="Times New Roman"/>
          <w:b w:val="false"/>
          <w:i w:val="false"/>
          <w:color w:val="000000"/>
          <w:sz w:val="28"/>
        </w:rPr>
        <w:t>
      Если да, то приведите такую информацию:</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836"/>
          <w:p>
            <w:pPr>
              <w:spacing w:after="20"/>
              <w:ind w:left="20"/>
              <w:jc w:val="both"/>
            </w:pPr>
            <w:r>
              <w:rPr>
                <w:rFonts w:ascii="Times New Roman"/>
                <w:b w:val="false"/>
                <w:i w:val="false"/>
                <w:color w:val="000000"/>
                <w:sz w:val="20"/>
              </w:rPr>
              <w:t xml:space="preserve">
Номер патента </w:t>
            </w:r>
          </w:p>
          <w:bookmarkEnd w:id="18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Действителен на территории государства-члена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Действует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патента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837"/>
          <w:p>
            <w:pPr>
              <w:spacing w:after="20"/>
              <w:ind w:left="20"/>
              <w:jc w:val="both"/>
            </w:pPr>
          </w:p>
          <w:bookmarkEnd w:id="18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8" w:id="1838"/>
    <w:p>
      <w:pPr>
        <w:spacing w:after="0"/>
        <w:ind w:left="0"/>
        <w:jc w:val="both"/>
      </w:pPr>
      <w:r>
        <w:rPr>
          <w:rFonts w:ascii="Times New Roman"/>
          <w:b w:val="false"/>
          <w:i w:val="false"/>
          <w:color w:val="000000"/>
          <w:sz w:val="28"/>
        </w:rPr>
        <w:t>
      Для регистрации лекарственных препаратов (приведения регистрационного досье лекарственного препарата в соответствие с требованиями актов, составляющих право Евразийского экономического союза), имеющих патент, выданный в соответствии с законодательством государства - члена Евразийского экономического союза, заявитель подает заверенную им копию такого патента или лицензионного соглашения, которое дает право на производство и продажу зарегистрированного лекарственного препарата. Заявители представляют письмо, в котором указывается, что интеллектуальные права третьих лиц, защищенные патентом или переданные по лицензии, не нарушаются в связи с регистрацией лекарственного препарата.</w:t>
      </w:r>
    </w:p>
    <w:bookmarkEnd w:id="1838"/>
    <w:bookmarkStart w:name="z1759" w:id="1839"/>
    <w:p>
      <w:pPr>
        <w:spacing w:after="0"/>
        <w:ind w:left="0"/>
        <w:jc w:val="both"/>
      </w:pPr>
      <w:r>
        <w:rPr>
          <w:rFonts w:ascii="Times New Roman"/>
          <w:b w:val="false"/>
          <w:i w:val="false"/>
          <w:color w:val="000000"/>
          <w:sz w:val="28"/>
        </w:rPr>
        <w:t>
      3.2. Зарегистрирован ли товарный знак в государствах - членах Евразийского экономического союза:</w:t>
      </w:r>
    </w:p>
    <w:bookmarkEnd w:id="18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60" w:id="1840"/>
          <w:p>
            <w:pPr>
              <w:spacing w:after="20"/>
              <w:ind w:left="20"/>
              <w:jc w:val="both"/>
            </w:pPr>
          </w:p>
          <w:bookmarkEnd w:id="184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761" w:id="1841"/>
    <w:p>
      <w:pPr>
        <w:spacing w:after="0"/>
        <w:ind w:left="0"/>
        <w:jc w:val="both"/>
      </w:pPr>
      <w:r>
        <w:rPr>
          <w:rFonts w:ascii="Times New Roman"/>
          <w:b w:val="false"/>
          <w:i w:val="false"/>
          <w:color w:val="000000"/>
          <w:sz w:val="28"/>
        </w:rPr>
        <w:t>
      Если да, то приведите такую информацию:</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842"/>
          <w:p>
            <w:pPr>
              <w:spacing w:after="20"/>
              <w:ind w:left="20"/>
              <w:jc w:val="both"/>
            </w:pPr>
            <w:r>
              <w:rPr>
                <w:rFonts w:ascii="Times New Roman"/>
                <w:b w:val="false"/>
                <w:i w:val="false"/>
                <w:color w:val="000000"/>
                <w:sz w:val="20"/>
              </w:rPr>
              <w:t>
Номер свидетельства</w:t>
            </w:r>
          </w:p>
          <w:bookmarkEnd w:id="18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на территории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843"/>
          <w:p>
            <w:pPr>
              <w:spacing w:after="20"/>
              <w:ind w:left="20"/>
              <w:jc w:val="both"/>
            </w:pPr>
          </w:p>
          <w:bookmarkEnd w:id="18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4" w:id="1844"/>
    <w:p>
      <w:pPr>
        <w:spacing w:after="0"/>
        <w:ind w:left="0"/>
        <w:jc w:val="both"/>
      </w:pPr>
      <w:r>
        <w:rPr>
          <w:rFonts w:ascii="Times New Roman"/>
          <w:b w:val="false"/>
          <w:i w:val="false"/>
          <w:color w:val="000000"/>
          <w:sz w:val="28"/>
        </w:rPr>
        <w:t xml:space="preserve">
      Приложить заверенную заявителем копию действующего на территории государства – </w:t>
      </w:r>
    </w:p>
    <w:bookmarkEnd w:id="1844"/>
    <w:bookmarkStart w:name="z1765" w:id="1845"/>
    <w:p>
      <w:pPr>
        <w:spacing w:after="0"/>
        <w:ind w:left="0"/>
        <w:jc w:val="both"/>
      </w:pPr>
      <w:r>
        <w:rPr>
          <w:rFonts w:ascii="Times New Roman"/>
          <w:b w:val="false"/>
          <w:i w:val="false"/>
          <w:color w:val="000000"/>
          <w:sz w:val="28"/>
        </w:rPr>
        <w:t>
      члена Евразийского экономического союза свидетельства о регистрации товарного знака.</w:t>
      </w:r>
    </w:p>
    <w:bookmarkEnd w:id="1845"/>
    <w:bookmarkStart w:name="z1766" w:id="1846"/>
    <w:p>
      <w:pPr>
        <w:spacing w:after="0"/>
        <w:ind w:left="0"/>
        <w:jc w:val="both"/>
      </w:pPr>
      <w:r>
        <w:rPr>
          <w:rFonts w:ascii="Times New Roman"/>
          <w:b w:val="false"/>
          <w:i w:val="false"/>
          <w:color w:val="000000"/>
          <w:sz w:val="28"/>
        </w:rPr>
        <w:t xml:space="preserve">
       Если заявитель не является правообладателем, то приложить заверенную заявителем </w:t>
      </w:r>
    </w:p>
    <w:bookmarkEnd w:id="1846"/>
    <w:bookmarkStart w:name="z1767" w:id="1847"/>
    <w:p>
      <w:pPr>
        <w:spacing w:after="0"/>
        <w:ind w:left="0"/>
        <w:jc w:val="both"/>
      </w:pPr>
      <w:r>
        <w:rPr>
          <w:rFonts w:ascii="Times New Roman"/>
          <w:b w:val="false"/>
          <w:i w:val="false"/>
          <w:color w:val="000000"/>
          <w:sz w:val="28"/>
        </w:rPr>
        <w:t xml:space="preserve">
      копию лицензионного договора или подтверждение регистрации предоставления права </w:t>
      </w:r>
    </w:p>
    <w:bookmarkEnd w:id="1847"/>
    <w:bookmarkStart w:name="z1768" w:id="1848"/>
    <w:p>
      <w:pPr>
        <w:spacing w:after="0"/>
        <w:ind w:left="0"/>
        <w:jc w:val="both"/>
      </w:pPr>
      <w:r>
        <w:rPr>
          <w:rFonts w:ascii="Times New Roman"/>
          <w:b w:val="false"/>
          <w:i w:val="false"/>
          <w:color w:val="000000"/>
          <w:sz w:val="28"/>
        </w:rPr>
        <w:t>
      использования товарного знака.</w:t>
      </w:r>
    </w:p>
    <w:bookmarkEnd w:id="1848"/>
    <w:bookmarkStart w:name="z1769" w:id="1849"/>
    <w:p>
      <w:pPr>
        <w:spacing w:after="0"/>
        <w:ind w:left="0"/>
        <w:jc w:val="both"/>
      </w:pPr>
      <w:r>
        <w:rPr>
          <w:rFonts w:ascii="Times New Roman"/>
          <w:b w:val="false"/>
          <w:i w:val="false"/>
          <w:color w:val="000000"/>
          <w:sz w:val="28"/>
        </w:rPr>
        <w:t>
       3.3. Зарегистрирован ли лекарственный препарат в стране производителя:</w:t>
      </w:r>
    </w:p>
    <w:bookmarkEnd w:id="18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70" w:id="1850"/>
          <w:p>
            <w:pPr>
              <w:spacing w:after="20"/>
              <w:ind w:left="20"/>
              <w:jc w:val="both"/>
            </w:pPr>
          </w:p>
          <w:bookmarkEnd w:id="185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771" w:id="1851"/>
    <w:p>
      <w:pPr>
        <w:spacing w:after="0"/>
        <w:ind w:left="0"/>
        <w:jc w:val="both"/>
      </w:pPr>
      <w:r>
        <w:rPr>
          <w:rFonts w:ascii="Times New Roman"/>
          <w:b w:val="false"/>
          <w:i w:val="false"/>
          <w:color w:val="000000"/>
          <w:sz w:val="28"/>
        </w:rPr>
        <w:t>
      Зарегистрирован ли лекарственный препарат в других странах:</w:t>
      </w:r>
    </w:p>
    <w:bookmarkEnd w:id="18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72" w:id="1852"/>
          <w:p>
            <w:pPr>
              <w:spacing w:after="20"/>
              <w:ind w:left="20"/>
              <w:jc w:val="both"/>
            </w:pPr>
          </w:p>
          <w:bookmarkEnd w:id="1852"/>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1773" w:id="1853"/>
    <w:p>
      <w:pPr>
        <w:spacing w:after="0"/>
        <w:ind w:left="0"/>
        <w:jc w:val="both"/>
      </w:pPr>
      <w:r>
        <w:rPr>
          <w:rFonts w:ascii="Times New Roman"/>
          <w:b w:val="false"/>
          <w:i w:val="false"/>
          <w:color w:val="000000"/>
          <w:sz w:val="28"/>
        </w:rPr>
        <w:t>
      3.4. Была ли проведена предварительная научная консультация относительно данного лекарственного препарата в государствах - членах Евразийского экономического союза:</w:t>
      </w:r>
    </w:p>
    <w:bookmarkEnd w:id="18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74" w:id="1854"/>
          <w:p>
            <w:pPr>
              <w:spacing w:after="20"/>
              <w:ind w:left="20"/>
              <w:jc w:val="both"/>
            </w:pPr>
          </w:p>
          <w:bookmarkEnd w:id="1854"/>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855"/>
          <w:p>
            <w:pPr>
              <w:spacing w:after="20"/>
              <w:ind w:left="20"/>
              <w:jc w:val="both"/>
            </w:pPr>
            <w:r>
              <w:rPr>
                <w:rFonts w:ascii="Times New Roman"/>
                <w:b w:val="false"/>
                <w:i w:val="false"/>
                <w:color w:val="000000"/>
                <w:sz w:val="20"/>
              </w:rPr>
              <w:t xml:space="preserve">
Если да: </w:t>
            </w:r>
          </w:p>
          <w:bookmarkEnd w:id="1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856"/>
          <w:p>
            <w:pPr>
              <w:spacing w:after="20"/>
              <w:ind w:left="20"/>
              <w:jc w:val="both"/>
            </w:pPr>
            <w:r>
              <w:rPr>
                <w:rFonts w:ascii="Times New Roman"/>
                <w:b w:val="false"/>
                <w:i w:val="false"/>
                <w:color w:val="000000"/>
                <w:sz w:val="20"/>
              </w:rPr>
              <w:t xml:space="preserve">
государство-член </w:t>
            </w:r>
          </w:p>
          <w:bookmarkEnd w:id="1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857"/>
          <w:p>
            <w:pPr>
              <w:spacing w:after="20"/>
              <w:ind w:left="20"/>
              <w:jc w:val="both"/>
            </w:pPr>
            <w:r>
              <w:rPr>
                <w:rFonts w:ascii="Times New Roman"/>
                <w:b w:val="false"/>
                <w:i w:val="false"/>
                <w:color w:val="000000"/>
                <w:sz w:val="20"/>
              </w:rPr>
              <w:t xml:space="preserve">
дата проведения </w:t>
            </w:r>
          </w:p>
          <w:bookmarkEnd w:id="1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858"/>
          <w:p>
            <w:pPr>
              <w:spacing w:after="20"/>
              <w:ind w:left="20"/>
              <w:jc w:val="both"/>
            </w:pPr>
            <w:r>
              <w:rPr>
                <w:rFonts w:ascii="Times New Roman"/>
                <w:b w:val="false"/>
                <w:i w:val="false"/>
                <w:color w:val="000000"/>
                <w:sz w:val="20"/>
              </w:rPr>
              <w:t xml:space="preserve">
отметка о наличии заключения в составе досье </w:t>
            </w:r>
          </w:p>
          <w:bookmarkEnd w:id="1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9" w:id="1859"/>
    <w:p>
      <w:pPr>
        <w:spacing w:after="0"/>
        <w:ind w:left="0"/>
        <w:jc w:val="both"/>
      </w:pPr>
      <w:r>
        <w:rPr>
          <w:rFonts w:ascii="Times New Roman"/>
          <w:b w:val="false"/>
          <w:i w:val="false"/>
          <w:color w:val="000000"/>
          <w:sz w:val="28"/>
        </w:rPr>
        <w:t>
      Была ли проведена предварительная научная консультация относительно данного лекарственного препарата в Экспертном комитете по лекарственным средствам:</w:t>
      </w:r>
    </w:p>
    <w:bookmarkEnd w:id="18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80" w:id="1860"/>
          <w:p>
            <w:pPr>
              <w:spacing w:after="20"/>
              <w:ind w:left="20"/>
              <w:jc w:val="both"/>
            </w:pPr>
          </w:p>
          <w:bookmarkEnd w:id="186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861"/>
          <w:p>
            <w:pPr>
              <w:spacing w:after="20"/>
              <w:ind w:left="20"/>
              <w:jc w:val="both"/>
            </w:pPr>
            <w:r>
              <w:rPr>
                <w:rFonts w:ascii="Times New Roman"/>
                <w:b w:val="false"/>
                <w:i w:val="false"/>
                <w:color w:val="000000"/>
                <w:sz w:val="20"/>
              </w:rPr>
              <w:t xml:space="preserve">
Если да: </w:t>
            </w:r>
          </w:p>
          <w:bookmarkEnd w:id="1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862"/>
          <w:p>
            <w:pPr>
              <w:spacing w:after="20"/>
              <w:ind w:left="20"/>
              <w:jc w:val="both"/>
            </w:pPr>
            <w:r>
              <w:rPr>
                <w:rFonts w:ascii="Times New Roman"/>
                <w:b w:val="false"/>
                <w:i w:val="false"/>
                <w:color w:val="000000"/>
                <w:sz w:val="20"/>
              </w:rPr>
              <w:t xml:space="preserve">
дата проведения </w:t>
            </w:r>
          </w:p>
          <w:bookmarkEnd w:id="1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863"/>
          <w:p>
            <w:pPr>
              <w:spacing w:after="20"/>
              <w:ind w:left="20"/>
              <w:jc w:val="both"/>
            </w:pPr>
            <w:r>
              <w:rPr>
                <w:rFonts w:ascii="Times New Roman"/>
                <w:b w:val="false"/>
                <w:i w:val="false"/>
                <w:color w:val="000000"/>
                <w:sz w:val="20"/>
              </w:rPr>
              <w:t xml:space="preserve">
отметка о наличии заключения в составе досье </w:t>
            </w:r>
          </w:p>
          <w:bookmarkEnd w:id="1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4" w:id="1864"/>
    <w:p>
      <w:pPr>
        <w:spacing w:after="0"/>
        <w:ind w:left="0"/>
        <w:jc w:val="both"/>
      </w:pPr>
      <w:r>
        <w:rPr>
          <w:rFonts w:ascii="Times New Roman"/>
          <w:b w:val="false"/>
          <w:i w:val="false"/>
          <w:color w:val="000000"/>
          <w:sz w:val="28"/>
        </w:rPr>
        <w:t>
      3.5. Информация об отказах, отзывах и приостановлении действия регистрационного удостоверения лекарственного препарата в стране производителя и других странах.</w:t>
      </w:r>
    </w:p>
    <w:bookmarkEnd w:id="18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85" w:id="1865"/>
          <w:p>
            <w:pPr>
              <w:spacing w:after="20"/>
              <w:ind w:left="20"/>
              <w:jc w:val="both"/>
            </w:pPr>
          </w:p>
          <w:bookmarkEnd w:id="1865"/>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866"/>
          <w:p>
            <w:pPr>
              <w:spacing w:after="20"/>
              <w:ind w:left="20"/>
              <w:jc w:val="both"/>
            </w:pPr>
            <w:r>
              <w:rPr>
                <w:rFonts w:ascii="Times New Roman"/>
                <w:b w:val="false"/>
                <w:i w:val="false"/>
                <w:color w:val="000000"/>
                <w:sz w:val="20"/>
              </w:rPr>
              <w:t xml:space="preserve">
Если да: </w:t>
            </w:r>
          </w:p>
          <w:bookmarkEnd w:id="1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867"/>
          <w:p>
            <w:pPr>
              <w:spacing w:after="20"/>
              <w:ind w:left="20"/>
              <w:jc w:val="both"/>
            </w:pPr>
            <w:r>
              <w:rPr>
                <w:rFonts w:ascii="Times New Roman"/>
                <w:b w:val="false"/>
                <w:i w:val="false"/>
                <w:color w:val="000000"/>
                <w:sz w:val="20"/>
              </w:rPr>
              <w:t xml:space="preserve">
Вид ограничения </w:t>
            </w:r>
          </w:p>
          <w:bookmarkEnd w:id="18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868"/>
          <w:p>
            <w:pPr>
              <w:spacing w:after="20"/>
              <w:ind w:left="20"/>
              <w:jc w:val="both"/>
            </w:pPr>
          </w:p>
          <w:bookmarkEnd w:id="18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869"/>
          <w:p>
            <w:pPr>
              <w:spacing w:after="20"/>
              <w:ind w:left="20"/>
              <w:jc w:val="both"/>
            </w:pPr>
            <w:r>
              <w:rPr>
                <w:rFonts w:ascii="Times New Roman"/>
                <w:b w:val="false"/>
                <w:i w:val="false"/>
                <w:color w:val="000000"/>
                <w:sz w:val="20"/>
              </w:rPr>
              <w:t xml:space="preserve">
... </w:t>
            </w:r>
          </w:p>
          <w:bookmarkEnd w:id="18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0" w:id="1870"/>
    <w:p>
      <w:pPr>
        <w:spacing w:after="0"/>
        <w:ind w:left="0"/>
        <w:jc w:val="both"/>
      </w:pPr>
      <w:r>
        <w:rPr>
          <w:rFonts w:ascii="Times New Roman"/>
          <w:b w:val="false"/>
          <w:i w:val="false"/>
          <w:color w:val="000000"/>
          <w:sz w:val="28"/>
        </w:rPr>
        <w:t>
      4. Приложения к заявлению</w:t>
      </w:r>
    </w:p>
    <w:bookmarkEnd w:id="1870"/>
    <w:bookmarkStart w:name="z1791" w:id="1871"/>
    <w:p>
      <w:pPr>
        <w:spacing w:after="0"/>
        <w:ind w:left="0"/>
        <w:jc w:val="both"/>
      </w:pPr>
      <w:r>
        <w:rPr>
          <w:rFonts w:ascii="Times New Roman"/>
          <w:b w:val="false"/>
          <w:i w:val="false"/>
          <w:color w:val="000000"/>
          <w:sz w:val="28"/>
        </w:rPr>
        <w:t>
      4.1. Доверенность на осуществление юридически значимых действий от имени держателя регистрационного удостоверения и заявителя (если применимо).</w:t>
      </w:r>
    </w:p>
    <w:bookmarkEnd w:id="1871"/>
    <w:bookmarkStart w:name="z1792" w:id="1872"/>
    <w:p>
      <w:pPr>
        <w:spacing w:after="0"/>
        <w:ind w:left="0"/>
        <w:jc w:val="both"/>
      </w:pPr>
      <w:r>
        <w:rPr>
          <w:rFonts w:ascii="Times New Roman"/>
          <w:b w:val="false"/>
          <w:i w:val="false"/>
          <w:color w:val="000000"/>
          <w:sz w:val="28"/>
        </w:rPr>
        <w:t>
      4.2. Копия документа, подтверждающего орфанный статус лекарственного препарата.</w:t>
      </w:r>
    </w:p>
    <w:bookmarkEnd w:id="1872"/>
    <w:bookmarkStart w:name="z1793" w:id="1873"/>
    <w:p>
      <w:pPr>
        <w:spacing w:after="0"/>
        <w:ind w:left="0"/>
        <w:jc w:val="both"/>
      </w:pPr>
      <w:r>
        <w:rPr>
          <w:rFonts w:ascii="Times New Roman"/>
          <w:b w:val="false"/>
          <w:i w:val="false"/>
          <w:color w:val="000000"/>
          <w:sz w:val="28"/>
        </w:rPr>
        <w:t>
       4.3. Копии действующих патентов на территории государств - членов Евразийского экономического союза в отношении регистрируемого лекарственного препарата.</w:t>
      </w:r>
    </w:p>
    <w:bookmarkEnd w:id="1873"/>
    <w:bookmarkStart w:name="z1794" w:id="1874"/>
    <w:p>
      <w:pPr>
        <w:spacing w:after="0"/>
        <w:ind w:left="0"/>
        <w:jc w:val="both"/>
      </w:pPr>
      <w:r>
        <w:rPr>
          <w:rFonts w:ascii="Times New Roman"/>
          <w:b w:val="false"/>
          <w:i w:val="false"/>
          <w:color w:val="000000"/>
          <w:sz w:val="28"/>
        </w:rPr>
        <w:t>
       4.4. Письменное подтверждение заявителя, что регистрация лекарственного препарата не нарушает прав третьих лиц на интеллектуальную собственность.</w:t>
      </w:r>
    </w:p>
    <w:bookmarkEnd w:id="1874"/>
    <w:bookmarkStart w:name="z1795" w:id="1875"/>
    <w:p>
      <w:pPr>
        <w:spacing w:after="0"/>
        <w:ind w:left="0"/>
        <w:jc w:val="both"/>
      </w:pPr>
      <w:r>
        <w:rPr>
          <w:rFonts w:ascii="Times New Roman"/>
          <w:b w:val="false"/>
          <w:i w:val="false"/>
          <w:color w:val="000000"/>
          <w:sz w:val="28"/>
        </w:rPr>
        <w:t>
       4.5. Копия действующего на территории государства - члена Союза свидетельства о регистрации товарного знака.</w:t>
      </w:r>
    </w:p>
    <w:bookmarkEnd w:id="1875"/>
    <w:bookmarkStart w:name="z1796" w:id="1876"/>
    <w:p>
      <w:pPr>
        <w:spacing w:after="0"/>
        <w:ind w:left="0"/>
        <w:jc w:val="both"/>
      </w:pPr>
      <w:r>
        <w:rPr>
          <w:rFonts w:ascii="Times New Roman"/>
          <w:b w:val="false"/>
          <w:i w:val="false"/>
          <w:color w:val="000000"/>
          <w:sz w:val="28"/>
        </w:rPr>
        <w:t>
       4.6. Заявление уполномоченного лица по контролю качества о соответствии производства правилам надлежащей производственной практики Евразийского экономического союза, утверждаемым Комиссией и руководствам по надлежащей практике в отношении исходных материалов для каждой производственной площадки, используемой в процессе производства лекарственного препарата и АФС, включая площадки, на которых осуществляется контроль качества (контроль в процессе производства).</w:t>
      </w:r>
    </w:p>
    <w:bookmarkEnd w:id="1876"/>
    <w:bookmarkStart w:name="z11916" w:id="1877"/>
    <w:p>
      <w:pPr>
        <w:spacing w:after="0"/>
        <w:ind w:left="0"/>
        <w:jc w:val="both"/>
      </w:pPr>
      <w:r>
        <w:rPr>
          <w:rFonts w:ascii="Times New Roman"/>
          <w:b w:val="false"/>
          <w:i w:val="false"/>
          <w:color w:val="000000"/>
          <w:sz w:val="28"/>
        </w:rPr>
        <w:t xml:space="preserve">
      </w:t>
      </w:r>
    </w:p>
    <w:bookmarkEnd w:id="1877"/>
    <w:p>
      <w:pPr>
        <w:spacing w:after="0"/>
        <w:ind w:left="0"/>
        <w:jc w:val="both"/>
      </w:pPr>
      <w:r>
        <w:t>[MISSING IMAGE: ,  ]</w:t>
      </w:r>
    </w:p>
    <w:p>
      <w:pPr>
        <w:spacing w:after="0"/>
        <w:ind w:left="0"/>
        <w:jc w:val="left"/>
      </w:pPr>
      <w:r>
        <w:rPr>
          <w:rFonts w:ascii="Times New Roman"/>
          <w:b w:val="false"/>
          <w:i w:val="false"/>
          <w:color w:val="000000"/>
          <w:sz w:val="28"/>
        </w:rPr>
        <w:t xml:space="preserve"> ЛЕКАРСТВЕННЫЙ ПРЕПАРАТ, ПОДАВАЕМЫЙ  НА РЕГИСТРАЦИЮ В СООТВЕТСТВИИ С РАЗДЕЛОМ VII  ПРАВИЛ РЕГИСТРАЦИИ И ЭКСПЕРТИЗЫ ЛЕКАРСТВЕННЫХ СРЕДСТВ ДЛЯ МЕДИЦИНСКОГО ПРИМЕНЕНИЯ</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Раздел 1 дополнен формой в соответствии с решением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1917" w:id="1878"/>
    <w:p>
      <w:pPr>
        <w:spacing w:after="0"/>
        <w:ind w:left="0"/>
        <w:jc w:val="both"/>
      </w:pPr>
      <w:r>
        <w:rPr>
          <w:rFonts w:ascii="Times New Roman"/>
          <w:b w:val="false"/>
          <w:i w:val="false"/>
          <w:color w:val="000000"/>
          <w:sz w:val="28"/>
        </w:rPr>
        <w:t xml:space="preserve">
      Если лекарственный препарат подается на регистрацию в соответствии с разделом VII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необходимо указать тип процедуры, в соответствии с которой он подается на регистрацию. </w:t>
      </w:r>
    </w:p>
    <w:bookmarkEnd w:id="1878"/>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bookmarkStart w:name="z11918" w:id="1879"/>
          <w:p>
            <w:pPr>
              <w:spacing w:after="20"/>
              <w:ind w:left="20"/>
              <w:jc w:val="both"/>
            </w:pPr>
            <w:r>
              <w:rPr>
                <w:rFonts w:ascii="Times New Roman"/>
                <w:b w:val="false"/>
                <w:i w:val="false"/>
                <w:color w:val="000000"/>
                <w:sz w:val="20"/>
              </w:rPr>
              <w:t>
</w:t>
            </w:r>
          </w:p>
          <w:bookmarkEnd w:id="1879"/>
          <w:p>
            <w:pPr>
              <w:spacing w:after="20"/>
              <w:ind w:left="20"/>
              <w:jc w:val="both"/>
            </w:pPr>
            <w:r>
              <w:t>[MISSING IMAGE: ,  ]</w:t>
            </w:r>
          </w:p>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лекарственного препарата в исключительных случаях</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w:t>
            </w:r>
          </w:p>
          <w:p>
            <w:pPr>
              <w:spacing w:after="20"/>
              <w:ind w:left="20"/>
              <w:jc w:val="both"/>
            </w:pPr>
            <w:r>
              <w:rPr>
                <w:rFonts w:ascii="Times New Roman"/>
                <w:b w:val="false"/>
                <w:i w:val="false"/>
                <w:color w:val="000000"/>
                <w:sz w:val="20"/>
              </w:rPr>
              <w:t>регистрация лекарственного препарата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экспертиза лекарственного препарата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w:t>
            </w:r>
          </w:p>
          <w:p>
            <w:pPr>
              <w:spacing w:after="20"/>
              <w:ind w:left="20"/>
              <w:jc w:val="both"/>
            </w:pPr>
            <w:r>
              <w:rPr>
                <w:rFonts w:ascii="Times New Roman"/>
                <w:b w:val="false"/>
                <w:i w:val="false"/>
                <w:color w:val="000000"/>
                <w:sz w:val="20"/>
              </w:rPr>
              <w:t>лекарственного препарата с установлением дополнительных</w:t>
            </w:r>
          </w:p>
          <w:p>
            <w:pPr>
              <w:spacing w:after="20"/>
              <w:ind w:left="20"/>
              <w:jc w:val="both"/>
            </w:pPr>
            <w:r>
              <w:rPr>
                <w:rFonts w:ascii="Times New Roman"/>
                <w:b w:val="false"/>
                <w:i w:val="false"/>
                <w:color w:val="000000"/>
                <w:sz w:val="20"/>
              </w:rPr>
              <w:t>требований";</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8" w:id="1880"/>
    <w:p>
      <w:pPr>
        <w:spacing w:after="0"/>
        <w:ind w:left="0"/>
        <w:jc w:val="both"/>
      </w:pPr>
      <w:r>
        <w:rPr>
          <w:rFonts w:ascii="Times New Roman"/>
          <w:b w:val="false"/>
          <w:i w:val="false"/>
          <w:color w:val="000000"/>
          <w:sz w:val="28"/>
        </w:rPr>
        <w:t>
      наименование подраздела 4 дополнить словами "(подаются на бумажном носителе или в виде электронных документов, подписанных (заверенных) электронной подписью)";</w:t>
      </w:r>
    </w:p>
    <w:bookmarkEnd w:id="1880"/>
    <w:bookmarkStart w:name="z11929" w:id="1881"/>
    <w:p>
      <w:pPr>
        <w:spacing w:after="0"/>
        <w:ind w:left="0"/>
        <w:jc w:val="both"/>
      </w:pPr>
      <w:r>
        <w:rPr>
          <w:rFonts w:ascii="Times New Roman"/>
          <w:b w:val="false"/>
          <w:i w:val="false"/>
          <w:color w:val="000000"/>
          <w:sz w:val="28"/>
        </w:rPr>
        <w:t>
      пункт 4.2 дополнить словами ", или копия перечня, указанного в пункте 6 Правил, содержащего информацию о соответствующем орфанном заболевании</w:t>
      </w:r>
    </w:p>
    <w:bookmarkEnd w:id="1881"/>
    <w:bookmarkStart w:name="z1797" w:id="1882"/>
    <w:p>
      <w:pPr>
        <w:spacing w:after="0"/>
        <w:ind w:left="0"/>
        <w:jc w:val="left"/>
      </w:pPr>
      <w:r>
        <w:rPr>
          <w:rFonts w:ascii="Times New Roman"/>
          <w:b/>
          <w:i w:val="false"/>
          <w:color w:val="000000"/>
        </w:rPr>
        <w:t xml:space="preserve"> II. ЗАЯВЛЕНИЕ</w:t>
      </w:r>
      <w:r>
        <w:br/>
      </w:r>
      <w:r>
        <w:rPr>
          <w:rFonts w:ascii="Times New Roman"/>
          <w:b/>
          <w:i w:val="false"/>
          <w:color w:val="000000"/>
        </w:rPr>
        <w:t>о перерегистрации лекарственного препарата</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883"/>
          <w:p>
            <w:pPr>
              <w:spacing w:after="20"/>
              <w:ind w:left="20"/>
              <w:jc w:val="both"/>
            </w:pPr>
            <w:r>
              <w:rPr>
                <w:rFonts w:ascii="Times New Roman"/>
                <w:b w:val="false"/>
                <w:i w:val="false"/>
                <w:color w:val="000000"/>
                <w:sz w:val="20"/>
              </w:rPr>
              <w:t>
Дата поступления заявления</w:t>
            </w:r>
          </w:p>
          <w:bookmarkEnd w:id="1883"/>
          <w:p>
            <w:pPr>
              <w:spacing w:after="20"/>
              <w:ind w:left="20"/>
              <w:jc w:val="both"/>
            </w:pPr>
            <w:r>
              <w:rPr>
                <w:rFonts w:ascii="Times New Roman"/>
                <w:b w:val="false"/>
                <w:i w:val="false"/>
                <w:color w:val="000000"/>
                <w:sz w:val="20"/>
              </w:rPr>
              <w:t xml:space="preserve">"__" _____________ 20__ 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884"/>
          <w:p>
            <w:pPr>
              <w:spacing w:after="20"/>
              <w:ind w:left="20"/>
              <w:jc w:val="both"/>
            </w:pPr>
            <w:r>
              <w:rPr>
                <w:rFonts w:ascii="Times New Roman"/>
                <w:b w:val="false"/>
                <w:i w:val="false"/>
                <w:color w:val="000000"/>
                <w:sz w:val="20"/>
              </w:rPr>
              <w:t xml:space="preserve">
Торговые наименования лекарственного препарата </w:t>
            </w:r>
          </w:p>
          <w:bookmarkEnd w:id="1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885"/>
          <w:p>
            <w:pPr>
              <w:spacing w:after="20"/>
              <w:ind w:left="20"/>
              <w:jc w:val="both"/>
            </w:pPr>
            <w:r>
              <w:rPr>
                <w:rFonts w:ascii="Times New Roman"/>
                <w:b w:val="false"/>
                <w:i w:val="false"/>
                <w:color w:val="000000"/>
                <w:sz w:val="20"/>
              </w:rPr>
              <w:t xml:space="preserve">
Активные фармацевтические субстанции </w:t>
            </w:r>
          </w:p>
          <w:bookmarkEnd w:id="1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886"/>
          <w:p>
            <w:pPr>
              <w:spacing w:after="20"/>
              <w:ind w:left="20"/>
              <w:jc w:val="both"/>
            </w:pPr>
            <w:r>
              <w:rPr>
                <w:rFonts w:ascii="Times New Roman"/>
                <w:b w:val="false"/>
                <w:i w:val="false"/>
                <w:color w:val="000000"/>
                <w:sz w:val="20"/>
              </w:rPr>
              <w:t xml:space="preserve">
Дозировки или концентрации </w:t>
            </w:r>
          </w:p>
          <w:bookmarkEnd w:id="1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887"/>
          <w:p>
            <w:pPr>
              <w:spacing w:after="20"/>
              <w:ind w:left="20"/>
              <w:jc w:val="both"/>
            </w:pPr>
            <w:r>
              <w:rPr>
                <w:rFonts w:ascii="Times New Roman"/>
                <w:b w:val="false"/>
                <w:i w:val="false"/>
                <w:color w:val="000000"/>
                <w:sz w:val="20"/>
              </w:rPr>
              <w:t xml:space="preserve">
Лекарственная форма </w:t>
            </w:r>
          </w:p>
          <w:bookmarkEnd w:id="1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888"/>
          <w:p>
            <w:pPr>
              <w:spacing w:after="20"/>
              <w:ind w:left="20"/>
              <w:jc w:val="both"/>
            </w:pPr>
            <w:r>
              <w:rPr>
                <w:rFonts w:ascii="Times New Roman"/>
                <w:b w:val="false"/>
                <w:i w:val="false"/>
                <w:color w:val="000000"/>
                <w:sz w:val="20"/>
              </w:rPr>
              <w:t xml:space="preserve">
Форма выпуска </w:t>
            </w:r>
          </w:p>
          <w:bookmarkEnd w:id="1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889"/>
          <w:p>
            <w:pPr>
              <w:spacing w:after="20"/>
              <w:ind w:left="20"/>
              <w:jc w:val="both"/>
            </w:pPr>
            <w:r>
              <w:rPr>
                <w:rFonts w:ascii="Times New Roman"/>
                <w:b w:val="false"/>
                <w:i w:val="false"/>
                <w:color w:val="000000"/>
                <w:sz w:val="20"/>
              </w:rPr>
              <w:t xml:space="preserve">
Держатель регистрационного удостоверения </w:t>
            </w:r>
          </w:p>
          <w:bookmarkEnd w:id="1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890"/>
          <w:p>
            <w:pPr>
              <w:spacing w:after="20"/>
              <w:ind w:left="20"/>
              <w:jc w:val="both"/>
            </w:pPr>
            <w:r>
              <w:rPr>
                <w:rFonts w:ascii="Times New Roman"/>
                <w:b w:val="false"/>
                <w:i w:val="false"/>
                <w:color w:val="000000"/>
                <w:sz w:val="20"/>
              </w:rPr>
              <w:t xml:space="preserve">
Заявитель </w:t>
            </w:r>
          </w:p>
          <w:bookmarkEnd w:id="1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891"/>
          <w:p>
            <w:pPr>
              <w:spacing w:after="20"/>
              <w:ind w:left="20"/>
              <w:jc w:val="both"/>
            </w:pPr>
            <w:r>
              <w:rPr>
                <w:rFonts w:ascii="Times New Roman"/>
                <w:b w:val="false"/>
                <w:i w:val="false"/>
                <w:color w:val="000000"/>
                <w:sz w:val="20"/>
              </w:rPr>
              <w:t xml:space="preserve">
Представитель заявителя </w:t>
            </w:r>
          </w:p>
          <w:bookmarkEnd w:id="1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892"/>
          <w:p>
            <w:pPr>
              <w:spacing w:after="20"/>
              <w:ind w:left="20"/>
              <w:jc w:val="both"/>
            </w:pPr>
            <w:r>
              <w:rPr>
                <w:rFonts w:ascii="Times New Roman"/>
                <w:b w:val="false"/>
                <w:i w:val="false"/>
                <w:color w:val="000000"/>
                <w:sz w:val="20"/>
              </w:rPr>
              <w:t xml:space="preserve">
Данные регистрационного удостоверения </w:t>
            </w:r>
          </w:p>
          <w:bookmarkEnd w:id="189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893"/>
          <w:p>
            <w:pPr>
              <w:spacing w:after="20"/>
              <w:ind w:left="20"/>
              <w:jc w:val="both"/>
            </w:pPr>
            <w:r>
              <w:rPr>
                <w:rFonts w:ascii="Times New Roman"/>
                <w:b w:val="false"/>
                <w:i w:val="false"/>
                <w:color w:val="000000"/>
                <w:sz w:val="20"/>
              </w:rPr>
              <w:t xml:space="preserve">
номер регистрационного удостоверения </w:t>
            </w:r>
          </w:p>
          <w:bookmarkEnd w:id="1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894"/>
          <w:p>
            <w:pPr>
              <w:spacing w:after="20"/>
              <w:ind w:left="20"/>
              <w:jc w:val="both"/>
            </w:pPr>
            <w:r>
              <w:rPr>
                <w:rFonts w:ascii="Times New Roman"/>
                <w:b w:val="false"/>
                <w:i w:val="false"/>
                <w:color w:val="000000"/>
                <w:sz w:val="20"/>
              </w:rPr>
              <w:t xml:space="preserve">
дата регистрации </w:t>
            </w:r>
          </w:p>
          <w:bookmarkEnd w:id="1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895"/>
          <w:p>
            <w:pPr>
              <w:spacing w:after="20"/>
              <w:ind w:left="20"/>
              <w:jc w:val="both"/>
            </w:pPr>
            <w:r>
              <w:rPr>
                <w:rFonts w:ascii="Times New Roman"/>
                <w:b w:val="false"/>
                <w:i w:val="false"/>
                <w:color w:val="000000"/>
                <w:sz w:val="20"/>
              </w:rPr>
              <w:t xml:space="preserve">
номер нормативного документа по качеству </w:t>
            </w:r>
          </w:p>
          <w:bookmarkEnd w:id="1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1" w:id="1896"/>
    <w:p>
      <w:pPr>
        <w:spacing w:after="0"/>
        <w:ind w:left="0"/>
        <w:jc w:val="both"/>
      </w:pPr>
      <w:r>
        <w:rPr>
          <w:rFonts w:ascii="Times New Roman"/>
          <w:b w:val="false"/>
          <w:i w:val="false"/>
          <w:color w:val="000000"/>
          <w:sz w:val="28"/>
        </w:rPr>
        <w:t>
      Я гарантирую достоверность и несу ответственность за информацию, содержащуюся в представленных документах и данных, включенных в регистрационное досье.</w:t>
      </w:r>
    </w:p>
    <w:bookmarkEnd w:id="1896"/>
    <w:bookmarkStart w:name="z1812" w:id="1897"/>
    <w:p>
      <w:pPr>
        <w:spacing w:after="0"/>
        <w:ind w:left="0"/>
        <w:jc w:val="both"/>
      </w:pPr>
      <w:r>
        <w:rPr>
          <w:rFonts w:ascii="Times New Roman"/>
          <w:b w:val="false"/>
          <w:i w:val="false"/>
          <w:color w:val="000000"/>
          <w:sz w:val="28"/>
        </w:rPr>
        <w:t>
      Я согласен, что в случае непредставления в течение 30 дней документов и данных, необходимых для восполнения регистрационного досье, по замечаниям уполномоченного органа (экспертной организации) референтного государства в рассмотрении данного заявления будет отказано.</w:t>
      </w:r>
    </w:p>
    <w:bookmarkEnd w:id="1897"/>
    <w:bookmarkStart w:name="z1813" w:id="1898"/>
    <w:p>
      <w:pPr>
        <w:spacing w:after="0"/>
        <w:ind w:left="0"/>
        <w:jc w:val="both"/>
      </w:pPr>
      <w:r>
        <w:rPr>
          <w:rFonts w:ascii="Times New Roman"/>
          <w:b w:val="false"/>
          <w:i w:val="false"/>
          <w:color w:val="000000"/>
          <w:sz w:val="28"/>
        </w:rPr>
        <w:t>
      Я подтверждаю, что все данные в составе регистрационного досье получены в установленном порядке и не нарушают права третьих лиц на интеллектуальную собственность (подпункты 5.3 и 5.4 приложения к настоящему заявлению).</w:t>
      </w:r>
    </w:p>
    <w:bookmarkEnd w:id="1898"/>
    <w:bookmarkStart w:name="z1814" w:id="1899"/>
    <w:p>
      <w:pPr>
        <w:spacing w:after="0"/>
        <w:ind w:left="0"/>
        <w:jc w:val="both"/>
      </w:pPr>
      <w:r>
        <w:rPr>
          <w:rFonts w:ascii="Times New Roman"/>
          <w:b w:val="false"/>
          <w:i w:val="false"/>
          <w:color w:val="000000"/>
          <w:sz w:val="28"/>
        </w:rPr>
        <w:t>
      Я также подтверждаю, что все предусмотренные сборы (пошлины) оплачены (будут оплачены) в соответствии с требованиями законодательства.</w:t>
      </w:r>
    </w:p>
    <w:bookmarkEnd w:id="1899"/>
    <w:bookmarkStart w:name="z1815" w:id="1900"/>
    <w:p>
      <w:pPr>
        <w:spacing w:after="0"/>
        <w:ind w:left="0"/>
        <w:jc w:val="both"/>
      </w:pPr>
      <w:r>
        <w:rPr>
          <w:rFonts w:ascii="Times New Roman"/>
          <w:b w:val="false"/>
          <w:i w:val="false"/>
          <w:color w:val="000000"/>
          <w:sz w:val="28"/>
        </w:rPr>
        <w:t>
      Доверенность на осуществление юридически значимых действий от имени держателя регистрационного удостоверения прилагается (подпункт 5.1 приложения к настоящему заявлению).</w:t>
      </w:r>
    </w:p>
    <w:bookmarkEnd w:id="1900"/>
    <w:bookmarkStart w:name="z1816" w:id="1901"/>
    <w:p>
      <w:pPr>
        <w:spacing w:after="0"/>
        <w:ind w:left="0"/>
        <w:jc w:val="both"/>
      </w:pPr>
      <w:r>
        <w:rPr>
          <w:rFonts w:ascii="Times New Roman"/>
          <w:b w:val="false"/>
          <w:i w:val="false"/>
          <w:color w:val="000000"/>
          <w:sz w:val="28"/>
        </w:rPr>
        <w:t>
       От имени заявителя</w:t>
      </w:r>
    </w:p>
    <w:bookmarkEnd w:id="1901"/>
    <w:bookmarkStart w:name="z1817" w:id="1902"/>
    <w:p>
      <w:pPr>
        <w:spacing w:after="0"/>
        <w:ind w:left="0"/>
        <w:jc w:val="both"/>
      </w:pPr>
      <w:r>
        <w:rPr>
          <w:rFonts w:ascii="Times New Roman"/>
          <w:b w:val="false"/>
          <w:i w:val="false"/>
          <w:color w:val="000000"/>
          <w:sz w:val="28"/>
        </w:rPr>
        <w:t>
      _______________________________</w:t>
      </w:r>
    </w:p>
    <w:bookmarkEnd w:id="1902"/>
    <w:bookmarkStart w:name="z1818" w:id="1903"/>
    <w:p>
      <w:pPr>
        <w:spacing w:after="0"/>
        <w:ind w:left="0"/>
        <w:jc w:val="both"/>
      </w:pPr>
      <w:r>
        <w:rPr>
          <w:rFonts w:ascii="Times New Roman"/>
          <w:b w:val="false"/>
          <w:i w:val="false"/>
          <w:color w:val="000000"/>
          <w:sz w:val="28"/>
        </w:rPr>
        <w:t>
       (подпись)</w:t>
      </w:r>
    </w:p>
    <w:bookmarkEnd w:id="1903"/>
    <w:bookmarkStart w:name="z1819" w:id="1904"/>
    <w:p>
      <w:pPr>
        <w:spacing w:after="0"/>
        <w:ind w:left="0"/>
        <w:jc w:val="both"/>
      </w:pPr>
      <w:r>
        <w:rPr>
          <w:rFonts w:ascii="Times New Roman"/>
          <w:b w:val="false"/>
          <w:i w:val="false"/>
          <w:color w:val="000000"/>
          <w:sz w:val="28"/>
        </w:rPr>
        <w:t>
      _______________________________</w:t>
      </w:r>
    </w:p>
    <w:bookmarkEnd w:id="1904"/>
    <w:bookmarkStart w:name="z1820" w:id="1905"/>
    <w:p>
      <w:pPr>
        <w:spacing w:after="0"/>
        <w:ind w:left="0"/>
        <w:jc w:val="both"/>
      </w:pPr>
      <w:r>
        <w:rPr>
          <w:rFonts w:ascii="Times New Roman"/>
          <w:b w:val="false"/>
          <w:i w:val="false"/>
          <w:color w:val="000000"/>
          <w:sz w:val="28"/>
        </w:rPr>
        <w:t>
       (фамилия, имя, отчество)</w:t>
      </w:r>
    </w:p>
    <w:bookmarkEnd w:id="1905"/>
    <w:bookmarkStart w:name="z1821" w:id="1906"/>
    <w:p>
      <w:pPr>
        <w:spacing w:after="0"/>
        <w:ind w:left="0"/>
        <w:jc w:val="both"/>
      </w:pPr>
      <w:r>
        <w:rPr>
          <w:rFonts w:ascii="Times New Roman"/>
          <w:b w:val="false"/>
          <w:i w:val="false"/>
          <w:color w:val="000000"/>
          <w:sz w:val="28"/>
        </w:rPr>
        <w:t>
      _______________________________</w:t>
      </w:r>
    </w:p>
    <w:bookmarkEnd w:id="1906"/>
    <w:bookmarkStart w:name="z1822" w:id="1907"/>
    <w:p>
      <w:pPr>
        <w:spacing w:after="0"/>
        <w:ind w:left="0"/>
        <w:jc w:val="both"/>
      </w:pPr>
      <w:r>
        <w:rPr>
          <w:rFonts w:ascii="Times New Roman"/>
          <w:b w:val="false"/>
          <w:i w:val="false"/>
          <w:color w:val="000000"/>
          <w:sz w:val="28"/>
        </w:rPr>
        <w:t>
       (должность)</w:t>
      </w:r>
    </w:p>
    <w:bookmarkEnd w:id="1907"/>
    <w:bookmarkStart w:name="z1823" w:id="1908"/>
    <w:p>
      <w:pPr>
        <w:spacing w:after="0"/>
        <w:ind w:left="0"/>
        <w:jc w:val="both"/>
      </w:pPr>
      <w:r>
        <w:rPr>
          <w:rFonts w:ascii="Times New Roman"/>
          <w:b w:val="false"/>
          <w:i w:val="false"/>
          <w:color w:val="000000"/>
          <w:sz w:val="28"/>
        </w:rPr>
        <w:t xml:space="preserve">
       </w:t>
      </w:r>
    </w:p>
    <w:bookmarkEnd w:id="1908"/>
    <w:bookmarkStart w:name="z1824" w:id="1909"/>
    <w:p>
      <w:pPr>
        <w:spacing w:after="0"/>
        <w:ind w:left="0"/>
        <w:jc w:val="both"/>
      </w:pPr>
      <w:r>
        <w:rPr>
          <w:rFonts w:ascii="Times New Roman"/>
          <w:b w:val="false"/>
          <w:i w:val="false"/>
          <w:color w:val="000000"/>
          <w:sz w:val="28"/>
        </w:rPr>
        <w:t>
       М.П.</w:t>
      </w:r>
    </w:p>
    <w:bookmarkEnd w:id="1909"/>
    <w:bookmarkStart w:name="z1825" w:id="1910"/>
    <w:p>
      <w:pPr>
        <w:spacing w:after="0"/>
        <w:ind w:left="0"/>
        <w:jc w:val="both"/>
      </w:pPr>
      <w:r>
        <w:rPr>
          <w:rFonts w:ascii="Times New Roman"/>
          <w:b w:val="false"/>
          <w:i w:val="false"/>
          <w:color w:val="000000"/>
          <w:sz w:val="28"/>
        </w:rPr>
        <w:t xml:space="preserve">
       </w:t>
      </w:r>
    </w:p>
    <w:bookmarkEnd w:id="1910"/>
    <w:bookmarkStart w:name="z1826" w:id="1911"/>
    <w:p>
      <w:pPr>
        <w:spacing w:after="0"/>
        <w:ind w:left="0"/>
        <w:jc w:val="left"/>
      </w:pPr>
      <w:r>
        <w:rPr>
          <w:rFonts w:ascii="Times New Roman"/>
          <w:b/>
          <w:i w:val="false"/>
          <w:color w:val="000000"/>
        </w:rPr>
        <w:t xml:space="preserve"> 1. Общие пункты заявления</w:t>
      </w:r>
    </w:p>
    <w:bookmarkEnd w:id="1911"/>
    <w:bookmarkStart w:name="z1827" w:id="1912"/>
    <w:p>
      <w:pPr>
        <w:spacing w:after="0"/>
        <w:ind w:left="0"/>
        <w:jc w:val="both"/>
      </w:pPr>
      <w:r>
        <w:rPr>
          <w:rFonts w:ascii="Times New Roman"/>
          <w:b w:val="false"/>
          <w:i w:val="false"/>
          <w:color w:val="000000"/>
          <w:sz w:val="28"/>
        </w:rPr>
        <w:t>
      1.1. Это заявление подается в соответствии с нижеследующим.</w:t>
      </w:r>
    </w:p>
    <w:bookmarkEnd w:id="1912"/>
    <w:bookmarkStart w:name="z1828" w:id="1913"/>
    <w:p>
      <w:pPr>
        <w:spacing w:after="0"/>
        <w:ind w:left="0"/>
        <w:jc w:val="both"/>
      </w:pPr>
      <w:r>
        <w:rPr>
          <w:rFonts w:ascii="Times New Roman"/>
          <w:b w:val="false"/>
          <w:i w:val="false"/>
          <w:color w:val="000000"/>
          <w:sz w:val="28"/>
        </w:rPr>
        <w:t>
      1.1.1. Заявление подано по процедуре взаимного признания:</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914"/>
          <w:p>
            <w:pPr>
              <w:spacing w:after="20"/>
              <w:ind w:left="20"/>
              <w:jc w:val="both"/>
            </w:pPr>
            <w:r>
              <w:rPr>
                <w:rFonts w:ascii="Times New Roman"/>
                <w:b w:val="false"/>
                <w:i w:val="false"/>
                <w:color w:val="000000"/>
                <w:sz w:val="20"/>
              </w:rPr>
              <w:t xml:space="preserve">
референтное государство </w:t>
            </w:r>
          </w:p>
          <w:bookmarkEnd w:id="1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915"/>
          <w:p>
            <w:pPr>
              <w:spacing w:after="20"/>
              <w:ind w:left="20"/>
              <w:jc w:val="both"/>
            </w:pPr>
            <w:r>
              <w:rPr>
                <w:rFonts w:ascii="Times New Roman"/>
                <w:b w:val="false"/>
                <w:i w:val="false"/>
                <w:color w:val="000000"/>
                <w:sz w:val="20"/>
              </w:rPr>
              <w:t xml:space="preserve">
торговое наименование в референтном государстве </w:t>
            </w:r>
          </w:p>
          <w:bookmarkEnd w:id="1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916"/>
          <w:p>
            <w:pPr>
              <w:spacing w:after="20"/>
              <w:ind w:left="20"/>
              <w:jc w:val="both"/>
            </w:pPr>
            <w:r>
              <w:rPr>
                <w:rFonts w:ascii="Times New Roman"/>
                <w:b w:val="false"/>
                <w:i w:val="false"/>
                <w:color w:val="000000"/>
                <w:sz w:val="20"/>
              </w:rPr>
              <w:t xml:space="preserve">
дата регистрации </w:t>
            </w:r>
          </w:p>
          <w:bookmarkEnd w:id="1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917"/>
          <w:p>
            <w:pPr>
              <w:spacing w:after="20"/>
              <w:ind w:left="20"/>
              <w:jc w:val="both"/>
            </w:pPr>
            <w:r>
              <w:rPr>
                <w:rFonts w:ascii="Times New Roman"/>
                <w:b w:val="false"/>
                <w:i w:val="false"/>
                <w:color w:val="000000"/>
                <w:sz w:val="20"/>
              </w:rPr>
              <w:t xml:space="preserve">
номер регистрационного удостоверения </w:t>
            </w:r>
          </w:p>
          <w:bookmarkEnd w:id="19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918"/>
          <w:p>
            <w:pPr>
              <w:spacing w:after="20"/>
              <w:ind w:left="20"/>
              <w:jc w:val="both"/>
            </w:pPr>
            <w:r>
              <w:rPr>
                <w:rFonts w:ascii="Times New Roman"/>
                <w:b w:val="false"/>
                <w:i w:val="false"/>
                <w:color w:val="000000"/>
                <w:sz w:val="20"/>
              </w:rPr>
              <w:t xml:space="preserve">
копия регистрационного удостоверения </w:t>
            </w:r>
          </w:p>
          <w:bookmarkEnd w:id="1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919"/>
          <w:p>
            <w:pPr>
              <w:spacing w:after="20"/>
              <w:ind w:left="20"/>
              <w:jc w:val="both"/>
            </w:pPr>
            <w:r>
              <w:rPr>
                <w:rFonts w:ascii="Times New Roman"/>
                <w:b w:val="false"/>
                <w:i w:val="false"/>
                <w:color w:val="000000"/>
                <w:sz w:val="20"/>
              </w:rPr>
              <w:t xml:space="preserve">
идентификационный номер заявления </w:t>
            </w:r>
          </w:p>
          <w:bookmarkEnd w:id="1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920"/>
          <w:p>
            <w:pPr>
              <w:spacing w:after="20"/>
              <w:ind w:left="20"/>
              <w:jc w:val="both"/>
            </w:pPr>
            <w:r>
              <w:rPr>
                <w:rFonts w:ascii="Times New Roman"/>
                <w:b w:val="false"/>
                <w:i w:val="false"/>
                <w:color w:val="000000"/>
                <w:sz w:val="20"/>
              </w:rPr>
              <w:t xml:space="preserve">
иные государства - члены Евразийского экономического союза для подачи заявление (при наличии) </w:t>
            </w:r>
          </w:p>
          <w:bookmarkEnd w:id="1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921"/>
          <w:p>
            <w:pPr>
              <w:spacing w:after="20"/>
              <w:ind w:left="20"/>
              <w:jc w:val="both"/>
            </w:pPr>
            <w:r>
              <w:rPr>
                <w:rFonts w:ascii="Times New Roman"/>
                <w:b w:val="false"/>
                <w:i w:val="false"/>
                <w:color w:val="000000"/>
                <w:sz w:val="20"/>
              </w:rPr>
              <w:t xml:space="preserve">
торговые наименования в государствах признания (в случае отличия торгового наименования от зарегистрированного в референтном государстве) </w:t>
            </w:r>
          </w:p>
          <w:bookmarkEnd w:id="1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7" w:id="1922"/>
    <w:p>
      <w:pPr>
        <w:spacing w:after="0"/>
        <w:ind w:left="0"/>
        <w:jc w:val="both"/>
      </w:pPr>
      <w:r>
        <w:rPr>
          <w:rFonts w:ascii="Times New Roman"/>
          <w:b w:val="false"/>
          <w:i w:val="false"/>
          <w:color w:val="000000"/>
          <w:sz w:val="28"/>
        </w:rPr>
        <w:t>
      1.1.2. Заявление подано по децентрализованной процедуре:</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923"/>
          <w:p>
            <w:pPr>
              <w:spacing w:after="20"/>
              <w:ind w:left="20"/>
              <w:jc w:val="both"/>
            </w:pPr>
            <w:r>
              <w:rPr>
                <w:rFonts w:ascii="Times New Roman"/>
                <w:b w:val="false"/>
                <w:i w:val="false"/>
                <w:color w:val="000000"/>
                <w:sz w:val="20"/>
              </w:rPr>
              <w:t xml:space="preserve">
идентификационный номер заявления </w:t>
            </w:r>
          </w:p>
          <w:bookmarkEnd w:id="1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924"/>
          <w:p>
            <w:pPr>
              <w:spacing w:after="20"/>
              <w:ind w:left="20"/>
              <w:jc w:val="both"/>
            </w:pPr>
            <w:r>
              <w:rPr>
                <w:rFonts w:ascii="Times New Roman"/>
                <w:b w:val="false"/>
                <w:i w:val="false"/>
                <w:color w:val="000000"/>
                <w:sz w:val="20"/>
              </w:rPr>
              <w:t xml:space="preserve">
референтное государство </w:t>
            </w:r>
          </w:p>
          <w:bookmarkEnd w:id="1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925"/>
          <w:p>
            <w:pPr>
              <w:spacing w:after="20"/>
              <w:ind w:left="20"/>
              <w:jc w:val="both"/>
            </w:pPr>
            <w:r>
              <w:rPr>
                <w:rFonts w:ascii="Times New Roman"/>
                <w:b w:val="false"/>
                <w:i w:val="false"/>
                <w:color w:val="000000"/>
                <w:sz w:val="20"/>
              </w:rPr>
              <w:t xml:space="preserve">
торговое наименование в референтном государстве </w:t>
            </w:r>
          </w:p>
          <w:bookmarkEnd w:id="1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926"/>
          <w:p>
            <w:pPr>
              <w:spacing w:after="20"/>
              <w:ind w:left="20"/>
              <w:jc w:val="both"/>
            </w:pPr>
            <w:r>
              <w:rPr>
                <w:rFonts w:ascii="Times New Roman"/>
                <w:b w:val="false"/>
                <w:i w:val="false"/>
                <w:color w:val="000000"/>
                <w:sz w:val="20"/>
              </w:rPr>
              <w:t xml:space="preserve">
государства признания для подачи заявления </w:t>
            </w:r>
          </w:p>
          <w:bookmarkEnd w:id="1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927"/>
          <w:p>
            <w:pPr>
              <w:spacing w:after="20"/>
              <w:ind w:left="20"/>
              <w:jc w:val="both"/>
            </w:pPr>
            <w:r>
              <w:rPr>
                <w:rFonts w:ascii="Times New Roman"/>
                <w:b w:val="false"/>
                <w:i w:val="false"/>
                <w:color w:val="000000"/>
                <w:sz w:val="20"/>
              </w:rPr>
              <w:t xml:space="preserve">
торговые наименования в государствах признания (в случае различий торговых наименований с референтным государством) </w:t>
            </w:r>
          </w:p>
          <w:bookmarkEnd w:id="1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3" w:id="1928"/>
    <w:p>
      <w:pPr>
        <w:spacing w:after="0"/>
        <w:ind w:left="0"/>
        <w:jc w:val="both"/>
      </w:pPr>
      <w:r>
        <w:rPr>
          <w:rFonts w:ascii="Times New Roman"/>
          <w:b w:val="false"/>
          <w:i w:val="false"/>
          <w:color w:val="000000"/>
          <w:sz w:val="28"/>
        </w:rPr>
        <w:t>
      Примечание. Раздел должен быть заполнен для любого заявления, включая заявления, на которые есть ссылки в этом разделе.</w:t>
      </w:r>
    </w:p>
    <w:bookmarkEnd w:id="1928"/>
    <w:bookmarkStart w:name="z1844" w:id="1929"/>
    <w:p>
      <w:pPr>
        <w:spacing w:after="0"/>
        <w:ind w:left="0"/>
        <w:jc w:val="left"/>
      </w:pPr>
      <w:r>
        <w:rPr>
          <w:rFonts w:ascii="Times New Roman"/>
          <w:b/>
          <w:i w:val="false"/>
          <w:color w:val="000000"/>
        </w:rPr>
        <w:t xml:space="preserve"> 2. Утвержденные изменения или изменения, находящиеся на рассмотрении, которые были с момента выдачи регистрационного удостоверения</w:t>
      </w:r>
    </w:p>
    <w:bookmarkEnd w:id="1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930"/>
          <w:p>
            <w:pPr>
              <w:spacing w:after="20"/>
              <w:ind w:left="20"/>
              <w:jc w:val="both"/>
            </w:pPr>
            <w:r>
              <w:rPr>
                <w:rFonts w:ascii="Times New Roman"/>
                <w:b w:val="false"/>
                <w:i w:val="false"/>
                <w:color w:val="000000"/>
                <w:sz w:val="20"/>
              </w:rPr>
              <w:t>
№</w:t>
            </w:r>
          </w:p>
          <w:bookmarkEnd w:id="1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 (вид процедуры), краткое описание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931"/>
          <w:p>
            <w:pPr>
              <w:spacing w:after="20"/>
              <w:ind w:left="20"/>
              <w:jc w:val="both"/>
            </w:pPr>
          </w:p>
          <w:bookmarkEnd w:id="1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932"/>
          <w:p>
            <w:pPr>
              <w:spacing w:after="20"/>
              <w:ind w:left="20"/>
              <w:jc w:val="both"/>
            </w:pPr>
            <w:r>
              <w:rPr>
                <w:rFonts w:ascii="Times New Roman"/>
                <w:b w:val="false"/>
                <w:i w:val="false"/>
                <w:color w:val="000000"/>
                <w:sz w:val="20"/>
              </w:rPr>
              <w:t xml:space="preserve">
... </w:t>
            </w:r>
          </w:p>
          <w:bookmarkEnd w:id="1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8" w:id="1933"/>
    <w:p>
      <w:pPr>
        <w:spacing w:after="0"/>
        <w:ind w:left="0"/>
        <w:jc w:val="both"/>
      </w:pPr>
      <w:r>
        <w:rPr>
          <w:rFonts w:ascii="Times New Roman"/>
          <w:b w:val="false"/>
          <w:i w:val="false"/>
          <w:color w:val="000000"/>
          <w:sz w:val="28"/>
        </w:rPr>
        <w:t>
      В случае представления заявления на соответствующий ниже приведенный тип лекарственного препарата, оставшиеся разделы заявления, касающиеся других типов лекарственных препаратов, не заполняются.</w:t>
      </w:r>
    </w:p>
    <w:bookmarkEnd w:id="1933"/>
    <w:bookmarkStart w:name="z1849" w:id="1934"/>
    <w:p>
      <w:pPr>
        <w:spacing w:after="0"/>
        <w:ind w:left="0"/>
        <w:jc w:val="both"/>
      </w:pPr>
      <w:r>
        <w:rPr>
          <w:rFonts w:ascii="Times New Roman"/>
          <w:b w:val="false"/>
          <w:i w:val="false"/>
          <w:color w:val="000000"/>
          <w:sz w:val="28"/>
        </w:rPr>
        <w:t xml:space="preserve">
      </w:t>
      </w:r>
    </w:p>
    <w:bookmarkEnd w:id="1934"/>
    <w:p>
      <w:pPr>
        <w:spacing w:after="0"/>
        <w:ind w:left="0"/>
        <w:jc w:val="both"/>
      </w:pPr>
      <w:r>
        <w:t>[MISSING IMAGE: ,  ]</w:t>
      </w:r>
    </w:p>
    <w:p>
      <w:pPr>
        <w:spacing w:after="0"/>
        <w:ind w:left="0"/>
        <w:jc w:val="left"/>
      </w:pPr>
      <w:r>
        <w:rPr>
          <w:rFonts w:ascii="Times New Roman"/>
          <w:b w:val="false"/>
          <w:i w:val="false"/>
          <w:color w:val="000000"/>
          <w:sz w:val="28"/>
        </w:rPr>
        <w:t>ОРИГИНАЛЬНЫЙ ЛЕКАРСТВЕННЫЙ ПРЕПАРАТ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935"/>
          <w:p>
            <w:pPr>
              <w:spacing w:after="20"/>
              <w:ind w:left="20"/>
              <w:jc w:val="both"/>
            </w:pPr>
          </w:p>
          <w:bookmarkEnd w:id="1935"/>
          <w:p>
            <w:pPr>
              <w:spacing w:after="20"/>
              <w:ind w:left="20"/>
              <w:jc w:val="both"/>
            </w:pPr>
            <w:r>
              <w:t>[MISSING IMAGE: ,  ]</w:t>
            </w:r>
          </w:p>
          <w:p>
            <w:pPr>
              <w:spacing w:after="0"/>
              <w:ind w:left="0"/>
              <w:jc w:val="both"/>
            </w:pPr>
            <w:r>
              <w:rPr>
                <w:rFonts w:ascii="Times New Roman"/>
                <w:b w:val="false"/>
                <w:i w:val="false"/>
                <w:color w:val="000000"/>
                <w:sz w:val="20"/>
              </w:rPr>
              <w:t xml:space="preserve">биологический лекарственный препарат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другой лекарственный препарат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936"/>
          <w:p>
            <w:pPr>
              <w:spacing w:after="20"/>
              <w:ind w:left="20"/>
              <w:jc w:val="both"/>
            </w:pPr>
          </w:p>
          <w:bookmarkEnd w:id="1936"/>
          <w:p>
            <w:pPr>
              <w:spacing w:after="20"/>
              <w:ind w:left="20"/>
              <w:jc w:val="both"/>
            </w:pPr>
            <w:r>
              <w:t>[MISSING IMAGE: ,  ]</w:t>
            </w:r>
          </w:p>
          <w:p>
            <w:pPr>
              <w:spacing w:after="0"/>
              <w:ind w:left="0"/>
              <w:jc w:val="both"/>
            </w:pPr>
            <w:r>
              <w:rPr>
                <w:rFonts w:ascii="Times New Roman"/>
                <w:b w:val="false"/>
                <w:i w:val="false"/>
                <w:color w:val="000000"/>
                <w:sz w:val="20"/>
              </w:rPr>
              <w:t xml:space="preserve">новая активная фармацевтическая субстанция (далее - АФС)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937"/>
          <w:p>
            <w:pPr>
              <w:spacing w:after="20"/>
              <w:ind w:left="20"/>
              <w:jc w:val="both"/>
            </w:pPr>
            <w:r>
              <w:rPr>
                <w:rFonts w:ascii="Times New Roman"/>
                <w:b w:val="false"/>
                <w:i w:val="false"/>
                <w:color w:val="000000"/>
                <w:sz w:val="20"/>
              </w:rPr>
              <w:t xml:space="preserve">
Примечание. Сведения об АФС в едином реестре зарегистрированных лекарственных средств Евразийского экономического союза или в соответствующих национальных реестрах государств - членов Евразийского экономического союза отсутствуют. </w:t>
            </w:r>
          </w:p>
          <w:bookmarkEnd w:id="19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938"/>
          <w:p>
            <w:pPr>
              <w:spacing w:after="20"/>
              <w:ind w:left="20"/>
              <w:jc w:val="both"/>
            </w:pPr>
          </w:p>
          <w:bookmarkEnd w:id="1938"/>
          <w:p>
            <w:pPr>
              <w:spacing w:after="20"/>
              <w:ind w:left="20"/>
              <w:jc w:val="both"/>
            </w:pPr>
            <w:r>
              <w:t>[MISSING IMAGE: ,  ]</w:t>
            </w:r>
          </w:p>
          <w:p>
            <w:pPr>
              <w:spacing w:after="0"/>
              <w:ind w:left="0"/>
              <w:jc w:val="both"/>
            </w:pPr>
            <w:r>
              <w:rPr>
                <w:rFonts w:ascii="Times New Roman"/>
                <w:b w:val="false"/>
                <w:i w:val="false"/>
                <w:color w:val="000000"/>
                <w:sz w:val="20"/>
              </w:rPr>
              <w:t xml:space="preserve">известная АФС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939"/>
          <w:p>
            <w:pPr>
              <w:spacing w:after="20"/>
              <w:ind w:left="20"/>
              <w:jc w:val="both"/>
            </w:pPr>
          </w:p>
          <w:bookmarkEnd w:id="1939"/>
          <w:p>
            <w:pPr>
              <w:spacing w:after="20"/>
              <w:ind w:left="20"/>
              <w:jc w:val="both"/>
            </w:pPr>
            <w:r>
              <w:t>[MISSING IMAGE: ,  ]</w:t>
            </w:r>
          </w:p>
          <w:p>
            <w:pPr>
              <w:spacing w:after="0"/>
              <w:ind w:left="0"/>
              <w:jc w:val="both"/>
            </w:pPr>
            <w:r>
              <w:rPr>
                <w:rFonts w:ascii="Times New Roman"/>
                <w:b w:val="false"/>
                <w:i w:val="false"/>
                <w:color w:val="000000"/>
                <w:sz w:val="20"/>
              </w:rPr>
              <w:t xml:space="preserve">Примечание. Сведения об АФС в едином реестре зарегистрированных лекарственных средств Евразийского экономического союза или в соответствующих национальных реестрах государств - членов Евразийского экономического союза имеются. </w:t>
            </w:r>
          </w:p>
          <w:p>
            <w:pPr>
              <w:spacing w:after="20"/>
              <w:ind w:left="20"/>
              <w:jc w:val="both"/>
            </w:pPr>
          </w:p>
          <w:p>
            <w:pPr>
              <w:spacing w:after="20"/>
              <w:ind w:left="20"/>
              <w:jc w:val="both"/>
            </w:pPr>
          </w:p>
        </w:tc>
      </w:tr>
    </w:tbl>
    <w:bookmarkStart w:name="z1855" w:id="1940"/>
    <w:p>
      <w:pPr>
        <w:spacing w:after="0"/>
        <w:ind w:left="0"/>
        <w:jc w:val="both"/>
      </w:pPr>
      <w:r>
        <w:rPr>
          <w:rFonts w:ascii="Times New Roman"/>
          <w:b w:val="false"/>
          <w:i w:val="false"/>
          <w:color w:val="000000"/>
          <w:sz w:val="28"/>
        </w:rPr>
        <w:t xml:space="preserve">
      </w:t>
      </w:r>
    </w:p>
    <w:bookmarkEnd w:id="1940"/>
    <w:p>
      <w:pPr>
        <w:spacing w:after="0"/>
        <w:ind w:left="0"/>
        <w:jc w:val="both"/>
      </w:pPr>
      <w:r>
        <w:t>[MISSING IMAGE: ,  ]</w:t>
      </w:r>
    </w:p>
    <w:p>
      <w:pPr>
        <w:spacing w:after="0"/>
        <w:ind w:left="0"/>
        <w:jc w:val="left"/>
      </w:pPr>
      <w:r>
        <w:rPr>
          <w:rFonts w:ascii="Times New Roman"/>
          <w:b w:val="false"/>
          <w:i w:val="false"/>
          <w:color w:val="000000"/>
          <w:sz w:val="28"/>
        </w:rPr>
        <w:t xml:space="preserve"> ВОСПРОИЗВЕДЕННЫЙ ЛЕКАРСТВЕННЫЙ ПРЕПАРАТ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941"/>
          <w:p>
            <w:pPr>
              <w:spacing w:after="20"/>
              <w:ind w:left="20"/>
              <w:jc w:val="both"/>
            </w:pPr>
          </w:p>
          <w:bookmarkEnd w:id="1941"/>
          <w:p>
            <w:pPr>
              <w:spacing w:after="20"/>
              <w:ind w:left="20"/>
              <w:jc w:val="both"/>
            </w:pPr>
            <w:r>
              <w:t>[MISSING IMAGE: ,  ]</w:t>
            </w:r>
          </w:p>
          <w:p>
            <w:pPr>
              <w:spacing w:after="0"/>
              <w:ind w:left="0"/>
              <w:jc w:val="both"/>
            </w:pPr>
            <w:r>
              <w:rPr>
                <w:rFonts w:ascii="Times New Roman"/>
                <w:b w:val="false"/>
                <w:i w:val="false"/>
                <w:color w:val="000000"/>
                <w:sz w:val="20"/>
              </w:rPr>
              <w:t xml:space="preserve">однокомпонентный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многокомпонентный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942"/>
          <w:p>
            <w:pPr>
              <w:spacing w:after="20"/>
              <w:ind w:left="20"/>
              <w:jc w:val="both"/>
            </w:pPr>
            <w:r>
              <w:rPr>
                <w:rFonts w:ascii="Times New Roman"/>
                <w:b w:val="false"/>
                <w:i w:val="false"/>
                <w:color w:val="000000"/>
                <w:sz w:val="20"/>
              </w:rPr>
              <w:t xml:space="preserve">
Оригинальный лекарственный препарат: </w:t>
            </w:r>
          </w:p>
          <w:bookmarkEnd w:id="194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943"/>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944"/>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1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945"/>
          <w:p>
            <w:pPr>
              <w:spacing w:after="20"/>
              <w:ind w:left="20"/>
              <w:jc w:val="both"/>
            </w:pPr>
            <w:r>
              <w:rPr>
                <w:rFonts w:ascii="Times New Roman"/>
                <w:b w:val="false"/>
                <w:i w:val="false"/>
                <w:color w:val="000000"/>
                <w:sz w:val="20"/>
              </w:rPr>
              <w:t xml:space="preserve">
Референтный лекарственный препарат, который использовался в исследованиях эквивалентности (если таковые проводились): </w:t>
            </w:r>
          </w:p>
          <w:bookmarkEnd w:id="19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946"/>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947"/>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референтный лекарственный препарат </w:t>
            </w:r>
          </w:p>
          <w:bookmarkEnd w:id="1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948"/>
          <w:p>
            <w:pPr>
              <w:spacing w:after="20"/>
              <w:ind w:left="20"/>
              <w:jc w:val="both"/>
            </w:pPr>
            <w:r>
              <w:rPr>
                <w:rFonts w:ascii="Times New Roman"/>
                <w:b w:val="false"/>
                <w:i w:val="false"/>
                <w:color w:val="000000"/>
                <w:sz w:val="20"/>
              </w:rPr>
              <w:t xml:space="preserve">
привести обоснования использования референтного препарата при его отличии от оригинального препарата </w:t>
            </w:r>
          </w:p>
          <w:bookmarkEnd w:id="1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949"/>
          <w:p>
            <w:pPr>
              <w:spacing w:after="20"/>
              <w:ind w:left="20"/>
              <w:jc w:val="both"/>
            </w:pPr>
            <w:r>
              <w:rPr>
                <w:rFonts w:ascii="Times New Roman"/>
                <w:b w:val="false"/>
                <w:i w:val="false"/>
                <w:color w:val="000000"/>
                <w:sz w:val="20"/>
              </w:rPr>
              <w:t xml:space="preserve">
наличие рекомендаций Экспертного комитета по лекарственным средствам по выбору референтного лекарственного препарата </w:t>
            </w:r>
          </w:p>
          <w:bookmarkEnd w:id="1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5" w:id="1950"/>
    <w:p>
      <w:pPr>
        <w:spacing w:after="0"/>
        <w:ind w:left="0"/>
        <w:jc w:val="both"/>
      </w:pPr>
      <w:r>
        <w:rPr>
          <w:rFonts w:ascii="Times New Roman"/>
          <w:b w:val="false"/>
          <w:i w:val="false"/>
          <w:color w:val="000000"/>
          <w:sz w:val="28"/>
        </w:rPr>
        <w:t xml:space="preserve">
      Примечание. Раздел необходимо заполнять для каждого лекарственного препарата, </w:t>
      </w:r>
    </w:p>
    <w:bookmarkEnd w:id="1950"/>
    <w:bookmarkStart w:name="z1866" w:id="1951"/>
    <w:p>
      <w:pPr>
        <w:spacing w:after="0"/>
        <w:ind w:left="0"/>
        <w:jc w:val="both"/>
      </w:pPr>
      <w:r>
        <w:rPr>
          <w:rFonts w:ascii="Times New Roman"/>
          <w:b w:val="false"/>
          <w:i w:val="false"/>
          <w:color w:val="000000"/>
          <w:sz w:val="28"/>
        </w:rPr>
        <w:t>
      который использовался в исследованиях эквивалентности.</w:t>
      </w:r>
    </w:p>
    <w:bookmarkEnd w:id="1951"/>
    <w:bookmarkStart w:name="z1867" w:id="1952"/>
    <w:p>
      <w:pPr>
        <w:spacing w:after="0"/>
        <w:ind w:left="0"/>
        <w:jc w:val="both"/>
      </w:pPr>
      <w:r>
        <w:rPr>
          <w:rFonts w:ascii="Times New Roman"/>
          <w:b w:val="false"/>
          <w:i w:val="false"/>
          <w:color w:val="000000"/>
          <w:sz w:val="28"/>
        </w:rPr>
        <w:t xml:space="preserve">
      </w:t>
      </w:r>
    </w:p>
    <w:bookmarkEnd w:id="1952"/>
    <w:p>
      <w:pPr>
        <w:spacing w:after="0"/>
        <w:ind w:left="0"/>
        <w:jc w:val="both"/>
      </w:pPr>
      <w:r>
        <w:t>[MISSING IMAGE: ,  ]</w:t>
      </w:r>
    </w:p>
    <w:p>
      <w:pPr>
        <w:spacing w:after="0"/>
        <w:ind w:left="0"/>
        <w:jc w:val="left"/>
      </w:pPr>
      <w:r>
        <w:rPr>
          <w:rFonts w:ascii="Times New Roman"/>
          <w:b w:val="false"/>
          <w:i w:val="false"/>
          <w:color w:val="000000"/>
          <w:sz w:val="28"/>
        </w:rPr>
        <w:t xml:space="preserve"> БИОПОДОБНЫЙ ЛЕКАРСТВЕННЫЙ ПРЕПАРАТ (БИОАНАЛОГ)</w:t>
      </w:r>
      <w:r>
        <w:br/>
      </w:r>
      <w:r>
        <w:rPr>
          <w:rFonts w:ascii="Times New Roman"/>
          <w:b w:val="false"/>
          <w:i w:val="false"/>
          <w:color w:val="000000"/>
          <w:sz w:val="28"/>
        </w:rPr>
        <w:t>
</w:t>
      </w:r>
    </w:p>
    <w:bookmarkStart w:name="z1868" w:id="1953"/>
    <w:p>
      <w:pPr>
        <w:spacing w:after="0"/>
        <w:ind w:left="0"/>
        <w:jc w:val="both"/>
      </w:pPr>
      <w:r>
        <w:rPr>
          <w:rFonts w:ascii="Times New Roman"/>
          <w:b w:val="false"/>
          <w:i w:val="false"/>
          <w:color w:val="000000"/>
          <w:sz w:val="28"/>
        </w:rPr>
        <w:t>
      Оригинальный биологический лекарственный препарат:</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954"/>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955"/>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1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1" w:id="1956"/>
    <w:p>
      <w:pPr>
        <w:spacing w:after="0"/>
        <w:ind w:left="0"/>
        <w:jc w:val="both"/>
      </w:pPr>
      <w:r>
        <w:rPr>
          <w:rFonts w:ascii="Times New Roman"/>
          <w:b w:val="false"/>
          <w:i w:val="false"/>
          <w:color w:val="000000"/>
          <w:sz w:val="28"/>
        </w:rPr>
        <w:t>
      Референтный биологический лекарственный препарат:</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957"/>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958"/>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государства - члены Союза, где зарегистрирован референтный лекарственный препарат </w:t>
            </w:r>
          </w:p>
          <w:bookmarkEnd w:id="1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959"/>
          <w:p>
            <w:pPr>
              <w:spacing w:after="20"/>
              <w:ind w:left="20"/>
              <w:jc w:val="both"/>
            </w:pPr>
            <w:r>
              <w:rPr>
                <w:rFonts w:ascii="Times New Roman"/>
                <w:b w:val="false"/>
                <w:i w:val="false"/>
                <w:color w:val="000000"/>
                <w:sz w:val="20"/>
              </w:rPr>
              <w:t xml:space="preserve">
наличие рекомендаций Экспертного комитета по лекарственным средствам по вопросу выбора референтного лекарственного препарата </w:t>
            </w:r>
          </w:p>
          <w:bookmarkEnd w:id="1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960"/>
          <w:p>
            <w:pPr>
              <w:spacing w:after="20"/>
              <w:ind w:left="20"/>
              <w:jc w:val="both"/>
            </w:pPr>
            <w:r>
              <w:rPr>
                <w:rFonts w:ascii="Times New Roman"/>
                <w:b w:val="false"/>
                <w:i w:val="false"/>
                <w:color w:val="000000"/>
                <w:sz w:val="20"/>
              </w:rPr>
              <w:t xml:space="preserve">
различия по сравнению с референтным биологическим лекарственным препаратом (при наличии): </w:t>
            </w:r>
          </w:p>
          <w:bookmarkEnd w:id="1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различия в исходных материалах</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различия в производственном процессе</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другие показания к применению</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различия в лекарственной форме</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другие дозировки (количественные изменения АФС)</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другой способ введения</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другие отличия:</w:t>
            </w:r>
          </w:p>
          <w:p>
            <w:pPr>
              <w:spacing w:after="20"/>
              <w:ind w:left="20"/>
              <w:jc w:val="both"/>
            </w:pP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_______________________________ </w:t>
            </w:r>
          </w:p>
          <w:p>
            <w:pPr>
              <w:spacing w:after="20"/>
              <w:ind w:left="20"/>
              <w:jc w:val="both"/>
            </w:pPr>
          </w:p>
        </w:tc>
      </w:tr>
    </w:tbl>
    <w:bookmarkStart w:name="z1876" w:id="1961"/>
    <w:p>
      <w:pPr>
        <w:spacing w:after="0"/>
        <w:ind w:left="0"/>
        <w:jc w:val="both"/>
      </w:pPr>
      <w:r>
        <w:rPr>
          <w:rFonts w:ascii="Times New Roman"/>
          <w:b w:val="false"/>
          <w:i w:val="false"/>
          <w:color w:val="000000"/>
          <w:sz w:val="28"/>
        </w:rPr>
        <w:t xml:space="preserve">
      </w:t>
      </w:r>
    </w:p>
    <w:bookmarkEnd w:id="1961"/>
    <w:p>
      <w:pPr>
        <w:spacing w:after="0"/>
        <w:ind w:left="0"/>
        <w:jc w:val="both"/>
      </w:pPr>
      <w:r>
        <w:t>[MISSING IMAGE: ,  ]</w:t>
      </w:r>
    </w:p>
    <w:p>
      <w:pPr>
        <w:spacing w:after="0"/>
        <w:ind w:left="0"/>
        <w:jc w:val="left"/>
      </w:pPr>
      <w:r>
        <w:rPr>
          <w:rFonts w:ascii="Times New Roman"/>
          <w:b w:val="false"/>
          <w:i w:val="false"/>
          <w:color w:val="000000"/>
          <w:sz w:val="28"/>
        </w:rPr>
        <w:t>ГИБРИДНЫЙ ЛЕКАРСТВЕННЫЙ ПРЕПАРАТ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962"/>
          <w:p>
            <w:pPr>
              <w:spacing w:after="20"/>
              <w:ind w:left="20"/>
              <w:jc w:val="both"/>
            </w:pPr>
            <w:r>
              <w:rPr>
                <w:rFonts w:ascii="Times New Roman"/>
                <w:b w:val="false"/>
                <w:i w:val="false"/>
                <w:color w:val="000000"/>
                <w:sz w:val="20"/>
              </w:rPr>
              <w:t xml:space="preserve">
Оригинальный лекарственный препарат: </w:t>
            </w:r>
          </w:p>
          <w:bookmarkEnd w:id="196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963"/>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964"/>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государства - члены Союза, где зарегистрирован оригинальный лекарственный препарат </w:t>
            </w:r>
          </w:p>
          <w:bookmarkEnd w:id="1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965"/>
          <w:p>
            <w:pPr>
              <w:spacing w:after="20"/>
              <w:ind w:left="20"/>
              <w:jc w:val="both"/>
            </w:pPr>
            <w:r>
              <w:rPr>
                <w:rFonts w:ascii="Times New Roman"/>
                <w:b w:val="false"/>
                <w:i w:val="false"/>
                <w:color w:val="000000"/>
                <w:sz w:val="20"/>
              </w:rPr>
              <w:t xml:space="preserve">
Различия по сравнению с оригинальным лекарственным препаратом: </w:t>
            </w:r>
          </w:p>
          <w:bookmarkEnd w:id="1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изменения активной фармацевтической субстанции</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другая лекарственная форма</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другие дозировки (количественные изменения АФС)</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другой способ введения</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другая фармакокинетика (включая другую биодоступность);</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другое показание к применению</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другие отличия: ______________</w:t>
            </w:r>
          </w:p>
          <w:p>
            <w:pPr>
              <w:spacing w:after="20"/>
              <w:ind w:left="20"/>
              <w:jc w:val="both"/>
            </w:pPr>
          </w:p>
          <w:p>
            <w:pPr>
              <w:spacing w:after="20"/>
              <w:ind w:left="20"/>
              <w:jc w:val="both"/>
            </w:pPr>
            <w:r>
              <w:rPr>
                <w:rFonts w:ascii="Times New Roman"/>
                <w:b w:val="false"/>
                <w:i w:val="false"/>
                <w:color w:val="000000"/>
                <w:sz w:val="20"/>
              </w:rPr>
              <w:t xml:space="preserve">________________________________ </w:t>
            </w:r>
          </w:p>
          <w:p>
            <w:pPr>
              <w:spacing w:after="20"/>
              <w:ind w:left="20"/>
              <w:jc w:val="both"/>
            </w:pPr>
          </w:p>
        </w:tc>
      </w:tr>
    </w:tbl>
    <w:bookmarkStart w:name="z1881" w:id="1966"/>
    <w:p>
      <w:pPr>
        <w:spacing w:after="0"/>
        <w:ind w:left="0"/>
        <w:jc w:val="both"/>
      </w:pPr>
      <w:r>
        <w:rPr>
          <w:rFonts w:ascii="Times New Roman"/>
          <w:b w:val="false"/>
          <w:i w:val="false"/>
          <w:color w:val="000000"/>
          <w:sz w:val="28"/>
        </w:rPr>
        <w:t xml:space="preserve">
      </w:t>
      </w:r>
    </w:p>
    <w:bookmarkEnd w:id="1966"/>
    <w:p>
      <w:pPr>
        <w:spacing w:after="0"/>
        <w:ind w:left="0"/>
        <w:jc w:val="both"/>
      </w:pPr>
      <w:r>
        <w:t>[MISSING IMAGE: ,  ]</w:t>
      </w:r>
    </w:p>
    <w:p>
      <w:pPr>
        <w:spacing w:after="0"/>
        <w:ind w:left="0"/>
        <w:jc w:val="left"/>
      </w:pPr>
      <w:r>
        <w:rPr>
          <w:rFonts w:ascii="Times New Roman"/>
          <w:b w:val="false"/>
          <w:i w:val="false"/>
          <w:color w:val="000000"/>
          <w:sz w:val="28"/>
        </w:rPr>
        <w:t>КОМБИНИРОВАННЫЙ ЛЕКАРСТВЕННЫЙ ПРЕПАРАТ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82" w:id="1967"/>
          <w:p>
            <w:pPr>
              <w:spacing w:after="20"/>
              <w:ind w:left="20"/>
              <w:jc w:val="both"/>
            </w:pPr>
          </w:p>
          <w:bookmarkEnd w:id="1967"/>
          <w:p>
            <w:pPr>
              <w:spacing w:after="20"/>
              <w:ind w:left="20"/>
              <w:jc w:val="both"/>
            </w:pPr>
            <w:r>
              <w:t>[MISSING IMAGE: ,  ]</w:t>
            </w:r>
          </w:p>
          <w:p>
            <w:pPr>
              <w:spacing w:after="0"/>
              <w:ind w:left="0"/>
              <w:jc w:val="both"/>
            </w:pPr>
            <w:r>
              <w:rPr>
                <w:rFonts w:ascii="Times New Roman"/>
                <w:b w:val="false"/>
                <w:i w:val="false"/>
                <w:color w:val="000000"/>
                <w:sz w:val="20"/>
              </w:rPr>
              <w:t>известная комбинация</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новая комбинация</w:t>
            </w:r>
          </w:p>
          <w:p>
            <w:pPr>
              <w:spacing w:after="20"/>
              <w:ind w:left="20"/>
              <w:jc w:val="both"/>
            </w:pPr>
          </w:p>
          <w:p>
            <w:pPr>
              <w:spacing w:after="20"/>
              <w:ind w:left="20"/>
              <w:jc w:val="both"/>
            </w:pPr>
          </w:p>
        </w:tc>
      </w:tr>
    </w:tbl>
    <w:bookmarkStart w:name="z1883" w:id="1968"/>
    <w:p>
      <w:pPr>
        <w:spacing w:after="0"/>
        <w:ind w:left="0"/>
        <w:jc w:val="both"/>
      </w:pPr>
      <w:r>
        <w:rPr>
          <w:rFonts w:ascii="Times New Roman"/>
          <w:b w:val="false"/>
          <w:i w:val="false"/>
          <w:color w:val="000000"/>
          <w:sz w:val="28"/>
        </w:rPr>
        <w:t>
      Оригинальный лекарственный препарат (в случае известной комбинации):</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969"/>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1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970"/>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1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971"/>
    <w:p>
      <w:pPr>
        <w:spacing w:after="0"/>
        <w:ind w:left="0"/>
        <w:jc w:val="both"/>
      </w:pPr>
      <w:r>
        <w:rPr>
          <w:rFonts w:ascii="Times New Roman"/>
          <w:b w:val="false"/>
          <w:i w:val="false"/>
          <w:color w:val="000000"/>
          <w:sz w:val="28"/>
        </w:rPr>
        <w:t xml:space="preserve">
      </w:t>
      </w:r>
    </w:p>
    <w:bookmarkEnd w:id="1971"/>
    <w:p>
      <w:pPr>
        <w:spacing w:after="0"/>
        <w:ind w:left="0"/>
        <w:jc w:val="both"/>
      </w:pPr>
      <w:r>
        <w:t>[MISSING IMAGE: ,  ]</w:t>
      </w:r>
    </w:p>
    <w:p>
      <w:pPr>
        <w:spacing w:after="0"/>
        <w:ind w:left="0"/>
        <w:jc w:val="left"/>
      </w:pPr>
      <w:r>
        <w:rPr>
          <w:rFonts w:ascii="Times New Roman"/>
          <w:b w:val="false"/>
          <w:i w:val="false"/>
          <w:color w:val="000000"/>
          <w:sz w:val="28"/>
        </w:rPr>
        <w:t>ЛЕКАРСТВЕННЫЙ ПРЕПАРАТ С ХОРОШО ИЗУЧЕННЫМ МЕДИЦИНСКИМ ПРИМЕНЕНИЕМ</w:t>
      </w:r>
      <w:r>
        <w:br/>
      </w:r>
      <w:r>
        <w:rPr>
          <w:rFonts w:ascii="Times New Roman"/>
          <w:b w:val="false"/>
          <w:i w:val="false"/>
          <w:color w:val="000000"/>
          <w:sz w:val="28"/>
        </w:rPr>
        <w:t>
</w:t>
      </w:r>
    </w:p>
    <w:bookmarkStart w:name="z1887" w:id="1972"/>
    <w:p>
      <w:pPr>
        <w:spacing w:after="0"/>
        <w:ind w:left="0"/>
        <w:jc w:val="both"/>
      </w:pPr>
      <w:r>
        <w:rPr>
          <w:rFonts w:ascii="Times New Roman"/>
          <w:b w:val="false"/>
          <w:i w:val="false"/>
          <w:color w:val="000000"/>
          <w:sz w:val="28"/>
        </w:rPr>
        <w:t xml:space="preserve">
      </w:t>
      </w:r>
    </w:p>
    <w:bookmarkEnd w:id="1972"/>
    <w:p>
      <w:pPr>
        <w:spacing w:after="0"/>
        <w:ind w:left="0"/>
        <w:jc w:val="both"/>
      </w:pPr>
      <w:r>
        <w:t>[MISSING IMAGE: ,  ]</w:t>
      </w:r>
    </w:p>
    <w:p>
      <w:pPr>
        <w:spacing w:after="0"/>
        <w:ind w:left="0"/>
        <w:jc w:val="left"/>
      </w:pPr>
      <w:r>
        <w:rPr>
          <w:rFonts w:ascii="Times New Roman"/>
          <w:b w:val="false"/>
          <w:i w:val="false"/>
          <w:color w:val="000000"/>
          <w:sz w:val="28"/>
        </w:rPr>
        <w:t>РАДИОФАРМАЦЕВТИЧЕСКИЙ ЛЕКАРСТВЕННЫЙ ПРЕПАРАТ ИЛИ ПРЕКУРСОР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973"/>
          <w:p>
            <w:pPr>
              <w:spacing w:after="20"/>
              <w:ind w:left="20"/>
              <w:jc w:val="both"/>
            </w:pPr>
          </w:p>
          <w:bookmarkEnd w:id="1973"/>
          <w:p>
            <w:pPr>
              <w:spacing w:after="20"/>
              <w:ind w:left="20"/>
              <w:jc w:val="both"/>
            </w:pPr>
            <w:r>
              <w:t>[MISSING IMAGE: ,  ]</w:t>
            </w:r>
          </w:p>
          <w:p>
            <w:pPr>
              <w:spacing w:after="0"/>
              <w:ind w:left="0"/>
              <w:jc w:val="both"/>
            </w:pPr>
            <w:r>
              <w:rPr>
                <w:rFonts w:ascii="Times New Roman"/>
                <w:b w:val="false"/>
                <w:i w:val="false"/>
                <w:color w:val="000000"/>
                <w:sz w:val="20"/>
              </w:rPr>
              <w:t xml:space="preserve">радиофармацевтический набор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974"/>
          <w:p>
            <w:pPr>
              <w:spacing w:after="20"/>
              <w:ind w:left="20"/>
              <w:jc w:val="both"/>
            </w:pPr>
          </w:p>
          <w:bookmarkEnd w:id="1974"/>
          <w:p>
            <w:pPr>
              <w:spacing w:after="20"/>
              <w:ind w:left="20"/>
              <w:jc w:val="both"/>
            </w:pPr>
            <w:r>
              <w:t>[MISSING IMAGE: ,  ]</w:t>
            </w:r>
          </w:p>
          <w:p>
            <w:pPr>
              <w:spacing w:after="0"/>
              <w:ind w:left="0"/>
              <w:jc w:val="both"/>
            </w:pPr>
            <w:r>
              <w:rPr>
                <w:rFonts w:ascii="Times New Roman"/>
                <w:b w:val="false"/>
                <w:i w:val="false"/>
                <w:color w:val="000000"/>
                <w:sz w:val="20"/>
              </w:rPr>
              <w:t xml:space="preserve">прекурсор радионуклида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975"/>
          <w:p>
            <w:pPr>
              <w:spacing w:after="20"/>
              <w:ind w:left="20"/>
              <w:jc w:val="both"/>
            </w:pPr>
            <w:r>
              <w:rPr>
                <w:rFonts w:ascii="Times New Roman"/>
                <w:b w:val="false"/>
                <w:i w:val="false"/>
                <w:color w:val="000000"/>
                <w:sz w:val="20"/>
              </w:rPr>
              <w:t xml:space="preserve">
источник радионуклида (первичный и вторичный) (при наличии) </w:t>
            </w:r>
          </w:p>
          <w:bookmarkEnd w:id="1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976"/>
          <w:p>
            <w:pPr>
              <w:spacing w:after="20"/>
              <w:ind w:left="20"/>
              <w:jc w:val="both"/>
            </w:pPr>
            <w:r>
              <w:rPr>
                <w:rFonts w:ascii="Times New Roman"/>
                <w:b w:val="false"/>
                <w:i w:val="false"/>
                <w:color w:val="000000"/>
                <w:sz w:val="20"/>
              </w:rPr>
              <w:t xml:space="preserve">
генератор </w:t>
            </w:r>
          </w:p>
          <w:bookmarkEnd w:id="1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2" w:id="1977"/>
    <w:p>
      <w:pPr>
        <w:spacing w:after="0"/>
        <w:ind w:left="0"/>
        <w:jc w:val="both"/>
      </w:pPr>
      <w:r>
        <w:rPr>
          <w:rFonts w:ascii="Times New Roman"/>
          <w:b w:val="false"/>
          <w:i w:val="false"/>
          <w:color w:val="000000"/>
          <w:sz w:val="28"/>
        </w:rPr>
        <w:t xml:space="preserve">
      </w:t>
      </w:r>
    </w:p>
    <w:bookmarkEnd w:id="1977"/>
    <w:p>
      <w:pPr>
        <w:spacing w:after="0"/>
        <w:ind w:left="0"/>
        <w:jc w:val="both"/>
      </w:pPr>
      <w:r>
        <w:t>[MISSING IMAGE: ,  ]</w:t>
      </w:r>
    </w:p>
    <w:p>
      <w:pPr>
        <w:spacing w:after="0"/>
        <w:ind w:left="0"/>
        <w:jc w:val="left"/>
      </w:pPr>
      <w:r>
        <w:rPr>
          <w:rFonts w:ascii="Times New Roman"/>
          <w:b w:val="false"/>
          <w:i w:val="false"/>
          <w:color w:val="000000"/>
          <w:sz w:val="28"/>
        </w:rPr>
        <w:t>ГОМЕОПАТИЧЕСКИЙ ЛЕКАРСТВЕННЫЙ ПРЕПАРАТ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893" w:id="1978"/>
          <w:p>
            <w:pPr>
              <w:spacing w:after="20"/>
              <w:ind w:left="20"/>
              <w:jc w:val="both"/>
            </w:pPr>
          </w:p>
          <w:bookmarkEnd w:id="1978"/>
          <w:p>
            <w:pPr>
              <w:spacing w:after="20"/>
              <w:ind w:left="20"/>
              <w:jc w:val="both"/>
            </w:pPr>
            <w:r>
              <w:t>[MISSING IMAGE: ,  ]</w:t>
            </w:r>
          </w:p>
          <w:p>
            <w:pPr>
              <w:spacing w:after="0"/>
              <w:ind w:left="0"/>
              <w:jc w:val="both"/>
            </w:pPr>
            <w:r>
              <w:rPr>
                <w:rFonts w:ascii="Times New Roman"/>
                <w:b w:val="false"/>
                <w:i w:val="false"/>
                <w:color w:val="000000"/>
                <w:sz w:val="20"/>
              </w:rPr>
              <w:t xml:space="preserve">новый гомеопатический препарат, не включенный в фармакопеи и монографии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894" w:id="1979"/>
          <w:p>
            <w:pPr>
              <w:spacing w:after="20"/>
              <w:ind w:left="20"/>
              <w:jc w:val="both"/>
            </w:pPr>
          </w:p>
          <w:bookmarkEnd w:id="1979"/>
          <w:p>
            <w:pPr>
              <w:spacing w:after="20"/>
              <w:ind w:left="20"/>
              <w:jc w:val="both"/>
            </w:pPr>
            <w:r>
              <w:t>[MISSING IMAGE: ,  ]</w:t>
            </w:r>
          </w:p>
          <w:p>
            <w:pPr>
              <w:spacing w:after="0"/>
              <w:ind w:left="0"/>
              <w:jc w:val="both"/>
            </w:pPr>
            <w:r>
              <w:rPr>
                <w:rFonts w:ascii="Times New Roman"/>
                <w:b w:val="false"/>
                <w:i w:val="false"/>
                <w:color w:val="000000"/>
                <w:sz w:val="20"/>
              </w:rPr>
              <w:t xml:space="preserve">гомеопатический препарат, включенный в фармакопеи и монографии </w:t>
            </w:r>
          </w:p>
          <w:p>
            <w:pPr>
              <w:spacing w:after="20"/>
              <w:ind w:left="20"/>
              <w:jc w:val="both"/>
            </w:pPr>
          </w:p>
          <w:p>
            <w:pPr>
              <w:spacing w:after="20"/>
              <w:ind w:left="20"/>
              <w:jc w:val="both"/>
            </w:pPr>
          </w:p>
        </w:tc>
      </w:tr>
    </w:tbl>
    <w:bookmarkStart w:name="z1895" w:id="1980"/>
    <w:p>
      <w:pPr>
        <w:spacing w:after="0"/>
        <w:ind w:left="0"/>
        <w:jc w:val="both"/>
      </w:pPr>
      <w:r>
        <w:rPr>
          <w:rFonts w:ascii="Times New Roman"/>
          <w:b w:val="false"/>
          <w:i w:val="false"/>
          <w:color w:val="000000"/>
          <w:sz w:val="28"/>
        </w:rPr>
        <w:t xml:space="preserve">
      </w:t>
      </w:r>
    </w:p>
    <w:bookmarkEnd w:id="1980"/>
    <w:p>
      <w:pPr>
        <w:spacing w:after="0"/>
        <w:ind w:left="0"/>
        <w:jc w:val="both"/>
      </w:pPr>
      <w:r>
        <w:t>[MISSING IMAGE: ,  ]</w:t>
      </w:r>
    </w:p>
    <w:p>
      <w:pPr>
        <w:spacing w:after="0"/>
        <w:ind w:left="0"/>
        <w:jc w:val="left"/>
      </w:pPr>
      <w:r>
        <w:rPr>
          <w:rFonts w:ascii="Times New Roman"/>
          <w:b w:val="false"/>
          <w:i w:val="false"/>
          <w:color w:val="000000"/>
          <w:sz w:val="28"/>
        </w:rPr>
        <w:t>РАСТИТЕЛЬНЫЙ ЛЕКАРСТВЕННЫЙ ПРЕПАРАТ</w:t>
      </w:r>
      <w:r>
        <w:br/>
      </w:r>
      <w:r>
        <w:rPr>
          <w:rFonts w:ascii="Times New Roman"/>
          <w:b w:val="false"/>
          <w:i w:val="false"/>
          <w:color w:val="000000"/>
          <w:sz w:val="28"/>
        </w:rPr>
        <w:t>
</w:t>
      </w:r>
    </w:p>
    <w:bookmarkStart w:name="z1896" w:id="1981"/>
    <w:p>
      <w:pPr>
        <w:spacing w:after="0"/>
        <w:ind w:left="0"/>
        <w:jc w:val="both"/>
      </w:pPr>
      <w:r>
        <w:rPr>
          <w:rFonts w:ascii="Times New Roman"/>
          <w:b w:val="false"/>
          <w:i w:val="false"/>
          <w:color w:val="000000"/>
          <w:sz w:val="28"/>
        </w:rPr>
        <w:t xml:space="preserve">
      </w:t>
      </w:r>
    </w:p>
    <w:bookmarkEnd w:id="1981"/>
    <w:p>
      <w:pPr>
        <w:spacing w:after="0"/>
        <w:ind w:left="0"/>
        <w:jc w:val="both"/>
      </w:pPr>
      <w:r>
        <w:t>[MISSING IMAGE: ,  ]</w:t>
      </w:r>
    </w:p>
    <w:p>
      <w:pPr>
        <w:spacing w:after="0"/>
        <w:ind w:left="0"/>
        <w:jc w:val="left"/>
      </w:pPr>
      <w:r>
        <w:rPr>
          <w:rFonts w:ascii="Times New Roman"/>
          <w:b w:val="false"/>
          <w:i w:val="false"/>
          <w:color w:val="000000"/>
          <w:sz w:val="28"/>
        </w:rPr>
        <w:t>ОРФАННЫЙ ЛЕКАРСТВЕННЫЙ ПРЕПАРАТ</w:t>
      </w:r>
      <w:r>
        <w:br/>
      </w:r>
      <w:r>
        <w:rPr>
          <w:rFonts w:ascii="Times New Roman"/>
          <w:b w:val="false"/>
          <w:i w:val="false"/>
          <w:color w:val="000000"/>
          <w:sz w:val="28"/>
        </w:rPr>
        <w:t>
</w:t>
      </w:r>
    </w:p>
    <w:bookmarkStart w:name="z1897" w:id="1982"/>
    <w:p>
      <w:pPr>
        <w:spacing w:after="0"/>
        <w:ind w:left="0"/>
        <w:jc w:val="both"/>
      </w:pPr>
      <w:r>
        <w:rPr>
          <w:rFonts w:ascii="Times New Roman"/>
          <w:b w:val="false"/>
          <w:i w:val="false"/>
          <w:color w:val="000000"/>
          <w:sz w:val="28"/>
        </w:rPr>
        <w:t>
      Присвоен ли лекарственному препарату статус орфанного лекарственного препарата в государствах - членах Евразийского экономического союза или за его пределами</w:t>
      </w:r>
    </w:p>
    <w:bookmarkEnd w:id="1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983"/>
          <w:p>
            <w:pPr>
              <w:spacing w:after="20"/>
              <w:ind w:left="20"/>
              <w:jc w:val="both"/>
            </w:pPr>
          </w:p>
          <w:bookmarkEnd w:id="1983"/>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в процессе рассмотрения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984"/>
          <w:p>
            <w:pPr>
              <w:spacing w:after="20"/>
              <w:ind w:left="20"/>
              <w:jc w:val="both"/>
            </w:pPr>
            <w:r>
              <w:rPr>
                <w:rFonts w:ascii="Times New Roman"/>
                <w:b w:val="false"/>
                <w:i w:val="false"/>
                <w:color w:val="000000"/>
                <w:sz w:val="20"/>
              </w:rPr>
              <w:t xml:space="preserve">
дата </w:t>
            </w:r>
          </w:p>
          <w:bookmarkEnd w:id="19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985"/>
          <w:p>
            <w:pPr>
              <w:spacing w:after="20"/>
              <w:ind w:left="20"/>
              <w:jc w:val="both"/>
            </w:pPr>
            <w:r>
              <w:rPr>
                <w:rFonts w:ascii="Times New Roman"/>
                <w:b w:val="false"/>
                <w:i w:val="false"/>
                <w:color w:val="000000"/>
                <w:sz w:val="20"/>
              </w:rPr>
              <w:t xml:space="preserve">
номер регистрационного удостоверения орфанного лекарственного препарата </w:t>
            </w:r>
          </w:p>
          <w:bookmarkEnd w:id="1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986"/>
          <w:p>
            <w:pPr>
              <w:spacing w:after="20"/>
              <w:ind w:left="20"/>
              <w:jc w:val="both"/>
            </w:pPr>
            <w:r>
              <w:rPr>
                <w:rFonts w:ascii="Times New Roman"/>
                <w:b w:val="false"/>
                <w:i w:val="false"/>
                <w:color w:val="000000"/>
                <w:sz w:val="20"/>
              </w:rPr>
              <w:t xml:space="preserve">
государства - члены Евразийского экономического союза и (или) иные государства, присвоившие данному лекарственному препарату статус орфанного лекарственного препарата </w:t>
            </w:r>
          </w:p>
          <w:bookmarkEnd w:id="1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2" w:id="1987"/>
    <w:p>
      <w:pPr>
        <w:spacing w:after="0"/>
        <w:ind w:left="0"/>
        <w:jc w:val="both"/>
      </w:pPr>
      <w:r>
        <w:rPr>
          <w:rFonts w:ascii="Times New Roman"/>
          <w:b w:val="false"/>
          <w:i w:val="false"/>
          <w:color w:val="000000"/>
          <w:sz w:val="28"/>
        </w:rPr>
        <w:t>
      Отказано в присвоении статуса орфанного лекарственного препарата:</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988"/>
          <w:p>
            <w:pPr>
              <w:spacing w:after="20"/>
              <w:ind w:left="20"/>
              <w:jc w:val="both"/>
            </w:pPr>
            <w:r>
              <w:rPr>
                <w:rFonts w:ascii="Times New Roman"/>
                <w:b w:val="false"/>
                <w:i w:val="false"/>
                <w:color w:val="000000"/>
                <w:sz w:val="20"/>
              </w:rPr>
              <w:t xml:space="preserve">
дата </w:t>
            </w:r>
          </w:p>
          <w:bookmarkEnd w:id="1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989"/>
          <w:p>
            <w:pPr>
              <w:spacing w:after="20"/>
              <w:ind w:left="20"/>
              <w:jc w:val="both"/>
            </w:pPr>
            <w:r>
              <w:rPr>
                <w:rFonts w:ascii="Times New Roman"/>
                <w:b w:val="false"/>
                <w:i w:val="false"/>
                <w:color w:val="000000"/>
                <w:sz w:val="20"/>
              </w:rPr>
              <w:t xml:space="preserve">
номер решения </w:t>
            </w:r>
          </w:p>
          <w:bookmarkEnd w:id="1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990"/>
          <w:p>
            <w:pPr>
              <w:spacing w:after="20"/>
              <w:ind w:left="20"/>
              <w:jc w:val="both"/>
            </w:pPr>
            <w:r>
              <w:rPr>
                <w:rFonts w:ascii="Times New Roman"/>
                <w:b w:val="false"/>
                <w:i w:val="false"/>
                <w:color w:val="000000"/>
                <w:sz w:val="20"/>
              </w:rPr>
              <w:t xml:space="preserve">
заявление на присвоение статуса отозвано </w:t>
            </w:r>
          </w:p>
          <w:bookmarkEnd w:id="199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991"/>
          <w:p>
            <w:pPr>
              <w:spacing w:after="20"/>
              <w:ind w:left="20"/>
              <w:jc w:val="both"/>
            </w:pPr>
            <w:r>
              <w:rPr>
                <w:rFonts w:ascii="Times New Roman"/>
                <w:b w:val="false"/>
                <w:i w:val="false"/>
                <w:color w:val="000000"/>
                <w:sz w:val="20"/>
              </w:rPr>
              <w:t xml:space="preserve">
дата </w:t>
            </w:r>
          </w:p>
          <w:bookmarkEnd w:id="1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992"/>
          <w:p>
            <w:pPr>
              <w:spacing w:after="20"/>
              <w:ind w:left="20"/>
              <w:jc w:val="both"/>
            </w:pPr>
            <w:r>
              <w:rPr>
                <w:rFonts w:ascii="Times New Roman"/>
                <w:b w:val="false"/>
                <w:i w:val="false"/>
                <w:color w:val="000000"/>
                <w:sz w:val="20"/>
              </w:rPr>
              <w:t xml:space="preserve">
копия документа, подтверждающего присвоение лекарственному препарату статуса орфанного препарата (при наличии) (подпункт 5.2 приложения к настоящему заявлению). </w:t>
            </w:r>
          </w:p>
          <w:bookmarkEnd w:id="1992"/>
        </w:tc>
      </w:tr>
    </w:tbl>
    <w:p>
      <w:pPr>
        <w:spacing w:after="0"/>
        <w:ind w:left="0"/>
        <w:jc w:val="left"/>
      </w:pPr>
      <w:r>
        <w:br/>
      </w:r>
      <w:r>
        <w:rPr>
          <w:rFonts w:ascii="Times New Roman"/>
          <w:b w:val="false"/>
          <w:i w:val="false"/>
          <w:color w:val="000000"/>
          <w:sz w:val="28"/>
        </w:rPr>
        <w:t>
</w:t>
      </w:r>
    </w:p>
    <w:bookmarkStart w:name="z11930" w:id="1993"/>
    <w:p>
      <w:pPr>
        <w:spacing w:after="0"/>
        <w:ind w:left="0"/>
        <w:jc w:val="both"/>
      </w:pPr>
      <w:r>
        <w:rPr>
          <w:rFonts w:ascii="Times New Roman"/>
          <w:b w:val="false"/>
          <w:i w:val="false"/>
          <w:color w:val="000000"/>
          <w:sz w:val="28"/>
        </w:rPr>
        <w:t xml:space="preserve">
      </w:t>
      </w:r>
    </w:p>
    <w:bookmarkEnd w:id="1993"/>
    <w:p>
      <w:pPr>
        <w:spacing w:after="0"/>
        <w:ind w:left="0"/>
        <w:jc w:val="both"/>
      </w:pPr>
      <w:r>
        <w:t>[MISSING IMAGE: ,  ]</w:t>
      </w:r>
    </w:p>
    <w:p>
      <w:pPr>
        <w:spacing w:after="0"/>
        <w:ind w:left="0"/>
        <w:jc w:val="left"/>
      </w:pPr>
      <w:r>
        <w:rPr>
          <w:rFonts w:ascii="Times New Roman"/>
          <w:b w:val="false"/>
          <w:i w:val="false"/>
          <w:color w:val="000000"/>
          <w:sz w:val="28"/>
        </w:rPr>
        <w:t xml:space="preserve"> ЛЕКАРСТВЕННЫЙ ПРЕПАРАТ, ПОДАВАВШИЙСЯ </w:t>
      </w:r>
      <w:r>
        <w:br/>
      </w:r>
      <w:r>
        <w:rPr>
          <w:rFonts w:ascii="Times New Roman"/>
          <w:b w:val="false"/>
          <w:i w:val="false"/>
          <w:color w:val="000000"/>
          <w:sz w:val="28"/>
        </w:rPr>
        <w:t>НА РЕГИСТРАЦИЮ В СООТВЕТСТВИИ</w:t>
      </w:r>
      <w:r>
        <w:br/>
      </w:r>
      <w:r>
        <w:rPr>
          <w:rFonts w:ascii="Times New Roman"/>
          <w:b w:val="false"/>
          <w:i w:val="false"/>
          <w:color w:val="000000"/>
          <w:sz w:val="28"/>
        </w:rPr>
        <w:t>С РАЗДЕЛОМ VII ПРАВИЛ</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Раздел 2 дополнен формой в соответствии с решением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1931" w:id="1994"/>
    <w:p>
      <w:pPr>
        <w:spacing w:after="0"/>
        <w:ind w:left="0"/>
        <w:jc w:val="both"/>
      </w:pPr>
      <w:r>
        <w:rPr>
          <w:rFonts w:ascii="Times New Roman"/>
          <w:b w:val="false"/>
          <w:i w:val="false"/>
          <w:color w:val="000000"/>
          <w:sz w:val="28"/>
        </w:rPr>
        <w:t xml:space="preserve">
      Если лекарственный препарат подается на перерегистрацию в соответствии с разделом VII Правил, необходимо указать тип процедуры, в соответствии с которой он был зарегистрирован: </w:t>
      </w:r>
    </w:p>
    <w:bookmarkEnd w:id="199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1932" w:id="19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9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лекарственного препарата в исключительных случаях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регистрация лекарственного препарата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938" w:id="1996"/>
    <w:p>
      <w:pPr>
        <w:spacing w:after="0"/>
        <w:ind w:left="0"/>
        <w:jc w:val="both"/>
      </w:pPr>
      <w:r>
        <w:rPr>
          <w:rFonts w:ascii="Times New Roman"/>
          <w:b w:val="false"/>
          <w:i w:val="false"/>
          <w:color w:val="000000"/>
          <w:sz w:val="28"/>
        </w:rPr>
        <w:t>
      Накладывались ли регуляторным органом при регистрации лекарственного препарата особые обязательства или пострегистрационные меры в качестве условий регистрации?</w:t>
      </w:r>
    </w:p>
    <w:bookmarkEnd w:id="19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939" w:id="1997"/>
          <w:p>
            <w:pPr>
              <w:spacing w:after="20"/>
              <w:ind w:left="20"/>
              <w:jc w:val="both"/>
            </w:pPr>
            <w:r>
              <w:rPr>
                <w:rFonts w:ascii="Times New Roman"/>
                <w:b w:val="false"/>
                <w:i w:val="false"/>
                <w:color w:val="000000"/>
                <w:sz w:val="20"/>
              </w:rPr>
              <w:t>
</w:t>
            </w:r>
          </w:p>
          <w:bookmarkEnd w:id="1997"/>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r>
    </w:tbl>
    <w:bookmarkStart w:name="z11942" w:id="1998"/>
    <w:p>
      <w:pPr>
        <w:spacing w:after="0"/>
        <w:ind w:left="0"/>
        <w:jc w:val="both"/>
      </w:pPr>
      <w:r>
        <w:rPr>
          <w:rFonts w:ascii="Times New Roman"/>
          <w:b w:val="false"/>
          <w:i w:val="false"/>
          <w:color w:val="000000"/>
          <w:sz w:val="28"/>
        </w:rPr>
        <w:t>
      Особые обязательства или пострегистрационные меры в качестве условий регистрации:</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3" w:id="1999"/>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применения лекарственного препарата, установленные в ходе регистрации лекарственного препарата</w:t>
            </w:r>
          </w:p>
          <w:bookmarkEnd w:id="19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держателя регистрационного удостоверения, подлежащие выполнению в рамках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обязательств и наложенных ограничений для держателя регистрационного удостоверения, установленные при регистрации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выполнения обязательств держателем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08" w:id="2000"/>
    <w:p>
      <w:pPr>
        <w:spacing w:after="0"/>
        <w:ind w:left="0"/>
        <w:jc w:val="left"/>
      </w:pPr>
      <w:r>
        <w:rPr>
          <w:rFonts w:ascii="Times New Roman"/>
          <w:b/>
          <w:i w:val="false"/>
          <w:color w:val="000000"/>
        </w:rPr>
        <w:t xml:space="preserve"> 3. Особые пункты заявления</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2001"/>
          <w:p>
            <w:pPr>
              <w:spacing w:after="20"/>
              <w:ind w:left="20"/>
              <w:jc w:val="both"/>
            </w:pPr>
            <w:r>
              <w:rPr>
                <w:rFonts w:ascii="Times New Roman"/>
                <w:b w:val="false"/>
                <w:i w:val="false"/>
                <w:color w:val="000000"/>
                <w:sz w:val="20"/>
              </w:rPr>
              <w:t xml:space="preserve">
3.1. Наименование и код АТХ </w:t>
            </w:r>
          </w:p>
          <w:bookmarkEnd w:id="2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2002"/>
          <w:p>
            <w:pPr>
              <w:spacing w:after="20"/>
              <w:ind w:left="20"/>
              <w:jc w:val="both"/>
            </w:pPr>
            <w:r>
              <w:rPr>
                <w:rFonts w:ascii="Times New Roman"/>
                <w:b w:val="false"/>
                <w:i w:val="false"/>
                <w:color w:val="000000"/>
                <w:sz w:val="20"/>
              </w:rPr>
              <w:t xml:space="preserve">
3.1.1. Наименование лекарственного препарата </w:t>
            </w:r>
          </w:p>
          <w:bookmarkEnd w:id="2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2003"/>
          <w:p>
            <w:pPr>
              <w:spacing w:after="20"/>
              <w:ind w:left="20"/>
              <w:jc w:val="both"/>
            </w:pPr>
            <w:r>
              <w:rPr>
                <w:rFonts w:ascii="Times New Roman"/>
                <w:b w:val="false"/>
                <w:i w:val="false"/>
                <w:color w:val="000000"/>
                <w:sz w:val="20"/>
              </w:rPr>
              <w:t xml:space="preserve">
3.1.2. Наименование АФС или состав </w:t>
            </w:r>
          </w:p>
          <w:bookmarkEnd w:id="2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2" w:id="2004"/>
    <w:p>
      <w:pPr>
        <w:spacing w:after="0"/>
        <w:ind w:left="0"/>
        <w:jc w:val="both"/>
      </w:pPr>
      <w:r>
        <w:rPr>
          <w:rFonts w:ascii="Times New Roman"/>
          <w:b w:val="false"/>
          <w:i w:val="false"/>
          <w:color w:val="000000"/>
          <w:sz w:val="28"/>
        </w:rPr>
        <w:t>
      Примечание. Только одно наименование должно быть приведено в таком порядке: международное непатентованное наименование (далее - МНН) *, наименование по Фармакопее Евразийского экономического союза, фармакопеи государств - членов (или основные фармакопеи в соответствии с Концепцией гармонизации фармакопей государств – членов Евразийского экономического союза, утверждаемой Евразийской экономической комиссией), общепринятое или группировочное наименование, научное (химическое) название.</w:t>
      </w:r>
    </w:p>
    <w:bookmarkEnd w:id="2004"/>
    <w:bookmarkStart w:name="z1913" w:id="2005"/>
    <w:p>
      <w:pPr>
        <w:spacing w:after="0"/>
        <w:ind w:left="0"/>
        <w:jc w:val="both"/>
      </w:pPr>
      <w:r>
        <w:rPr>
          <w:rFonts w:ascii="Times New Roman"/>
          <w:b w:val="false"/>
          <w:i w:val="false"/>
          <w:color w:val="000000"/>
          <w:sz w:val="28"/>
        </w:rPr>
        <w:t>
      ────────────────────────────────</w:t>
      </w:r>
    </w:p>
    <w:bookmarkEnd w:id="2005"/>
    <w:bookmarkStart w:name="z1914" w:id="2006"/>
    <w:p>
      <w:pPr>
        <w:spacing w:after="0"/>
        <w:ind w:left="0"/>
        <w:jc w:val="both"/>
      </w:pPr>
      <w:r>
        <w:rPr>
          <w:rFonts w:ascii="Times New Roman"/>
          <w:b w:val="false"/>
          <w:i w:val="false"/>
          <w:color w:val="000000"/>
          <w:sz w:val="28"/>
        </w:rPr>
        <w:t>
      * Наименование АФС необходимо указывать по ее рекомендованному МНН с указанием его солей или гидратной формы, если необходимо.</w:t>
      </w:r>
    </w:p>
    <w:bookmarkEnd w:id="2006"/>
    <w:bookmarkStart w:name="z1915" w:id="2007"/>
    <w:p>
      <w:pPr>
        <w:spacing w:after="0"/>
        <w:ind w:left="0"/>
        <w:jc w:val="both"/>
      </w:pPr>
      <w:r>
        <w:rPr>
          <w:rFonts w:ascii="Times New Roman"/>
          <w:b w:val="false"/>
          <w:i w:val="false"/>
          <w:color w:val="000000"/>
          <w:sz w:val="28"/>
        </w:rPr>
        <w:t>
      3.1.3. Фармакотерапевтическая группа (используйте действующий код АТХ)</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2008"/>
          <w:p>
            <w:pPr>
              <w:spacing w:after="20"/>
              <w:ind w:left="20"/>
              <w:jc w:val="both"/>
            </w:pPr>
            <w:r>
              <w:rPr>
                <w:rFonts w:ascii="Times New Roman"/>
                <w:b w:val="false"/>
                <w:i w:val="false"/>
                <w:color w:val="000000"/>
                <w:sz w:val="20"/>
              </w:rPr>
              <w:t xml:space="preserve">
Код АТХ </w:t>
            </w:r>
          </w:p>
          <w:bookmarkEnd w:id="2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2009"/>
          <w:p>
            <w:pPr>
              <w:spacing w:after="20"/>
              <w:ind w:left="20"/>
              <w:jc w:val="both"/>
            </w:pPr>
            <w:r>
              <w:rPr>
                <w:rFonts w:ascii="Times New Roman"/>
                <w:b w:val="false"/>
                <w:i w:val="false"/>
                <w:color w:val="000000"/>
                <w:sz w:val="20"/>
              </w:rPr>
              <w:t xml:space="preserve">
Группа </w:t>
            </w:r>
          </w:p>
          <w:bookmarkEnd w:id="2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8" w:id="2010"/>
    <w:p>
      <w:pPr>
        <w:spacing w:after="0"/>
        <w:ind w:left="0"/>
        <w:jc w:val="both"/>
      </w:pPr>
      <w:r>
        <w:rPr>
          <w:rFonts w:ascii="Times New Roman"/>
          <w:b w:val="false"/>
          <w:i w:val="false"/>
          <w:color w:val="000000"/>
          <w:sz w:val="28"/>
        </w:rPr>
        <w:t>
      Если код АТХ не присвоен, укажите, было ли подано заявление на присвоение кода АТХ</w:t>
      </w:r>
    </w:p>
    <w:bookmarkEnd w:id="2010"/>
    <w:bookmarkStart w:name="z1919" w:id="2011"/>
    <w:p>
      <w:pPr>
        <w:spacing w:after="0"/>
        <w:ind w:left="0"/>
        <w:jc w:val="both"/>
      </w:pPr>
      <w:r>
        <w:rPr>
          <w:rFonts w:ascii="Times New Roman"/>
          <w:b w:val="false"/>
          <w:i w:val="false"/>
          <w:color w:val="000000"/>
          <w:sz w:val="28"/>
        </w:rPr>
        <w:t>
      3.2. Дозировка, лекарственная форма и упаковка, путь введения, вместимость первичной упаковки, число единиц дозирования в упаковке</w:t>
      </w:r>
    </w:p>
    <w:bookmarkEnd w:id="2011"/>
    <w:bookmarkStart w:name="z1920" w:id="2012"/>
    <w:p>
      <w:pPr>
        <w:spacing w:after="0"/>
        <w:ind w:left="0"/>
        <w:jc w:val="both"/>
      </w:pPr>
      <w:r>
        <w:rPr>
          <w:rFonts w:ascii="Times New Roman"/>
          <w:b w:val="false"/>
          <w:i w:val="false"/>
          <w:color w:val="000000"/>
          <w:sz w:val="28"/>
        </w:rPr>
        <w:t>
      3.2.1. Дозировка и лекарственная форма (используйте перечень стандартных терминов номенклатуры лекарственных форм, применяемой в Евразийском экономическом союзе)</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2013"/>
          <w:p>
            <w:pPr>
              <w:spacing w:after="20"/>
              <w:ind w:left="20"/>
              <w:jc w:val="both"/>
            </w:pPr>
            <w:r>
              <w:rPr>
                <w:rFonts w:ascii="Times New Roman"/>
                <w:b w:val="false"/>
                <w:i w:val="false"/>
                <w:color w:val="000000"/>
                <w:sz w:val="20"/>
              </w:rPr>
              <w:t xml:space="preserve">
лекарственная форма </w:t>
            </w:r>
          </w:p>
          <w:bookmarkEnd w:id="2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2014"/>
          <w:p>
            <w:pPr>
              <w:spacing w:after="20"/>
              <w:ind w:left="20"/>
              <w:jc w:val="both"/>
            </w:pPr>
            <w:r>
              <w:rPr>
                <w:rFonts w:ascii="Times New Roman"/>
                <w:b w:val="false"/>
                <w:i w:val="false"/>
                <w:color w:val="000000"/>
                <w:sz w:val="20"/>
              </w:rPr>
              <w:t xml:space="preserve">
дозировки или концентрации </w:t>
            </w:r>
          </w:p>
          <w:bookmarkEnd w:id="2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2015"/>
          <w:p>
            <w:pPr>
              <w:spacing w:after="20"/>
              <w:ind w:left="20"/>
              <w:jc w:val="both"/>
            </w:pPr>
            <w:r>
              <w:rPr>
                <w:rFonts w:ascii="Times New Roman"/>
                <w:b w:val="false"/>
                <w:i w:val="false"/>
                <w:color w:val="000000"/>
                <w:sz w:val="20"/>
              </w:rPr>
              <w:t xml:space="preserve">
3.2.2. Путь введения (используйте перечень стандартных терминов номенклатуры лекарственных форм) </w:t>
            </w:r>
          </w:p>
          <w:bookmarkEnd w:id="2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2016"/>
          <w:p>
            <w:pPr>
              <w:spacing w:after="20"/>
              <w:ind w:left="20"/>
              <w:jc w:val="both"/>
            </w:pPr>
            <w:r>
              <w:rPr>
                <w:rFonts w:ascii="Times New Roman"/>
                <w:b w:val="false"/>
                <w:i w:val="false"/>
                <w:color w:val="000000"/>
                <w:sz w:val="20"/>
              </w:rPr>
              <w:t xml:space="preserve">
3.2.3. Упаковка: первичная и вторичная упаковка, промежуточная упаковка (при наличии), укупорочная система и устройства для ввода, включая описание материала, из которого они изготовлены (используйте перечень стандартных терминов номенклатуры лекарственных форм), упаковка нерасфасованной продукции (при наличии) </w:t>
            </w:r>
          </w:p>
          <w:bookmarkEnd w:id="2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5" w:id="2017"/>
    <w:p>
      <w:pPr>
        <w:spacing w:after="0"/>
        <w:ind w:left="0"/>
        <w:jc w:val="both"/>
      </w:pPr>
      <w:r>
        <w:rPr>
          <w:rFonts w:ascii="Times New Roman"/>
          <w:b w:val="false"/>
          <w:i w:val="false"/>
          <w:color w:val="000000"/>
          <w:sz w:val="28"/>
        </w:rPr>
        <w:t>
      Для каждого вида упаковки укажите:</w:t>
      </w:r>
    </w:p>
    <w:bookmarkEnd w:id="2017"/>
    <w:bookmarkStart w:name="z1926" w:id="2018"/>
    <w:p>
      <w:pPr>
        <w:spacing w:after="0"/>
        <w:ind w:left="0"/>
        <w:jc w:val="both"/>
      </w:pPr>
      <w:r>
        <w:rPr>
          <w:rFonts w:ascii="Times New Roman"/>
          <w:b w:val="false"/>
          <w:i w:val="false"/>
          <w:color w:val="000000"/>
          <w:sz w:val="28"/>
        </w:rPr>
        <w:t>
      3.2.3.1. Число единиц дозирования в упаковке</w:t>
      </w:r>
    </w:p>
    <w:bookmarkEnd w:id="2018"/>
    <w:bookmarkStart w:name="z1927" w:id="2019"/>
    <w:p>
      <w:pPr>
        <w:spacing w:after="0"/>
        <w:ind w:left="0"/>
        <w:jc w:val="both"/>
      </w:pPr>
      <w:r>
        <w:rPr>
          <w:rFonts w:ascii="Times New Roman"/>
          <w:b w:val="false"/>
          <w:i w:val="false"/>
          <w:color w:val="000000"/>
          <w:sz w:val="28"/>
        </w:rPr>
        <w:t>
      3.2.3.2. Предлагаемый срок хранения</w:t>
      </w:r>
    </w:p>
    <w:bookmarkEnd w:id="2019"/>
    <w:bookmarkStart w:name="z1928" w:id="2020"/>
    <w:p>
      <w:pPr>
        <w:spacing w:after="0"/>
        <w:ind w:left="0"/>
        <w:jc w:val="both"/>
      </w:pPr>
      <w:r>
        <w:rPr>
          <w:rFonts w:ascii="Times New Roman"/>
          <w:b w:val="false"/>
          <w:i w:val="false"/>
          <w:color w:val="000000"/>
          <w:sz w:val="28"/>
        </w:rPr>
        <w:t>
      3.2.3.3. Предлагаемый срок хранения (после первого вскрытия первичной или промежуточной упаковки)</w:t>
      </w:r>
    </w:p>
    <w:bookmarkEnd w:id="2020"/>
    <w:bookmarkStart w:name="z1929" w:id="2021"/>
    <w:p>
      <w:pPr>
        <w:spacing w:after="0"/>
        <w:ind w:left="0"/>
        <w:jc w:val="both"/>
      </w:pPr>
      <w:r>
        <w:rPr>
          <w:rFonts w:ascii="Times New Roman"/>
          <w:b w:val="false"/>
          <w:i w:val="false"/>
          <w:color w:val="000000"/>
          <w:sz w:val="28"/>
        </w:rPr>
        <w:t>
      3.2.3.4. Предлагаемый срок хранения (после восстановления (растворения) или разведения)</w:t>
      </w:r>
    </w:p>
    <w:bookmarkEnd w:id="2021"/>
    <w:bookmarkStart w:name="z1930" w:id="2022"/>
    <w:p>
      <w:pPr>
        <w:spacing w:after="0"/>
        <w:ind w:left="0"/>
        <w:jc w:val="both"/>
      </w:pPr>
      <w:r>
        <w:rPr>
          <w:rFonts w:ascii="Times New Roman"/>
          <w:b w:val="false"/>
          <w:i w:val="false"/>
          <w:color w:val="000000"/>
          <w:sz w:val="28"/>
        </w:rPr>
        <w:t>
      3.2.3.5. Предлагаемые условия хранения</w:t>
      </w:r>
    </w:p>
    <w:bookmarkEnd w:id="2022"/>
    <w:bookmarkStart w:name="z1931" w:id="2023"/>
    <w:p>
      <w:pPr>
        <w:spacing w:after="0"/>
        <w:ind w:left="0"/>
        <w:jc w:val="both"/>
      </w:pPr>
      <w:r>
        <w:rPr>
          <w:rFonts w:ascii="Times New Roman"/>
          <w:b w:val="false"/>
          <w:i w:val="false"/>
          <w:color w:val="000000"/>
          <w:sz w:val="28"/>
        </w:rPr>
        <w:t>
      3.2.3.6. Предлагаемые условия хранения после первого вскрытия упаковки (первичной или промежуточной)</w:t>
      </w:r>
    </w:p>
    <w:bookmarkEnd w:id="2023"/>
    <w:bookmarkStart w:name="z1932" w:id="2024"/>
    <w:p>
      <w:pPr>
        <w:spacing w:after="0"/>
        <w:ind w:left="0"/>
        <w:jc w:val="both"/>
      </w:pPr>
      <w:r>
        <w:rPr>
          <w:rFonts w:ascii="Times New Roman"/>
          <w:b w:val="false"/>
          <w:i w:val="false"/>
          <w:color w:val="000000"/>
          <w:sz w:val="28"/>
        </w:rPr>
        <w:t>
      3.2.4. Информация по устройствам для ввода</w:t>
      </w:r>
    </w:p>
    <w:bookmarkEnd w:id="2024"/>
    <w:bookmarkStart w:name="z1933" w:id="2025"/>
    <w:p>
      <w:pPr>
        <w:spacing w:after="0"/>
        <w:ind w:left="0"/>
        <w:jc w:val="both"/>
      </w:pPr>
      <w:r>
        <w:rPr>
          <w:rFonts w:ascii="Times New Roman"/>
          <w:b w:val="false"/>
          <w:i w:val="false"/>
          <w:color w:val="000000"/>
          <w:sz w:val="28"/>
        </w:rPr>
        <w:t>
      3.3. Категория отпуска</w:t>
      </w:r>
    </w:p>
    <w:bookmarkEnd w:id="20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34" w:id="2026"/>
          <w:p>
            <w:pPr>
              <w:spacing w:after="20"/>
              <w:ind w:left="20"/>
              <w:jc w:val="both"/>
            </w:pPr>
          </w:p>
          <w:bookmarkEnd w:id="202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по рецепту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935" w:id="2027"/>
          <w:p>
            <w:pPr>
              <w:spacing w:after="20"/>
              <w:ind w:left="20"/>
              <w:jc w:val="both"/>
            </w:pPr>
            <w:r>
              <w:rPr>
                <w:rFonts w:ascii="Times New Roman"/>
                <w:b w:val="false"/>
                <w:i w:val="false"/>
                <w:color w:val="000000"/>
                <w:sz w:val="20"/>
              </w:rPr>
              <w:t>
3.3.1. Предлагаемая категория отпуска:</w:t>
            </w:r>
          </w:p>
          <w:bookmarkEnd w:id="202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без рецепта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936" w:id="2028"/>
          <w:p>
            <w:pPr>
              <w:spacing w:after="20"/>
              <w:ind w:left="20"/>
              <w:jc w:val="both"/>
            </w:pPr>
          </w:p>
          <w:bookmarkEnd w:id="202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в условиях лечебно-профилактического учреждения</w:t>
            </w:r>
          </w:p>
          <w:p>
            <w:pPr>
              <w:spacing w:after="20"/>
              <w:ind w:left="20"/>
              <w:jc w:val="both"/>
            </w:pPr>
          </w:p>
          <w:p>
            <w:pPr>
              <w:spacing w:after="20"/>
              <w:ind w:left="20"/>
              <w:jc w:val="both"/>
            </w:pPr>
          </w:p>
        </w:tc>
      </w:tr>
    </w:tbl>
    <w:bookmarkStart w:name="z1937" w:id="2029"/>
    <w:p>
      <w:pPr>
        <w:spacing w:after="0"/>
        <w:ind w:left="0"/>
        <w:jc w:val="both"/>
      </w:pPr>
      <w:r>
        <w:rPr>
          <w:rFonts w:ascii="Times New Roman"/>
          <w:b w:val="false"/>
          <w:i w:val="false"/>
          <w:color w:val="000000"/>
          <w:sz w:val="28"/>
        </w:rPr>
        <w:t>
      3.4. Держатель регистрационного удостоверения</w:t>
      </w:r>
    </w:p>
    <w:bookmarkEnd w:id="2029"/>
    <w:bookmarkStart w:name="z1938" w:id="2030"/>
    <w:p>
      <w:pPr>
        <w:spacing w:after="0"/>
        <w:ind w:left="0"/>
        <w:jc w:val="both"/>
      </w:pPr>
      <w:r>
        <w:rPr>
          <w:rFonts w:ascii="Times New Roman"/>
          <w:b w:val="false"/>
          <w:i w:val="false"/>
          <w:color w:val="000000"/>
          <w:sz w:val="28"/>
        </w:rPr>
        <w:t>
      3.4.1. Держатель регистрационного удостоверения:</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2031"/>
          <w:p>
            <w:pPr>
              <w:spacing w:after="20"/>
              <w:ind w:left="20"/>
              <w:jc w:val="both"/>
            </w:pPr>
            <w:r>
              <w:rPr>
                <w:rFonts w:ascii="Times New Roman"/>
                <w:b w:val="false"/>
                <w:i w:val="false"/>
                <w:color w:val="000000"/>
                <w:sz w:val="20"/>
              </w:rPr>
              <w:t xml:space="preserve">
наименование юридического лица, </w:t>
            </w:r>
          </w:p>
          <w:bookmarkEnd w:id="2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2032"/>
          <w:p>
            <w:pPr>
              <w:spacing w:after="20"/>
              <w:ind w:left="20"/>
              <w:jc w:val="both"/>
            </w:pPr>
            <w:r>
              <w:rPr>
                <w:rFonts w:ascii="Times New Roman"/>
                <w:b w:val="false"/>
                <w:i w:val="false"/>
                <w:color w:val="000000"/>
                <w:sz w:val="20"/>
              </w:rPr>
              <w:t xml:space="preserve">
юридический адрес </w:t>
            </w:r>
          </w:p>
          <w:bookmarkEnd w:id="2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2033"/>
          <w:p>
            <w:pPr>
              <w:spacing w:after="20"/>
              <w:ind w:left="20"/>
              <w:jc w:val="both"/>
            </w:pPr>
            <w:r>
              <w:rPr>
                <w:rFonts w:ascii="Times New Roman"/>
                <w:b w:val="false"/>
                <w:i w:val="false"/>
                <w:color w:val="000000"/>
                <w:sz w:val="20"/>
              </w:rPr>
              <w:t xml:space="preserve">
государство </w:t>
            </w:r>
          </w:p>
          <w:bookmarkEnd w:id="2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2034"/>
          <w:p>
            <w:pPr>
              <w:spacing w:after="20"/>
              <w:ind w:left="20"/>
              <w:jc w:val="both"/>
            </w:pPr>
            <w:r>
              <w:rPr>
                <w:rFonts w:ascii="Times New Roman"/>
                <w:b w:val="false"/>
                <w:i w:val="false"/>
                <w:color w:val="000000"/>
                <w:sz w:val="20"/>
              </w:rPr>
              <w:t xml:space="preserve">
номера телефона и факса (при наличии) </w:t>
            </w:r>
          </w:p>
          <w:bookmarkEnd w:id="2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2035"/>
          <w:p>
            <w:pPr>
              <w:spacing w:after="20"/>
              <w:ind w:left="20"/>
              <w:jc w:val="both"/>
            </w:pPr>
            <w:r>
              <w:rPr>
                <w:rFonts w:ascii="Times New Roman"/>
                <w:b w:val="false"/>
                <w:i w:val="false"/>
                <w:color w:val="000000"/>
                <w:sz w:val="20"/>
              </w:rPr>
              <w:t xml:space="preserve">
адрес электронной почты </w:t>
            </w:r>
          </w:p>
          <w:bookmarkEnd w:id="2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2036"/>
    <w:p>
      <w:pPr>
        <w:spacing w:after="0"/>
        <w:ind w:left="0"/>
        <w:jc w:val="both"/>
      </w:pPr>
      <w:r>
        <w:rPr>
          <w:rFonts w:ascii="Times New Roman"/>
          <w:b w:val="false"/>
          <w:i w:val="false"/>
          <w:color w:val="000000"/>
          <w:sz w:val="28"/>
        </w:rPr>
        <w:t>
      3.4.2. Представитель держателя регистрационного удостоверения (лицо, выступающее от имени держателя регистрационного удостоверения, - заявитель):</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2037"/>
          <w:p>
            <w:pPr>
              <w:spacing w:after="20"/>
              <w:ind w:left="20"/>
              <w:jc w:val="both"/>
            </w:pPr>
            <w:r>
              <w:rPr>
                <w:rFonts w:ascii="Times New Roman"/>
                <w:b w:val="false"/>
                <w:i w:val="false"/>
                <w:color w:val="000000"/>
                <w:sz w:val="20"/>
              </w:rPr>
              <w:t xml:space="preserve">
наименование юридического лица или фамилия, имя, отчество физического лица </w:t>
            </w:r>
          </w:p>
          <w:bookmarkEnd w:id="2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2038"/>
          <w:p>
            <w:pPr>
              <w:spacing w:after="20"/>
              <w:ind w:left="20"/>
              <w:jc w:val="both"/>
            </w:pPr>
            <w:r>
              <w:rPr>
                <w:rFonts w:ascii="Times New Roman"/>
                <w:b w:val="false"/>
                <w:i w:val="false"/>
                <w:color w:val="000000"/>
                <w:sz w:val="20"/>
              </w:rPr>
              <w:t xml:space="preserve">
номера телефона и факса (при наличии) </w:t>
            </w:r>
          </w:p>
          <w:bookmarkEnd w:id="2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2039"/>
          <w:p>
            <w:pPr>
              <w:spacing w:after="20"/>
              <w:ind w:left="20"/>
              <w:jc w:val="both"/>
            </w:pPr>
            <w:r>
              <w:rPr>
                <w:rFonts w:ascii="Times New Roman"/>
                <w:b w:val="false"/>
                <w:i w:val="false"/>
                <w:color w:val="000000"/>
                <w:sz w:val="20"/>
              </w:rPr>
              <w:t xml:space="preserve">
адрес электронной почты </w:t>
            </w:r>
          </w:p>
          <w:bookmarkEnd w:id="2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2040"/>
    <w:p>
      <w:pPr>
        <w:spacing w:after="0"/>
        <w:ind w:left="0"/>
        <w:jc w:val="both"/>
      </w:pPr>
      <w:r>
        <w:rPr>
          <w:rFonts w:ascii="Times New Roman"/>
          <w:b w:val="false"/>
          <w:i w:val="false"/>
          <w:color w:val="000000"/>
          <w:sz w:val="28"/>
        </w:rPr>
        <w:t>
      При заполнении данного пункта приложите доверенность на совершение юридически значимых действий от имени держателя регистрационного удостоверения (подпункт 5.1 приложения к настоящему заявлению).</w:t>
      </w:r>
    </w:p>
    <w:bookmarkEnd w:id="2040"/>
    <w:bookmarkStart w:name="z1949" w:id="2041"/>
    <w:p>
      <w:pPr>
        <w:spacing w:after="0"/>
        <w:ind w:left="0"/>
        <w:jc w:val="both"/>
      </w:pPr>
      <w:r>
        <w:rPr>
          <w:rFonts w:ascii="Times New Roman"/>
          <w:b w:val="false"/>
          <w:i w:val="false"/>
          <w:color w:val="000000"/>
          <w:sz w:val="28"/>
        </w:rPr>
        <w:t xml:space="preserve">
      3.4.3. Представитель заявителя (лицо, выступающее от имени заявителя) после регистрации лекарственного препарата, если они отличаются от определенных в подпункте </w:t>
      </w:r>
    </w:p>
    <w:bookmarkEnd w:id="2041"/>
    <w:bookmarkStart w:name="z1950" w:id="2042"/>
    <w:p>
      <w:pPr>
        <w:spacing w:after="0"/>
        <w:ind w:left="0"/>
        <w:jc w:val="both"/>
      </w:pPr>
      <w:r>
        <w:rPr>
          <w:rFonts w:ascii="Times New Roman"/>
          <w:b w:val="false"/>
          <w:i w:val="false"/>
          <w:color w:val="000000"/>
          <w:sz w:val="28"/>
        </w:rPr>
        <w:t>
      3.4.2 настоящего заявления:</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2043"/>
          <w:p>
            <w:pPr>
              <w:spacing w:after="20"/>
              <w:ind w:left="20"/>
              <w:jc w:val="both"/>
            </w:pPr>
            <w:r>
              <w:rPr>
                <w:rFonts w:ascii="Times New Roman"/>
                <w:b w:val="false"/>
                <w:i w:val="false"/>
                <w:color w:val="000000"/>
                <w:sz w:val="20"/>
              </w:rPr>
              <w:t xml:space="preserve">
фамилия, имя, отчество представителя заявителя или наименование юридического лица </w:t>
            </w:r>
          </w:p>
          <w:bookmarkEnd w:id="2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2044"/>
          <w:p>
            <w:pPr>
              <w:spacing w:after="20"/>
              <w:ind w:left="20"/>
              <w:jc w:val="both"/>
            </w:pPr>
            <w:r>
              <w:rPr>
                <w:rFonts w:ascii="Times New Roman"/>
                <w:b w:val="false"/>
                <w:i w:val="false"/>
                <w:color w:val="000000"/>
                <w:sz w:val="20"/>
              </w:rPr>
              <w:t xml:space="preserve">
юридический адрес юридического лица </w:t>
            </w:r>
          </w:p>
          <w:bookmarkEnd w:id="2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2045"/>
          <w:p>
            <w:pPr>
              <w:spacing w:after="20"/>
              <w:ind w:left="20"/>
              <w:jc w:val="both"/>
            </w:pPr>
            <w:r>
              <w:rPr>
                <w:rFonts w:ascii="Times New Roman"/>
                <w:b w:val="false"/>
                <w:i w:val="false"/>
                <w:color w:val="000000"/>
                <w:sz w:val="20"/>
              </w:rPr>
              <w:t xml:space="preserve">
государство </w:t>
            </w:r>
          </w:p>
          <w:bookmarkEnd w:id="2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2046"/>
          <w:p>
            <w:pPr>
              <w:spacing w:after="20"/>
              <w:ind w:left="20"/>
              <w:jc w:val="both"/>
            </w:pPr>
            <w:r>
              <w:rPr>
                <w:rFonts w:ascii="Times New Roman"/>
                <w:b w:val="false"/>
                <w:i w:val="false"/>
                <w:color w:val="000000"/>
                <w:sz w:val="20"/>
              </w:rPr>
              <w:t xml:space="preserve">
номера телефона и факса (при наличии) </w:t>
            </w:r>
          </w:p>
          <w:bookmarkEnd w:id="2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2047"/>
          <w:p>
            <w:pPr>
              <w:spacing w:after="20"/>
              <w:ind w:left="20"/>
              <w:jc w:val="both"/>
            </w:pPr>
            <w:r>
              <w:rPr>
                <w:rFonts w:ascii="Times New Roman"/>
                <w:b w:val="false"/>
                <w:i w:val="false"/>
                <w:color w:val="000000"/>
                <w:sz w:val="20"/>
              </w:rPr>
              <w:t xml:space="preserve">
адрес электронной почты </w:t>
            </w:r>
          </w:p>
          <w:bookmarkEnd w:id="2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6" w:id="2048"/>
    <w:p>
      <w:pPr>
        <w:spacing w:after="0"/>
        <w:ind w:left="0"/>
        <w:jc w:val="both"/>
      </w:pPr>
      <w:r>
        <w:rPr>
          <w:rFonts w:ascii="Times New Roman"/>
          <w:b w:val="false"/>
          <w:i w:val="false"/>
          <w:color w:val="000000"/>
          <w:sz w:val="28"/>
        </w:rPr>
        <w:t>
      При заполнении данного пункта приложите доверенность (подпункт 5.1 приложения к настоящему заявлению).</w:t>
      </w:r>
    </w:p>
    <w:bookmarkEnd w:id="2048"/>
    <w:bookmarkStart w:name="z1957" w:id="2049"/>
    <w:p>
      <w:pPr>
        <w:spacing w:after="0"/>
        <w:ind w:left="0"/>
        <w:jc w:val="both"/>
      </w:pPr>
      <w:r>
        <w:rPr>
          <w:rFonts w:ascii="Times New Roman"/>
          <w:b w:val="false"/>
          <w:i w:val="false"/>
          <w:color w:val="000000"/>
          <w:sz w:val="28"/>
        </w:rPr>
        <w:t>
       3.4.4. Уполномоченное лицо держателя регистрационного удостоверения, ответственное за фармаконадзор:</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2050"/>
          <w:p>
            <w:pPr>
              <w:spacing w:after="20"/>
              <w:ind w:left="20"/>
              <w:jc w:val="both"/>
            </w:pPr>
            <w:r>
              <w:rPr>
                <w:rFonts w:ascii="Times New Roman"/>
                <w:b w:val="false"/>
                <w:i w:val="false"/>
                <w:color w:val="000000"/>
                <w:sz w:val="20"/>
              </w:rPr>
              <w:t xml:space="preserve">
фамилия, имя уполномоченного лица держателя регистрационного удостоверения, ответственного за фармаконадзор </w:t>
            </w:r>
          </w:p>
          <w:bookmarkEnd w:id="2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2051"/>
          <w:p>
            <w:pPr>
              <w:spacing w:after="20"/>
              <w:ind w:left="20"/>
              <w:jc w:val="both"/>
            </w:pPr>
            <w:r>
              <w:rPr>
                <w:rFonts w:ascii="Times New Roman"/>
                <w:b w:val="false"/>
                <w:i w:val="false"/>
                <w:color w:val="000000"/>
                <w:sz w:val="20"/>
              </w:rPr>
              <w:t xml:space="preserve">
наименование юридического лица (держателя регистрационного удостоверения) </w:t>
            </w:r>
          </w:p>
          <w:bookmarkEnd w:id="2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2052"/>
          <w:p>
            <w:pPr>
              <w:spacing w:after="20"/>
              <w:ind w:left="20"/>
              <w:jc w:val="both"/>
            </w:pPr>
            <w:r>
              <w:rPr>
                <w:rFonts w:ascii="Times New Roman"/>
                <w:b w:val="false"/>
                <w:i w:val="false"/>
                <w:color w:val="000000"/>
                <w:sz w:val="20"/>
              </w:rPr>
              <w:t xml:space="preserve">
юридический адрес юридического лица (держателя регистрационного удостоверения) </w:t>
            </w:r>
          </w:p>
          <w:bookmarkEnd w:id="2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2053"/>
          <w:p>
            <w:pPr>
              <w:spacing w:after="20"/>
              <w:ind w:left="20"/>
              <w:jc w:val="both"/>
            </w:pPr>
            <w:r>
              <w:rPr>
                <w:rFonts w:ascii="Times New Roman"/>
                <w:b w:val="false"/>
                <w:i w:val="false"/>
                <w:color w:val="000000"/>
                <w:sz w:val="20"/>
              </w:rPr>
              <w:t xml:space="preserve">
государство </w:t>
            </w:r>
          </w:p>
          <w:bookmarkEnd w:id="2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2054"/>
          <w:p>
            <w:pPr>
              <w:spacing w:after="20"/>
              <w:ind w:left="20"/>
              <w:jc w:val="both"/>
            </w:pPr>
            <w:r>
              <w:rPr>
                <w:rFonts w:ascii="Times New Roman"/>
                <w:b w:val="false"/>
                <w:i w:val="false"/>
                <w:color w:val="000000"/>
                <w:sz w:val="20"/>
              </w:rPr>
              <w:t xml:space="preserve">
номера круглосуточных телефона и факса </w:t>
            </w:r>
          </w:p>
          <w:bookmarkEnd w:id="2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2055"/>
          <w:p>
            <w:pPr>
              <w:spacing w:after="20"/>
              <w:ind w:left="20"/>
              <w:jc w:val="both"/>
            </w:pPr>
            <w:r>
              <w:rPr>
                <w:rFonts w:ascii="Times New Roman"/>
                <w:b w:val="false"/>
                <w:i w:val="false"/>
                <w:color w:val="000000"/>
                <w:sz w:val="20"/>
              </w:rPr>
              <w:t xml:space="preserve">
адрес электронной почты </w:t>
            </w:r>
          </w:p>
          <w:bookmarkEnd w:id="2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4" w:id="2056"/>
    <w:p>
      <w:pPr>
        <w:spacing w:after="0"/>
        <w:ind w:left="0"/>
        <w:jc w:val="both"/>
      </w:pPr>
      <w:r>
        <w:rPr>
          <w:rFonts w:ascii="Times New Roman"/>
          <w:b w:val="false"/>
          <w:i w:val="false"/>
          <w:color w:val="000000"/>
          <w:sz w:val="28"/>
        </w:rPr>
        <w:t>
      Укажите место регистрации и фактическое место жительства уполномоченного лица держателя регистрационного удостоверения, ответственного за фармаконадзор</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2057"/>
          <w:p>
            <w:pPr>
              <w:spacing w:after="20"/>
              <w:ind w:left="20"/>
              <w:jc w:val="both"/>
            </w:pPr>
            <w:r>
              <w:rPr>
                <w:rFonts w:ascii="Times New Roman"/>
                <w:b w:val="false"/>
                <w:i w:val="false"/>
                <w:color w:val="000000"/>
                <w:sz w:val="20"/>
              </w:rPr>
              <w:t>
мастер-файл фармаконадзора:</w:t>
            </w:r>
          </w:p>
          <w:bookmarkEnd w:id="2057"/>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 xml:space="preserve">адрес местонахождения: </w:t>
            </w:r>
          </w:p>
        </w:tc>
      </w:tr>
    </w:tbl>
    <w:bookmarkStart w:name="z1966" w:id="2058"/>
    <w:p>
      <w:pPr>
        <w:spacing w:after="0"/>
        <w:ind w:left="0"/>
        <w:jc w:val="both"/>
      </w:pPr>
      <w:r>
        <w:rPr>
          <w:rFonts w:ascii="Times New Roman"/>
          <w:b w:val="false"/>
          <w:i w:val="false"/>
          <w:color w:val="000000"/>
          <w:sz w:val="28"/>
        </w:rPr>
        <w:t>
      3.4.5. Уполномоченное лицо держателя регистрационного удостоверения в государстве - члене Евразийского экономического союза для осуществления фармаконадзора, если оно отличается от указанного в подпункте 3.4.4 настоящего заявления:</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2059"/>
          <w:p>
            <w:pPr>
              <w:spacing w:after="20"/>
              <w:ind w:left="20"/>
              <w:jc w:val="both"/>
            </w:pPr>
            <w:r>
              <w:rPr>
                <w:rFonts w:ascii="Times New Roman"/>
                <w:b w:val="false"/>
                <w:i w:val="false"/>
                <w:color w:val="000000"/>
                <w:sz w:val="20"/>
              </w:rPr>
              <w:t xml:space="preserve">
фамилия, имя, отчество уполномоченного лица держателя регистрационного удостоверения, ответственного за фармаконадзор </w:t>
            </w:r>
          </w:p>
          <w:bookmarkEnd w:id="2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2060"/>
          <w:p>
            <w:pPr>
              <w:spacing w:after="20"/>
              <w:ind w:left="20"/>
              <w:jc w:val="both"/>
            </w:pPr>
            <w:r>
              <w:rPr>
                <w:rFonts w:ascii="Times New Roman"/>
                <w:b w:val="false"/>
                <w:i w:val="false"/>
                <w:color w:val="000000"/>
                <w:sz w:val="20"/>
              </w:rPr>
              <w:t xml:space="preserve">
наименование юридического лица (держателя регистрационного удостоверения) </w:t>
            </w:r>
          </w:p>
          <w:bookmarkEnd w:id="2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2061"/>
          <w:p>
            <w:pPr>
              <w:spacing w:after="20"/>
              <w:ind w:left="20"/>
              <w:jc w:val="both"/>
            </w:pPr>
            <w:r>
              <w:rPr>
                <w:rFonts w:ascii="Times New Roman"/>
                <w:b w:val="false"/>
                <w:i w:val="false"/>
                <w:color w:val="000000"/>
                <w:sz w:val="20"/>
              </w:rPr>
              <w:t xml:space="preserve">
адрес юридического лица </w:t>
            </w:r>
          </w:p>
          <w:bookmarkEnd w:id="2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2062"/>
          <w:p>
            <w:pPr>
              <w:spacing w:after="20"/>
              <w:ind w:left="20"/>
              <w:jc w:val="both"/>
            </w:pPr>
            <w:r>
              <w:rPr>
                <w:rFonts w:ascii="Times New Roman"/>
                <w:b w:val="false"/>
                <w:i w:val="false"/>
                <w:color w:val="000000"/>
                <w:sz w:val="20"/>
              </w:rPr>
              <w:t xml:space="preserve">
страна </w:t>
            </w:r>
          </w:p>
          <w:bookmarkEnd w:id="2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2063"/>
          <w:p>
            <w:pPr>
              <w:spacing w:after="20"/>
              <w:ind w:left="20"/>
              <w:jc w:val="both"/>
            </w:pPr>
            <w:r>
              <w:rPr>
                <w:rFonts w:ascii="Times New Roman"/>
                <w:b w:val="false"/>
                <w:i w:val="false"/>
                <w:color w:val="000000"/>
                <w:sz w:val="20"/>
              </w:rPr>
              <w:t xml:space="preserve">
круглосуточный телефон (факс) </w:t>
            </w:r>
          </w:p>
          <w:bookmarkEnd w:id="2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2064"/>
          <w:p>
            <w:pPr>
              <w:spacing w:after="20"/>
              <w:ind w:left="20"/>
              <w:jc w:val="both"/>
            </w:pPr>
            <w:r>
              <w:rPr>
                <w:rFonts w:ascii="Times New Roman"/>
                <w:b w:val="false"/>
                <w:i w:val="false"/>
                <w:color w:val="000000"/>
                <w:sz w:val="20"/>
              </w:rPr>
              <w:t xml:space="preserve">
электронная почта </w:t>
            </w:r>
          </w:p>
          <w:bookmarkEnd w:id="2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2065"/>
    <w:p>
      <w:pPr>
        <w:spacing w:after="0"/>
        <w:ind w:left="0"/>
        <w:jc w:val="both"/>
      </w:pPr>
      <w:r>
        <w:rPr>
          <w:rFonts w:ascii="Times New Roman"/>
          <w:b w:val="false"/>
          <w:i w:val="false"/>
          <w:color w:val="000000"/>
          <w:sz w:val="28"/>
        </w:rPr>
        <w:t>
      Укажите место регистрации и фактическое место жительства уполномоченного лица в государстве - члене Евразийского экономического союза для осуществления фармаконадзора, номер его телефона.</w:t>
      </w:r>
    </w:p>
    <w:bookmarkEnd w:id="2065"/>
    <w:bookmarkStart w:name="z1974" w:id="2066"/>
    <w:p>
      <w:pPr>
        <w:spacing w:after="0"/>
        <w:ind w:left="0"/>
        <w:jc w:val="both"/>
      </w:pPr>
      <w:r>
        <w:rPr>
          <w:rFonts w:ascii="Times New Roman"/>
          <w:b w:val="false"/>
          <w:i w:val="false"/>
          <w:color w:val="000000"/>
          <w:sz w:val="28"/>
        </w:rPr>
        <w:t>
       3.5. Производитель лекарственного препарата</w:t>
      </w:r>
    </w:p>
    <w:bookmarkEnd w:id="2066"/>
    <w:bookmarkStart w:name="z1975" w:id="2067"/>
    <w:p>
      <w:pPr>
        <w:spacing w:after="0"/>
        <w:ind w:left="0"/>
        <w:jc w:val="both"/>
      </w:pPr>
      <w:r>
        <w:rPr>
          <w:rFonts w:ascii="Times New Roman"/>
          <w:b w:val="false"/>
          <w:i w:val="false"/>
          <w:color w:val="000000"/>
          <w:sz w:val="28"/>
        </w:rPr>
        <w:t>
       3.5.1. Производитель, который отвечает за выпускающий контроль качества серий лекарственного препарата (как указано в общей характеристике лекарственного препарата, листке-вкладыше и при необходимости на вторичной (потребительской) упаковке)</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2068"/>
          <w:p>
            <w:pPr>
              <w:spacing w:after="20"/>
              <w:ind w:left="20"/>
              <w:jc w:val="both"/>
            </w:pPr>
            <w:r>
              <w:rPr>
                <w:rFonts w:ascii="Times New Roman"/>
                <w:b w:val="false"/>
                <w:i w:val="false"/>
                <w:color w:val="000000"/>
                <w:sz w:val="20"/>
              </w:rPr>
              <w:t xml:space="preserve">
наименование юридического лица </w:t>
            </w:r>
          </w:p>
          <w:bookmarkEnd w:id="2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2069"/>
          <w:p>
            <w:pPr>
              <w:spacing w:after="20"/>
              <w:ind w:left="20"/>
              <w:jc w:val="both"/>
            </w:pPr>
            <w:r>
              <w:rPr>
                <w:rFonts w:ascii="Times New Roman"/>
                <w:b w:val="false"/>
                <w:i w:val="false"/>
                <w:color w:val="000000"/>
                <w:sz w:val="20"/>
              </w:rPr>
              <w:t xml:space="preserve">
адрес места осуществления деятельности </w:t>
            </w:r>
          </w:p>
          <w:bookmarkEnd w:id="2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2070"/>
          <w:p>
            <w:pPr>
              <w:spacing w:after="20"/>
              <w:ind w:left="20"/>
              <w:jc w:val="both"/>
            </w:pPr>
            <w:r>
              <w:rPr>
                <w:rFonts w:ascii="Times New Roman"/>
                <w:b w:val="false"/>
                <w:i w:val="false"/>
                <w:color w:val="000000"/>
                <w:sz w:val="20"/>
              </w:rPr>
              <w:t xml:space="preserve">
государство </w:t>
            </w:r>
          </w:p>
          <w:bookmarkEnd w:id="2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2071"/>
          <w:p>
            <w:pPr>
              <w:spacing w:after="20"/>
              <w:ind w:left="20"/>
              <w:jc w:val="both"/>
            </w:pPr>
            <w:r>
              <w:rPr>
                <w:rFonts w:ascii="Times New Roman"/>
                <w:b w:val="false"/>
                <w:i w:val="false"/>
                <w:color w:val="000000"/>
                <w:sz w:val="20"/>
              </w:rPr>
              <w:t xml:space="preserve">
номера телефона и факса (при наличии) </w:t>
            </w:r>
          </w:p>
          <w:bookmarkEnd w:id="2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2072"/>
          <w:p>
            <w:pPr>
              <w:spacing w:after="20"/>
              <w:ind w:left="20"/>
              <w:jc w:val="both"/>
            </w:pPr>
            <w:r>
              <w:rPr>
                <w:rFonts w:ascii="Times New Roman"/>
                <w:b w:val="false"/>
                <w:i w:val="false"/>
                <w:color w:val="000000"/>
                <w:sz w:val="20"/>
              </w:rPr>
              <w:t xml:space="preserve">
адрес электронной почты </w:t>
            </w:r>
          </w:p>
          <w:bookmarkEnd w:id="2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1" w:id="2073"/>
    <w:p>
      <w:pPr>
        <w:spacing w:after="0"/>
        <w:ind w:left="0"/>
        <w:jc w:val="both"/>
      </w:pPr>
      <w:r>
        <w:rPr>
          <w:rFonts w:ascii="Times New Roman"/>
          <w:b w:val="false"/>
          <w:i w:val="false"/>
          <w:color w:val="000000"/>
          <w:sz w:val="28"/>
        </w:rPr>
        <w:t>
      3.5.2. Лаборатория страны-производителя по контролю качества препаратов крови и вакцин, ответственная за контроль качества (выпуск) серии</w:t>
      </w:r>
    </w:p>
    <w:bookmarkEnd w:id="2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2074"/>
          <w:p>
            <w:pPr>
              <w:spacing w:after="20"/>
              <w:ind w:left="20"/>
              <w:jc w:val="both"/>
            </w:pPr>
            <w:r>
              <w:rPr>
                <w:rFonts w:ascii="Times New Roman"/>
                <w:b w:val="false"/>
                <w:i w:val="false"/>
                <w:color w:val="000000"/>
                <w:sz w:val="20"/>
              </w:rPr>
              <w:t xml:space="preserve">
наименование лаборатории </w:t>
            </w:r>
          </w:p>
          <w:bookmarkEnd w:id="2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2075"/>
          <w:p>
            <w:pPr>
              <w:spacing w:after="20"/>
              <w:ind w:left="20"/>
              <w:jc w:val="both"/>
            </w:pPr>
            <w:r>
              <w:rPr>
                <w:rFonts w:ascii="Times New Roman"/>
                <w:b w:val="false"/>
                <w:i w:val="false"/>
                <w:color w:val="000000"/>
                <w:sz w:val="20"/>
              </w:rPr>
              <w:t xml:space="preserve">
адрес места осуществления деятельности </w:t>
            </w:r>
          </w:p>
          <w:bookmarkEnd w:id="2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2076"/>
          <w:p>
            <w:pPr>
              <w:spacing w:after="20"/>
              <w:ind w:left="20"/>
              <w:jc w:val="both"/>
            </w:pPr>
            <w:r>
              <w:rPr>
                <w:rFonts w:ascii="Times New Roman"/>
                <w:b w:val="false"/>
                <w:i w:val="false"/>
                <w:color w:val="000000"/>
                <w:sz w:val="20"/>
              </w:rPr>
              <w:t xml:space="preserve">
государство </w:t>
            </w:r>
          </w:p>
          <w:bookmarkEnd w:id="2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2077"/>
          <w:p>
            <w:pPr>
              <w:spacing w:after="20"/>
              <w:ind w:left="20"/>
              <w:jc w:val="both"/>
            </w:pPr>
            <w:r>
              <w:rPr>
                <w:rFonts w:ascii="Times New Roman"/>
                <w:b w:val="false"/>
                <w:i w:val="false"/>
                <w:color w:val="000000"/>
                <w:sz w:val="20"/>
              </w:rPr>
              <w:t xml:space="preserve">
номера телефона и факса (при наличии) </w:t>
            </w:r>
          </w:p>
          <w:bookmarkEnd w:id="2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2078"/>
          <w:p>
            <w:pPr>
              <w:spacing w:after="20"/>
              <w:ind w:left="20"/>
              <w:jc w:val="both"/>
            </w:pPr>
            <w:r>
              <w:rPr>
                <w:rFonts w:ascii="Times New Roman"/>
                <w:b w:val="false"/>
                <w:i w:val="false"/>
                <w:color w:val="000000"/>
                <w:sz w:val="20"/>
              </w:rPr>
              <w:t xml:space="preserve">
адрес электронной почты </w:t>
            </w:r>
          </w:p>
          <w:bookmarkEnd w:id="2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7" w:id="2079"/>
    <w:p>
      <w:pPr>
        <w:spacing w:after="0"/>
        <w:ind w:left="0"/>
        <w:jc w:val="both"/>
      </w:pPr>
      <w:r>
        <w:rPr>
          <w:rFonts w:ascii="Times New Roman"/>
          <w:b w:val="false"/>
          <w:i w:val="false"/>
          <w:color w:val="000000"/>
          <w:sz w:val="28"/>
        </w:rPr>
        <w:t>
      3.5.3. Организация, ответственная за работу с рекламациями в рамках Евразийского экономического союза (для каждого государства-члена - при наличии)</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2080"/>
          <w:p>
            <w:pPr>
              <w:spacing w:after="20"/>
              <w:ind w:left="20"/>
              <w:jc w:val="both"/>
            </w:pPr>
            <w:r>
              <w:rPr>
                <w:rFonts w:ascii="Times New Roman"/>
                <w:b w:val="false"/>
                <w:i w:val="false"/>
                <w:color w:val="000000"/>
                <w:sz w:val="20"/>
              </w:rPr>
              <w:t xml:space="preserve">
наименование юридического лица </w:t>
            </w:r>
          </w:p>
          <w:bookmarkEnd w:id="2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2081"/>
          <w:p>
            <w:pPr>
              <w:spacing w:after="20"/>
              <w:ind w:left="20"/>
              <w:jc w:val="both"/>
            </w:pPr>
            <w:r>
              <w:rPr>
                <w:rFonts w:ascii="Times New Roman"/>
                <w:b w:val="false"/>
                <w:i w:val="false"/>
                <w:color w:val="000000"/>
                <w:sz w:val="20"/>
              </w:rPr>
              <w:t xml:space="preserve">
местонахождение юридического лица </w:t>
            </w:r>
          </w:p>
          <w:bookmarkEnd w:id="2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2082"/>
          <w:p>
            <w:pPr>
              <w:spacing w:after="20"/>
              <w:ind w:left="20"/>
              <w:jc w:val="both"/>
            </w:pPr>
            <w:r>
              <w:rPr>
                <w:rFonts w:ascii="Times New Roman"/>
                <w:b w:val="false"/>
                <w:i w:val="false"/>
                <w:color w:val="000000"/>
                <w:sz w:val="20"/>
              </w:rPr>
              <w:t xml:space="preserve">
государство </w:t>
            </w:r>
          </w:p>
          <w:bookmarkEnd w:id="2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2083"/>
          <w:p>
            <w:pPr>
              <w:spacing w:after="20"/>
              <w:ind w:left="20"/>
              <w:jc w:val="both"/>
            </w:pPr>
            <w:r>
              <w:rPr>
                <w:rFonts w:ascii="Times New Roman"/>
                <w:b w:val="false"/>
                <w:i w:val="false"/>
                <w:color w:val="000000"/>
                <w:sz w:val="20"/>
              </w:rPr>
              <w:t xml:space="preserve">
номера круглосуточных телефона и факса </w:t>
            </w:r>
          </w:p>
          <w:bookmarkEnd w:id="2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2084"/>
          <w:p>
            <w:pPr>
              <w:spacing w:after="20"/>
              <w:ind w:left="20"/>
              <w:jc w:val="both"/>
            </w:pPr>
            <w:r>
              <w:rPr>
                <w:rFonts w:ascii="Times New Roman"/>
                <w:b w:val="false"/>
                <w:i w:val="false"/>
                <w:color w:val="000000"/>
                <w:sz w:val="20"/>
              </w:rPr>
              <w:t xml:space="preserve">
адрес электронной почты </w:t>
            </w:r>
          </w:p>
          <w:bookmarkEnd w:id="2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3" w:id="2085"/>
    <w:p>
      <w:pPr>
        <w:spacing w:after="0"/>
        <w:ind w:left="0"/>
        <w:jc w:val="both"/>
      </w:pPr>
      <w:r>
        <w:rPr>
          <w:rFonts w:ascii="Times New Roman"/>
          <w:b w:val="false"/>
          <w:i w:val="false"/>
          <w:color w:val="000000"/>
          <w:sz w:val="28"/>
        </w:rPr>
        <w:t>
      3.5.4. Производитель лекарственного препарата и производственные площадки:</w:t>
      </w:r>
    </w:p>
    <w:bookmarkEnd w:id="2085"/>
    <w:bookmarkStart w:name="z1994" w:id="2086"/>
    <w:p>
      <w:pPr>
        <w:spacing w:after="0"/>
        <w:ind w:left="0"/>
        <w:jc w:val="both"/>
      </w:pPr>
      <w:r>
        <w:rPr>
          <w:rFonts w:ascii="Times New Roman"/>
          <w:b w:val="false"/>
          <w:i w:val="false"/>
          <w:color w:val="000000"/>
          <w:sz w:val="28"/>
        </w:rPr>
        <w:t>
      Все производственные площадки, участвующие в процессе производства лекарственного препарата (включая растворители) с указанием стадии производственного процесса</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2087"/>
          <w:p>
            <w:pPr>
              <w:spacing w:after="20"/>
              <w:ind w:left="20"/>
              <w:jc w:val="both"/>
            </w:pPr>
            <w:r>
              <w:rPr>
                <w:rFonts w:ascii="Times New Roman"/>
                <w:b w:val="false"/>
                <w:i w:val="false"/>
                <w:color w:val="000000"/>
                <w:sz w:val="20"/>
              </w:rPr>
              <w:t>
наименование стадии производственного процесса *, наименование юридического лица *</w:t>
            </w:r>
          </w:p>
          <w:bookmarkEnd w:id="2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2088"/>
          <w:p>
            <w:pPr>
              <w:spacing w:after="20"/>
              <w:ind w:left="20"/>
              <w:jc w:val="both"/>
            </w:pPr>
            <w:r>
              <w:rPr>
                <w:rFonts w:ascii="Times New Roman"/>
                <w:b w:val="false"/>
                <w:i w:val="false"/>
                <w:color w:val="000000"/>
                <w:sz w:val="20"/>
              </w:rPr>
              <w:t xml:space="preserve">
адрес места осуществления деятельности * </w:t>
            </w:r>
          </w:p>
          <w:bookmarkEnd w:id="2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2089"/>
          <w:p>
            <w:pPr>
              <w:spacing w:after="20"/>
              <w:ind w:left="20"/>
              <w:jc w:val="both"/>
            </w:pPr>
            <w:r>
              <w:rPr>
                <w:rFonts w:ascii="Times New Roman"/>
                <w:b w:val="false"/>
                <w:i w:val="false"/>
                <w:color w:val="000000"/>
                <w:sz w:val="20"/>
              </w:rPr>
              <w:t xml:space="preserve">
государство * </w:t>
            </w:r>
          </w:p>
          <w:bookmarkEnd w:id="2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2090"/>
          <w:p>
            <w:pPr>
              <w:spacing w:after="20"/>
              <w:ind w:left="20"/>
              <w:jc w:val="both"/>
            </w:pPr>
            <w:r>
              <w:rPr>
                <w:rFonts w:ascii="Times New Roman"/>
                <w:b w:val="false"/>
                <w:i w:val="false"/>
                <w:color w:val="000000"/>
                <w:sz w:val="20"/>
              </w:rPr>
              <w:t xml:space="preserve">
номера телефона и факса (при наличии) * </w:t>
            </w:r>
          </w:p>
          <w:bookmarkEnd w:id="2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2091"/>
          <w:p>
            <w:pPr>
              <w:spacing w:after="20"/>
              <w:ind w:left="20"/>
              <w:jc w:val="both"/>
            </w:pPr>
            <w:r>
              <w:rPr>
                <w:rFonts w:ascii="Times New Roman"/>
                <w:b w:val="false"/>
                <w:i w:val="false"/>
                <w:color w:val="000000"/>
                <w:sz w:val="20"/>
              </w:rPr>
              <w:t xml:space="preserve">
адрес электронной почты * </w:t>
            </w:r>
          </w:p>
          <w:bookmarkEnd w:id="2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0" w:id="2092"/>
    <w:p>
      <w:pPr>
        <w:spacing w:after="0"/>
        <w:ind w:left="0"/>
        <w:jc w:val="both"/>
      </w:pPr>
      <w:r>
        <w:rPr>
          <w:rFonts w:ascii="Times New Roman"/>
          <w:b w:val="false"/>
          <w:i w:val="false"/>
          <w:color w:val="000000"/>
          <w:sz w:val="28"/>
        </w:rPr>
        <w:t>
      ────────────────────────────────</w:t>
      </w:r>
    </w:p>
    <w:bookmarkEnd w:id="2092"/>
    <w:bookmarkStart w:name="z2001" w:id="2093"/>
    <w:p>
      <w:pPr>
        <w:spacing w:after="0"/>
        <w:ind w:left="0"/>
        <w:jc w:val="both"/>
      </w:pPr>
      <w:r>
        <w:rPr>
          <w:rFonts w:ascii="Times New Roman"/>
          <w:b w:val="false"/>
          <w:i w:val="false"/>
          <w:color w:val="000000"/>
          <w:sz w:val="28"/>
        </w:rPr>
        <w:t>
      * Указанные поля заполняются для каждой стадии производственного процесса (приложите схему, включающую последовательность и действия для различных производственных площадок, вовлеченных в процесс производства, включая выпускающий контроль).</w:t>
      </w:r>
    </w:p>
    <w:bookmarkEnd w:id="2093"/>
    <w:bookmarkStart w:name="z2002" w:id="2094"/>
    <w:p>
      <w:pPr>
        <w:spacing w:after="0"/>
        <w:ind w:left="0"/>
        <w:jc w:val="both"/>
      </w:pPr>
      <w:r>
        <w:rPr>
          <w:rFonts w:ascii="Times New Roman"/>
          <w:b w:val="false"/>
          <w:i w:val="false"/>
          <w:color w:val="000000"/>
          <w:sz w:val="28"/>
        </w:rPr>
        <w:t>
      Проводилась ли инспекция площадки на соблюдение Правил надлежащей производственной практики Евразийского экономического союза, утверждаемых Евразийской экономической комиссией, уполномоченным органом (организацией) государства - члена Евразийского экономического союза:</w:t>
      </w:r>
    </w:p>
    <w:bookmarkEnd w:id="20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3" w:id="2095"/>
          <w:p>
            <w:pPr>
              <w:spacing w:after="20"/>
              <w:ind w:left="20"/>
              <w:jc w:val="both"/>
            </w:pPr>
          </w:p>
          <w:bookmarkEnd w:id="2095"/>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2096"/>
          <w:p>
            <w:pPr>
              <w:spacing w:after="20"/>
              <w:ind w:left="20"/>
              <w:jc w:val="both"/>
            </w:pPr>
            <w:r>
              <w:rPr>
                <w:rFonts w:ascii="Times New Roman"/>
                <w:b w:val="false"/>
                <w:i w:val="false"/>
                <w:color w:val="000000"/>
                <w:sz w:val="20"/>
              </w:rPr>
              <w:t xml:space="preserve">
Если да, укажите: </w:t>
            </w:r>
          </w:p>
          <w:bookmarkEnd w:id="20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2097"/>
          <w:p>
            <w:pPr>
              <w:spacing w:after="20"/>
              <w:ind w:left="20"/>
              <w:jc w:val="both"/>
            </w:pPr>
            <w:r>
              <w:rPr>
                <w:rFonts w:ascii="Times New Roman"/>
                <w:b w:val="false"/>
                <w:i w:val="false"/>
                <w:color w:val="000000"/>
                <w:sz w:val="20"/>
              </w:rPr>
              <w:t xml:space="preserve">
дата последней инспекции </w:t>
            </w:r>
          </w:p>
          <w:bookmarkEnd w:id="20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2098"/>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20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2099"/>
          <w:p>
            <w:pPr>
              <w:spacing w:after="20"/>
              <w:ind w:left="20"/>
              <w:jc w:val="both"/>
            </w:pPr>
            <w:r>
              <w:rPr>
                <w:rFonts w:ascii="Times New Roman"/>
                <w:b w:val="false"/>
                <w:i w:val="false"/>
                <w:color w:val="000000"/>
                <w:sz w:val="20"/>
              </w:rPr>
              <w:t xml:space="preserve">
вид инспекции </w:t>
            </w:r>
          </w:p>
          <w:bookmarkEnd w:id="20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2100"/>
          <w:p>
            <w:pPr>
              <w:spacing w:after="20"/>
              <w:ind w:left="20"/>
              <w:jc w:val="both"/>
            </w:pPr>
            <w:r>
              <w:rPr>
                <w:rFonts w:ascii="Times New Roman"/>
                <w:b w:val="false"/>
                <w:i w:val="false"/>
                <w:color w:val="000000"/>
                <w:sz w:val="20"/>
              </w:rPr>
              <w:t xml:space="preserve">
категория проверяемых лекарственных препаратов и АФС </w:t>
            </w:r>
          </w:p>
          <w:bookmarkEnd w:id="2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2101"/>
          <w:p>
            <w:pPr>
              <w:spacing w:after="20"/>
              <w:ind w:left="20"/>
              <w:jc w:val="both"/>
            </w:pPr>
            <w:r>
              <w:rPr>
                <w:rFonts w:ascii="Times New Roman"/>
                <w:b w:val="false"/>
                <w:i w:val="false"/>
                <w:color w:val="000000"/>
                <w:sz w:val="20"/>
              </w:rPr>
              <w:t xml:space="preserve">
заключение </w:t>
            </w:r>
          </w:p>
          <w:bookmarkEnd w:id="2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r>
    </w:tbl>
    <w:bookmarkStart w:name="z2010" w:id="2102"/>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уполномоченным органом (организацией) другого государства:</w:t>
      </w:r>
    </w:p>
    <w:bookmarkEnd w:id="2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11" w:id="2103"/>
          <w:p>
            <w:pPr>
              <w:spacing w:after="20"/>
              <w:ind w:left="20"/>
              <w:jc w:val="both"/>
            </w:pPr>
          </w:p>
          <w:bookmarkEnd w:id="2103"/>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012" w:id="2104"/>
    <w:p>
      <w:pPr>
        <w:spacing w:after="0"/>
        <w:ind w:left="0"/>
        <w:jc w:val="both"/>
      </w:pPr>
      <w:r>
        <w:rPr>
          <w:rFonts w:ascii="Times New Roman"/>
          <w:b w:val="false"/>
          <w:i w:val="false"/>
          <w:color w:val="000000"/>
          <w:sz w:val="28"/>
        </w:rPr>
        <w:t>
      Если да, укажите:</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105"/>
          <w:p>
            <w:pPr>
              <w:spacing w:after="20"/>
              <w:ind w:left="20"/>
              <w:jc w:val="both"/>
            </w:pPr>
            <w:r>
              <w:rPr>
                <w:rFonts w:ascii="Times New Roman"/>
                <w:b w:val="false"/>
                <w:i w:val="false"/>
                <w:color w:val="000000"/>
                <w:sz w:val="20"/>
              </w:rPr>
              <w:t xml:space="preserve">
дата последней инспекции </w:t>
            </w:r>
          </w:p>
          <w:bookmarkEnd w:id="2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2106"/>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2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2107"/>
          <w:p>
            <w:pPr>
              <w:spacing w:after="20"/>
              <w:ind w:left="20"/>
              <w:jc w:val="both"/>
            </w:pPr>
            <w:r>
              <w:rPr>
                <w:rFonts w:ascii="Times New Roman"/>
                <w:b w:val="false"/>
                <w:i w:val="false"/>
                <w:color w:val="000000"/>
                <w:sz w:val="20"/>
              </w:rPr>
              <w:t xml:space="preserve">
вид инспекции </w:t>
            </w:r>
          </w:p>
          <w:bookmarkEnd w:id="2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108"/>
          <w:p>
            <w:pPr>
              <w:spacing w:after="20"/>
              <w:ind w:left="20"/>
              <w:jc w:val="both"/>
            </w:pPr>
            <w:r>
              <w:rPr>
                <w:rFonts w:ascii="Times New Roman"/>
                <w:b w:val="false"/>
                <w:i w:val="false"/>
                <w:color w:val="000000"/>
                <w:sz w:val="20"/>
              </w:rPr>
              <w:t xml:space="preserve">
категория проверяемых лекарственных препаратов и АФС </w:t>
            </w:r>
          </w:p>
          <w:bookmarkEnd w:id="2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2109"/>
          <w:p>
            <w:pPr>
              <w:spacing w:after="20"/>
              <w:ind w:left="20"/>
              <w:jc w:val="both"/>
            </w:pPr>
            <w:r>
              <w:rPr>
                <w:rFonts w:ascii="Times New Roman"/>
                <w:b w:val="false"/>
                <w:i w:val="false"/>
                <w:color w:val="000000"/>
                <w:sz w:val="20"/>
              </w:rPr>
              <w:t xml:space="preserve">
заключение </w:t>
            </w:r>
          </w:p>
          <w:bookmarkEnd w:id="2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r>
    </w:tbl>
    <w:bookmarkStart w:name="z2018" w:id="2110"/>
    <w:p>
      <w:pPr>
        <w:spacing w:after="0"/>
        <w:ind w:left="0"/>
        <w:jc w:val="both"/>
      </w:pPr>
      <w:r>
        <w:rPr>
          <w:rFonts w:ascii="Times New Roman"/>
          <w:b w:val="false"/>
          <w:i w:val="false"/>
          <w:color w:val="000000"/>
          <w:sz w:val="28"/>
        </w:rPr>
        <w:t>
      3.5.5. Производитель АФС и производственные площадки</w:t>
      </w:r>
    </w:p>
    <w:bookmarkEnd w:id="2110"/>
    <w:bookmarkStart w:name="z2019" w:id="2111"/>
    <w:p>
      <w:pPr>
        <w:spacing w:after="0"/>
        <w:ind w:left="0"/>
        <w:jc w:val="both"/>
      </w:pPr>
      <w:r>
        <w:rPr>
          <w:rFonts w:ascii="Times New Roman"/>
          <w:b w:val="false"/>
          <w:i w:val="false"/>
          <w:color w:val="000000"/>
          <w:sz w:val="28"/>
        </w:rPr>
        <w:t>
      Все производственные площадки, участвующие в процессе производства каждой АФС с указанием этапа производства. Для биологических лекарственных препаратов должны быть перечислены все площадки, осуществляющие хранение главного и рабочего банков клеток, и площадки, осуществляющие приготовление рабочего банка клеток.</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112"/>
          <w:p>
            <w:pPr>
              <w:spacing w:after="20"/>
              <w:ind w:left="20"/>
              <w:jc w:val="both"/>
            </w:pPr>
            <w:r>
              <w:rPr>
                <w:rFonts w:ascii="Times New Roman"/>
                <w:b w:val="false"/>
                <w:i w:val="false"/>
                <w:color w:val="000000"/>
                <w:sz w:val="20"/>
              </w:rPr>
              <w:t xml:space="preserve">
наименование стадии производственного процесса, активная фармацевтическая субстанция </w:t>
            </w:r>
          </w:p>
          <w:bookmarkEnd w:id="2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113"/>
          <w:p>
            <w:pPr>
              <w:spacing w:after="20"/>
              <w:ind w:left="20"/>
              <w:jc w:val="both"/>
            </w:pPr>
            <w:r>
              <w:rPr>
                <w:rFonts w:ascii="Times New Roman"/>
                <w:b w:val="false"/>
                <w:i w:val="false"/>
                <w:color w:val="000000"/>
                <w:sz w:val="20"/>
              </w:rPr>
              <w:t xml:space="preserve">
наименование юридического лица, фамилия, имя, отчество физического лица - индивидуального предпринимателя </w:t>
            </w:r>
          </w:p>
          <w:bookmarkEnd w:id="2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114"/>
          <w:p>
            <w:pPr>
              <w:spacing w:after="20"/>
              <w:ind w:left="20"/>
              <w:jc w:val="both"/>
            </w:pPr>
            <w:r>
              <w:rPr>
                <w:rFonts w:ascii="Times New Roman"/>
                <w:b w:val="false"/>
                <w:i w:val="false"/>
                <w:color w:val="000000"/>
                <w:sz w:val="20"/>
              </w:rPr>
              <w:t xml:space="preserve">
адрес места осуществления деятельности </w:t>
            </w:r>
          </w:p>
          <w:bookmarkEnd w:id="2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115"/>
          <w:p>
            <w:pPr>
              <w:spacing w:after="20"/>
              <w:ind w:left="20"/>
              <w:jc w:val="both"/>
            </w:pPr>
            <w:r>
              <w:rPr>
                <w:rFonts w:ascii="Times New Roman"/>
                <w:b w:val="false"/>
                <w:i w:val="false"/>
                <w:color w:val="000000"/>
                <w:sz w:val="20"/>
              </w:rPr>
              <w:t xml:space="preserve">
государство </w:t>
            </w:r>
          </w:p>
          <w:bookmarkEnd w:id="2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116"/>
          <w:p>
            <w:pPr>
              <w:spacing w:after="20"/>
              <w:ind w:left="20"/>
              <w:jc w:val="both"/>
            </w:pPr>
            <w:r>
              <w:rPr>
                <w:rFonts w:ascii="Times New Roman"/>
                <w:b w:val="false"/>
                <w:i w:val="false"/>
                <w:color w:val="000000"/>
                <w:sz w:val="20"/>
              </w:rPr>
              <w:t xml:space="preserve">
номера телефона и факса (при наличии) </w:t>
            </w:r>
          </w:p>
          <w:bookmarkEnd w:id="2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2117"/>
          <w:p>
            <w:pPr>
              <w:spacing w:after="20"/>
              <w:ind w:left="20"/>
              <w:jc w:val="both"/>
            </w:pPr>
            <w:r>
              <w:rPr>
                <w:rFonts w:ascii="Times New Roman"/>
                <w:b w:val="false"/>
                <w:i w:val="false"/>
                <w:color w:val="000000"/>
                <w:sz w:val="20"/>
              </w:rPr>
              <w:t xml:space="preserve">
адрес электронной почты </w:t>
            </w:r>
          </w:p>
          <w:bookmarkEnd w:id="2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6" w:id="2118"/>
    <w:p>
      <w:pPr>
        <w:spacing w:after="0"/>
        <w:ind w:left="0"/>
        <w:jc w:val="both"/>
      </w:pPr>
      <w:r>
        <w:rPr>
          <w:rFonts w:ascii="Times New Roman"/>
          <w:b w:val="false"/>
          <w:i w:val="false"/>
          <w:color w:val="000000"/>
          <w:sz w:val="28"/>
        </w:rPr>
        <w:t xml:space="preserve">
      Для каждой АФС приложите заявление уполномоченного лица производителя согласно подпункту 5.5 приложения к настоящему заявлению (приложите схему, включающую последовательность и действия для различных производственных площадок, вовлеченных в процесс производства, включая выпускающий контроль). </w:t>
      </w:r>
    </w:p>
    <w:bookmarkEnd w:id="2118"/>
    <w:bookmarkStart w:name="z2027" w:id="2119"/>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Евразийского экономического союза уполномоченным органом государства - члена Евразийского экономического союза:</w:t>
      </w:r>
    </w:p>
    <w:bookmarkEnd w:id="2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28" w:id="2120"/>
          <w:p>
            <w:pPr>
              <w:spacing w:after="20"/>
              <w:ind w:left="20"/>
              <w:jc w:val="both"/>
            </w:pPr>
          </w:p>
          <w:bookmarkEnd w:id="212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029" w:id="2121"/>
    <w:p>
      <w:pPr>
        <w:spacing w:after="0"/>
        <w:ind w:left="0"/>
        <w:jc w:val="both"/>
      </w:pPr>
      <w:r>
        <w:rPr>
          <w:rFonts w:ascii="Times New Roman"/>
          <w:b w:val="false"/>
          <w:i w:val="false"/>
          <w:color w:val="000000"/>
          <w:sz w:val="28"/>
        </w:rPr>
        <w:t>
      Выдан ли сертификат соответствия монографии Европейской фармакопеи для АФС:</w:t>
      </w:r>
    </w:p>
    <w:bookmarkEnd w:id="21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30" w:id="2122"/>
          <w:p>
            <w:pPr>
              <w:spacing w:after="20"/>
              <w:ind w:left="20"/>
              <w:jc w:val="both"/>
            </w:pPr>
          </w:p>
          <w:bookmarkEnd w:id="2122"/>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031" w:id="2123"/>
    <w:p>
      <w:pPr>
        <w:spacing w:after="0"/>
        <w:ind w:left="0"/>
        <w:jc w:val="both"/>
      </w:pPr>
      <w:r>
        <w:rPr>
          <w:rFonts w:ascii="Times New Roman"/>
          <w:b w:val="false"/>
          <w:i w:val="false"/>
          <w:color w:val="000000"/>
          <w:sz w:val="28"/>
        </w:rPr>
        <w:t>
      Если да:</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2124"/>
          <w:p>
            <w:pPr>
              <w:spacing w:after="20"/>
              <w:ind w:left="20"/>
              <w:jc w:val="both"/>
            </w:pPr>
            <w:r>
              <w:rPr>
                <w:rFonts w:ascii="Times New Roman"/>
                <w:b w:val="false"/>
                <w:i w:val="false"/>
                <w:color w:val="000000"/>
                <w:sz w:val="20"/>
              </w:rPr>
              <w:t xml:space="preserve">
наименование активной фармацевтической субстанции </w:t>
            </w:r>
          </w:p>
          <w:bookmarkEnd w:id="2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125"/>
          <w:p>
            <w:pPr>
              <w:spacing w:after="20"/>
              <w:ind w:left="20"/>
              <w:jc w:val="both"/>
            </w:pPr>
            <w:r>
              <w:rPr>
                <w:rFonts w:ascii="Times New Roman"/>
                <w:b w:val="false"/>
                <w:i w:val="false"/>
                <w:color w:val="000000"/>
                <w:sz w:val="20"/>
              </w:rPr>
              <w:t xml:space="preserve">
наименование юридического лица или фамилия, имя, отчество физического лица - предпринимателя (производителя) </w:t>
            </w:r>
          </w:p>
          <w:bookmarkEnd w:id="2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126"/>
          <w:p>
            <w:pPr>
              <w:spacing w:after="20"/>
              <w:ind w:left="20"/>
              <w:jc w:val="both"/>
            </w:pPr>
            <w:r>
              <w:rPr>
                <w:rFonts w:ascii="Times New Roman"/>
                <w:b w:val="false"/>
                <w:i w:val="false"/>
                <w:color w:val="000000"/>
                <w:sz w:val="20"/>
              </w:rPr>
              <w:t xml:space="preserve">
номер документа о соответствии </w:t>
            </w:r>
          </w:p>
          <w:bookmarkEnd w:id="2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127"/>
          <w:p>
            <w:pPr>
              <w:spacing w:after="20"/>
              <w:ind w:left="20"/>
              <w:jc w:val="both"/>
            </w:pPr>
            <w:r>
              <w:rPr>
                <w:rFonts w:ascii="Times New Roman"/>
                <w:b w:val="false"/>
                <w:i w:val="false"/>
                <w:color w:val="000000"/>
                <w:sz w:val="20"/>
              </w:rPr>
              <w:t xml:space="preserve">
дата последнего пересмотра </w:t>
            </w:r>
          </w:p>
          <w:bookmarkEnd w:id="2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6" w:id="2128"/>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уполномоченным органом (организацией) другого государства:</w:t>
      </w:r>
    </w:p>
    <w:bookmarkEnd w:id="21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37" w:id="2129"/>
          <w:p>
            <w:pPr>
              <w:spacing w:after="20"/>
              <w:ind w:left="20"/>
              <w:jc w:val="both"/>
            </w:pPr>
          </w:p>
          <w:bookmarkEnd w:id="2129"/>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038" w:id="2130"/>
    <w:p>
      <w:pPr>
        <w:spacing w:after="0"/>
        <w:ind w:left="0"/>
        <w:jc w:val="both"/>
      </w:pPr>
      <w:r>
        <w:rPr>
          <w:rFonts w:ascii="Times New Roman"/>
          <w:b w:val="false"/>
          <w:i w:val="false"/>
          <w:color w:val="000000"/>
          <w:sz w:val="28"/>
        </w:rPr>
        <w:t>
      Если да, укажите:</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131"/>
          <w:p>
            <w:pPr>
              <w:spacing w:after="20"/>
              <w:ind w:left="20"/>
              <w:jc w:val="both"/>
            </w:pPr>
            <w:r>
              <w:rPr>
                <w:rFonts w:ascii="Times New Roman"/>
                <w:b w:val="false"/>
                <w:i w:val="false"/>
                <w:color w:val="000000"/>
                <w:sz w:val="20"/>
              </w:rPr>
              <w:t xml:space="preserve">
дата последней инспекции </w:t>
            </w:r>
          </w:p>
          <w:bookmarkEnd w:id="2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132"/>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2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133"/>
          <w:p>
            <w:pPr>
              <w:spacing w:after="20"/>
              <w:ind w:left="20"/>
              <w:jc w:val="both"/>
            </w:pPr>
            <w:r>
              <w:rPr>
                <w:rFonts w:ascii="Times New Roman"/>
                <w:b w:val="false"/>
                <w:i w:val="false"/>
                <w:color w:val="000000"/>
                <w:sz w:val="20"/>
              </w:rPr>
              <w:t xml:space="preserve">
вид инспекции </w:t>
            </w:r>
          </w:p>
          <w:bookmarkEnd w:id="2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134"/>
          <w:p>
            <w:pPr>
              <w:spacing w:after="20"/>
              <w:ind w:left="20"/>
              <w:jc w:val="both"/>
            </w:pPr>
            <w:r>
              <w:rPr>
                <w:rFonts w:ascii="Times New Roman"/>
                <w:b w:val="false"/>
                <w:i w:val="false"/>
                <w:color w:val="000000"/>
                <w:sz w:val="20"/>
              </w:rPr>
              <w:t xml:space="preserve">
номер документа о соответствии </w:t>
            </w:r>
          </w:p>
          <w:bookmarkEnd w:id="2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135"/>
          <w:p>
            <w:pPr>
              <w:spacing w:after="20"/>
              <w:ind w:left="20"/>
              <w:jc w:val="both"/>
            </w:pPr>
            <w:r>
              <w:rPr>
                <w:rFonts w:ascii="Times New Roman"/>
                <w:b w:val="false"/>
                <w:i w:val="false"/>
                <w:color w:val="000000"/>
                <w:sz w:val="20"/>
              </w:rPr>
              <w:t xml:space="preserve">
заключение </w:t>
            </w:r>
          </w:p>
          <w:bookmarkEnd w:id="2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r>
    </w:tbl>
    <w:bookmarkStart w:name="z2044" w:id="2136"/>
    <w:p>
      <w:pPr>
        <w:spacing w:after="0"/>
        <w:ind w:left="0"/>
        <w:jc w:val="both"/>
      </w:pPr>
      <w:r>
        <w:rPr>
          <w:rFonts w:ascii="Times New Roman"/>
          <w:b w:val="false"/>
          <w:i w:val="false"/>
          <w:color w:val="000000"/>
          <w:sz w:val="28"/>
        </w:rPr>
        <w:t>
      Будет ли использован мастер-файл производителя АФС в составе регистрационного досье:</w:t>
      </w:r>
    </w:p>
    <w:bookmarkEnd w:id="21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45" w:id="2137"/>
          <w:p>
            <w:pPr>
              <w:spacing w:after="20"/>
              <w:ind w:left="20"/>
              <w:jc w:val="both"/>
            </w:pPr>
          </w:p>
          <w:bookmarkEnd w:id="2137"/>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046" w:id="2138"/>
    <w:p>
      <w:pPr>
        <w:spacing w:after="0"/>
        <w:ind w:left="0"/>
        <w:jc w:val="both"/>
      </w:pPr>
      <w:r>
        <w:rPr>
          <w:rFonts w:ascii="Times New Roman"/>
          <w:b w:val="false"/>
          <w:i w:val="false"/>
          <w:color w:val="000000"/>
          <w:sz w:val="28"/>
        </w:rPr>
        <w:t>
      Если да:</w:t>
      </w:r>
    </w:p>
    <w:bookmarkEnd w:id="2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139"/>
          <w:p>
            <w:pPr>
              <w:spacing w:after="20"/>
              <w:ind w:left="20"/>
              <w:jc w:val="both"/>
            </w:pPr>
            <w:r>
              <w:rPr>
                <w:rFonts w:ascii="Times New Roman"/>
                <w:b w:val="false"/>
                <w:i w:val="false"/>
                <w:color w:val="000000"/>
                <w:sz w:val="20"/>
              </w:rPr>
              <w:t xml:space="preserve">
наименование активной фармацевтической субстанции </w:t>
            </w:r>
          </w:p>
          <w:bookmarkEnd w:id="2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140"/>
          <w:p>
            <w:pPr>
              <w:spacing w:after="20"/>
              <w:ind w:left="20"/>
              <w:jc w:val="both"/>
            </w:pPr>
            <w:r>
              <w:rPr>
                <w:rFonts w:ascii="Times New Roman"/>
                <w:b w:val="false"/>
                <w:i w:val="false"/>
                <w:color w:val="000000"/>
                <w:sz w:val="20"/>
              </w:rPr>
              <w:t xml:space="preserve">
наименование держателя мастер файла производителя АФС </w:t>
            </w:r>
          </w:p>
          <w:bookmarkEnd w:id="2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141"/>
          <w:p>
            <w:pPr>
              <w:spacing w:after="20"/>
              <w:ind w:left="20"/>
              <w:jc w:val="both"/>
            </w:pPr>
            <w:r>
              <w:rPr>
                <w:rFonts w:ascii="Times New Roman"/>
                <w:b w:val="false"/>
                <w:i w:val="false"/>
                <w:color w:val="000000"/>
                <w:sz w:val="20"/>
              </w:rPr>
              <w:t xml:space="preserve">
наименование производителя АФС, если отличается от держателя мастер файла производителя АФС </w:t>
            </w:r>
          </w:p>
          <w:bookmarkEnd w:id="2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142"/>
          <w:p>
            <w:pPr>
              <w:spacing w:after="20"/>
              <w:ind w:left="20"/>
              <w:jc w:val="both"/>
            </w:pPr>
            <w:r>
              <w:rPr>
                <w:rFonts w:ascii="Times New Roman"/>
                <w:b w:val="false"/>
                <w:i w:val="false"/>
                <w:color w:val="000000"/>
                <w:sz w:val="20"/>
              </w:rPr>
              <w:t xml:space="preserve">
дата последнего пересмотра </w:t>
            </w:r>
          </w:p>
          <w:bookmarkEnd w:id="2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1" w:id="2143"/>
    <w:p>
      <w:pPr>
        <w:spacing w:after="0"/>
        <w:ind w:left="0"/>
        <w:jc w:val="both"/>
      </w:pPr>
      <w:r>
        <w:rPr>
          <w:rFonts w:ascii="Times New Roman"/>
          <w:b w:val="false"/>
          <w:i w:val="false"/>
          <w:color w:val="000000"/>
          <w:sz w:val="28"/>
        </w:rPr>
        <w:t>
      Выдан ли сертификат на мастер-файл на вакцинный антиген (далее - МФВА), который используется в регистрационном досье, или подано заявление на его получение:</w:t>
      </w:r>
    </w:p>
    <w:bookmarkEnd w:id="21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52" w:id="2144"/>
          <w:p>
            <w:pPr>
              <w:spacing w:after="20"/>
              <w:ind w:left="20"/>
              <w:jc w:val="both"/>
            </w:pPr>
          </w:p>
          <w:bookmarkEnd w:id="2144"/>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053" w:id="2145"/>
    <w:p>
      <w:pPr>
        <w:spacing w:after="0"/>
        <w:ind w:left="0"/>
        <w:jc w:val="both"/>
      </w:pPr>
      <w:r>
        <w:rPr>
          <w:rFonts w:ascii="Times New Roman"/>
          <w:b w:val="false"/>
          <w:i w:val="false"/>
          <w:color w:val="000000"/>
          <w:sz w:val="28"/>
        </w:rPr>
        <w:t>
      Если да:</w:t>
      </w:r>
    </w:p>
    <w:bookmarkEnd w:id="2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146"/>
          <w:p>
            <w:pPr>
              <w:spacing w:after="20"/>
              <w:ind w:left="20"/>
              <w:jc w:val="both"/>
            </w:pPr>
            <w:r>
              <w:rPr>
                <w:rFonts w:ascii="Times New Roman"/>
                <w:b w:val="false"/>
                <w:i w:val="false"/>
                <w:color w:val="000000"/>
                <w:sz w:val="20"/>
              </w:rPr>
              <w:t xml:space="preserve">
наименование вакцинного антигена </w:t>
            </w:r>
          </w:p>
          <w:bookmarkEnd w:id="2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147"/>
          <w:p>
            <w:pPr>
              <w:spacing w:after="20"/>
              <w:ind w:left="20"/>
              <w:jc w:val="both"/>
            </w:pPr>
            <w:r>
              <w:rPr>
                <w:rFonts w:ascii="Times New Roman"/>
                <w:b w:val="false"/>
                <w:i w:val="false"/>
                <w:color w:val="000000"/>
                <w:sz w:val="20"/>
              </w:rPr>
              <w:t xml:space="preserve">
наименование производителя вакцинного антигена (владельца сертификата на МФВА) </w:t>
            </w:r>
          </w:p>
          <w:bookmarkEnd w:id="2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148"/>
          <w:p>
            <w:pPr>
              <w:spacing w:after="20"/>
              <w:ind w:left="20"/>
              <w:jc w:val="both"/>
            </w:pPr>
            <w:r>
              <w:rPr>
                <w:rFonts w:ascii="Times New Roman"/>
                <w:b w:val="false"/>
                <w:i w:val="false"/>
                <w:color w:val="000000"/>
                <w:sz w:val="20"/>
              </w:rPr>
              <w:t xml:space="preserve">
номер заявления (сертификата) </w:t>
            </w:r>
          </w:p>
          <w:bookmarkEnd w:id="2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149"/>
          <w:p>
            <w:pPr>
              <w:spacing w:after="20"/>
              <w:ind w:left="20"/>
              <w:jc w:val="both"/>
            </w:pPr>
            <w:r>
              <w:rPr>
                <w:rFonts w:ascii="Times New Roman"/>
                <w:b w:val="false"/>
                <w:i w:val="false"/>
                <w:color w:val="000000"/>
                <w:sz w:val="20"/>
              </w:rPr>
              <w:t xml:space="preserve">
дата подачи (если на рассмотрении) </w:t>
            </w:r>
          </w:p>
          <w:bookmarkEnd w:id="2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150"/>
          <w:p>
            <w:pPr>
              <w:spacing w:after="20"/>
              <w:ind w:left="20"/>
              <w:jc w:val="both"/>
            </w:pPr>
            <w:r>
              <w:rPr>
                <w:rFonts w:ascii="Times New Roman"/>
                <w:b w:val="false"/>
                <w:i w:val="false"/>
                <w:color w:val="000000"/>
                <w:sz w:val="20"/>
              </w:rPr>
              <w:t xml:space="preserve">
дата утверждения или последнего пересмотра (если имеется) </w:t>
            </w:r>
          </w:p>
          <w:bookmarkEnd w:id="2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9" w:id="2151"/>
    <w:p>
      <w:pPr>
        <w:spacing w:after="0"/>
        <w:ind w:left="0"/>
        <w:jc w:val="both"/>
      </w:pPr>
      <w:r>
        <w:rPr>
          <w:rFonts w:ascii="Times New Roman"/>
          <w:b w:val="false"/>
          <w:i w:val="false"/>
          <w:color w:val="000000"/>
          <w:sz w:val="28"/>
        </w:rPr>
        <w:t>
      3.5.6. Контрактные исследовательские организации, привлекаемые к клиническому исследованию для определения биодоступности и (или) биоэквивалентности, или которые привлекались для валидации процессов производства препаратов крови</w:t>
      </w:r>
    </w:p>
    <w:bookmarkEnd w:id="2151"/>
    <w:bookmarkStart w:name="z2060" w:id="2152"/>
    <w:p>
      <w:pPr>
        <w:spacing w:after="0"/>
        <w:ind w:left="0"/>
        <w:jc w:val="both"/>
      </w:pPr>
      <w:r>
        <w:rPr>
          <w:rFonts w:ascii="Times New Roman"/>
          <w:b w:val="false"/>
          <w:i w:val="false"/>
          <w:color w:val="000000"/>
          <w:sz w:val="28"/>
        </w:rPr>
        <w:t>
      Для каждой контрактной исследовательской организации укажите, где проводилась аналитические испытания и осуществлялся сбор клинических данных, а также:</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153"/>
          <w:p>
            <w:pPr>
              <w:spacing w:after="20"/>
              <w:ind w:left="20"/>
              <w:jc w:val="both"/>
            </w:pPr>
            <w:r>
              <w:rPr>
                <w:rFonts w:ascii="Times New Roman"/>
                <w:b w:val="false"/>
                <w:i w:val="false"/>
                <w:color w:val="000000"/>
                <w:sz w:val="20"/>
              </w:rPr>
              <w:t xml:space="preserve">
название исследования </w:t>
            </w:r>
          </w:p>
          <w:bookmarkEnd w:id="2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154"/>
          <w:p>
            <w:pPr>
              <w:spacing w:after="20"/>
              <w:ind w:left="20"/>
              <w:jc w:val="both"/>
            </w:pPr>
            <w:r>
              <w:rPr>
                <w:rFonts w:ascii="Times New Roman"/>
                <w:b w:val="false"/>
                <w:i w:val="false"/>
                <w:color w:val="000000"/>
                <w:sz w:val="20"/>
              </w:rPr>
              <w:t xml:space="preserve">
код протокола </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155"/>
          <w:p>
            <w:pPr>
              <w:spacing w:after="20"/>
              <w:ind w:left="20"/>
              <w:jc w:val="both"/>
            </w:pPr>
            <w:r>
              <w:rPr>
                <w:rFonts w:ascii="Times New Roman"/>
                <w:b w:val="false"/>
                <w:i w:val="false"/>
                <w:color w:val="000000"/>
                <w:sz w:val="20"/>
              </w:rPr>
              <w:t xml:space="preserve">
номер EudraCT (при наличии) </w:t>
            </w:r>
          </w:p>
          <w:bookmarkEnd w:id="2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156"/>
          <w:p>
            <w:pPr>
              <w:spacing w:after="20"/>
              <w:ind w:left="20"/>
              <w:jc w:val="both"/>
            </w:pPr>
            <w:r>
              <w:rPr>
                <w:rFonts w:ascii="Times New Roman"/>
                <w:b w:val="false"/>
                <w:i w:val="false"/>
                <w:color w:val="000000"/>
                <w:sz w:val="20"/>
              </w:rPr>
              <w:t xml:space="preserve">
номер ClinicalTrials.gov (при наличии) </w:t>
            </w:r>
          </w:p>
          <w:bookmarkEnd w:id="2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157"/>
          <w:p>
            <w:pPr>
              <w:spacing w:after="20"/>
              <w:ind w:left="20"/>
              <w:jc w:val="both"/>
            </w:pPr>
            <w:r>
              <w:rPr>
                <w:rFonts w:ascii="Times New Roman"/>
                <w:b w:val="false"/>
                <w:i w:val="false"/>
                <w:color w:val="000000"/>
                <w:sz w:val="20"/>
              </w:rPr>
              <w:t xml:space="preserve">
наименование контрактной исследовательской организации </w:t>
            </w:r>
          </w:p>
          <w:bookmarkEnd w:id="2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158"/>
          <w:p>
            <w:pPr>
              <w:spacing w:after="20"/>
              <w:ind w:left="20"/>
              <w:jc w:val="both"/>
            </w:pPr>
            <w:r>
              <w:rPr>
                <w:rFonts w:ascii="Times New Roman"/>
                <w:b w:val="false"/>
                <w:i w:val="false"/>
                <w:color w:val="000000"/>
                <w:sz w:val="20"/>
              </w:rPr>
              <w:t xml:space="preserve">
адрес контрактной исследовательской организации </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159"/>
          <w:p>
            <w:pPr>
              <w:spacing w:after="20"/>
              <w:ind w:left="20"/>
              <w:jc w:val="both"/>
            </w:pPr>
            <w:r>
              <w:rPr>
                <w:rFonts w:ascii="Times New Roman"/>
                <w:b w:val="false"/>
                <w:i w:val="false"/>
                <w:color w:val="000000"/>
                <w:sz w:val="20"/>
              </w:rPr>
              <w:t xml:space="preserve">
номера телефона и факса (при наличии) </w:t>
            </w:r>
          </w:p>
          <w:bookmarkEnd w:id="2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160"/>
          <w:p>
            <w:pPr>
              <w:spacing w:after="20"/>
              <w:ind w:left="20"/>
              <w:jc w:val="both"/>
            </w:pPr>
            <w:r>
              <w:rPr>
                <w:rFonts w:ascii="Times New Roman"/>
                <w:b w:val="false"/>
                <w:i w:val="false"/>
                <w:color w:val="000000"/>
                <w:sz w:val="20"/>
              </w:rPr>
              <w:t xml:space="preserve">
адрес электронной почты </w:t>
            </w:r>
          </w:p>
          <w:bookmarkEnd w:id="2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9" w:id="2161"/>
    <w:p>
      <w:pPr>
        <w:spacing w:after="0"/>
        <w:ind w:left="0"/>
        <w:jc w:val="both"/>
      </w:pPr>
      <w:r>
        <w:rPr>
          <w:rFonts w:ascii="Times New Roman"/>
          <w:b w:val="false"/>
          <w:i w:val="false"/>
          <w:color w:val="000000"/>
          <w:sz w:val="28"/>
        </w:rPr>
        <w:t>
      3.6. Качественный и количественный состав лекарственного препарата.</w:t>
      </w:r>
    </w:p>
    <w:bookmarkEnd w:id="2161"/>
    <w:bookmarkStart w:name="z2070" w:id="2162"/>
    <w:p>
      <w:pPr>
        <w:spacing w:after="0"/>
        <w:ind w:left="0"/>
        <w:jc w:val="both"/>
      </w:pPr>
      <w:r>
        <w:rPr>
          <w:rFonts w:ascii="Times New Roman"/>
          <w:b w:val="false"/>
          <w:i w:val="false"/>
          <w:color w:val="000000"/>
          <w:sz w:val="28"/>
        </w:rPr>
        <w:t>
      3.6.1. Качественный и количественный состав лекарственного препарата (АФС и вспомогательные вещества)</w:t>
      </w:r>
    </w:p>
    <w:bookmarkEnd w:id="2162"/>
    <w:bookmarkStart w:name="z2071" w:id="2163"/>
    <w:p>
      <w:pPr>
        <w:spacing w:after="0"/>
        <w:ind w:left="0"/>
        <w:jc w:val="both"/>
      </w:pPr>
      <w:r>
        <w:rPr>
          <w:rFonts w:ascii="Times New Roman"/>
          <w:b w:val="false"/>
          <w:i w:val="false"/>
          <w:color w:val="000000"/>
          <w:sz w:val="28"/>
        </w:rPr>
        <w:t>
      Необходимо указать, на какую единицу состав (на единицу дозированной формы, на единицу объема, на единицу массы и др.).</w:t>
      </w:r>
    </w:p>
    <w:bookmarkEnd w:id="2163"/>
    <w:bookmarkStart w:name="z2072" w:id="2164"/>
    <w:p>
      <w:pPr>
        <w:spacing w:after="0"/>
        <w:ind w:left="0"/>
        <w:jc w:val="both"/>
      </w:pPr>
      <w:r>
        <w:rPr>
          <w:rFonts w:ascii="Times New Roman"/>
          <w:b w:val="false"/>
          <w:i w:val="false"/>
          <w:color w:val="000000"/>
          <w:sz w:val="28"/>
        </w:rPr>
        <w:t>
       Перечислите АФС отдельно от вспомогательных веществ:</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165"/>
          <w:p>
            <w:pPr>
              <w:spacing w:after="20"/>
              <w:ind w:left="20"/>
              <w:jc w:val="both"/>
            </w:pPr>
            <w:r>
              <w:rPr>
                <w:rFonts w:ascii="Times New Roman"/>
                <w:b w:val="false"/>
                <w:i w:val="false"/>
                <w:color w:val="000000"/>
                <w:sz w:val="20"/>
              </w:rPr>
              <w:t xml:space="preserve">
№ </w:t>
            </w:r>
          </w:p>
          <w:bookmarkEnd w:id="2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АФС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 единицах массы, объема, активности или концентрации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(монография)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166"/>
          <w:p>
            <w:pPr>
              <w:spacing w:after="20"/>
              <w:ind w:left="20"/>
              <w:jc w:val="both"/>
            </w:pPr>
            <w:r>
              <w:rPr>
                <w:rFonts w:ascii="Times New Roman"/>
                <w:b w:val="false"/>
                <w:i w:val="false"/>
                <w:color w:val="000000"/>
                <w:sz w:val="20"/>
              </w:rPr>
              <w:t xml:space="preserve">
№ </w:t>
            </w:r>
          </w:p>
          <w:bookmarkEnd w:id="2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вспомогательных веществ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 единицах массы, объема, активности или концентрации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(монография) </w:t>
            </w:r>
          </w:p>
        </w:tc>
      </w:tr>
    </w:tbl>
    <w:bookmarkStart w:name="z2075" w:id="2167"/>
    <w:p>
      <w:pPr>
        <w:spacing w:after="0"/>
        <w:ind w:left="0"/>
        <w:jc w:val="both"/>
      </w:pPr>
      <w:r>
        <w:rPr>
          <w:rFonts w:ascii="Times New Roman"/>
          <w:b w:val="false"/>
          <w:i w:val="false"/>
          <w:color w:val="000000"/>
          <w:sz w:val="28"/>
        </w:rPr>
        <w:t>
      Примечание. * Только одно наименование для каждого АФС необходимо указать в такой последовательности: МНН, наименование по Фармакопее Евразийского экономического союза, фармакопеям государств - членов Евразийского экономического союза (или основные фармакопеи в соответствии с Концепцией гармонизации фармакопей государств – членов Евразийского экономического союза), общепринятое или группировочное наименование, научное (химическое) название.</w:t>
      </w:r>
    </w:p>
    <w:bookmarkEnd w:id="2167"/>
    <w:bookmarkStart w:name="z2076" w:id="2168"/>
    <w:p>
      <w:pPr>
        <w:spacing w:after="0"/>
        <w:ind w:left="0"/>
        <w:jc w:val="both"/>
      </w:pPr>
      <w:r>
        <w:rPr>
          <w:rFonts w:ascii="Times New Roman"/>
          <w:b w:val="false"/>
          <w:i w:val="false"/>
          <w:color w:val="000000"/>
          <w:sz w:val="28"/>
        </w:rPr>
        <w:t>
       ** Наименование АФС необходимо указывать по его рекомендованному Всемирной организацией здравоохранения МНН с указанием его солей или гидратной формы, если необходимо.</w:t>
      </w:r>
    </w:p>
    <w:bookmarkEnd w:id="2168"/>
    <w:bookmarkStart w:name="z2077" w:id="2169"/>
    <w:p>
      <w:pPr>
        <w:spacing w:after="0"/>
        <w:ind w:left="0"/>
        <w:jc w:val="both"/>
      </w:pPr>
      <w:r>
        <w:rPr>
          <w:rFonts w:ascii="Times New Roman"/>
          <w:b w:val="false"/>
          <w:i w:val="false"/>
          <w:color w:val="000000"/>
          <w:sz w:val="28"/>
        </w:rPr>
        <w:t>
      Сведения об избытке указывать в столбцах о составе не допускается, их необходимо изложить ниже:</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170"/>
          <w:p>
            <w:pPr>
              <w:spacing w:after="20"/>
              <w:ind w:left="20"/>
              <w:jc w:val="both"/>
            </w:pPr>
            <w:r>
              <w:rPr>
                <w:rFonts w:ascii="Times New Roman"/>
                <w:b w:val="false"/>
                <w:i w:val="false"/>
                <w:color w:val="000000"/>
                <w:sz w:val="20"/>
              </w:rPr>
              <w:t xml:space="preserve">
активные фармацевтические субстанции </w:t>
            </w:r>
          </w:p>
          <w:bookmarkEnd w:id="2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171"/>
          <w:p>
            <w:pPr>
              <w:spacing w:after="20"/>
              <w:ind w:left="20"/>
              <w:jc w:val="both"/>
            </w:pPr>
            <w:r>
              <w:rPr>
                <w:rFonts w:ascii="Times New Roman"/>
                <w:b w:val="false"/>
                <w:i w:val="false"/>
                <w:color w:val="000000"/>
                <w:sz w:val="20"/>
              </w:rPr>
              <w:t xml:space="preserve">
вспомогательное вещество(а) </w:t>
            </w:r>
          </w:p>
          <w:bookmarkEnd w:id="2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0" w:id="2172"/>
    <w:p>
      <w:pPr>
        <w:spacing w:after="0"/>
        <w:ind w:left="0"/>
        <w:jc w:val="both"/>
      </w:pPr>
      <w:r>
        <w:rPr>
          <w:rFonts w:ascii="Times New Roman"/>
          <w:b w:val="false"/>
          <w:i w:val="false"/>
          <w:color w:val="000000"/>
          <w:sz w:val="28"/>
        </w:rPr>
        <w:t>
      3.6.2. Перечень материалов животного и (или) человеческого происхождения, входящих в состав лекарственного препарата или используемых в процессе его производства</w:t>
      </w:r>
    </w:p>
    <w:bookmarkEnd w:id="2172"/>
    <w:bookmarkStart w:name="z2081" w:id="2173"/>
    <w:p>
      <w:pPr>
        <w:spacing w:after="0"/>
        <w:ind w:left="0"/>
        <w:jc w:val="both"/>
      </w:pPr>
      <w:r>
        <w:rPr>
          <w:rFonts w:ascii="Times New Roman"/>
          <w:b w:val="false"/>
          <w:i w:val="false"/>
          <w:color w:val="000000"/>
          <w:sz w:val="28"/>
        </w:rPr>
        <w:t xml:space="preserve">
      </w:t>
      </w:r>
    </w:p>
    <w:bookmarkEnd w:id="2173"/>
    <w:p>
      <w:pPr>
        <w:spacing w:after="0"/>
        <w:ind w:left="0"/>
        <w:jc w:val="both"/>
      </w:pPr>
      <w:r>
        <w:t>[MISSING IMAGE: ,  ]</w:t>
      </w:r>
    </w:p>
    <w:p>
      <w:pPr>
        <w:spacing w:after="0"/>
        <w:ind w:left="0"/>
        <w:jc w:val="left"/>
      </w:pPr>
      <w:r>
        <w:rPr>
          <w:rFonts w:ascii="Times New Roman"/>
          <w:b w:val="false"/>
          <w:i w:val="false"/>
          <w:color w:val="000000"/>
          <w:sz w:val="28"/>
        </w:rPr>
        <w:t>отсутствуют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174"/>
          <w:p>
            <w:pPr>
              <w:spacing w:after="20"/>
              <w:ind w:left="20"/>
              <w:jc w:val="both"/>
            </w:pPr>
            <w:r>
              <w:rPr>
                <w:rFonts w:ascii="Times New Roman"/>
                <w:b w:val="false"/>
                <w:i w:val="false"/>
                <w:color w:val="000000"/>
                <w:sz w:val="20"/>
              </w:rPr>
              <w:t xml:space="preserve">
Название </w:t>
            </w:r>
          </w:p>
          <w:bookmarkEnd w:id="2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животных, восприимчивых к ТГЭ </w:t>
            </w:r>
            <w:r>
              <w:rPr>
                <w:rFonts w:ascii="Times New Roman"/>
                <w:b w:val="false"/>
                <w:i w:val="false"/>
                <w:color w:val="000000"/>
                <w:vertAlign w:val="superscript"/>
              </w:rPr>
              <w:t xml:space="preserve">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животные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Человеческого происхождения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соответствия Европейской фармакопеи относительно ТГЭ </w:t>
            </w:r>
            <w:r>
              <w:rPr>
                <w:rFonts w:ascii="Times New Roman"/>
                <w:b w:val="false"/>
                <w:i w:val="false"/>
                <w:color w:val="000000"/>
                <w:vertAlign w:val="superscript"/>
              </w:rPr>
              <w:t>3</w:t>
            </w:r>
            <w:r>
              <w:rPr>
                <w:rFonts w:ascii="Times New Roman"/>
                <w:b w:val="false"/>
                <w:i w:val="false"/>
                <w:color w:val="000000"/>
                <w:sz w:val="20"/>
              </w:rPr>
              <w:t xml:space="preserve"> (укажите номер)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175"/>
          <w:p>
            <w:pPr>
              <w:spacing w:after="20"/>
              <w:ind w:left="20"/>
              <w:jc w:val="both"/>
            </w:pPr>
          </w:p>
          <w:bookmarkEnd w:id="21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w:t>
            </w:r>
            <w:r>
              <w:rPr>
                <w:rFonts w:ascii="Times New Roman"/>
                <w:b w:val="false"/>
                <w:i w:val="false"/>
                <w:color w:val="000000"/>
                <w:vertAlign w:val="superscript"/>
              </w:rPr>
              <w:t>1</w:t>
            </w:r>
            <w:r>
              <w:rPr>
                <w:rFonts w:ascii="Times New Roman"/>
                <w:b w:val="false"/>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perscript"/>
              </w:rPr>
              <w:t xml:space="preserve">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176"/>
          <w:p>
            <w:pPr>
              <w:spacing w:after="20"/>
              <w:ind w:left="20"/>
              <w:jc w:val="both"/>
            </w:pPr>
            <w:r>
              <w:rPr>
                <w:rFonts w:ascii="Times New Roman"/>
                <w:b w:val="false"/>
                <w:i w:val="false"/>
                <w:color w:val="000000"/>
                <w:sz w:val="20"/>
              </w:rPr>
              <w:t xml:space="preserve">
1 </w:t>
            </w:r>
          </w:p>
          <w:bookmarkEnd w:id="21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177"/>
          <w:p>
            <w:pPr>
              <w:spacing w:after="20"/>
              <w:ind w:left="20"/>
              <w:jc w:val="both"/>
            </w:pPr>
            <w:r>
              <w:rPr>
                <w:rFonts w:ascii="Times New Roman"/>
                <w:b w:val="false"/>
                <w:i w:val="false"/>
                <w:color w:val="000000"/>
                <w:sz w:val="20"/>
              </w:rPr>
              <w:t xml:space="preserve">
2 </w:t>
            </w:r>
          </w:p>
          <w:bookmarkEnd w:id="21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178"/>
          <w:p>
            <w:pPr>
              <w:spacing w:after="20"/>
              <w:ind w:left="20"/>
              <w:jc w:val="both"/>
            </w:pPr>
            <w:r>
              <w:rPr>
                <w:rFonts w:ascii="Times New Roman"/>
                <w:b w:val="false"/>
                <w:i w:val="false"/>
                <w:color w:val="000000"/>
                <w:sz w:val="20"/>
              </w:rPr>
              <w:t xml:space="preserve">
3 </w:t>
            </w:r>
          </w:p>
          <w:bookmarkEnd w:id="2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179"/>
          <w:p>
            <w:pPr>
              <w:spacing w:after="20"/>
              <w:ind w:left="20"/>
              <w:jc w:val="both"/>
            </w:pPr>
            <w:r>
              <w:rPr>
                <w:rFonts w:ascii="Times New Roman"/>
                <w:b w:val="false"/>
                <w:i w:val="false"/>
                <w:color w:val="000000"/>
                <w:sz w:val="20"/>
              </w:rPr>
              <w:t xml:space="preserve">
.... </w:t>
            </w:r>
          </w:p>
          <w:bookmarkEnd w:id="21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8" w:id="2180"/>
    <w:p>
      <w:pPr>
        <w:spacing w:after="0"/>
        <w:ind w:left="0"/>
        <w:jc w:val="both"/>
      </w:pPr>
      <w:r>
        <w:rPr>
          <w:rFonts w:ascii="Times New Roman"/>
          <w:b w:val="false"/>
          <w:i w:val="false"/>
          <w:color w:val="000000"/>
          <w:sz w:val="28"/>
        </w:rPr>
        <w:t xml:space="preserve">
      Указать наличие сертификата соответствия Европейской фармакопеи относительно ТГЭ </w:t>
      </w:r>
      <w:r>
        <w:rPr>
          <w:rFonts w:ascii="Times New Roman"/>
          <w:b w:val="false"/>
          <w:i w:val="false"/>
          <w:color w:val="000000"/>
          <w:vertAlign w:val="superscript"/>
        </w:rPr>
        <w:t>3</w:t>
      </w:r>
      <w:r>
        <w:rPr>
          <w:rFonts w:ascii="Times New Roman"/>
          <w:b w:val="false"/>
          <w:i w:val="false"/>
          <w:color w:val="000000"/>
          <w:sz w:val="28"/>
        </w:rPr>
        <w:t xml:space="preserve"> или документа, выданного уполномоченными органами ветеринарного надзора страны происхождения сырья относительно регистрации в стране (по результатам клинического и лабораторного контроля) случаев ТГЭ </w:t>
      </w:r>
      <w:r>
        <w:rPr>
          <w:rFonts w:ascii="Times New Roman"/>
          <w:b w:val="false"/>
          <w:i w:val="false"/>
          <w:color w:val="000000"/>
          <w:vertAlign w:val="superscript"/>
        </w:rPr>
        <w:t>3</w:t>
      </w:r>
    </w:p>
    <w:bookmarkEnd w:id="2180"/>
    <w:bookmarkStart w:name="z2089" w:id="2181"/>
    <w:p>
      <w:pPr>
        <w:spacing w:after="0"/>
        <w:ind w:left="0"/>
        <w:jc w:val="both"/>
      </w:pPr>
      <w:r>
        <w:rPr>
          <w:rFonts w:ascii="Times New Roman"/>
          <w:b w:val="false"/>
          <w:i w:val="false"/>
          <w:color w:val="000000"/>
          <w:sz w:val="28"/>
        </w:rPr>
        <w:t>
      ────────────────────────────────</w:t>
      </w:r>
    </w:p>
    <w:bookmarkEnd w:id="2181"/>
    <w:bookmarkStart w:name="z2090" w:id="21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ВВ - вспомогательное вещество (включая исходные материалы, которые </w:t>
      </w:r>
    </w:p>
    <w:bookmarkEnd w:id="2182"/>
    <w:bookmarkStart w:name="z2091" w:id="2183"/>
    <w:p>
      <w:pPr>
        <w:spacing w:after="0"/>
        <w:ind w:left="0"/>
        <w:jc w:val="both"/>
      </w:pPr>
      <w:r>
        <w:rPr>
          <w:rFonts w:ascii="Times New Roman"/>
          <w:b w:val="false"/>
          <w:i w:val="false"/>
          <w:color w:val="000000"/>
          <w:sz w:val="28"/>
        </w:rPr>
        <w:t>
      используются в производстве АФС/вспомогательного вещества).</w:t>
      </w:r>
    </w:p>
    <w:bookmarkEnd w:id="2183"/>
    <w:bookmarkStart w:name="z2092" w:id="21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 - реагент/среда культивирования (включая используемые для приготовления </w:t>
      </w:r>
    </w:p>
    <w:bookmarkEnd w:id="2184"/>
    <w:bookmarkStart w:name="z2093" w:id="2185"/>
    <w:p>
      <w:pPr>
        <w:spacing w:after="0"/>
        <w:ind w:left="0"/>
        <w:jc w:val="both"/>
      </w:pPr>
      <w:r>
        <w:rPr>
          <w:rFonts w:ascii="Times New Roman"/>
          <w:b w:val="false"/>
          <w:i w:val="false"/>
          <w:color w:val="000000"/>
          <w:sz w:val="28"/>
        </w:rPr>
        <w:t>
      главного и рабочего банков клеток).</w:t>
      </w:r>
    </w:p>
    <w:bookmarkEnd w:id="2185"/>
    <w:bookmarkStart w:name="z2094" w:id="21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ТГЭ - трансмиссивная губчатая энцефалопатия.</w:t>
      </w:r>
    </w:p>
    <w:bookmarkEnd w:id="2186"/>
    <w:bookmarkStart w:name="z2095" w:id="2187"/>
    <w:p>
      <w:pPr>
        <w:spacing w:after="0"/>
        <w:ind w:left="0"/>
        <w:jc w:val="both"/>
      </w:pPr>
      <w:r>
        <w:rPr>
          <w:rFonts w:ascii="Times New Roman"/>
          <w:b w:val="false"/>
          <w:i w:val="false"/>
          <w:color w:val="000000"/>
          <w:sz w:val="28"/>
        </w:rPr>
        <w:t>
      3.6.3. Выдан ли сертификат на мастер-файл на плазму (далее - МФП), который используется в данном досье, или подано заявление на его получение:</w:t>
      </w:r>
    </w:p>
    <w:bookmarkEnd w:id="21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96" w:id="2188"/>
          <w:p>
            <w:pPr>
              <w:spacing w:after="20"/>
              <w:ind w:left="20"/>
              <w:jc w:val="both"/>
            </w:pPr>
          </w:p>
          <w:bookmarkEnd w:id="2188"/>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097" w:id="2189"/>
    <w:p>
      <w:pPr>
        <w:spacing w:after="0"/>
        <w:ind w:left="0"/>
        <w:jc w:val="both"/>
      </w:pPr>
      <w:r>
        <w:rPr>
          <w:rFonts w:ascii="Times New Roman"/>
          <w:b w:val="false"/>
          <w:i w:val="false"/>
          <w:color w:val="000000"/>
          <w:sz w:val="28"/>
        </w:rPr>
        <w:t>
      Если да:</w:t>
      </w:r>
    </w:p>
    <w:bookmarkEnd w:id="2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190"/>
          <w:p>
            <w:pPr>
              <w:spacing w:after="20"/>
              <w:ind w:left="20"/>
              <w:jc w:val="both"/>
            </w:pPr>
            <w:r>
              <w:rPr>
                <w:rFonts w:ascii="Times New Roman"/>
                <w:b w:val="false"/>
                <w:i w:val="false"/>
                <w:color w:val="000000"/>
                <w:sz w:val="20"/>
              </w:rPr>
              <w:t xml:space="preserve">
вещество (субстанция) со ссылкой на МФП </w:t>
            </w:r>
          </w:p>
          <w:bookmarkEnd w:id="2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191"/>
          <w:p>
            <w:pPr>
              <w:spacing w:after="20"/>
              <w:ind w:left="20"/>
              <w:jc w:val="both"/>
            </w:pPr>
            <w:r>
              <w:rPr>
                <w:rFonts w:ascii="Times New Roman"/>
                <w:b w:val="false"/>
                <w:i w:val="false"/>
                <w:color w:val="000000"/>
                <w:sz w:val="20"/>
              </w:rPr>
              <w:t xml:space="preserve">
функция </w:t>
            </w:r>
          </w:p>
          <w:bookmarkEnd w:id="2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r>
              <w:rPr>
                <w:rFonts w:ascii="Times New Roman"/>
                <w:b w:val="false"/>
                <w:i w:val="false"/>
                <w:color w:val="000000"/>
                <w:vertAlign w:val="superscript"/>
              </w:rPr>
              <w:t>1</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192"/>
          <w:p>
            <w:pPr>
              <w:spacing w:after="20"/>
              <w:ind w:left="20"/>
              <w:jc w:val="both"/>
            </w:pPr>
            <w:r>
              <w:rPr>
                <w:rFonts w:ascii="Times New Roman"/>
                <w:b w:val="false"/>
                <w:i w:val="false"/>
                <w:color w:val="000000"/>
                <w:sz w:val="20"/>
              </w:rPr>
              <w:t xml:space="preserve">
наименование владельца (заявителя МФП) </w:t>
            </w:r>
          </w:p>
          <w:bookmarkEnd w:id="2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193"/>
          <w:p>
            <w:pPr>
              <w:spacing w:after="20"/>
              <w:ind w:left="20"/>
              <w:jc w:val="both"/>
            </w:pPr>
            <w:r>
              <w:rPr>
                <w:rFonts w:ascii="Times New Roman"/>
                <w:b w:val="false"/>
                <w:i w:val="false"/>
                <w:color w:val="000000"/>
                <w:sz w:val="20"/>
              </w:rPr>
              <w:t xml:space="preserve">
номер сертификата (заявления) </w:t>
            </w:r>
          </w:p>
          <w:bookmarkEnd w:id="2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194"/>
          <w:p>
            <w:pPr>
              <w:spacing w:after="20"/>
              <w:ind w:left="20"/>
              <w:jc w:val="both"/>
            </w:pPr>
            <w:r>
              <w:rPr>
                <w:rFonts w:ascii="Times New Roman"/>
                <w:b w:val="false"/>
                <w:i w:val="false"/>
                <w:color w:val="000000"/>
                <w:sz w:val="20"/>
              </w:rPr>
              <w:t xml:space="preserve">
дата подачи заявления (если на рассмотрении) </w:t>
            </w:r>
          </w:p>
          <w:bookmarkEnd w:id="2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195"/>
          <w:p>
            <w:pPr>
              <w:spacing w:after="20"/>
              <w:ind w:left="20"/>
              <w:jc w:val="both"/>
            </w:pPr>
            <w:r>
              <w:rPr>
                <w:rFonts w:ascii="Times New Roman"/>
                <w:b w:val="false"/>
                <w:i w:val="false"/>
                <w:color w:val="000000"/>
                <w:sz w:val="20"/>
              </w:rPr>
              <w:t xml:space="preserve">
дата утверждения или последнего пересмотра (если сертификат имеется) </w:t>
            </w:r>
          </w:p>
          <w:bookmarkEnd w:id="2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5" w:id="2196"/>
    <w:p>
      <w:pPr>
        <w:spacing w:after="0"/>
        <w:ind w:left="0"/>
        <w:jc w:val="both"/>
      </w:pPr>
      <w:r>
        <w:rPr>
          <w:rFonts w:ascii="Times New Roman"/>
          <w:b w:val="false"/>
          <w:i w:val="false"/>
          <w:color w:val="000000"/>
          <w:sz w:val="28"/>
        </w:rPr>
        <w:t>
      ────────────────────────────────</w:t>
      </w:r>
    </w:p>
    <w:bookmarkEnd w:id="2196"/>
    <w:bookmarkStart w:name="z2106" w:id="21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ВВ - вспомогательное вещество (включая исходные материалы, которые </w:t>
      </w:r>
    </w:p>
    <w:bookmarkEnd w:id="2197"/>
    <w:bookmarkStart w:name="z2107" w:id="2198"/>
    <w:p>
      <w:pPr>
        <w:spacing w:after="0"/>
        <w:ind w:left="0"/>
        <w:jc w:val="both"/>
      </w:pPr>
      <w:r>
        <w:rPr>
          <w:rFonts w:ascii="Times New Roman"/>
          <w:b w:val="false"/>
          <w:i w:val="false"/>
          <w:color w:val="000000"/>
          <w:sz w:val="28"/>
        </w:rPr>
        <w:t>
      используются в производстве АФС (вспомогательного вещества)).</w:t>
      </w:r>
    </w:p>
    <w:bookmarkEnd w:id="2198"/>
    <w:bookmarkStart w:name="z2108" w:id="21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 - реагент (среда культивирования) (включая используемые для приготовления главного и рабочего банков клеток).</w:t>
      </w:r>
    </w:p>
    <w:bookmarkEnd w:id="2199"/>
    <w:bookmarkStart w:name="z2109" w:id="2200"/>
    <w:p>
      <w:pPr>
        <w:spacing w:after="0"/>
        <w:ind w:left="0"/>
        <w:jc w:val="both"/>
      </w:pPr>
      <w:r>
        <w:rPr>
          <w:rFonts w:ascii="Times New Roman"/>
          <w:b w:val="false"/>
          <w:i w:val="false"/>
          <w:color w:val="000000"/>
          <w:sz w:val="28"/>
        </w:rPr>
        <w:t>
      3.6.4. Содержит ли или состоит ли лекарственный препарат из генетически модифицированных организмов (ГМО):</w:t>
      </w:r>
    </w:p>
    <w:bookmarkEnd w:id="22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10" w:id="2201"/>
          <w:p>
            <w:pPr>
              <w:spacing w:after="20"/>
              <w:ind w:left="20"/>
              <w:jc w:val="both"/>
            </w:pPr>
          </w:p>
          <w:bookmarkEnd w:id="2201"/>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111" w:id="2202"/>
    <w:p>
      <w:pPr>
        <w:spacing w:after="0"/>
        <w:ind w:left="0"/>
        <w:jc w:val="both"/>
      </w:pPr>
      <w:r>
        <w:rPr>
          <w:rFonts w:ascii="Times New Roman"/>
          <w:b w:val="false"/>
          <w:i w:val="false"/>
          <w:color w:val="000000"/>
          <w:sz w:val="28"/>
        </w:rPr>
        <w:t>
      Если да, то соответствует ли препарат установленным требованиям:</w:t>
      </w:r>
    </w:p>
    <w:bookmarkEnd w:id="22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12" w:id="2203"/>
          <w:p>
            <w:pPr>
              <w:spacing w:after="20"/>
              <w:ind w:left="20"/>
              <w:jc w:val="both"/>
            </w:pPr>
          </w:p>
          <w:bookmarkEnd w:id="2203"/>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113" w:id="2204"/>
    <w:p>
      <w:pPr>
        <w:spacing w:after="0"/>
        <w:ind w:left="0"/>
        <w:jc w:val="both"/>
      </w:pPr>
      <w:r>
        <w:rPr>
          <w:rFonts w:ascii="Times New Roman"/>
          <w:b w:val="false"/>
          <w:i w:val="false"/>
          <w:color w:val="000000"/>
          <w:sz w:val="28"/>
        </w:rPr>
        <w:t>
      Сделайте необходимую ссылку.</w:t>
      </w:r>
    </w:p>
    <w:bookmarkEnd w:id="2204"/>
    <w:bookmarkStart w:name="z2114" w:id="2205"/>
    <w:p>
      <w:pPr>
        <w:spacing w:after="0"/>
        <w:ind w:left="0"/>
        <w:jc w:val="left"/>
      </w:pPr>
      <w:r>
        <w:rPr>
          <w:rFonts w:ascii="Times New Roman"/>
          <w:b/>
          <w:i w:val="false"/>
          <w:color w:val="000000"/>
        </w:rPr>
        <w:t xml:space="preserve"> 4. Другие сведения</w:t>
      </w:r>
    </w:p>
    <w:bookmarkEnd w:id="2205"/>
    <w:bookmarkStart w:name="z2115" w:id="2206"/>
    <w:p>
      <w:pPr>
        <w:spacing w:after="0"/>
        <w:ind w:left="0"/>
        <w:jc w:val="both"/>
      </w:pPr>
      <w:r>
        <w:rPr>
          <w:rFonts w:ascii="Times New Roman"/>
          <w:b w:val="false"/>
          <w:i w:val="false"/>
          <w:color w:val="000000"/>
          <w:sz w:val="28"/>
        </w:rPr>
        <w:t xml:space="preserve">
      4.1. Охраняются ли интеллектуальные права на лекарственный препарат патентами, </w:t>
      </w:r>
    </w:p>
    <w:bookmarkEnd w:id="2206"/>
    <w:bookmarkStart w:name="z2116" w:id="2207"/>
    <w:p>
      <w:pPr>
        <w:spacing w:after="0"/>
        <w:ind w:left="0"/>
        <w:jc w:val="both"/>
      </w:pPr>
      <w:r>
        <w:rPr>
          <w:rFonts w:ascii="Times New Roman"/>
          <w:b w:val="false"/>
          <w:i w:val="false"/>
          <w:color w:val="000000"/>
          <w:sz w:val="28"/>
        </w:rPr>
        <w:t>
      действующими на территории государства - члена Евразийского экономического союза:</w:t>
      </w:r>
    </w:p>
    <w:bookmarkEnd w:id="22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17" w:id="2208"/>
          <w:p>
            <w:pPr>
              <w:spacing w:after="20"/>
              <w:ind w:left="20"/>
              <w:jc w:val="both"/>
            </w:pPr>
          </w:p>
          <w:bookmarkEnd w:id="2208"/>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118" w:id="2209"/>
    <w:p>
      <w:pPr>
        <w:spacing w:after="0"/>
        <w:ind w:left="0"/>
        <w:jc w:val="both"/>
      </w:pPr>
      <w:r>
        <w:rPr>
          <w:rFonts w:ascii="Times New Roman"/>
          <w:b w:val="false"/>
          <w:i w:val="false"/>
          <w:color w:val="000000"/>
          <w:sz w:val="28"/>
        </w:rPr>
        <w:t xml:space="preserve">
      Если да, то приведите такую информацию: </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210"/>
          <w:p>
            <w:pPr>
              <w:spacing w:after="20"/>
              <w:ind w:left="20"/>
              <w:jc w:val="both"/>
            </w:pPr>
            <w:r>
              <w:rPr>
                <w:rFonts w:ascii="Times New Roman"/>
                <w:b w:val="false"/>
                <w:i w:val="false"/>
                <w:color w:val="000000"/>
                <w:sz w:val="20"/>
              </w:rPr>
              <w:t xml:space="preserve">
Номер патента </w:t>
            </w:r>
          </w:p>
          <w:bookmarkEnd w:id="2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Действителен на территории государства-члена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Действует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патента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211"/>
          <w:p>
            <w:pPr>
              <w:spacing w:after="20"/>
              <w:ind w:left="20"/>
              <w:jc w:val="both"/>
            </w:pPr>
          </w:p>
          <w:bookmarkEnd w:id="2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1" w:id="2212"/>
    <w:p>
      <w:pPr>
        <w:spacing w:after="0"/>
        <w:ind w:left="0"/>
        <w:jc w:val="both"/>
      </w:pPr>
      <w:r>
        <w:rPr>
          <w:rFonts w:ascii="Times New Roman"/>
          <w:b w:val="false"/>
          <w:i w:val="false"/>
          <w:color w:val="000000"/>
          <w:sz w:val="28"/>
        </w:rPr>
        <w:t>
      Для регистрации лекарственных препаратов, которые основываются на объектах интеллектуальной собственности или имеют отношение к объектам интеллектуальной собственности, на которые в соответствии с законодательством государства - члена Евразийского экономического союза выдан патент, заявитель подает заверенную им копию действующего патента на территории государства - члена Евразийского экономического союза или лицензионного соглашения, которое дает право на производство и продажу зарегистрированного лекарственного препарата. Заявители представляют письмо, в котором указывается, что интеллектуальные права третьих лиц, защищенные патентом или переданные по лицензии, не нарушаются в связи с регистрацией лекарственного препарата.</w:t>
      </w:r>
    </w:p>
    <w:bookmarkEnd w:id="2212"/>
    <w:bookmarkStart w:name="z2122" w:id="2213"/>
    <w:p>
      <w:pPr>
        <w:spacing w:after="0"/>
        <w:ind w:left="0"/>
        <w:jc w:val="both"/>
      </w:pPr>
      <w:r>
        <w:rPr>
          <w:rFonts w:ascii="Times New Roman"/>
          <w:b w:val="false"/>
          <w:i w:val="false"/>
          <w:color w:val="000000"/>
          <w:sz w:val="28"/>
        </w:rPr>
        <w:t>
       4.2. Зарегистрирован ли товарный знак в государствах - членах Евразийского экономического союза:</w:t>
      </w:r>
    </w:p>
    <w:bookmarkEnd w:id="22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23" w:id="2214"/>
          <w:p>
            <w:pPr>
              <w:spacing w:after="20"/>
              <w:ind w:left="20"/>
              <w:jc w:val="both"/>
            </w:pPr>
          </w:p>
          <w:bookmarkEnd w:id="2214"/>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124" w:id="2215"/>
    <w:p>
      <w:pPr>
        <w:spacing w:after="0"/>
        <w:ind w:left="0"/>
        <w:jc w:val="both"/>
      </w:pPr>
      <w:r>
        <w:rPr>
          <w:rFonts w:ascii="Times New Roman"/>
          <w:b w:val="false"/>
          <w:i w:val="false"/>
          <w:color w:val="000000"/>
          <w:sz w:val="28"/>
        </w:rPr>
        <w:t>
      Если да, то приведите такую информацию:</w:t>
      </w:r>
    </w:p>
    <w:bookmarkEnd w:id="2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216"/>
          <w:p>
            <w:pPr>
              <w:spacing w:after="20"/>
              <w:ind w:left="20"/>
              <w:jc w:val="both"/>
            </w:pPr>
            <w:r>
              <w:rPr>
                <w:rFonts w:ascii="Times New Roman"/>
                <w:b w:val="false"/>
                <w:i w:val="false"/>
                <w:color w:val="000000"/>
                <w:sz w:val="20"/>
              </w:rPr>
              <w:t xml:space="preserve">
Номер свидетельства </w:t>
            </w:r>
          </w:p>
          <w:bookmarkEnd w:id="2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Действителен на территории государства-члена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Действует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Правообладатель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217"/>
          <w:p>
            <w:pPr>
              <w:spacing w:after="20"/>
              <w:ind w:left="20"/>
              <w:jc w:val="both"/>
            </w:pPr>
          </w:p>
          <w:bookmarkEnd w:id="2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7" w:id="2218"/>
    <w:p>
      <w:pPr>
        <w:spacing w:after="0"/>
        <w:ind w:left="0"/>
        <w:jc w:val="both"/>
      </w:pPr>
      <w:r>
        <w:rPr>
          <w:rFonts w:ascii="Times New Roman"/>
          <w:b w:val="false"/>
          <w:i w:val="false"/>
          <w:color w:val="000000"/>
          <w:sz w:val="28"/>
        </w:rPr>
        <w:t>
      Приложить заверенную заявителем копию действующего на территории государства – члена Евразийского экономического союза свидетельства о регистрации товарного знака. Если заявитель не является правообладателем, то приложить заверенную заявителем копию лицензионного договора или подтверждение регистрации предоставления права использования товарного знака.</w:t>
      </w:r>
    </w:p>
    <w:bookmarkEnd w:id="2218"/>
    <w:bookmarkStart w:name="z2128" w:id="2219"/>
    <w:p>
      <w:pPr>
        <w:spacing w:after="0"/>
        <w:ind w:left="0"/>
        <w:jc w:val="both"/>
      </w:pPr>
      <w:r>
        <w:rPr>
          <w:rFonts w:ascii="Times New Roman"/>
          <w:b w:val="false"/>
          <w:i w:val="false"/>
          <w:color w:val="000000"/>
          <w:sz w:val="28"/>
        </w:rPr>
        <w:t>
       4.3. Зарегистрирован ли лекарственный препарат в стране производителя:</w:t>
      </w:r>
    </w:p>
    <w:bookmarkEnd w:id="22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29" w:id="2220"/>
          <w:p>
            <w:pPr>
              <w:spacing w:after="20"/>
              <w:ind w:left="20"/>
              <w:jc w:val="both"/>
            </w:pPr>
          </w:p>
          <w:bookmarkEnd w:id="222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130" w:id="2221"/>
    <w:p>
      <w:pPr>
        <w:spacing w:after="0"/>
        <w:ind w:left="0"/>
        <w:jc w:val="both"/>
      </w:pPr>
      <w:r>
        <w:rPr>
          <w:rFonts w:ascii="Times New Roman"/>
          <w:b w:val="false"/>
          <w:i w:val="false"/>
          <w:color w:val="000000"/>
          <w:sz w:val="28"/>
        </w:rPr>
        <w:t>
      Зарегистрирован ли лекарственный препарат в других странах:</w:t>
      </w:r>
    </w:p>
    <w:bookmarkEnd w:id="22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31" w:id="2222"/>
          <w:p>
            <w:pPr>
              <w:spacing w:after="20"/>
              <w:ind w:left="20"/>
              <w:jc w:val="both"/>
            </w:pPr>
          </w:p>
          <w:bookmarkEnd w:id="2222"/>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132" w:id="2223"/>
    <w:p>
      <w:pPr>
        <w:spacing w:after="0"/>
        <w:ind w:left="0"/>
        <w:jc w:val="both"/>
      </w:pPr>
      <w:r>
        <w:rPr>
          <w:rFonts w:ascii="Times New Roman"/>
          <w:b w:val="false"/>
          <w:i w:val="false"/>
          <w:color w:val="000000"/>
          <w:sz w:val="28"/>
        </w:rPr>
        <w:t xml:space="preserve">
      4.4. Была ли проведена предварительная научная консультация относительно данного лекарственного препарата в государствах - членах Евразийского экономического союза: </w:t>
      </w:r>
    </w:p>
    <w:bookmarkEnd w:id="22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33" w:id="2224"/>
          <w:p>
            <w:pPr>
              <w:spacing w:after="20"/>
              <w:ind w:left="20"/>
              <w:jc w:val="both"/>
            </w:pPr>
          </w:p>
          <w:bookmarkEnd w:id="2224"/>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134" w:id="2225"/>
    <w:p>
      <w:pPr>
        <w:spacing w:after="0"/>
        <w:ind w:left="0"/>
        <w:jc w:val="both"/>
      </w:pPr>
      <w:r>
        <w:rPr>
          <w:rFonts w:ascii="Times New Roman"/>
          <w:b w:val="false"/>
          <w:i w:val="false"/>
          <w:color w:val="000000"/>
          <w:sz w:val="28"/>
        </w:rPr>
        <w:t>
      Если да:</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226"/>
          <w:p>
            <w:pPr>
              <w:spacing w:after="20"/>
              <w:ind w:left="20"/>
              <w:jc w:val="both"/>
            </w:pPr>
            <w:r>
              <w:rPr>
                <w:rFonts w:ascii="Times New Roman"/>
                <w:b w:val="false"/>
                <w:i w:val="false"/>
                <w:color w:val="000000"/>
                <w:sz w:val="20"/>
              </w:rPr>
              <w:t xml:space="preserve">
государство - член Евразийского экономического союза </w:t>
            </w:r>
          </w:p>
          <w:bookmarkEnd w:id="2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227"/>
          <w:p>
            <w:pPr>
              <w:spacing w:after="20"/>
              <w:ind w:left="20"/>
              <w:jc w:val="both"/>
            </w:pPr>
            <w:r>
              <w:rPr>
                <w:rFonts w:ascii="Times New Roman"/>
                <w:b w:val="false"/>
                <w:i w:val="false"/>
                <w:color w:val="000000"/>
                <w:sz w:val="20"/>
              </w:rPr>
              <w:t xml:space="preserve">
дата проведения </w:t>
            </w:r>
          </w:p>
          <w:bookmarkEnd w:id="2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228"/>
          <w:p>
            <w:pPr>
              <w:spacing w:after="20"/>
              <w:ind w:left="20"/>
              <w:jc w:val="both"/>
            </w:pPr>
            <w:r>
              <w:rPr>
                <w:rFonts w:ascii="Times New Roman"/>
                <w:b w:val="false"/>
                <w:i w:val="false"/>
                <w:color w:val="000000"/>
                <w:sz w:val="20"/>
              </w:rPr>
              <w:t xml:space="preserve">
отметка о наличии заключения в составе досье </w:t>
            </w:r>
          </w:p>
          <w:bookmarkEnd w:id="2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8" w:id="2229"/>
    <w:p>
      <w:pPr>
        <w:spacing w:after="0"/>
        <w:ind w:left="0"/>
        <w:jc w:val="both"/>
      </w:pPr>
      <w:r>
        <w:rPr>
          <w:rFonts w:ascii="Times New Roman"/>
          <w:b w:val="false"/>
          <w:i w:val="false"/>
          <w:color w:val="000000"/>
          <w:sz w:val="28"/>
        </w:rPr>
        <w:t>
      Была ли проведена предварительная научная консультация относительно данного лекарственного препарата в Экспертном комитете по лекарственным средствам:</w:t>
      </w:r>
    </w:p>
    <w:bookmarkEnd w:id="22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39" w:id="2230"/>
          <w:p>
            <w:pPr>
              <w:spacing w:after="20"/>
              <w:ind w:left="20"/>
              <w:jc w:val="both"/>
            </w:pPr>
          </w:p>
          <w:bookmarkEnd w:id="223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140" w:id="2231"/>
    <w:p>
      <w:pPr>
        <w:spacing w:after="0"/>
        <w:ind w:left="0"/>
        <w:jc w:val="both"/>
      </w:pPr>
      <w:r>
        <w:rPr>
          <w:rFonts w:ascii="Times New Roman"/>
          <w:b w:val="false"/>
          <w:i w:val="false"/>
          <w:color w:val="000000"/>
          <w:sz w:val="28"/>
        </w:rPr>
        <w:t>
      Если да:</w:t>
      </w:r>
    </w:p>
    <w:bookmarkEnd w:id="2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232"/>
          <w:p>
            <w:pPr>
              <w:spacing w:after="20"/>
              <w:ind w:left="20"/>
              <w:jc w:val="both"/>
            </w:pPr>
            <w:r>
              <w:rPr>
                <w:rFonts w:ascii="Times New Roman"/>
                <w:b w:val="false"/>
                <w:i w:val="false"/>
                <w:color w:val="000000"/>
                <w:sz w:val="20"/>
              </w:rPr>
              <w:t xml:space="preserve">
дата проведения </w:t>
            </w:r>
          </w:p>
          <w:bookmarkEnd w:id="2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233"/>
          <w:p>
            <w:pPr>
              <w:spacing w:after="20"/>
              <w:ind w:left="20"/>
              <w:jc w:val="both"/>
            </w:pPr>
            <w:r>
              <w:rPr>
                <w:rFonts w:ascii="Times New Roman"/>
                <w:b w:val="false"/>
                <w:i w:val="false"/>
                <w:color w:val="000000"/>
                <w:sz w:val="20"/>
              </w:rPr>
              <w:t xml:space="preserve">
отметка о наличии заключения в составе досье </w:t>
            </w:r>
          </w:p>
          <w:bookmarkEnd w:id="2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3" w:id="2234"/>
    <w:p>
      <w:pPr>
        <w:spacing w:after="0"/>
        <w:ind w:left="0"/>
        <w:jc w:val="both"/>
      </w:pPr>
      <w:r>
        <w:rPr>
          <w:rFonts w:ascii="Times New Roman"/>
          <w:b w:val="false"/>
          <w:i w:val="false"/>
          <w:color w:val="000000"/>
          <w:sz w:val="28"/>
        </w:rPr>
        <w:t>
      4.5. Информация об отказах, отзывах и приостановлении действия регистрационного удостоверения лекарственного препарата в стране производителя и других странах.</w:t>
      </w:r>
    </w:p>
    <w:bookmarkEnd w:id="2234"/>
    <w:bookmarkStart w:name="z2144" w:id="2235"/>
    <w:p>
      <w:pPr>
        <w:spacing w:after="0"/>
        <w:ind w:left="0"/>
        <w:jc w:val="both"/>
      </w:pPr>
      <w:r>
        <w:rPr>
          <w:rFonts w:ascii="Times New Roman"/>
          <w:b w:val="false"/>
          <w:i w:val="false"/>
          <w:color w:val="000000"/>
          <w:sz w:val="28"/>
        </w:rPr>
        <w:t>
      Если да:</w:t>
      </w:r>
    </w:p>
    <w:bookmarkEnd w:id="2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236"/>
          <w:p>
            <w:pPr>
              <w:spacing w:after="20"/>
              <w:ind w:left="20"/>
              <w:jc w:val="both"/>
            </w:pPr>
            <w:r>
              <w:rPr>
                <w:rFonts w:ascii="Times New Roman"/>
                <w:b w:val="false"/>
                <w:i w:val="false"/>
                <w:color w:val="000000"/>
                <w:sz w:val="20"/>
              </w:rPr>
              <w:t xml:space="preserve">
Вид ограничения </w:t>
            </w:r>
          </w:p>
          <w:bookmarkEnd w:id="2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237"/>
          <w:p>
            <w:pPr>
              <w:spacing w:after="20"/>
              <w:ind w:left="20"/>
              <w:jc w:val="both"/>
            </w:pPr>
          </w:p>
          <w:bookmarkEnd w:id="2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238"/>
          <w:p>
            <w:pPr>
              <w:spacing w:after="20"/>
              <w:ind w:left="20"/>
              <w:jc w:val="both"/>
            </w:pPr>
          </w:p>
          <w:bookmarkEnd w:id="2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8" w:id="2239"/>
    <w:p>
      <w:pPr>
        <w:spacing w:after="0"/>
        <w:ind w:left="0"/>
        <w:jc w:val="left"/>
      </w:pPr>
      <w:r>
        <w:rPr>
          <w:rFonts w:ascii="Times New Roman"/>
          <w:b/>
          <w:i w:val="false"/>
          <w:color w:val="000000"/>
        </w:rPr>
        <w:t xml:space="preserve"> 5. Приложения к заявлению (подаются на бумажном носителе или в виде электронных документов, подписанных (заверенных) электронной подписью)</w:t>
      </w:r>
    </w:p>
    <w:bookmarkEnd w:id="2239"/>
    <w:p>
      <w:pPr>
        <w:spacing w:after="0"/>
        <w:ind w:left="0"/>
        <w:jc w:val="both"/>
      </w:pPr>
      <w:r>
        <w:rPr>
          <w:rFonts w:ascii="Times New Roman"/>
          <w:b w:val="false"/>
          <w:i w:val="false"/>
          <w:color w:val="ff0000"/>
          <w:sz w:val="28"/>
        </w:rPr>
        <w:t xml:space="preserve">
      Сноска. Наименование раздела 5 с изменением, внесенным решением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149" w:id="2240"/>
    <w:p>
      <w:pPr>
        <w:spacing w:after="0"/>
        <w:ind w:left="0"/>
        <w:jc w:val="both"/>
      </w:pPr>
      <w:r>
        <w:rPr>
          <w:rFonts w:ascii="Times New Roman"/>
          <w:b w:val="false"/>
          <w:i w:val="false"/>
          <w:color w:val="000000"/>
          <w:sz w:val="28"/>
        </w:rPr>
        <w:t>
      5.1. Доверенность на осуществление юридически значимых действий от имени держателя регистрационного удостоверения и заявителя (если применимо).</w:t>
      </w:r>
    </w:p>
    <w:bookmarkEnd w:id="2240"/>
    <w:bookmarkStart w:name="z2150" w:id="2241"/>
    <w:p>
      <w:pPr>
        <w:spacing w:after="0"/>
        <w:ind w:left="0"/>
        <w:jc w:val="both"/>
      </w:pPr>
      <w:r>
        <w:rPr>
          <w:rFonts w:ascii="Times New Roman"/>
          <w:b w:val="false"/>
          <w:i w:val="false"/>
          <w:color w:val="000000"/>
          <w:sz w:val="28"/>
        </w:rPr>
        <w:t>
      5.2. Копия документа, подтверждающего орфанный статус лекарственного препарата.</w:t>
      </w:r>
    </w:p>
    <w:bookmarkEnd w:id="2241"/>
    <w:bookmarkStart w:name="z2151" w:id="2242"/>
    <w:p>
      <w:pPr>
        <w:spacing w:after="0"/>
        <w:ind w:left="0"/>
        <w:jc w:val="both"/>
      </w:pPr>
      <w:r>
        <w:rPr>
          <w:rFonts w:ascii="Times New Roman"/>
          <w:b w:val="false"/>
          <w:i w:val="false"/>
          <w:color w:val="000000"/>
          <w:sz w:val="28"/>
        </w:rPr>
        <w:t>
      5.3. Копии действующих патентов на территории государств - членов Евразийского экономического союза в отношении регистрируемого лекарственного препарата.</w:t>
      </w:r>
    </w:p>
    <w:bookmarkEnd w:id="2242"/>
    <w:bookmarkStart w:name="z2152" w:id="2243"/>
    <w:p>
      <w:pPr>
        <w:spacing w:after="0"/>
        <w:ind w:left="0"/>
        <w:jc w:val="both"/>
      </w:pPr>
      <w:r>
        <w:rPr>
          <w:rFonts w:ascii="Times New Roman"/>
          <w:b w:val="false"/>
          <w:i w:val="false"/>
          <w:color w:val="000000"/>
          <w:sz w:val="28"/>
        </w:rPr>
        <w:t>
      5.4. Письменное подтверждение заявителя, что регистрация лекарственного препарата не нарушает прав третьих лиц на интеллектуальную собственность.</w:t>
      </w:r>
    </w:p>
    <w:bookmarkEnd w:id="2243"/>
    <w:bookmarkStart w:name="z2153" w:id="2244"/>
    <w:p>
      <w:pPr>
        <w:spacing w:after="0"/>
        <w:ind w:left="0"/>
        <w:jc w:val="both"/>
      </w:pPr>
      <w:r>
        <w:rPr>
          <w:rFonts w:ascii="Times New Roman"/>
          <w:b w:val="false"/>
          <w:i w:val="false"/>
          <w:color w:val="000000"/>
          <w:sz w:val="28"/>
        </w:rPr>
        <w:t>
      5.5. Копия действующего на территории государства - члена Евразийского экономического союза свидетельства о регистрации товарного знака.</w:t>
      </w:r>
    </w:p>
    <w:bookmarkEnd w:id="2244"/>
    <w:bookmarkStart w:name="z2154" w:id="2245"/>
    <w:p>
      <w:pPr>
        <w:spacing w:after="0"/>
        <w:ind w:left="0"/>
        <w:jc w:val="both"/>
      </w:pPr>
      <w:r>
        <w:rPr>
          <w:rFonts w:ascii="Times New Roman"/>
          <w:b w:val="false"/>
          <w:i w:val="false"/>
          <w:color w:val="000000"/>
          <w:sz w:val="28"/>
        </w:rPr>
        <w:t>
      5.6. Заявление уполномоченного лица по контролю качества о соответствии производства правилам надлежащей производственной практики Евразийского экономического союза и руководствам по надлежащей практике в отношении исходных материалов для каждой производственной площадки, используемой в процессе производства лекарственного препарата и АФС, включая площадки, на которых осуществляется контроль качества (контроль в процессе производства).</w:t>
      </w:r>
    </w:p>
    <w:bookmarkEnd w:id="22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5" w:id="2246"/>
    <w:p>
      <w:pPr>
        <w:spacing w:after="0"/>
        <w:ind w:left="0"/>
        <w:jc w:val="left"/>
      </w:pPr>
      <w:r>
        <w:rPr>
          <w:rFonts w:ascii="Times New Roman"/>
          <w:b/>
          <w:i w:val="false"/>
          <w:color w:val="000000"/>
        </w:rPr>
        <w:t xml:space="preserve"> III. ЗАЯВЛЕНИЕ</w:t>
      </w:r>
      <w:r>
        <w:br/>
      </w:r>
      <w:r>
        <w:rPr>
          <w:rFonts w:ascii="Times New Roman"/>
          <w:b/>
          <w:i w:val="false"/>
          <w:color w:val="000000"/>
        </w:rPr>
        <w:t xml:space="preserve"> о внесении изменений в регистрационное досье лекарственного препарата</w:t>
      </w:r>
    </w:p>
    <w:bookmarkEnd w:id="2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247"/>
          <w:p>
            <w:pPr>
              <w:spacing w:after="20"/>
              <w:ind w:left="20"/>
              <w:jc w:val="both"/>
            </w:pPr>
            <w:r>
              <w:rPr>
                <w:rFonts w:ascii="Times New Roman"/>
                <w:b w:val="false"/>
                <w:i w:val="false"/>
                <w:color w:val="000000"/>
                <w:sz w:val="20"/>
              </w:rPr>
              <w:t>
Дата поступления заявления</w:t>
            </w:r>
          </w:p>
          <w:bookmarkEnd w:id="2247"/>
          <w:p>
            <w:pPr>
              <w:spacing w:after="20"/>
              <w:ind w:left="20"/>
              <w:jc w:val="both"/>
            </w:pPr>
            <w:r>
              <w:rPr>
                <w:rFonts w:ascii="Times New Roman"/>
                <w:b w:val="false"/>
                <w:i w:val="false"/>
                <w:color w:val="000000"/>
                <w:sz w:val="20"/>
              </w:rPr>
              <w:t>"__" ______________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248"/>
          <w:p>
            <w:pPr>
              <w:spacing w:after="20"/>
              <w:ind w:left="20"/>
              <w:jc w:val="both"/>
            </w:pPr>
            <w:r>
              <w:rPr>
                <w:rFonts w:ascii="Times New Roman"/>
                <w:b w:val="false"/>
                <w:i w:val="false"/>
                <w:color w:val="000000"/>
                <w:sz w:val="20"/>
              </w:rPr>
              <w:t xml:space="preserve">
Торговые наименования лекарственного препарата </w:t>
            </w:r>
          </w:p>
          <w:bookmarkEnd w:id="2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249"/>
          <w:p>
            <w:pPr>
              <w:spacing w:after="20"/>
              <w:ind w:left="20"/>
              <w:jc w:val="both"/>
            </w:pPr>
            <w:r>
              <w:rPr>
                <w:rFonts w:ascii="Times New Roman"/>
                <w:b w:val="false"/>
                <w:i w:val="false"/>
                <w:color w:val="000000"/>
                <w:sz w:val="20"/>
              </w:rPr>
              <w:t xml:space="preserve">
Активные фармацевтические субстанции </w:t>
            </w:r>
          </w:p>
          <w:bookmarkEnd w:id="2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250"/>
          <w:p>
            <w:pPr>
              <w:spacing w:after="20"/>
              <w:ind w:left="20"/>
              <w:jc w:val="both"/>
            </w:pPr>
            <w:r>
              <w:rPr>
                <w:rFonts w:ascii="Times New Roman"/>
                <w:b w:val="false"/>
                <w:i w:val="false"/>
                <w:color w:val="000000"/>
                <w:sz w:val="20"/>
              </w:rPr>
              <w:t xml:space="preserve">
Дозировки или концентрации </w:t>
            </w:r>
          </w:p>
          <w:bookmarkEnd w:id="2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251"/>
          <w:p>
            <w:pPr>
              <w:spacing w:after="20"/>
              <w:ind w:left="20"/>
              <w:jc w:val="both"/>
            </w:pPr>
            <w:r>
              <w:rPr>
                <w:rFonts w:ascii="Times New Roman"/>
                <w:b w:val="false"/>
                <w:i w:val="false"/>
                <w:color w:val="000000"/>
                <w:sz w:val="20"/>
              </w:rPr>
              <w:t xml:space="preserve">
Лекарственная форма </w:t>
            </w:r>
          </w:p>
          <w:bookmarkEnd w:id="2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252"/>
          <w:p>
            <w:pPr>
              <w:spacing w:after="20"/>
              <w:ind w:left="20"/>
              <w:jc w:val="both"/>
            </w:pPr>
            <w:r>
              <w:rPr>
                <w:rFonts w:ascii="Times New Roman"/>
                <w:b w:val="false"/>
                <w:i w:val="false"/>
                <w:color w:val="000000"/>
                <w:sz w:val="20"/>
              </w:rPr>
              <w:t xml:space="preserve">
Форма выпуска </w:t>
            </w:r>
          </w:p>
          <w:bookmarkEnd w:id="2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253"/>
          <w:p>
            <w:pPr>
              <w:spacing w:after="20"/>
              <w:ind w:left="20"/>
              <w:jc w:val="both"/>
            </w:pPr>
            <w:r>
              <w:rPr>
                <w:rFonts w:ascii="Times New Roman"/>
                <w:b w:val="false"/>
                <w:i w:val="false"/>
                <w:color w:val="000000"/>
                <w:sz w:val="20"/>
              </w:rPr>
              <w:t xml:space="preserve">
Держатель регистрационного удостоверения </w:t>
            </w:r>
          </w:p>
          <w:bookmarkEnd w:id="2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254"/>
          <w:p>
            <w:pPr>
              <w:spacing w:after="20"/>
              <w:ind w:left="20"/>
              <w:jc w:val="both"/>
            </w:pPr>
            <w:r>
              <w:rPr>
                <w:rFonts w:ascii="Times New Roman"/>
                <w:b w:val="false"/>
                <w:i w:val="false"/>
                <w:color w:val="000000"/>
                <w:sz w:val="20"/>
              </w:rPr>
              <w:t xml:space="preserve">
Заявитель </w:t>
            </w:r>
          </w:p>
          <w:bookmarkEnd w:id="2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255"/>
          <w:p>
            <w:pPr>
              <w:spacing w:after="20"/>
              <w:ind w:left="20"/>
              <w:jc w:val="both"/>
            </w:pPr>
            <w:r>
              <w:rPr>
                <w:rFonts w:ascii="Times New Roman"/>
                <w:b w:val="false"/>
                <w:i w:val="false"/>
                <w:color w:val="000000"/>
                <w:sz w:val="20"/>
              </w:rPr>
              <w:t xml:space="preserve">
Представитель заявителя </w:t>
            </w:r>
          </w:p>
          <w:bookmarkEnd w:id="2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256"/>
          <w:p>
            <w:pPr>
              <w:spacing w:after="20"/>
              <w:ind w:left="20"/>
              <w:jc w:val="both"/>
            </w:pPr>
            <w:r>
              <w:rPr>
                <w:rFonts w:ascii="Times New Roman"/>
                <w:b w:val="false"/>
                <w:i w:val="false"/>
                <w:color w:val="000000"/>
                <w:sz w:val="20"/>
              </w:rPr>
              <w:t xml:space="preserve">
Данные регистрационного удостоверения </w:t>
            </w:r>
          </w:p>
          <w:bookmarkEnd w:id="225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257"/>
          <w:p>
            <w:pPr>
              <w:spacing w:after="20"/>
              <w:ind w:left="20"/>
              <w:jc w:val="both"/>
            </w:pPr>
            <w:r>
              <w:rPr>
                <w:rFonts w:ascii="Times New Roman"/>
                <w:b w:val="false"/>
                <w:i w:val="false"/>
                <w:color w:val="000000"/>
                <w:sz w:val="20"/>
              </w:rPr>
              <w:t xml:space="preserve">
номер регистрационного удостоверения </w:t>
            </w:r>
          </w:p>
          <w:bookmarkEnd w:id="2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258"/>
          <w:p>
            <w:pPr>
              <w:spacing w:after="20"/>
              <w:ind w:left="20"/>
              <w:jc w:val="both"/>
            </w:pPr>
            <w:r>
              <w:rPr>
                <w:rFonts w:ascii="Times New Roman"/>
                <w:b w:val="false"/>
                <w:i w:val="false"/>
                <w:color w:val="000000"/>
                <w:sz w:val="20"/>
              </w:rPr>
              <w:t xml:space="preserve">
дата регистрации </w:t>
            </w:r>
          </w:p>
          <w:bookmarkEnd w:id="2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259"/>
          <w:p>
            <w:pPr>
              <w:spacing w:after="20"/>
              <w:ind w:left="20"/>
              <w:jc w:val="both"/>
            </w:pPr>
            <w:r>
              <w:rPr>
                <w:rFonts w:ascii="Times New Roman"/>
                <w:b w:val="false"/>
                <w:i w:val="false"/>
                <w:color w:val="000000"/>
                <w:sz w:val="20"/>
              </w:rPr>
              <w:t xml:space="preserve">
номер нормативного документа по качеству </w:t>
            </w:r>
          </w:p>
          <w:bookmarkEnd w:id="2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9" w:id="2260"/>
    <w:p>
      <w:pPr>
        <w:spacing w:after="0"/>
        <w:ind w:left="0"/>
        <w:jc w:val="both"/>
      </w:pPr>
      <w:r>
        <w:rPr>
          <w:rFonts w:ascii="Times New Roman"/>
          <w:b w:val="false"/>
          <w:i w:val="false"/>
          <w:color w:val="000000"/>
          <w:sz w:val="28"/>
        </w:rPr>
        <w:t>
      Я гарантирую достоверность и несу ответственность за информацию, содержащуюся в представленных документах и данных, включенных в регистрационное досье.</w:t>
      </w:r>
    </w:p>
    <w:bookmarkEnd w:id="2260"/>
    <w:bookmarkStart w:name="z2170" w:id="2261"/>
    <w:p>
      <w:pPr>
        <w:spacing w:after="0"/>
        <w:ind w:left="0"/>
        <w:jc w:val="both"/>
      </w:pPr>
      <w:r>
        <w:rPr>
          <w:rFonts w:ascii="Times New Roman"/>
          <w:b w:val="false"/>
          <w:i w:val="false"/>
          <w:color w:val="000000"/>
          <w:sz w:val="28"/>
        </w:rPr>
        <w:t>
      Я согласен, что в случае непредставления в течение 30 дней документов и данных, необходимых для восполнения регистрационного досье, по замечаниям уполномоченного органа (экспертной организации) референтного государства в рассмотрении данного заявления будет отказано.</w:t>
      </w:r>
    </w:p>
    <w:bookmarkEnd w:id="2261"/>
    <w:bookmarkStart w:name="z2171" w:id="2262"/>
    <w:p>
      <w:pPr>
        <w:spacing w:after="0"/>
        <w:ind w:left="0"/>
        <w:jc w:val="both"/>
      </w:pPr>
      <w:r>
        <w:rPr>
          <w:rFonts w:ascii="Times New Roman"/>
          <w:b w:val="false"/>
          <w:i w:val="false"/>
          <w:color w:val="000000"/>
          <w:sz w:val="28"/>
        </w:rPr>
        <w:t>
      Я подтверждаю, что все данные в составе регистрационного досье получены в установленном порядке и не нарушают права третьих лиц на интеллектуальную собственность (подпункты 5.3 и 5.4 приложения к настоящему заявлению).</w:t>
      </w:r>
    </w:p>
    <w:bookmarkEnd w:id="2262"/>
    <w:bookmarkStart w:name="z2172" w:id="2263"/>
    <w:p>
      <w:pPr>
        <w:spacing w:after="0"/>
        <w:ind w:left="0"/>
        <w:jc w:val="both"/>
      </w:pPr>
      <w:r>
        <w:rPr>
          <w:rFonts w:ascii="Times New Roman"/>
          <w:b w:val="false"/>
          <w:i w:val="false"/>
          <w:color w:val="000000"/>
          <w:sz w:val="28"/>
        </w:rPr>
        <w:t>
      Я также подтверждаю, что все предусмотренные сборы (пошлины) оплачены (будут оплачены) в соответствии с требованиями законодательства.</w:t>
      </w:r>
    </w:p>
    <w:bookmarkEnd w:id="2263"/>
    <w:bookmarkStart w:name="z2173" w:id="2264"/>
    <w:p>
      <w:pPr>
        <w:spacing w:after="0"/>
        <w:ind w:left="0"/>
        <w:jc w:val="both"/>
      </w:pPr>
      <w:r>
        <w:rPr>
          <w:rFonts w:ascii="Times New Roman"/>
          <w:b w:val="false"/>
          <w:i w:val="false"/>
          <w:color w:val="000000"/>
          <w:sz w:val="28"/>
        </w:rPr>
        <w:t>
      Доверенность на осуществление юридически значимых имени держателя регистрационного удостоверения (подпункт 5.1 приложения к настоящему заявлению).</w:t>
      </w:r>
    </w:p>
    <w:bookmarkEnd w:id="2264"/>
    <w:bookmarkStart w:name="z2174" w:id="2265"/>
    <w:p>
      <w:pPr>
        <w:spacing w:after="0"/>
        <w:ind w:left="0"/>
        <w:jc w:val="both"/>
      </w:pPr>
      <w:r>
        <w:rPr>
          <w:rFonts w:ascii="Times New Roman"/>
          <w:b w:val="false"/>
          <w:i w:val="false"/>
          <w:color w:val="000000"/>
          <w:sz w:val="28"/>
        </w:rPr>
        <w:t>
       От имени заявителя</w:t>
      </w:r>
    </w:p>
    <w:bookmarkEnd w:id="2265"/>
    <w:bookmarkStart w:name="z2175" w:id="2266"/>
    <w:p>
      <w:pPr>
        <w:spacing w:after="0"/>
        <w:ind w:left="0"/>
        <w:jc w:val="both"/>
      </w:pPr>
      <w:r>
        <w:rPr>
          <w:rFonts w:ascii="Times New Roman"/>
          <w:b w:val="false"/>
          <w:i w:val="false"/>
          <w:color w:val="000000"/>
          <w:sz w:val="28"/>
        </w:rPr>
        <w:t>
      __________________________</w:t>
      </w:r>
    </w:p>
    <w:bookmarkEnd w:id="2266"/>
    <w:bookmarkStart w:name="z2176" w:id="2267"/>
    <w:p>
      <w:pPr>
        <w:spacing w:after="0"/>
        <w:ind w:left="0"/>
        <w:jc w:val="both"/>
      </w:pPr>
      <w:r>
        <w:rPr>
          <w:rFonts w:ascii="Times New Roman"/>
          <w:b w:val="false"/>
          <w:i w:val="false"/>
          <w:color w:val="000000"/>
          <w:sz w:val="28"/>
        </w:rPr>
        <w:t>
       (подпись)</w:t>
      </w:r>
    </w:p>
    <w:bookmarkEnd w:id="2267"/>
    <w:bookmarkStart w:name="z2177" w:id="2268"/>
    <w:p>
      <w:pPr>
        <w:spacing w:after="0"/>
        <w:ind w:left="0"/>
        <w:jc w:val="both"/>
      </w:pPr>
      <w:r>
        <w:rPr>
          <w:rFonts w:ascii="Times New Roman"/>
          <w:b w:val="false"/>
          <w:i w:val="false"/>
          <w:color w:val="000000"/>
          <w:sz w:val="28"/>
        </w:rPr>
        <w:t>
      __________________________</w:t>
      </w:r>
    </w:p>
    <w:bookmarkEnd w:id="2268"/>
    <w:bookmarkStart w:name="z2178" w:id="2269"/>
    <w:p>
      <w:pPr>
        <w:spacing w:after="0"/>
        <w:ind w:left="0"/>
        <w:jc w:val="both"/>
      </w:pPr>
      <w:r>
        <w:rPr>
          <w:rFonts w:ascii="Times New Roman"/>
          <w:b w:val="false"/>
          <w:i w:val="false"/>
          <w:color w:val="000000"/>
          <w:sz w:val="28"/>
        </w:rPr>
        <w:t>
       (фамилия, имя, отчество)</w:t>
      </w:r>
    </w:p>
    <w:bookmarkEnd w:id="2269"/>
    <w:bookmarkStart w:name="z2179" w:id="2270"/>
    <w:p>
      <w:pPr>
        <w:spacing w:after="0"/>
        <w:ind w:left="0"/>
        <w:jc w:val="both"/>
      </w:pPr>
      <w:r>
        <w:rPr>
          <w:rFonts w:ascii="Times New Roman"/>
          <w:b w:val="false"/>
          <w:i w:val="false"/>
          <w:color w:val="000000"/>
          <w:sz w:val="28"/>
        </w:rPr>
        <w:t>
      __________________________</w:t>
      </w:r>
    </w:p>
    <w:bookmarkEnd w:id="2270"/>
    <w:bookmarkStart w:name="z2180" w:id="2271"/>
    <w:p>
      <w:pPr>
        <w:spacing w:after="0"/>
        <w:ind w:left="0"/>
        <w:jc w:val="both"/>
      </w:pPr>
      <w:r>
        <w:rPr>
          <w:rFonts w:ascii="Times New Roman"/>
          <w:b w:val="false"/>
          <w:i w:val="false"/>
          <w:color w:val="000000"/>
          <w:sz w:val="28"/>
        </w:rPr>
        <w:t>
       (должность)</w:t>
      </w:r>
    </w:p>
    <w:bookmarkEnd w:id="2271"/>
    <w:bookmarkStart w:name="z2181" w:id="2272"/>
    <w:p>
      <w:pPr>
        <w:spacing w:after="0"/>
        <w:ind w:left="0"/>
        <w:jc w:val="both"/>
      </w:pPr>
      <w:r>
        <w:rPr>
          <w:rFonts w:ascii="Times New Roman"/>
          <w:b w:val="false"/>
          <w:i w:val="false"/>
          <w:color w:val="000000"/>
          <w:sz w:val="28"/>
        </w:rPr>
        <w:t xml:space="preserve">
       </w:t>
      </w:r>
    </w:p>
    <w:bookmarkEnd w:id="2272"/>
    <w:bookmarkStart w:name="z2182" w:id="2273"/>
    <w:p>
      <w:pPr>
        <w:spacing w:after="0"/>
        <w:ind w:left="0"/>
        <w:jc w:val="both"/>
      </w:pPr>
      <w:r>
        <w:rPr>
          <w:rFonts w:ascii="Times New Roman"/>
          <w:b w:val="false"/>
          <w:i w:val="false"/>
          <w:color w:val="000000"/>
          <w:sz w:val="28"/>
        </w:rPr>
        <w:t>
       М.П.</w:t>
      </w:r>
    </w:p>
    <w:bookmarkEnd w:id="2273"/>
    <w:bookmarkStart w:name="z2183" w:id="2274"/>
    <w:p>
      <w:pPr>
        <w:spacing w:after="0"/>
        <w:ind w:left="0"/>
        <w:jc w:val="both"/>
      </w:pPr>
      <w:r>
        <w:rPr>
          <w:rFonts w:ascii="Times New Roman"/>
          <w:b w:val="false"/>
          <w:i w:val="false"/>
          <w:color w:val="000000"/>
          <w:sz w:val="28"/>
        </w:rPr>
        <w:t xml:space="preserve">
       </w:t>
      </w:r>
    </w:p>
    <w:bookmarkEnd w:id="2274"/>
    <w:bookmarkStart w:name="z2184" w:id="2275"/>
    <w:p>
      <w:pPr>
        <w:spacing w:after="0"/>
        <w:ind w:left="0"/>
        <w:jc w:val="left"/>
      </w:pPr>
      <w:r>
        <w:rPr>
          <w:rFonts w:ascii="Times New Roman"/>
          <w:b/>
          <w:i w:val="false"/>
          <w:color w:val="000000"/>
        </w:rPr>
        <w:t xml:space="preserve"> 1. Общие пункты заявления</w:t>
      </w:r>
    </w:p>
    <w:bookmarkEnd w:id="2275"/>
    <w:bookmarkStart w:name="z2185" w:id="2276"/>
    <w:p>
      <w:pPr>
        <w:spacing w:after="0"/>
        <w:ind w:left="0"/>
        <w:jc w:val="both"/>
      </w:pPr>
      <w:r>
        <w:rPr>
          <w:rFonts w:ascii="Times New Roman"/>
          <w:b w:val="false"/>
          <w:i w:val="false"/>
          <w:color w:val="000000"/>
          <w:sz w:val="28"/>
        </w:rPr>
        <w:t>
      1.1. Это заявление подается в соответствии с нижеследующим.</w:t>
      </w:r>
    </w:p>
    <w:bookmarkEnd w:id="2276"/>
    <w:bookmarkStart w:name="z2186" w:id="2277"/>
    <w:p>
      <w:pPr>
        <w:spacing w:after="0"/>
        <w:ind w:left="0"/>
        <w:jc w:val="both"/>
      </w:pPr>
      <w:r>
        <w:rPr>
          <w:rFonts w:ascii="Times New Roman"/>
          <w:b w:val="false"/>
          <w:i w:val="false"/>
          <w:color w:val="000000"/>
          <w:sz w:val="28"/>
        </w:rPr>
        <w:t>
      1.1.1. Заявление подано по процедуре взаимного признания:</w:t>
      </w:r>
    </w:p>
    <w:bookmarkEnd w:id="2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278"/>
          <w:p>
            <w:pPr>
              <w:spacing w:after="20"/>
              <w:ind w:left="20"/>
              <w:jc w:val="both"/>
            </w:pPr>
            <w:r>
              <w:rPr>
                <w:rFonts w:ascii="Times New Roman"/>
                <w:b w:val="false"/>
                <w:i w:val="false"/>
                <w:color w:val="000000"/>
                <w:sz w:val="20"/>
              </w:rPr>
              <w:t xml:space="preserve">
референтное государство </w:t>
            </w:r>
          </w:p>
          <w:bookmarkEnd w:id="2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279"/>
          <w:p>
            <w:pPr>
              <w:spacing w:after="20"/>
              <w:ind w:left="20"/>
              <w:jc w:val="both"/>
            </w:pPr>
            <w:r>
              <w:rPr>
                <w:rFonts w:ascii="Times New Roman"/>
                <w:b w:val="false"/>
                <w:i w:val="false"/>
                <w:color w:val="000000"/>
                <w:sz w:val="20"/>
              </w:rPr>
              <w:t xml:space="preserve">
торговое наименование в референтном государстве </w:t>
            </w:r>
          </w:p>
          <w:bookmarkEnd w:id="2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280"/>
          <w:p>
            <w:pPr>
              <w:spacing w:after="20"/>
              <w:ind w:left="20"/>
              <w:jc w:val="both"/>
            </w:pPr>
            <w:r>
              <w:rPr>
                <w:rFonts w:ascii="Times New Roman"/>
                <w:b w:val="false"/>
                <w:i w:val="false"/>
                <w:color w:val="000000"/>
                <w:sz w:val="20"/>
              </w:rPr>
              <w:t xml:space="preserve">
дата регистрации </w:t>
            </w:r>
          </w:p>
          <w:bookmarkEnd w:id="2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281"/>
          <w:p>
            <w:pPr>
              <w:spacing w:after="20"/>
              <w:ind w:left="20"/>
              <w:jc w:val="both"/>
            </w:pPr>
            <w:r>
              <w:rPr>
                <w:rFonts w:ascii="Times New Roman"/>
                <w:b w:val="false"/>
                <w:i w:val="false"/>
                <w:color w:val="000000"/>
                <w:sz w:val="20"/>
              </w:rPr>
              <w:t xml:space="preserve">
номер регистрационного удостоверения </w:t>
            </w:r>
          </w:p>
          <w:bookmarkEnd w:id="2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282"/>
          <w:p>
            <w:pPr>
              <w:spacing w:after="20"/>
              <w:ind w:left="20"/>
              <w:jc w:val="both"/>
            </w:pPr>
            <w:r>
              <w:rPr>
                <w:rFonts w:ascii="Times New Roman"/>
                <w:b w:val="false"/>
                <w:i w:val="false"/>
                <w:color w:val="000000"/>
                <w:sz w:val="20"/>
              </w:rPr>
              <w:t xml:space="preserve">
копия регистрационного удостоверения </w:t>
            </w:r>
          </w:p>
          <w:bookmarkEnd w:id="2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283"/>
          <w:p>
            <w:pPr>
              <w:spacing w:after="20"/>
              <w:ind w:left="20"/>
              <w:jc w:val="both"/>
            </w:pPr>
            <w:r>
              <w:rPr>
                <w:rFonts w:ascii="Times New Roman"/>
                <w:b w:val="false"/>
                <w:i w:val="false"/>
                <w:color w:val="000000"/>
                <w:sz w:val="20"/>
              </w:rPr>
              <w:t xml:space="preserve">
идентификационный номер заявления </w:t>
            </w:r>
          </w:p>
          <w:bookmarkEnd w:id="2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284"/>
          <w:p>
            <w:pPr>
              <w:spacing w:after="20"/>
              <w:ind w:left="20"/>
              <w:jc w:val="both"/>
            </w:pPr>
            <w:r>
              <w:rPr>
                <w:rFonts w:ascii="Times New Roman"/>
                <w:b w:val="false"/>
                <w:i w:val="false"/>
                <w:color w:val="000000"/>
                <w:sz w:val="20"/>
              </w:rPr>
              <w:t xml:space="preserve">
иные государства - члены Евразийского экономического союза для подачи заявления (при наличии) </w:t>
            </w:r>
          </w:p>
          <w:bookmarkEnd w:id="2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285"/>
          <w:p>
            <w:pPr>
              <w:spacing w:after="20"/>
              <w:ind w:left="20"/>
              <w:jc w:val="both"/>
            </w:pPr>
            <w:r>
              <w:rPr>
                <w:rFonts w:ascii="Times New Roman"/>
                <w:b w:val="false"/>
                <w:i w:val="false"/>
                <w:color w:val="000000"/>
                <w:sz w:val="20"/>
              </w:rPr>
              <w:t xml:space="preserve">
торговые наименования в государствах признания (в случае отличия торгового наименования от зарегистрированного в референтном государстве) </w:t>
            </w:r>
          </w:p>
          <w:bookmarkEnd w:id="2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5" w:id="2286"/>
    <w:p>
      <w:pPr>
        <w:spacing w:after="0"/>
        <w:ind w:left="0"/>
        <w:jc w:val="both"/>
      </w:pPr>
      <w:r>
        <w:rPr>
          <w:rFonts w:ascii="Times New Roman"/>
          <w:b w:val="false"/>
          <w:i w:val="false"/>
          <w:color w:val="000000"/>
          <w:sz w:val="28"/>
        </w:rPr>
        <w:t>
      1.1.2. Заявление подано по децентрализованной процедуре:</w:t>
      </w:r>
    </w:p>
    <w:bookmarkEnd w:id="2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287"/>
          <w:p>
            <w:pPr>
              <w:spacing w:after="20"/>
              <w:ind w:left="20"/>
              <w:jc w:val="both"/>
            </w:pPr>
            <w:r>
              <w:rPr>
                <w:rFonts w:ascii="Times New Roman"/>
                <w:b w:val="false"/>
                <w:i w:val="false"/>
                <w:color w:val="000000"/>
                <w:sz w:val="20"/>
              </w:rPr>
              <w:t xml:space="preserve">
идентификационный номер заявления </w:t>
            </w:r>
          </w:p>
          <w:bookmarkEnd w:id="2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288"/>
          <w:p>
            <w:pPr>
              <w:spacing w:after="20"/>
              <w:ind w:left="20"/>
              <w:jc w:val="both"/>
            </w:pPr>
            <w:r>
              <w:rPr>
                <w:rFonts w:ascii="Times New Roman"/>
                <w:b w:val="false"/>
                <w:i w:val="false"/>
                <w:color w:val="000000"/>
                <w:sz w:val="20"/>
              </w:rPr>
              <w:t xml:space="preserve">
референтное государство </w:t>
            </w:r>
          </w:p>
          <w:bookmarkEnd w:id="2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289"/>
          <w:p>
            <w:pPr>
              <w:spacing w:after="20"/>
              <w:ind w:left="20"/>
              <w:jc w:val="both"/>
            </w:pPr>
            <w:r>
              <w:rPr>
                <w:rFonts w:ascii="Times New Roman"/>
                <w:b w:val="false"/>
                <w:i w:val="false"/>
                <w:color w:val="000000"/>
                <w:sz w:val="20"/>
              </w:rPr>
              <w:t xml:space="preserve">
торговое наименование в референтном государстве </w:t>
            </w:r>
          </w:p>
          <w:bookmarkEnd w:id="2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290"/>
          <w:p>
            <w:pPr>
              <w:spacing w:after="20"/>
              <w:ind w:left="20"/>
              <w:jc w:val="both"/>
            </w:pPr>
            <w:r>
              <w:rPr>
                <w:rFonts w:ascii="Times New Roman"/>
                <w:b w:val="false"/>
                <w:i w:val="false"/>
                <w:color w:val="000000"/>
                <w:sz w:val="20"/>
              </w:rPr>
              <w:t xml:space="preserve">
государства признания для подачи заявления </w:t>
            </w:r>
          </w:p>
          <w:bookmarkEnd w:id="2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291"/>
          <w:p>
            <w:pPr>
              <w:spacing w:after="20"/>
              <w:ind w:left="20"/>
              <w:jc w:val="both"/>
            </w:pPr>
            <w:r>
              <w:rPr>
                <w:rFonts w:ascii="Times New Roman"/>
                <w:b w:val="false"/>
                <w:i w:val="false"/>
                <w:color w:val="000000"/>
                <w:sz w:val="20"/>
              </w:rPr>
              <w:t xml:space="preserve">
торговые наименования в государствах признания (в случае различий торговых наименований с референтным государством) </w:t>
            </w:r>
          </w:p>
          <w:bookmarkEnd w:id="2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1" w:id="2292"/>
    <w:p>
      <w:pPr>
        <w:spacing w:after="0"/>
        <w:ind w:left="0"/>
        <w:jc w:val="both"/>
      </w:pPr>
      <w:r>
        <w:rPr>
          <w:rFonts w:ascii="Times New Roman"/>
          <w:b w:val="false"/>
          <w:i w:val="false"/>
          <w:color w:val="000000"/>
          <w:sz w:val="28"/>
        </w:rPr>
        <w:t>
      Примечание. Раздел должен быть заполнен для любого заявления, включая заявления, на которые есть ссылки в этом разделе.</w:t>
      </w:r>
    </w:p>
    <w:bookmarkEnd w:id="2292"/>
    <w:bookmarkStart w:name="z2202" w:id="2293"/>
    <w:p>
      <w:pPr>
        <w:spacing w:after="0"/>
        <w:ind w:left="0"/>
        <w:jc w:val="left"/>
      </w:pPr>
      <w:r>
        <w:rPr>
          <w:rFonts w:ascii="Times New Roman"/>
          <w:b/>
          <w:i w:val="false"/>
          <w:color w:val="000000"/>
        </w:rPr>
        <w:t xml:space="preserve">  2. Вносимые изменения</w:t>
      </w:r>
    </w:p>
    <w:bookmarkEnd w:id="2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294"/>
          <w:p>
            <w:pPr>
              <w:spacing w:after="20"/>
              <w:ind w:left="20"/>
              <w:jc w:val="both"/>
            </w:pPr>
            <w:r>
              <w:rPr>
                <w:rFonts w:ascii="Times New Roman"/>
                <w:b w:val="false"/>
                <w:i w:val="false"/>
                <w:color w:val="000000"/>
                <w:sz w:val="20"/>
              </w:rPr>
              <w:t>
№</w:t>
            </w:r>
          </w:p>
          <w:bookmarkEnd w:id="2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295"/>
          <w:p>
            <w:pPr>
              <w:spacing w:after="20"/>
              <w:ind w:left="20"/>
              <w:jc w:val="both"/>
            </w:pPr>
          </w:p>
          <w:bookmarkEnd w:id="2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296"/>
          <w:p>
            <w:pPr>
              <w:spacing w:after="20"/>
              <w:ind w:left="20"/>
              <w:jc w:val="both"/>
            </w:pPr>
          </w:p>
          <w:bookmarkEnd w:id="2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297"/>
          <w:p>
            <w:pPr>
              <w:spacing w:after="20"/>
              <w:ind w:left="20"/>
              <w:jc w:val="both"/>
            </w:pPr>
            <w:r>
              <w:rPr>
                <w:rFonts w:ascii="Times New Roman"/>
                <w:b w:val="false"/>
                <w:i w:val="false"/>
                <w:color w:val="000000"/>
                <w:sz w:val="20"/>
              </w:rPr>
              <w:t xml:space="preserve">
... </w:t>
            </w:r>
          </w:p>
          <w:bookmarkEnd w:id="2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7" w:id="2298"/>
    <w:p>
      <w:pPr>
        <w:spacing w:after="0"/>
        <w:ind w:left="0"/>
        <w:jc w:val="both"/>
      </w:pPr>
      <w:r>
        <w:rPr>
          <w:rFonts w:ascii="Times New Roman"/>
          <w:b w:val="false"/>
          <w:i w:val="false"/>
          <w:color w:val="000000"/>
          <w:sz w:val="28"/>
        </w:rPr>
        <w:t>
      В случае представления заявления на соответствующий ниже приведенный тип лекарственного препарата, оставшиеся разделы заявления, касающиеся других типов лекарственных препаратов, не заполняются.</w:t>
      </w:r>
    </w:p>
    <w:bookmarkEnd w:id="2298"/>
    <w:bookmarkStart w:name="z2208" w:id="2299"/>
    <w:p>
      <w:pPr>
        <w:spacing w:after="0"/>
        <w:ind w:left="0"/>
        <w:jc w:val="both"/>
      </w:pPr>
      <w:r>
        <w:rPr>
          <w:rFonts w:ascii="Times New Roman"/>
          <w:b w:val="false"/>
          <w:i w:val="false"/>
          <w:color w:val="000000"/>
          <w:sz w:val="28"/>
        </w:rPr>
        <w:t xml:space="preserve">
      </w:t>
      </w:r>
    </w:p>
    <w:bookmarkEnd w:id="2299"/>
    <w:p>
      <w:pPr>
        <w:spacing w:after="0"/>
        <w:ind w:left="0"/>
        <w:jc w:val="both"/>
      </w:pPr>
      <w:r>
        <w:t>[MISSING IMAGE: ,  ]</w:t>
      </w:r>
    </w:p>
    <w:p>
      <w:pPr>
        <w:spacing w:after="0"/>
        <w:ind w:left="0"/>
        <w:jc w:val="left"/>
      </w:pPr>
      <w:r>
        <w:rPr>
          <w:rFonts w:ascii="Times New Roman"/>
          <w:b w:val="false"/>
          <w:i w:val="false"/>
          <w:color w:val="000000"/>
          <w:sz w:val="28"/>
        </w:rPr>
        <w:t>ОРИГИНАЛЬНЫЙ ЛЕКАРСТВЕННЫЙ ПРЕПАРАТ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300"/>
          <w:p>
            <w:pPr>
              <w:spacing w:after="20"/>
              <w:ind w:left="20"/>
              <w:jc w:val="both"/>
            </w:pPr>
          </w:p>
          <w:bookmarkEnd w:id="2300"/>
          <w:p>
            <w:pPr>
              <w:spacing w:after="20"/>
              <w:ind w:left="20"/>
              <w:jc w:val="both"/>
            </w:pPr>
            <w:r>
              <w:t>[MISSING IMAGE: ,  ]</w:t>
            </w:r>
          </w:p>
          <w:p>
            <w:pPr>
              <w:spacing w:after="0"/>
              <w:ind w:left="0"/>
              <w:jc w:val="both"/>
            </w:pPr>
            <w:r>
              <w:rPr>
                <w:rFonts w:ascii="Times New Roman"/>
                <w:b w:val="false"/>
                <w:i w:val="false"/>
                <w:color w:val="000000"/>
                <w:sz w:val="20"/>
              </w:rPr>
              <w:t xml:space="preserve">биологический лекарственный препарат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другой лекарственный препарат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301"/>
          <w:p>
            <w:pPr>
              <w:spacing w:after="20"/>
              <w:ind w:left="20"/>
              <w:jc w:val="both"/>
            </w:pPr>
          </w:p>
          <w:bookmarkEnd w:id="2301"/>
          <w:p>
            <w:pPr>
              <w:spacing w:after="20"/>
              <w:ind w:left="20"/>
              <w:jc w:val="both"/>
            </w:pPr>
            <w:r>
              <w:t>[MISSING IMAGE: ,  ]</w:t>
            </w:r>
          </w:p>
          <w:p>
            <w:pPr>
              <w:spacing w:after="0"/>
              <w:ind w:left="0"/>
              <w:jc w:val="both"/>
            </w:pPr>
            <w:r>
              <w:rPr>
                <w:rFonts w:ascii="Times New Roman"/>
                <w:b w:val="false"/>
                <w:i w:val="false"/>
                <w:color w:val="000000"/>
                <w:sz w:val="20"/>
              </w:rPr>
              <w:t xml:space="preserve">новая активная фармацевтическая субстанция (далее - АФС)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302"/>
          <w:p>
            <w:pPr>
              <w:spacing w:after="20"/>
              <w:ind w:left="20"/>
              <w:jc w:val="both"/>
            </w:pPr>
            <w:r>
              <w:rPr>
                <w:rFonts w:ascii="Times New Roman"/>
                <w:b w:val="false"/>
                <w:i w:val="false"/>
                <w:color w:val="000000"/>
                <w:sz w:val="20"/>
              </w:rPr>
              <w:t xml:space="preserve">
Примечание. Сведения об АФС в едином реестре зарегистрированных лекарственных средств Евразийского экономического союза или в соответствующих национальных реестрах государств - членов Евразийского экономического союза отсутствуют. </w:t>
            </w:r>
          </w:p>
          <w:bookmarkEnd w:id="23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303"/>
          <w:p>
            <w:pPr>
              <w:spacing w:after="20"/>
              <w:ind w:left="20"/>
              <w:jc w:val="both"/>
            </w:pPr>
          </w:p>
          <w:bookmarkEnd w:id="2303"/>
          <w:p>
            <w:pPr>
              <w:spacing w:after="20"/>
              <w:ind w:left="20"/>
              <w:jc w:val="both"/>
            </w:pPr>
            <w:r>
              <w:t>[MISSING IMAGE: ,  ]</w:t>
            </w:r>
          </w:p>
          <w:p>
            <w:pPr>
              <w:spacing w:after="0"/>
              <w:ind w:left="0"/>
              <w:jc w:val="both"/>
            </w:pPr>
            <w:r>
              <w:rPr>
                <w:rFonts w:ascii="Times New Roman"/>
                <w:b w:val="false"/>
                <w:i w:val="false"/>
                <w:color w:val="000000"/>
                <w:sz w:val="20"/>
              </w:rPr>
              <w:t xml:space="preserve">известная АФС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304"/>
          <w:p>
            <w:pPr>
              <w:spacing w:after="20"/>
              <w:ind w:left="20"/>
              <w:jc w:val="both"/>
            </w:pPr>
            <w:r>
              <w:rPr>
                <w:rFonts w:ascii="Times New Roman"/>
                <w:b w:val="false"/>
                <w:i w:val="false"/>
                <w:color w:val="000000"/>
                <w:sz w:val="20"/>
              </w:rPr>
              <w:t xml:space="preserve">
Примечание. Сведения об АФС в едином реестре зарегистрированных лекарственных средств Евразийского экономического союза или в соответствующих национальных реестрах государств - членов Евразийского экономического союза имеются. </w:t>
            </w:r>
          </w:p>
          <w:bookmarkEnd w:id="2304"/>
        </w:tc>
      </w:tr>
    </w:tbl>
    <w:bookmarkStart w:name="z2214" w:id="2305"/>
    <w:p>
      <w:pPr>
        <w:spacing w:after="0"/>
        <w:ind w:left="0"/>
        <w:jc w:val="both"/>
      </w:pPr>
      <w:r>
        <w:rPr>
          <w:rFonts w:ascii="Times New Roman"/>
          <w:b w:val="false"/>
          <w:i w:val="false"/>
          <w:color w:val="000000"/>
          <w:sz w:val="28"/>
        </w:rPr>
        <w:t xml:space="preserve">
      </w:t>
      </w:r>
    </w:p>
    <w:bookmarkEnd w:id="2305"/>
    <w:p>
      <w:pPr>
        <w:spacing w:after="0"/>
        <w:ind w:left="0"/>
        <w:jc w:val="both"/>
      </w:pPr>
      <w:r>
        <w:t>[MISSING IMAGE: ,  ]</w:t>
      </w:r>
    </w:p>
    <w:p>
      <w:pPr>
        <w:spacing w:after="0"/>
        <w:ind w:left="0"/>
        <w:jc w:val="left"/>
      </w:pPr>
      <w:r>
        <w:rPr>
          <w:rFonts w:ascii="Times New Roman"/>
          <w:b w:val="false"/>
          <w:i w:val="false"/>
          <w:color w:val="000000"/>
          <w:sz w:val="28"/>
        </w:rPr>
        <w:t>ВОСПРОИЗВЕДЕННЫЙ ЛЕКАРСТВЕННЫЙ ПРЕПАРАТ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306"/>
          <w:p>
            <w:pPr>
              <w:spacing w:after="20"/>
              <w:ind w:left="20"/>
              <w:jc w:val="both"/>
            </w:pPr>
          </w:p>
          <w:bookmarkEnd w:id="2306"/>
          <w:p>
            <w:pPr>
              <w:spacing w:after="20"/>
              <w:ind w:left="20"/>
              <w:jc w:val="both"/>
            </w:pPr>
            <w:r>
              <w:t>[MISSING IMAGE: ,  ]</w:t>
            </w:r>
          </w:p>
          <w:p>
            <w:pPr>
              <w:spacing w:after="0"/>
              <w:ind w:left="0"/>
              <w:jc w:val="both"/>
            </w:pPr>
            <w:r>
              <w:rPr>
                <w:rFonts w:ascii="Times New Roman"/>
                <w:b w:val="false"/>
                <w:i w:val="false"/>
                <w:color w:val="000000"/>
                <w:sz w:val="20"/>
              </w:rPr>
              <w:t>однокомпонентный</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многокомпонентный</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307"/>
          <w:p>
            <w:pPr>
              <w:spacing w:after="20"/>
              <w:ind w:left="20"/>
              <w:jc w:val="both"/>
            </w:pPr>
            <w:r>
              <w:rPr>
                <w:rFonts w:ascii="Times New Roman"/>
                <w:b w:val="false"/>
                <w:i w:val="false"/>
                <w:color w:val="000000"/>
                <w:sz w:val="20"/>
              </w:rPr>
              <w:t xml:space="preserve">
Оригинальный лекарственный препарат: </w:t>
            </w:r>
          </w:p>
          <w:bookmarkEnd w:id="2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308"/>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2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309"/>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2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310"/>
          <w:p>
            <w:pPr>
              <w:spacing w:after="20"/>
              <w:ind w:left="20"/>
              <w:jc w:val="both"/>
            </w:pPr>
            <w:r>
              <w:rPr>
                <w:rFonts w:ascii="Times New Roman"/>
                <w:b w:val="false"/>
                <w:i w:val="false"/>
                <w:color w:val="000000"/>
                <w:sz w:val="20"/>
              </w:rPr>
              <w:t xml:space="preserve">
Референтный лекарственный препарат, который использовался в исследованиях эквивалентности (если таковые проводились): </w:t>
            </w:r>
          </w:p>
          <w:bookmarkEnd w:id="2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311"/>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2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312"/>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референтный лекарственный препарат </w:t>
            </w:r>
          </w:p>
          <w:bookmarkEnd w:id="2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313"/>
          <w:p>
            <w:pPr>
              <w:spacing w:after="20"/>
              <w:ind w:left="20"/>
              <w:jc w:val="both"/>
            </w:pPr>
            <w:r>
              <w:rPr>
                <w:rFonts w:ascii="Times New Roman"/>
                <w:b w:val="false"/>
                <w:i w:val="false"/>
                <w:color w:val="000000"/>
                <w:sz w:val="20"/>
              </w:rPr>
              <w:t xml:space="preserve">
привести обоснования использования референтного препарата при его отличии от оригинального препарата </w:t>
            </w:r>
          </w:p>
          <w:bookmarkEnd w:id="2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314"/>
          <w:p>
            <w:pPr>
              <w:spacing w:after="20"/>
              <w:ind w:left="20"/>
              <w:jc w:val="both"/>
            </w:pPr>
            <w:r>
              <w:rPr>
                <w:rFonts w:ascii="Times New Roman"/>
                <w:b w:val="false"/>
                <w:i w:val="false"/>
                <w:color w:val="000000"/>
                <w:sz w:val="20"/>
              </w:rPr>
              <w:t xml:space="preserve">
наличие рекомендаций Экспертного комитета по лекарственным средствам по выбору референтного лекарственного препарата </w:t>
            </w:r>
          </w:p>
          <w:bookmarkEnd w:id="2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2315"/>
    <w:p>
      <w:pPr>
        <w:spacing w:after="0"/>
        <w:ind w:left="0"/>
        <w:jc w:val="both"/>
      </w:pPr>
      <w:r>
        <w:rPr>
          <w:rFonts w:ascii="Times New Roman"/>
          <w:b w:val="false"/>
          <w:i w:val="false"/>
          <w:color w:val="000000"/>
          <w:sz w:val="28"/>
        </w:rPr>
        <w:t>
      Примечание. Раздел необходимо заполнять для каждого лекарственного препарата, который использовался в исследованиях эквивалентности.</w:t>
      </w:r>
    </w:p>
    <w:bookmarkEnd w:id="2315"/>
    <w:bookmarkStart w:name="z2225" w:id="2316"/>
    <w:p>
      <w:pPr>
        <w:spacing w:after="0"/>
        <w:ind w:left="0"/>
        <w:jc w:val="both"/>
      </w:pPr>
      <w:r>
        <w:rPr>
          <w:rFonts w:ascii="Times New Roman"/>
          <w:b w:val="false"/>
          <w:i w:val="false"/>
          <w:color w:val="000000"/>
          <w:sz w:val="28"/>
        </w:rPr>
        <w:t xml:space="preserve">
      </w:t>
      </w:r>
    </w:p>
    <w:bookmarkEnd w:id="2316"/>
    <w:p>
      <w:pPr>
        <w:spacing w:after="0"/>
        <w:ind w:left="0"/>
        <w:jc w:val="both"/>
      </w:pPr>
      <w:r>
        <w:t>[MISSING IMAGE: ,  ]</w:t>
      </w:r>
    </w:p>
    <w:p>
      <w:pPr>
        <w:spacing w:after="0"/>
        <w:ind w:left="0"/>
        <w:jc w:val="left"/>
      </w:pPr>
      <w:r>
        <w:rPr>
          <w:rFonts w:ascii="Times New Roman"/>
          <w:b w:val="false"/>
          <w:i w:val="false"/>
          <w:color w:val="000000"/>
          <w:sz w:val="28"/>
        </w:rPr>
        <w:t>БИОПОДОБНЫЙ ЛЕКАРСТВЕННЫЙ ПРЕПАРАТ (БИОАНАЛОГ)</w:t>
      </w:r>
      <w:r>
        <w:br/>
      </w:r>
      <w:r>
        <w:rPr>
          <w:rFonts w:ascii="Times New Roman"/>
          <w:b w:val="false"/>
          <w:i w:val="false"/>
          <w:color w:val="000000"/>
          <w:sz w:val="28"/>
        </w:rPr>
        <w:t>
</w:t>
      </w:r>
    </w:p>
    <w:bookmarkStart w:name="z2226" w:id="2317"/>
    <w:p>
      <w:pPr>
        <w:spacing w:after="0"/>
        <w:ind w:left="0"/>
        <w:jc w:val="both"/>
      </w:pPr>
      <w:r>
        <w:rPr>
          <w:rFonts w:ascii="Times New Roman"/>
          <w:b w:val="false"/>
          <w:i w:val="false"/>
          <w:color w:val="000000"/>
          <w:sz w:val="28"/>
        </w:rPr>
        <w:t>
      Оригинальный биологический лекарственный препарат:</w:t>
      </w:r>
    </w:p>
    <w:bookmarkEnd w:id="2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318"/>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2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319"/>
          <w:p>
            <w:pPr>
              <w:spacing w:after="20"/>
              <w:ind w:left="20"/>
              <w:jc w:val="both"/>
            </w:pPr>
            <w:r>
              <w:rPr>
                <w:rFonts w:ascii="Times New Roman"/>
                <w:b w:val="false"/>
                <w:i w:val="false"/>
                <w:color w:val="000000"/>
                <w:sz w:val="20"/>
              </w:rPr>
              <w:t xml:space="preserve">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2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9" w:id="2320"/>
    <w:p>
      <w:pPr>
        <w:spacing w:after="0"/>
        <w:ind w:left="0"/>
        <w:jc w:val="both"/>
      </w:pPr>
      <w:r>
        <w:rPr>
          <w:rFonts w:ascii="Times New Roman"/>
          <w:b w:val="false"/>
          <w:i w:val="false"/>
          <w:color w:val="000000"/>
          <w:sz w:val="28"/>
        </w:rPr>
        <w:t>
      Референтный биологический лекарственный препарат:</w:t>
      </w:r>
    </w:p>
    <w:bookmarkEnd w:id="2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321"/>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2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322"/>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государства - члены Евразийского экономического союза, где зарегистрирован референтный лекарственный препарат </w:t>
            </w:r>
          </w:p>
          <w:bookmarkEnd w:id="2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323"/>
          <w:p>
            <w:pPr>
              <w:spacing w:after="20"/>
              <w:ind w:left="20"/>
              <w:jc w:val="both"/>
            </w:pPr>
            <w:r>
              <w:rPr>
                <w:rFonts w:ascii="Times New Roman"/>
                <w:b w:val="false"/>
                <w:i w:val="false"/>
                <w:color w:val="000000"/>
                <w:sz w:val="20"/>
              </w:rPr>
              <w:t xml:space="preserve">
наличие рекомендаций Экспертного комитета по лекарственным средствам по вопросу выбора референтного лекарственного препарата </w:t>
            </w:r>
          </w:p>
          <w:bookmarkEnd w:id="2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324"/>
          <w:p>
            <w:pPr>
              <w:spacing w:after="20"/>
              <w:ind w:left="20"/>
              <w:jc w:val="both"/>
            </w:pPr>
            <w:r>
              <w:rPr>
                <w:rFonts w:ascii="Times New Roman"/>
                <w:b w:val="false"/>
                <w:i w:val="false"/>
                <w:color w:val="000000"/>
                <w:sz w:val="20"/>
              </w:rPr>
              <w:t xml:space="preserve">
различия по сравнению с референтным биологическим лекарственным препаратом (при наличии): </w:t>
            </w:r>
          </w:p>
          <w:bookmarkEnd w:id="2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различия в исходных материалах</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различия в производственном процессе</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другие показания к применению</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различия в лекарственной форме</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другие дозировки (количественные изменения АФС)</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другой способ введения</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другие отличия: _________ </w:t>
            </w:r>
          </w:p>
          <w:p>
            <w:pPr>
              <w:spacing w:after="20"/>
              <w:ind w:left="20"/>
              <w:jc w:val="both"/>
            </w:pPr>
          </w:p>
          <w:p>
            <w:pPr>
              <w:spacing w:after="20"/>
              <w:ind w:left="20"/>
              <w:jc w:val="both"/>
            </w:pPr>
          </w:p>
        </w:tc>
      </w:tr>
    </w:tbl>
    <w:bookmarkStart w:name="z2234" w:id="2325"/>
    <w:p>
      <w:pPr>
        <w:spacing w:after="0"/>
        <w:ind w:left="0"/>
        <w:jc w:val="both"/>
      </w:pPr>
      <w:r>
        <w:rPr>
          <w:rFonts w:ascii="Times New Roman"/>
          <w:b w:val="false"/>
          <w:i w:val="false"/>
          <w:color w:val="000000"/>
          <w:sz w:val="28"/>
        </w:rPr>
        <w:t xml:space="preserve">
      </w:t>
      </w:r>
    </w:p>
    <w:bookmarkEnd w:id="2325"/>
    <w:p>
      <w:pPr>
        <w:spacing w:after="0"/>
        <w:ind w:left="0"/>
        <w:jc w:val="both"/>
      </w:pPr>
      <w:r>
        <w:t>[MISSING IMAGE: ,  ]</w:t>
      </w:r>
    </w:p>
    <w:p>
      <w:pPr>
        <w:spacing w:after="0"/>
        <w:ind w:left="0"/>
        <w:jc w:val="left"/>
      </w:pPr>
      <w:r>
        <w:rPr>
          <w:rFonts w:ascii="Times New Roman"/>
          <w:b w:val="false"/>
          <w:i w:val="false"/>
          <w:color w:val="000000"/>
          <w:sz w:val="28"/>
        </w:rPr>
        <w:t>ГИБРИДНЫЙ ЛЕКАРСТВЕННЫЙ ПРЕПАРАТ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326"/>
          <w:p>
            <w:pPr>
              <w:spacing w:after="20"/>
              <w:ind w:left="20"/>
              <w:jc w:val="both"/>
            </w:pPr>
            <w:r>
              <w:rPr>
                <w:rFonts w:ascii="Times New Roman"/>
                <w:b w:val="false"/>
                <w:i w:val="false"/>
                <w:color w:val="000000"/>
                <w:sz w:val="20"/>
              </w:rPr>
              <w:t xml:space="preserve">
Оригинальный лекарственный препарат: </w:t>
            </w:r>
          </w:p>
          <w:bookmarkEnd w:id="23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327"/>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2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328"/>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 - членов Евразийского экономического союза, где зарегистрирован оригинальный лекарственный препарат </w:t>
            </w:r>
          </w:p>
          <w:bookmarkEnd w:id="2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329"/>
          <w:p>
            <w:pPr>
              <w:spacing w:after="20"/>
              <w:ind w:left="20"/>
              <w:jc w:val="both"/>
            </w:pPr>
            <w:r>
              <w:rPr>
                <w:rFonts w:ascii="Times New Roman"/>
                <w:b w:val="false"/>
                <w:i w:val="false"/>
                <w:color w:val="000000"/>
                <w:sz w:val="20"/>
              </w:rPr>
              <w:t xml:space="preserve">
Различия по сравнению с оригинальным лекарственным препаратом: </w:t>
            </w:r>
          </w:p>
          <w:bookmarkEnd w:id="2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изменения активной фармацевтической субстанции</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другая лекарственная форма</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другие дозировки (количественные изменения АФС)</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другой способ введения</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другая фармакокинетика (включая другую биодоступность);</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другое показание к применению</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другие отличия: _________ </w:t>
            </w:r>
          </w:p>
          <w:p>
            <w:pPr>
              <w:spacing w:after="20"/>
              <w:ind w:left="20"/>
              <w:jc w:val="both"/>
            </w:pPr>
          </w:p>
          <w:p>
            <w:pPr>
              <w:spacing w:after="20"/>
              <w:ind w:left="20"/>
              <w:jc w:val="both"/>
            </w:pPr>
          </w:p>
        </w:tc>
      </w:tr>
    </w:tbl>
    <w:bookmarkStart w:name="z2239" w:id="2330"/>
    <w:p>
      <w:pPr>
        <w:spacing w:after="0"/>
        <w:ind w:left="0"/>
        <w:jc w:val="both"/>
      </w:pPr>
      <w:r>
        <w:rPr>
          <w:rFonts w:ascii="Times New Roman"/>
          <w:b w:val="false"/>
          <w:i w:val="false"/>
          <w:color w:val="000000"/>
          <w:sz w:val="28"/>
        </w:rPr>
        <w:t xml:space="preserve">
      </w:t>
      </w:r>
    </w:p>
    <w:bookmarkEnd w:id="2330"/>
    <w:p>
      <w:pPr>
        <w:spacing w:after="0"/>
        <w:ind w:left="0"/>
        <w:jc w:val="both"/>
      </w:pPr>
      <w:r>
        <w:t>[MISSING IMAGE: ,  ]</w:t>
      </w:r>
    </w:p>
    <w:p>
      <w:pPr>
        <w:spacing w:after="0"/>
        <w:ind w:left="0"/>
        <w:jc w:val="left"/>
      </w:pPr>
      <w:r>
        <w:rPr>
          <w:rFonts w:ascii="Times New Roman"/>
          <w:b w:val="false"/>
          <w:i w:val="false"/>
          <w:color w:val="000000"/>
          <w:sz w:val="28"/>
        </w:rPr>
        <w:t>КОМБИНИРОВАННЫЙ ЛЕКАРСТВЕННЫЙ ПРЕПАРАТ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40" w:id="2331"/>
          <w:p>
            <w:pPr>
              <w:spacing w:after="20"/>
              <w:ind w:left="20"/>
              <w:jc w:val="both"/>
            </w:pPr>
          </w:p>
          <w:bookmarkEnd w:id="2331"/>
          <w:p>
            <w:pPr>
              <w:spacing w:after="20"/>
              <w:ind w:left="20"/>
              <w:jc w:val="both"/>
            </w:pPr>
            <w:r>
              <w:t>[MISSING IMAGE: ,  ]</w:t>
            </w:r>
          </w:p>
          <w:p>
            <w:pPr>
              <w:spacing w:after="0"/>
              <w:ind w:left="0"/>
              <w:jc w:val="both"/>
            </w:pPr>
            <w:r>
              <w:rPr>
                <w:rFonts w:ascii="Times New Roman"/>
                <w:b w:val="false"/>
                <w:i w:val="false"/>
                <w:color w:val="000000"/>
                <w:sz w:val="20"/>
              </w:rPr>
              <w:t>известная комбинация</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новая комбинация</w:t>
            </w:r>
          </w:p>
          <w:p>
            <w:pPr>
              <w:spacing w:after="20"/>
              <w:ind w:left="20"/>
              <w:jc w:val="both"/>
            </w:pPr>
          </w:p>
          <w:p>
            <w:pPr>
              <w:spacing w:after="20"/>
              <w:ind w:left="20"/>
              <w:jc w:val="both"/>
            </w:pPr>
          </w:p>
        </w:tc>
      </w:tr>
    </w:tbl>
    <w:bookmarkStart w:name="z2241" w:id="2332"/>
    <w:p>
      <w:pPr>
        <w:spacing w:after="0"/>
        <w:ind w:left="0"/>
        <w:jc w:val="both"/>
      </w:pPr>
      <w:r>
        <w:rPr>
          <w:rFonts w:ascii="Times New Roman"/>
          <w:b w:val="false"/>
          <w:i w:val="false"/>
          <w:color w:val="000000"/>
          <w:sz w:val="28"/>
        </w:rPr>
        <w:t>
      Оригинальный лекарственный препарат (в случае известной комбинации):</w:t>
      </w:r>
    </w:p>
    <w:bookmarkEnd w:id="2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333"/>
          <w:p>
            <w:pPr>
              <w:spacing w:after="20"/>
              <w:ind w:left="20"/>
              <w:jc w:val="both"/>
            </w:pPr>
            <w:r>
              <w:rPr>
                <w:rFonts w:ascii="Times New Roman"/>
                <w:b w:val="false"/>
                <w:i w:val="false"/>
                <w:color w:val="000000"/>
                <w:sz w:val="20"/>
              </w:rPr>
              <w:t xml:space="preserve">
наименование лекарственного препарата, дозировка, лекарственная форма </w:t>
            </w:r>
          </w:p>
          <w:bookmarkEnd w:id="2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334"/>
          <w:p>
            <w:pPr>
              <w:spacing w:after="20"/>
              <w:ind w:left="20"/>
              <w:jc w:val="both"/>
            </w:pPr>
            <w:r>
              <w:rPr>
                <w:rFonts w:ascii="Times New Roman"/>
                <w:b w:val="false"/>
                <w:i w:val="false"/>
                <w:color w:val="000000"/>
                <w:sz w:val="20"/>
              </w:rPr>
              <w:t xml:space="preserve">
держатель регистрационного удостоверения, дата регистрации, номер регистрационного удостоверения, государства - члены Евразийского экономического союза, где зарегистрирован оригинальный лекарственный препарат </w:t>
            </w:r>
          </w:p>
          <w:bookmarkEnd w:id="2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4" w:id="2335"/>
    <w:p>
      <w:pPr>
        <w:spacing w:after="0"/>
        <w:ind w:left="0"/>
        <w:jc w:val="both"/>
      </w:pPr>
      <w:r>
        <w:rPr>
          <w:rFonts w:ascii="Times New Roman"/>
          <w:b w:val="false"/>
          <w:i w:val="false"/>
          <w:color w:val="000000"/>
          <w:sz w:val="28"/>
        </w:rPr>
        <w:t xml:space="preserve">
      </w:t>
      </w:r>
    </w:p>
    <w:bookmarkEnd w:id="2335"/>
    <w:p>
      <w:pPr>
        <w:spacing w:after="0"/>
        <w:ind w:left="0"/>
        <w:jc w:val="both"/>
      </w:pPr>
      <w:r>
        <w:t>[MISSING IMAGE: ,  ]</w:t>
      </w:r>
    </w:p>
    <w:p>
      <w:pPr>
        <w:spacing w:after="0"/>
        <w:ind w:left="0"/>
        <w:jc w:val="left"/>
      </w:pPr>
      <w:r>
        <w:rPr>
          <w:rFonts w:ascii="Times New Roman"/>
          <w:b w:val="false"/>
          <w:i w:val="false"/>
          <w:color w:val="000000"/>
          <w:sz w:val="28"/>
        </w:rPr>
        <w:t>ЛЕКАРСТВЕННЫЙ ПРЕПАРАТ С ХОРОШО ИЗУЧЕННЫМ МЕДИЦИНСКИМ ПРИМЕНЕНИЕМ</w:t>
      </w:r>
      <w:r>
        <w:br/>
      </w:r>
      <w:r>
        <w:rPr>
          <w:rFonts w:ascii="Times New Roman"/>
          <w:b w:val="false"/>
          <w:i w:val="false"/>
          <w:color w:val="000000"/>
          <w:sz w:val="28"/>
        </w:rPr>
        <w:t>
</w:t>
      </w:r>
    </w:p>
    <w:bookmarkStart w:name="z2245" w:id="2336"/>
    <w:p>
      <w:pPr>
        <w:spacing w:after="0"/>
        <w:ind w:left="0"/>
        <w:jc w:val="both"/>
      </w:pPr>
      <w:r>
        <w:rPr>
          <w:rFonts w:ascii="Times New Roman"/>
          <w:b w:val="false"/>
          <w:i w:val="false"/>
          <w:color w:val="000000"/>
          <w:sz w:val="28"/>
        </w:rPr>
        <w:t xml:space="preserve">
      </w:t>
      </w:r>
    </w:p>
    <w:bookmarkEnd w:id="2336"/>
    <w:p>
      <w:pPr>
        <w:spacing w:after="0"/>
        <w:ind w:left="0"/>
        <w:jc w:val="both"/>
      </w:pPr>
      <w:r>
        <w:t>[MISSING IMAGE: ,  ]</w:t>
      </w:r>
    </w:p>
    <w:p>
      <w:pPr>
        <w:spacing w:after="0"/>
        <w:ind w:left="0"/>
        <w:jc w:val="left"/>
      </w:pPr>
      <w:r>
        <w:rPr>
          <w:rFonts w:ascii="Times New Roman"/>
          <w:b w:val="false"/>
          <w:i w:val="false"/>
          <w:color w:val="000000"/>
          <w:sz w:val="28"/>
        </w:rPr>
        <w:t>РАДИОФАРМАЦЕВТИЧЕСКИЙ ЛЕКАРСТВЕННЫЙ ПРЕПАРАТ ИЛИ ПРЕКУРСОР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337"/>
          <w:p>
            <w:pPr>
              <w:spacing w:after="20"/>
              <w:ind w:left="20"/>
              <w:jc w:val="both"/>
            </w:pPr>
          </w:p>
          <w:bookmarkEnd w:id="2337"/>
          <w:p>
            <w:pPr>
              <w:spacing w:after="20"/>
              <w:ind w:left="20"/>
              <w:jc w:val="both"/>
            </w:pPr>
            <w:r>
              <w:t>[MISSING IMAGE: ,  ]</w:t>
            </w:r>
          </w:p>
          <w:p>
            <w:pPr>
              <w:spacing w:after="0"/>
              <w:ind w:left="0"/>
              <w:jc w:val="both"/>
            </w:pPr>
            <w:r>
              <w:rPr>
                <w:rFonts w:ascii="Times New Roman"/>
                <w:b w:val="false"/>
                <w:i w:val="false"/>
                <w:color w:val="000000"/>
                <w:sz w:val="20"/>
              </w:rPr>
              <w:t xml:space="preserve">радиофармацевтический набор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338"/>
          <w:p>
            <w:pPr>
              <w:spacing w:after="20"/>
              <w:ind w:left="20"/>
              <w:jc w:val="both"/>
            </w:pPr>
          </w:p>
          <w:bookmarkEnd w:id="2338"/>
          <w:p>
            <w:pPr>
              <w:spacing w:after="20"/>
              <w:ind w:left="20"/>
              <w:jc w:val="both"/>
            </w:pPr>
            <w:r>
              <w:t>[MISSING IMAGE: ,  ]</w:t>
            </w:r>
          </w:p>
          <w:p>
            <w:pPr>
              <w:spacing w:after="0"/>
              <w:ind w:left="0"/>
              <w:jc w:val="both"/>
            </w:pPr>
            <w:r>
              <w:rPr>
                <w:rFonts w:ascii="Times New Roman"/>
                <w:b w:val="false"/>
                <w:i w:val="false"/>
                <w:color w:val="000000"/>
                <w:sz w:val="20"/>
              </w:rPr>
              <w:t xml:space="preserve">прекурсор радионуклида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339"/>
          <w:p>
            <w:pPr>
              <w:spacing w:after="20"/>
              <w:ind w:left="20"/>
              <w:jc w:val="both"/>
            </w:pPr>
            <w:r>
              <w:rPr>
                <w:rFonts w:ascii="Times New Roman"/>
                <w:b w:val="false"/>
                <w:i w:val="false"/>
                <w:color w:val="000000"/>
                <w:sz w:val="20"/>
              </w:rPr>
              <w:t xml:space="preserve">
источник радионуклида (первичный и вторичный) (при наличии) </w:t>
            </w:r>
          </w:p>
          <w:bookmarkEnd w:id="2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340"/>
          <w:p>
            <w:pPr>
              <w:spacing w:after="20"/>
              <w:ind w:left="20"/>
              <w:jc w:val="both"/>
            </w:pPr>
            <w:r>
              <w:rPr>
                <w:rFonts w:ascii="Times New Roman"/>
                <w:b w:val="false"/>
                <w:i w:val="false"/>
                <w:color w:val="000000"/>
                <w:sz w:val="20"/>
              </w:rPr>
              <w:t xml:space="preserve">
генератор </w:t>
            </w:r>
          </w:p>
          <w:bookmarkEnd w:id="2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0" w:id="2341"/>
    <w:p>
      <w:pPr>
        <w:spacing w:after="0"/>
        <w:ind w:left="0"/>
        <w:jc w:val="both"/>
      </w:pPr>
      <w:r>
        <w:rPr>
          <w:rFonts w:ascii="Times New Roman"/>
          <w:b w:val="false"/>
          <w:i w:val="false"/>
          <w:color w:val="000000"/>
          <w:sz w:val="28"/>
        </w:rPr>
        <w:t xml:space="preserve">
      </w:t>
      </w:r>
    </w:p>
    <w:bookmarkEnd w:id="2341"/>
    <w:p>
      <w:pPr>
        <w:spacing w:after="0"/>
        <w:ind w:left="0"/>
        <w:jc w:val="both"/>
      </w:pPr>
      <w:r>
        <w:t>[MISSING IMAGE: ,  ]</w:t>
      </w:r>
    </w:p>
    <w:p>
      <w:pPr>
        <w:spacing w:after="0"/>
        <w:ind w:left="0"/>
        <w:jc w:val="left"/>
      </w:pPr>
      <w:r>
        <w:rPr>
          <w:rFonts w:ascii="Times New Roman"/>
          <w:b w:val="false"/>
          <w:i w:val="false"/>
          <w:color w:val="000000"/>
          <w:sz w:val="28"/>
        </w:rPr>
        <w:t>ГОМЕОПАТИЧЕСКИЙ ЛЕКАРСТВЕННЫЙ ПРЕПАРАТ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2251" w:id="2342"/>
          <w:p>
            <w:pPr>
              <w:spacing w:after="20"/>
              <w:ind w:left="20"/>
              <w:jc w:val="both"/>
            </w:pPr>
          </w:p>
          <w:bookmarkEnd w:id="2342"/>
          <w:p>
            <w:pPr>
              <w:spacing w:after="20"/>
              <w:ind w:left="20"/>
              <w:jc w:val="both"/>
            </w:pPr>
            <w:r>
              <w:t>[MISSING IMAGE: ,  ]</w:t>
            </w:r>
          </w:p>
          <w:p>
            <w:pPr>
              <w:spacing w:after="0"/>
              <w:ind w:left="0"/>
              <w:jc w:val="both"/>
            </w:pPr>
            <w:r>
              <w:rPr>
                <w:rFonts w:ascii="Times New Roman"/>
                <w:b w:val="false"/>
                <w:i w:val="false"/>
                <w:color w:val="000000"/>
                <w:sz w:val="20"/>
              </w:rPr>
              <w:t xml:space="preserve">новый гомеопатический препарат, не включенный в фармакопеи и монографии </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2252" w:id="2343"/>
          <w:p>
            <w:pPr>
              <w:spacing w:after="20"/>
              <w:ind w:left="20"/>
              <w:jc w:val="both"/>
            </w:pPr>
          </w:p>
          <w:bookmarkEnd w:id="2343"/>
          <w:p>
            <w:pPr>
              <w:spacing w:after="20"/>
              <w:ind w:left="20"/>
              <w:jc w:val="both"/>
            </w:pPr>
            <w:r>
              <w:t>[MISSING IMAGE: ,  ]</w:t>
            </w:r>
          </w:p>
          <w:p>
            <w:pPr>
              <w:spacing w:after="0"/>
              <w:ind w:left="0"/>
              <w:jc w:val="both"/>
            </w:pPr>
            <w:r>
              <w:rPr>
                <w:rFonts w:ascii="Times New Roman"/>
                <w:b w:val="false"/>
                <w:i w:val="false"/>
                <w:color w:val="000000"/>
                <w:sz w:val="20"/>
              </w:rPr>
              <w:t xml:space="preserve">гомеопатический препарат, включенный в фармакопеи и монографии </w:t>
            </w:r>
          </w:p>
          <w:p>
            <w:pPr>
              <w:spacing w:after="20"/>
              <w:ind w:left="20"/>
              <w:jc w:val="both"/>
            </w:pPr>
          </w:p>
          <w:p>
            <w:pPr>
              <w:spacing w:after="20"/>
              <w:ind w:left="20"/>
              <w:jc w:val="both"/>
            </w:pPr>
          </w:p>
        </w:tc>
      </w:tr>
    </w:tbl>
    <w:bookmarkStart w:name="z2253" w:id="2344"/>
    <w:p>
      <w:pPr>
        <w:spacing w:after="0"/>
        <w:ind w:left="0"/>
        <w:jc w:val="both"/>
      </w:pPr>
      <w:r>
        <w:rPr>
          <w:rFonts w:ascii="Times New Roman"/>
          <w:b w:val="false"/>
          <w:i w:val="false"/>
          <w:color w:val="000000"/>
          <w:sz w:val="28"/>
        </w:rPr>
        <w:t xml:space="preserve">
      </w:t>
      </w:r>
    </w:p>
    <w:bookmarkEnd w:id="2344"/>
    <w:p>
      <w:pPr>
        <w:spacing w:after="0"/>
        <w:ind w:left="0"/>
        <w:jc w:val="both"/>
      </w:pPr>
      <w:r>
        <w:t>[MISSING IMAGE: ,  ]</w:t>
      </w:r>
    </w:p>
    <w:p>
      <w:pPr>
        <w:spacing w:after="0"/>
        <w:ind w:left="0"/>
        <w:jc w:val="left"/>
      </w:pPr>
      <w:r>
        <w:rPr>
          <w:rFonts w:ascii="Times New Roman"/>
          <w:b w:val="false"/>
          <w:i w:val="false"/>
          <w:color w:val="000000"/>
          <w:sz w:val="28"/>
        </w:rPr>
        <w:t>РАСТИТЕЛЬНЫЙ ЛЕКАРСТВЕННЫЙ ПРЕПАРАТ</w:t>
      </w:r>
      <w:r>
        <w:br/>
      </w:r>
      <w:r>
        <w:rPr>
          <w:rFonts w:ascii="Times New Roman"/>
          <w:b w:val="false"/>
          <w:i w:val="false"/>
          <w:color w:val="000000"/>
          <w:sz w:val="28"/>
        </w:rPr>
        <w:t>
</w:t>
      </w:r>
    </w:p>
    <w:bookmarkStart w:name="z2254" w:id="2345"/>
    <w:p>
      <w:pPr>
        <w:spacing w:after="0"/>
        <w:ind w:left="0"/>
        <w:jc w:val="both"/>
      </w:pPr>
      <w:r>
        <w:rPr>
          <w:rFonts w:ascii="Times New Roman"/>
          <w:b w:val="false"/>
          <w:i w:val="false"/>
          <w:color w:val="000000"/>
          <w:sz w:val="28"/>
        </w:rPr>
        <w:t xml:space="preserve">
      </w:t>
      </w:r>
    </w:p>
    <w:bookmarkEnd w:id="2345"/>
    <w:p>
      <w:pPr>
        <w:spacing w:after="0"/>
        <w:ind w:left="0"/>
        <w:jc w:val="both"/>
      </w:pPr>
      <w:r>
        <w:t>[MISSING IMAGE: ,  ]</w:t>
      </w:r>
    </w:p>
    <w:p>
      <w:pPr>
        <w:spacing w:after="0"/>
        <w:ind w:left="0"/>
        <w:jc w:val="left"/>
      </w:pPr>
      <w:r>
        <w:rPr>
          <w:rFonts w:ascii="Times New Roman"/>
          <w:b w:val="false"/>
          <w:i w:val="false"/>
          <w:color w:val="000000"/>
          <w:sz w:val="28"/>
        </w:rPr>
        <w:t>ОРФАННЫЙ ЛЕКАРСТВЕННЫЙ ПРЕПАРАТ</w:t>
      </w:r>
      <w:r>
        <w:br/>
      </w:r>
      <w:r>
        <w:rPr>
          <w:rFonts w:ascii="Times New Roman"/>
          <w:b w:val="false"/>
          <w:i w:val="false"/>
          <w:color w:val="000000"/>
          <w:sz w:val="28"/>
        </w:rPr>
        <w:t>
</w:t>
      </w:r>
    </w:p>
    <w:bookmarkStart w:name="z2255" w:id="2346"/>
    <w:p>
      <w:pPr>
        <w:spacing w:after="0"/>
        <w:ind w:left="0"/>
        <w:jc w:val="both"/>
      </w:pPr>
      <w:r>
        <w:rPr>
          <w:rFonts w:ascii="Times New Roman"/>
          <w:b w:val="false"/>
          <w:i w:val="false"/>
          <w:color w:val="000000"/>
          <w:sz w:val="28"/>
        </w:rPr>
        <w:t>
      Присвоен ли лекарственному препарату статус орфанного лекарственного препарата в государствах - членах Евразийского экономического союза или за его пределами</w:t>
      </w:r>
    </w:p>
    <w:bookmarkEnd w:id="23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256" w:id="2347"/>
          <w:p>
            <w:pPr>
              <w:spacing w:after="20"/>
              <w:ind w:left="20"/>
              <w:jc w:val="both"/>
            </w:pPr>
          </w:p>
          <w:bookmarkEnd w:id="2347"/>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в процессе рассмотрения</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348"/>
          <w:p>
            <w:pPr>
              <w:spacing w:after="20"/>
              <w:ind w:left="20"/>
              <w:jc w:val="both"/>
            </w:pPr>
            <w:r>
              <w:rPr>
                <w:rFonts w:ascii="Times New Roman"/>
                <w:b w:val="false"/>
                <w:i w:val="false"/>
                <w:color w:val="000000"/>
                <w:sz w:val="20"/>
              </w:rPr>
              <w:t xml:space="preserve">
дата </w:t>
            </w:r>
          </w:p>
          <w:bookmarkEnd w:id="234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349"/>
          <w:p>
            <w:pPr>
              <w:spacing w:after="20"/>
              <w:ind w:left="20"/>
              <w:jc w:val="both"/>
            </w:pPr>
            <w:r>
              <w:rPr>
                <w:rFonts w:ascii="Times New Roman"/>
                <w:b w:val="false"/>
                <w:i w:val="false"/>
                <w:color w:val="000000"/>
                <w:sz w:val="20"/>
              </w:rPr>
              <w:t xml:space="preserve">
номер регистрационного удостоверения орфанного лекарственного препарата </w:t>
            </w:r>
          </w:p>
          <w:bookmarkEnd w:id="2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350"/>
          <w:p>
            <w:pPr>
              <w:spacing w:after="20"/>
              <w:ind w:left="20"/>
              <w:jc w:val="both"/>
            </w:pPr>
            <w:r>
              <w:rPr>
                <w:rFonts w:ascii="Times New Roman"/>
                <w:b w:val="false"/>
                <w:i w:val="false"/>
                <w:color w:val="000000"/>
                <w:sz w:val="20"/>
              </w:rPr>
              <w:t xml:space="preserve">
государства - члены Евразийского экономического союза и (или) иные государства, присвоившие данному лекарственному препарату статус орфанного лекарственного препарата </w:t>
            </w:r>
          </w:p>
          <w:bookmarkEnd w:id="2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0" w:id="2351"/>
    <w:p>
      <w:pPr>
        <w:spacing w:after="0"/>
        <w:ind w:left="0"/>
        <w:jc w:val="both"/>
      </w:pPr>
      <w:r>
        <w:rPr>
          <w:rFonts w:ascii="Times New Roman"/>
          <w:b w:val="false"/>
          <w:i w:val="false"/>
          <w:color w:val="000000"/>
          <w:sz w:val="28"/>
        </w:rPr>
        <w:t>
      Отказано в присвоении статуса орфанного лекарственного препарата:</w:t>
      </w:r>
    </w:p>
    <w:bookmarkEnd w:id="2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352"/>
          <w:p>
            <w:pPr>
              <w:spacing w:after="20"/>
              <w:ind w:left="20"/>
              <w:jc w:val="both"/>
            </w:pPr>
            <w:r>
              <w:rPr>
                <w:rFonts w:ascii="Times New Roman"/>
                <w:b w:val="false"/>
                <w:i w:val="false"/>
                <w:color w:val="000000"/>
                <w:sz w:val="20"/>
              </w:rPr>
              <w:t xml:space="preserve">
дата </w:t>
            </w:r>
          </w:p>
          <w:bookmarkEnd w:id="2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353"/>
          <w:p>
            <w:pPr>
              <w:spacing w:after="20"/>
              <w:ind w:left="20"/>
              <w:jc w:val="both"/>
            </w:pPr>
            <w:r>
              <w:rPr>
                <w:rFonts w:ascii="Times New Roman"/>
                <w:b w:val="false"/>
                <w:i w:val="false"/>
                <w:color w:val="000000"/>
                <w:sz w:val="20"/>
              </w:rPr>
              <w:t xml:space="preserve">
номер решения </w:t>
            </w:r>
          </w:p>
          <w:bookmarkEnd w:id="2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354"/>
          <w:p>
            <w:pPr>
              <w:spacing w:after="20"/>
              <w:ind w:left="20"/>
              <w:jc w:val="both"/>
            </w:pPr>
            <w:r>
              <w:rPr>
                <w:rFonts w:ascii="Times New Roman"/>
                <w:b w:val="false"/>
                <w:i w:val="false"/>
                <w:color w:val="000000"/>
                <w:sz w:val="20"/>
              </w:rPr>
              <w:t xml:space="preserve">
заявление на присвоение статуса отозвано </w:t>
            </w:r>
          </w:p>
          <w:bookmarkEnd w:id="235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355"/>
          <w:p>
            <w:pPr>
              <w:spacing w:after="20"/>
              <w:ind w:left="20"/>
              <w:jc w:val="both"/>
            </w:pPr>
            <w:r>
              <w:rPr>
                <w:rFonts w:ascii="Times New Roman"/>
                <w:b w:val="false"/>
                <w:i w:val="false"/>
                <w:color w:val="000000"/>
                <w:sz w:val="20"/>
              </w:rPr>
              <w:t xml:space="preserve">
дата </w:t>
            </w:r>
          </w:p>
          <w:bookmarkEnd w:id="2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356"/>
          <w:p>
            <w:pPr>
              <w:spacing w:after="20"/>
              <w:ind w:left="20"/>
              <w:jc w:val="both"/>
            </w:pPr>
            <w:r>
              <w:rPr>
                <w:rFonts w:ascii="Times New Roman"/>
                <w:b w:val="false"/>
                <w:i w:val="false"/>
                <w:color w:val="000000"/>
                <w:sz w:val="20"/>
              </w:rPr>
              <w:t xml:space="preserve">
копия документа, подтверждающего присвоение лекарственному препарату статуса орфанного препарата (при наличии) (подпункт 5.2 приложения к настоящему заявлению). </w:t>
            </w:r>
          </w:p>
          <w:bookmarkEnd w:id="2356"/>
        </w:tc>
      </w:tr>
    </w:tbl>
    <w:bookmarkStart w:name="z2266" w:id="2357"/>
    <w:p>
      <w:pPr>
        <w:spacing w:after="0"/>
        <w:ind w:left="0"/>
        <w:jc w:val="left"/>
      </w:pPr>
      <w:r>
        <w:rPr>
          <w:rFonts w:ascii="Times New Roman"/>
          <w:b/>
          <w:i w:val="false"/>
          <w:color w:val="000000"/>
        </w:rPr>
        <w:t xml:space="preserve"> 3. Особые пункты заявления</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358"/>
          <w:p>
            <w:pPr>
              <w:spacing w:after="20"/>
              <w:ind w:left="20"/>
              <w:jc w:val="both"/>
            </w:pPr>
            <w:r>
              <w:rPr>
                <w:rFonts w:ascii="Times New Roman"/>
                <w:b w:val="false"/>
                <w:i w:val="false"/>
                <w:color w:val="000000"/>
                <w:sz w:val="20"/>
              </w:rPr>
              <w:t xml:space="preserve">
3.1. Наименование и код АТХ </w:t>
            </w:r>
          </w:p>
          <w:bookmarkEnd w:id="2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359"/>
          <w:p>
            <w:pPr>
              <w:spacing w:after="20"/>
              <w:ind w:left="20"/>
              <w:jc w:val="both"/>
            </w:pPr>
            <w:r>
              <w:rPr>
                <w:rFonts w:ascii="Times New Roman"/>
                <w:b w:val="false"/>
                <w:i w:val="false"/>
                <w:color w:val="000000"/>
                <w:sz w:val="20"/>
              </w:rPr>
              <w:t xml:space="preserve">
3.1.1. Наименование лекарственного препарата </w:t>
            </w:r>
          </w:p>
          <w:bookmarkEnd w:id="2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360"/>
          <w:p>
            <w:pPr>
              <w:spacing w:after="20"/>
              <w:ind w:left="20"/>
              <w:jc w:val="both"/>
            </w:pPr>
            <w:r>
              <w:rPr>
                <w:rFonts w:ascii="Times New Roman"/>
                <w:b w:val="false"/>
                <w:i w:val="false"/>
                <w:color w:val="000000"/>
                <w:sz w:val="20"/>
              </w:rPr>
              <w:t xml:space="preserve">
3.1.2. Наименование АФС или состав </w:t>
            </w:r>
          </w:p>
          <w:bookmarkEnd w:id="2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0" w:id="2361"/>
    <w:p>
      <w:pPr>
        <w:spacing w:after="0"/>
        <w:ind w:left="0"/>
        <w:jc w:val="both"/>
      </w:pPr>
      <w:r>
        <w:rPr>
          <w:rFonts w:ascii="Times New Roman"/>
          <w:b w:val="false"/>
          <w:i w:val="false"/>
          <w:color w:val="000000"/>
          <w:sz w:val="28"/>
        </w:rPr>
        <w:t>
      Примечание. Только одно наименование должно быть приведено в таком порядке: международное непатентованное наименование (далее - МНН) *, наименование по Фармакопее Евразийского экономического союза, фармакопеи государств - членов (или основные фармакопеи в соответствии с Концепцией гармонизации фармакопей государств – членов Евразийского экономического союза, утверждаемой Евразийской экономической комиссией), общепринятое или группировочное наименование, научное (химическое) название.</w:t>
      </w:r>
    </w:p>
    <w:bookmarkEnd w:id="2361"/>
    <w:bookmarkStart w:name="z2271" w:id="2362"/>
    <w:p>
      <w:pPr>
        <w:spacing w:after="0"/>
        <w:ind w:left="0"/>
        <w:jc w:val="both"/>
      </w:pPr>
      <w:r>
        <w:rPr>
          <w:rFonts w:ascii="Times New Roman"/>
          <w:b w:val="false"/>
          <w:i w:val="false"/>
          <w:color w:val="000000"/>
          <w:sz w:val="28"/>
        </w:rPr>
        <w:t>
      ────────────────────────────────</w:t>
      </w:r>
    </w:p>
    <w:bookmarkEnd w:id="2362"/>
    <w:bookmarkStart w:name="z2272" w:id="2363"/>
    <w:p>
      <w:pPr>
        <w:spacing w:after="0"/>
        <w:ind w:left="0"/>
        <w:jc w:val="both"/>
      </w:pPr>
      <w:r>
        <w:rPr>
          <w:rFonts w:ascii="Times New Roman"/>
          <w:b w:val="false"/>
          <w:i w:val="false"/>
          <w:color w:val="000000"/>
          <w:sz w:val="28"/>
        </w:rPr>
        <w:t>
       * Наименование АФС необходимо указывать по ее рекомендованному МНН с указанием его солей или гидратной формы, если необходимо.</w:t>
      </w:r>
    </w:p>
    <w:bookmarkEnd w:id="2363"/>
    <w:bookmarkStart w:name="z2273" w:id="2364"/>
    <w:p>
      <w:pPr>
        <w:spacing w:after="0"/>
        <w:ind w:left="0"/>
        <w:jc w:val="both"/>
      </w:pPr>
      <w:r>
        <w:rPr>
          <w:rFonts w:ascii="Times New Roman"/>
          <w:b w:val="false"/>
          <w:i w:val="false"/>
          <w:color w:val="000000"/>
          <w:sz w:val="28"/>
        </w:rPr>
        <w:t>
      3.1.3. Фармакотерапевтическая группа</w:t>
      </w:r>
    </w:p>
    <w:bookmarkEnd w:id="2364"/>
    <w:bookmarkStart w:name="z2274" w:id="2365"/>
    <w:p>
      <w:pPr>
        <w:spacing w:after="0"/>
        <w:ind w:left="0"/>
        <w:jc w:val="both"/>
      </w:pPr>
      <w:r>
        <w:rPr>
          <w:rFonts w:ascii="Times New Roman"/>
          <w:b w:val="false"/>
          <w:i w:val="false"/>
          <w:color w:val="000000"/>
          <w:sz w:val="28"/>
        </w:rPr>
        <w:t xml:space="preserve">
      (используйте действующий код АТХ) </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366"/>
          <w:p>
            <w:pPr>
              <w:spacing w:after="20"/>
              <w:ind w:left="20"/>
              <w:jc w:val="both"/>
            </w:pPr>
            <w:r>
              <w:rPr>
                <w:rFonts w:ascii="Times New Roman"/>
                <w:b w:val="false"/>
                <w:i w:val="false"/>
                <w:color w:val="000000"/>
                <w:sz w:val="20"/>
              </w:rPr>
              <w:t>
Код АТХ</w:t>
            </w:r>
          </w:p>
          <w:bookmarkEnd w:id="2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367"/>
          <w:p>
            <w:pPr>
              <w:spacing w:after="20"/>
              <w:ind w:left="20"/>
              <w:jc w:val="both"/>
            </w:pPr>
            <w:r>
              <w:rPr>
                <w:rFonts w:ascii="Times New Roman"/>
                <w:b w:val="false"/>
                <w:i w:val="false"/>
                <w:color w:val="000000"/>
                <w:sz w:val="20"/>
              </w:rPr>
              <w:t>
Группа</w:t>
            </w:r>
          </w:p>
          <w:bookmarkEnd w:id="2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7" w:id="2368"/>
    <w:p>
      <w:pPr>
        <w:spacing w:after="0"/>
        <w:ind w:left="0"/>
        <w:jc w:val="both"/>
      </w:pPr>
      <w:r>
        <w:rPr>
          <w:rFonts w:ascii="Times New Roman"/>
          <w:b w:val="false"/>
          <w:i w:val="false"/>
          <w:color w:val="000000"/>
          <w:sz w:val="28"/>
        </w:rPr>
        <w:t>
      Если код АТХ не присвоен, укажите, было ли подано заявление на присвоение кода АТХ</w:t>
      </w:r>
    </w:p>
    <w:bookmarkEnd w:id="2368"/>
    <w:bookmarkStart w:name="z2278" w:id="2369"/>
    <w:p>
      <w:pPr>
        <w:spacing w:after="0"/>
        <w:ind w:left="0"/>
        <w:jc w:val="both"/>
      </w:pPr>
      <w:r>
        <w:rPr>
          <w:rFonts w:ascii="Times New Roman"/>
          <w:b w:val="false"/>
          <w:i w:val="false"/>
          <w:color w:val="000000"/>
          <w:sz w:val="28"/>
        </w:rPr>
        <w:t>
      3.2. Дозировка, лекарственная форма и упаковка, путь введения, вместимость первичной упаковки, число единиц дозирования в упаковке</w:t>
      </w:r>
    </w:p>
    <w:bookmarkEnd w:id="2369"/>
    <w:bookmarkStart w:name="z2279" w:id="2370"/>
    <w:p>
      <w:pPr>
        <w:spacing w:after="0"/>
        <w:ind w:left="0"/>
        <w:jc w:val="both"/>
      </w:pPr>
      <w:r>
        <w:rPr>
          <w:rFonts w:ascii="Times New Roman"/>
          <w:b w:val="false"/>
          <w:i w:val="false"/>
          <w:color w:val="000000"/>
          <w:sz w:val="28"/>
        </w:rPr>
        <w:t>
      3.2.1. Дозировка и лекарственная форма (используйте перечень стандартных терминов номенклатуры лекарственных форм, применяемой в Евразийском экономическом союзе)</w:t>
      </w:r>
    </w:p>
    <w:bookmarkEnd w:id="2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371"/>
          <w:p>
            <w:pPr>
              <w:spacing w:after="20"/>
              <w:ind w:left="20"/>
              <w:jc w:val="both"/>
            </w:pPr>
            <w:r>
              <w:rPr>
                <w:rFonts w:ascii="Times New Roman"/>
                <w:b w:val="false"/>
                <w:i w:val="false"/>
                <w:color w:val="000000"/>
                <w:sz w:val="20"/>
              </w:rPr>
              <w:t xml:space="preserve">
лекарственная форма </w:t>
            </w:r>
          </w:p>
          <w:bookmarkEnd w:id="2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372"/>
          <w:p>
            <w:pPr>
              <w:spacing w:after="20"/>
              <w:ind w:left="20"/>
              <w:jc w:val="both"/>
            </w:pPr>
            <w:r>
              <w:rPr>
                <w:rFonts w:ascii="Times New Roman"/>
                <w:b w:val="false"/>
                <w:i w:val="false"/>
                <w:color w:val="000000"/>
                <w:sz w:val="20"/>
              </w:rPr>
              <w:t xml:space="preserve">
дозировки или концентрации </w:t>
            </w:r>
          </w:p>
          <w:bookmarkEnd w:id="2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373"/>
          <w:p>
            <w:pPr>
              <w:spacing w:after="20"/>
              <w:ind w:left="20"/>
              <w:jc w:val="both"/>
            </w:pPr>
            <w:r>
              <w:rPr>
                <w:rFonts w:ascii="Times New Roman"/>
                <w:b w:val="false"/>
                <w:i w:val="false"/>
                <w:color w:val="000000"/>
                <w:sz w:val="20"/>
              </w:rPr>
              <w:t xml:space="preserve">
3.2.2. Путь введения (используйте перечень стандартных терминов номенклатуры лекарственных форм) </w:t>
            </w:r>
          </w:p>
          <w:bookmarkEnd w:id="2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374"/>
          <w:p>
            <w:pPr>
              <w:spacing w:after="20"/>
              <w:ind w:left="20"/>
              <w:jc w:val="both"/>
            </w:pPr>
            <w:r>
              <w:rPr>
                <w:rFonts w:ascii="Times New Roman"/>
                <w:b w:val="false"/>
                <w:i w:val="false"/>
                <w:color w:val="000000"/>
                <w:sz w:val="20"/>
              </w:rPr>
              <w:t xml:space="preserve">
3.2.3. Упаковка: первичная и вторичная упаковка, промежуточная упаковка (при наличии), укупорочная система и устройства для ввода, включая описание материала, из которого они изготовлены (используйте перечень стандартных терминов номенклатуры лекарственных форм), упаковка нерасфасованной продукции (при наличии) </w:t>
            </w:r>
          </w:p>
          <w:bookmarkEnd w:id="2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4" w:id="2375"/>
    <w:p>
      <w:pPr>
        <w:spacing w:after="0"/>
        <w:ind w:left="0"/>
        <w:jc w:val="both"/>
      </w:pPr>
      <w:r>
        <w:rPr>
          <w:rFonts w:ascii="Times New Roman"/>
          <w:b w:val="false"/>
          <w:i w:val="false"/>
          <w:color w:val="000000"/>
          <w:sz w:val="28"/>
        </w:rPr>
        <w:t>
      Для каждого вида упаковки укажите:</w:t>
      </w:r>
    </w:p>
    <w:bookmarkEnd w:id="2375"/>
    <w:bookmarkStart w:name="z2285" w:id="2376"/>
    <w:p>
      <w:pPr>
        <w:spacing w:after="0"/>
        <w:ind w:left="0"/>
        <w:jc w:val="both"/>
      </w:pPr>
      <w:r>
        <w:rPr>
          <w:rFonts w:ascii="Times New Roman"/>
          <w:b w:val="false"/>
          <w:i w:val="false"/>
          <w:color w:val="000000"/>
          <w:sz w:val="28"/>
        </w:rPr>
        <w:t>
      3.2.3.1. Число единиц дозирования в упаковке</w:t>
      </w:r>
    </w:p>
    <w:bookmarkEnd w:id="2376"/>
    <w:bookmarkStart w:name="z2286" w:id="2377"/>
    <w:p>
      <w:pPr>
        <w:spacing w:after="0"/>
        <w:ind w:left="0"/>
        <w:jc w:val="both"/>
      </w:pPr>
      <w:r>
        <w:rPr>
          <w:rFonts w:ascii="Times New Roman"/>
          <w:b w:val="false"/>
          <w:i w:val="false"/>
          <w:color w:val="000000"/>
          <w:sz w:val="28"/>
        </w:rPr>
        <w:t>
      3.2.3.2. Предлагаемый срок хранения</w:t>
      </w:r>
    </w:p>
    <w:bookmarkEnd w:id="2377"/>
    <w:bookmarkStart w:name="z2287" w:id="2378"/>
    <w:p>
      <w:pPr>
        <w:spacing w:after="0"/>
        <w:ind w:left="0"/>
        <w:jc w:val="both"/>
      </w:pPr>
      <w:r>
        <w:rPr>
          <w:rFonts w:ascii="Times New Roman"/>
          <w:b w:val="false"/>
          <w:i w:val="false"/>
          <w:color w:val="000000"/>
          <w:sz w:val="28"/>
        </w:rPr>
        <w:t>
      3.2.3.3. Предлагаемый срок хранения (после первого вскрытия первичной или промежуточной упаковки)</w:t>
      </w:r>
    </w:p>
    <w:bookmarkEnd w:id="2378"/>
    <w:bookmarkStart w:name="z2288" w:id="2379"/>
    <w:p>
      <w:pPr>
        <w:spacing w:after="0"/>
        <w:ind w:left="0"/>
        <w:jc w:val="both"/>
      </w:pPr>
      <w:r>
        <w:rPr>
          <w:rFonts w:ascii="Times New Roman"/>
          <w:b w:val="false"/>
          <w:i w:val="false"/>
          <w:color w:val="000000"/>
          <w:sz w:val="28"/>
        </w:rPr>
        <w:t>
       3.2.3.4. Предлагаемый срок хранения (после восстановления (растворения) или разведения)</w:t>
      </w:r>
    </w:p>
    <w:bookmarkEnd w:id="2379"/>
    <w:bookmarkStart w:name="z2289" w:id="2380"/>
    <w:p>
      <w:pPr>
        <w:spacing w:after="0"/>
        <w:ind w:left="0"/>
        <w:jc w:val="both"/>
      </w:pPr>
      <w:r>
        <w:rPr>
          <w:rFonts w:ascii="Times New Roman"/>
          <w:b w:val="false"/>
          <w:i w:val="false"/>
          <w:color w:val="000000"/>
          <w:sz w:val="28"/>
        </w:rPr>
        <w:t>
       3.2.3.5. Предлагаемые условия хранения</w:t>
      </w:r>
    </w:p>
    <w:bookmarkEnd w:id="2380"/>
    <w:bookmarkStart w:name="z2290" w:id="2381"/>
    <w:p>
      <w:pPr>
        <w:spacing w:after="0"/>
        <w:ind w:left="0"/>
        <w:jc w:val="both"/>
      </w:pPr>
      <w:r>
        <w:rPr>
          <w:rFonts w:ascii="Times New Roman"/>
          <w:b w:val="false"/>
          <w:i w:val="false"/>
          <w:color w:val="000000"/>
          <w:sz w:val="28"/>
        </w:rPr>
        <w:t>
       3.2.3.6. Предлагаемые условия хранения после первого вскрытия упаковки (первичной или промежуточной)</w:t>
      </w:r>
    </w:p>
    <w:bookmarkEnd w:id="2381"/>
    <w:bookmarkStart w:name="z2291" w:id="2382"/>
    <w:p>
      <w:pPr>
        <w:spacing w:after="0"/>
        <w:ind w:left="0"/>
        <w:jc w:val="both"/>
      </w:pPr>
      <w:r>
        <w:rPr>
          <w:rFonts w:ascii="Times New Roman"/>
          <w:b w:val="false"/>
          <w:i w:val="false"/>
          <w:color w:val="000000"/>
          <w:sz w:val="28"/>
        </w:rPr>
        <w:t>
       3.2.4. Информация по устройствам для ввода</w:t>
      </w:r>
    </w:p>
    <w:bookmarkEnd w:id="2382"/>
    <w:bookmarkStart w:name="z2292" w:id="2383"/>
    <w:p>
      <w:pPr>
        <w:spacing w:after="0"/>
        <w:ind w:left="0"/>
        <w:jc w:val="both"/>
      </w:pPr>
      <w:r>
        <w:rPr>
          <w:rFonts w:ascii="Times New Roman"/>
          <w:b w:val="false"/>
          <w:i w:val="false"/>
          <w:color w:val="000000"/>
          <w:sz w:val="28"/>
        </w:rPr>
        <w:t>
       3.3. Категория отпуска</w:t>
      </w:r>
    </w:p>
    <w:bookmarkEnd w:id="23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93" w:id="2384"/>
          <w:p>
            <w:pPr>
              <w:spacing w:after="20"/>
              <w:ind w:left="20"/>
              <w:jc w:val="both"/>
            </w:pPr>
          </w:p>
          <w:bookmarkEnd w:id="238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по рецепту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294" w:id="2385"/>
          <w:p>
            <w:pPr>
              <w:spacing w:after="20"/>
              <w:ind w:left="20"/>
              <w:jc w:val="both"/>
            </w:pPr>
            <w:r>
              <w:rPr>
                <w:rFonts w:ascii="Times New Roman"/>
                <w:b w:val="false"/>
                <w:i w:val="false"/>
                <w:color w:val="000000"/>
                <w:sz w:val="20"/>
              </w:rPr>
              <w:t xml:space="preserve">
3.3.1. Предлагаемая категория отпуска: </w:t>
            </w:r>
          </w:p>
          <w:bookmarkEnd w:id="238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без рецепта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295" w:id="2386"/>
          <w:p>
            <w:pPr>
              <w:spacing w:after="20"/>
              <w:ind w:left="20"/>
              <w:jc w:val="both"/>
            </w:pPr>
          </w:p>
          <w:bookmarkEnd w:id="238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в условиях лечебно-профилактического учреждения</w:t>
            </w:r>
          </w:p>
          <w:p>
            <w:pPr>
              <w:spacing w:after="20"/>
              <w:ind w:left="20"/>
              <w:jc w:val="both"/>
            </w:pPr>
          </w:p>
          <w:p>
            <w:pPr>
              <w:spacing w:after="20"/>
              <w:ind w:left="20"/>
              <w:jc w:val="both"/>
            </w:pPr>
          </w:p>
        </w:tc>
      </w:tr>
    </w:tbl>
    <w:bookmarkStart w:name="z2296" w:id="2387"/>
    <w:p>
      <w:pPr>
        <w:spacing w:after="0"/>
        <w:ind w:left="0"/>
        <w:jc w:val="both"/>
      </w:pPr>
      <w:r>
        <w:rPr>
          <w:rFonts w:ascii="Times New Roman"/>
          <w:b w:val="false"/>
          <w:i w:val="false"/>
          <w:color w:val="000000"/>
          <w:sz w:val="28"/>
        </w:rPr>
        <w:t>
      3.4. Держатель регистрационного удостоверения</w:t>
      </w:r>
    </w:p>
    <w:bookmarkEnd w:id="2387"/>
    <w:bookmarkStart w:name="z2297" w:id="2388"/>
    <w:p>
      <w:pPr>
        <w:spacing w:after="0"/>
        <w:ind w:left="0"/>
        <w:jc w:val="both"/>
      </w:pPr>
      <w:r>
        <w:rPr>
          <w:rFonts w:ascii="Times New Roman"/>
          <w:b w:val="false"/>
          <w:i w:val="false"/>
          <w:color w:val="000000"/>
          <w:sz w:val="28"/>
        </w:rPr>
        <w:t>
      3.4.1. Держатель регистрационного удостоверения:</w:t>
      </w:r>
    </w:p>
    <w:bookmarkEnd w:id="2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389"/>
          <w:p>
            <w:pPr>
              <w:spacing w:after="20"/>
              <w:ind w:left="20"/>
              <w:jc w:val="both"/>
            </w:pPr>
            <w:r>
              <w:rPr>
                <w:rFonts w:ascii="Times New Roman"/>
                <w:b w:val="false"/>
                <w:i w:val="false"/>
                <w:color w:val="000000"/>
                <w:sz w:val="20"/>
              </w:rPr>
              <w:t xml:space="preserve">
наименование юридического лица </w:t>
            </w:r>
          </w:p>
          <w:bookmarkEnd w:id="2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390"/>
          <w:p>
            <w:pPr>
              <w:spacing w:after="20"/>
              <w:ind w:left="20"/>
              <w:jc w:val="both"/>
            </w:pPr>
            <w:r>
              <w:rPr>
                <w:rFonts w:ascii="Times New Roman"/>
                <w:b w:val="false"/>
                <w:i w:val="false"/>
                <w:color w:val="000000"/>
                <w:sz w:val="20"/>
              </w:rPr>
              <w:t xml:space="preserve">
юридический адрес </w:t>
            </w:r>
          </w:p>
          <w:bookmarkEnd w:id="2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391"/>
          <w:p>
            <w:pPr>
              <w:spacing w:after="20"/>
              <w:ind w:left="20"/>
              <w:jc w:val="both"/>
            </w:pPr>
            <w:r>
              <w:rPr>
                <w:rFonts w:ascii="Times New Roman"/>
                <w:b w:val="false"/>
                <w:i w:val="false"/>
                <w:color w:val="000000"/>
                <w:sz w:val="20"/>
              </w:rPr>
              <w:t xml:space="preserve">
государство </w:t>
            </w:r>
          </w:p>
          <w:bookmarkEnd w:id="2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392"/>
          <w:p>
            <w:pPr>
              <w:spacing w:after="20"/>
              <w:ind w:left="20"/>
              <w:jc w:val="both"/>
            </w:pPr>
            <w:r>
              <w:rPr>
                <w:rFonts w:ascii="Times New Roman"/>
                <w:b w:val="false"/>
                <w:i w:val="false"/>
                <w:color w:val="000000"/>
                <w:sz w:val="20"/>
              </w:rPr>
              <w:t xml:space="preserve">
номера телефона и факса (при наличии) </w:t>
            </w:r>
          </w:p>
          <w:bookmarkEnd w:id="2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393"/>
          <w:p>
            <w:pPr>
              <w:spacing w:after="20"/>
              <w:ind w:left="20"/>
              <w:jc w:val="both"/>
            </w:pPr>
            <w:r>
              <w:rPr>
                <w:rFonts w:ascii="Times New Roman"/>
                <w:b w:val="false"/>
                <w:i w:val="false"/>
                <w:color w:val="000000"/>
                <w:sz w:val="20"/>
              </w:rPr>
              <w:t xml:space="preserve">
адрес электронной почты </w:t>
            </w:r>
          </w:p>
          <w:bookmarkEnd w:id="2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3" w:id="2394"/>
    <w:p>
      <w:pPr>
        <w:spacing w:after="0"/>
        <w:ind w:left="0"/>
        <w:jc w:val="both"/>
      </w:pPr>
      <w:r>
        <w:rPr>
          <w:rFonts w:ascii="Times New Roman"/>
          <w:b w:val="false"/>
          <w:i w:val="false"/>
          <w:color w:val="000000"/>
          <w:sz w:val="28"/>
        </w:rPr>
        <w:t>
      3.4.2. Представитель держателя регистрационного удостоверения (лицо, выступающее от имени держателя регистрационного удостоверения - заявитель):</w:t>
      </w:r>
    </w:p>
    <w:bookmarkEnd w:id="2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395"/>
          <w:p>
            <w:pPr>
              <w:spacing w:after="20"/>
              <w:ind w:left="20"/>
              <w:jc w:val="both"/>
            </w:pPr>
            <w:r>
              <w:rPr>
                <w:rFonts w:ascii="Times New Roman"/>
                <w:b w:val="false"/>
                <w:i w:val="false"/>
                <w:color w:val="000000"/>
                <w:sz w:val="20"/>
              </w:rPr>
              <w:t xml:space="preserve">
наименование юридического лица или фамилия, имя, отчество физического лица </w:t>
            </w:r>
          </w:p>
          <w:bookmarkEnd w:id="2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396"/>
          <w:p>
            <w:pPr>
              <w:spacing w:after="20"/>
              <w:ind w:left="20"/>
              <w:jc w:val="both"/>
            </w:pPr>
            <w:r>
              <w:rPr>
                <w:rFonts w:ascii="Times New Roman"/>
                <w:b w:val="false"/>
                <w:i w:val="false"/>
                <w:color w:val="000000"/>
                <w:sz w:val="20"/>
              </w:rPr>
              <w:t xml:space="preserve">
номера телефона и факса (при наличии) </w:t>
            </w:r>
          </w:p>
          <w:bookmarkEnd w:id="2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397"/>
          <w:p>
            <w:pPr>
              <w:spacing w:after="20"/>
              <w:ind w:left="20"/>
              <w:jc w:val="both"/>
            </w:pPr>
            <w:r>
              <w:rPr>
                <w:rFonts w:ascii="Times New Roman"/>
                <w:b w:val="false"/>
                <w:i w:val="false"/>
                <w:color w:val="000000"/>
                <w:sz w:val="20"/>
              </w:rPr>
              <w:t xml:space="preserve">
адрес электронной почты </w:t>
            </w:r>
          </w:p>
          <w:bookmarkEnd w:id="2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2398"/>
    <w:p>
      <w:pPr>
        <w:spacing w:after="0"/>
        <w:ind w:left="0"/>
        <w:jc w:val="both"/>
      </w:pPr>
      <w:r>
        <w:rPr>
          <w:rFonts w:ascii="Times New Roman"/>
          <w:b w:val="false"/>
          <w:i w:val="false"/>
          <w:color w:val="000000"/>
          <w:sz w:val="28"/>
        </w:rPr>
        <w:t>
      При заполнении данного пункта приложите доверенность на совершение юридически значимых действий от имени держателя регистрационного удостоверения (подпункт 5.1 приложения к настоящему заявлению).</w:t>
      </w:r>
    </w:p>
    <w:bookmarkEnd w:id="2398"/>
    <w:bookmarkStart w:name="z2308" w:id="2399"/>
    <w:p>
      <w:pPr>
        <w:spacing w:after="0"/>
        <w:ind w:left="0"/>
        <w:jc w:val="both"/>
      </w:pPr>
      <w:r>
        <w:rPr>
          <w:rFonts w:ascii="Times New Roman"/>
          <w:b w:val="false"/>
          <w:i w:val="false"/>
          <w:color w:val="000000"/>
          <w:sz w:val="28"/>
        </w:rPr>
        <w:t xml:space="preserve">
      3.4.3. Представитель заявителя (лицо, выступающее от имени заявителя) после регистрации лекарственного препарата, если они отличаются от определенных в подпункте </w:t>
      </w:r>
    </w:p>
    <w:bookmarkEnd w:id="2399"/>
    <w:bookmarkStart w:name="z2309" w:id="2400"/>
    <w:p>
      <w:pPr>
        <w:spacing w:after="0"/>
        <w:ind w:left="0"/>
        <w:jc w:val="both"/>
      </w:pPr>
      <w:r>
        <w:rPr>
          <w:rFonts w:ascii="Times New Roman"/>
          <w:b w:val="false"/>
          <w:i w:val="false"/>
          <w:color w:val="000000"/>
          <w:sz w:val="28"/>
        </w:rPr>
        <w:t>
      3.4.2 настоящего заявления:</w:t>
      </w:r>
    </w:p>
    <w:bookmarkEnd w:id="2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401"/>
          <w:p>
            <w:pPr>
              <w:spacing w:after="20"/>
              <w:ind w:left="20"/>
              <w:jc w:val="both"/>
            </w:pPr>
            <w:r>
              <w:rPr>
                <w:rFonts w:ascii="Times New Roman"/>
                <w:b w:val="false"/>
                <w:i w:val="false"/>
                <w:color w:val="000000"/>
                <w:sz w:val="20"/>
              </w:rPr>
              <w:t xml:space="preserve">
фамилия, имя, отчество представителя заявителя или наименование юридического лица </w:t>
            </w:r>
          </w:p>
          <w:bookmarkEnd w:id="2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402"/>
          <w:p>
            <w:pPr>
              <w:spacing w:after="20"/>
              <w:ind w:left="20"/>
              <w:jc w:val="both"/>
            </w:pPr>
            <w:r>
              <w:rPr>
                <w:rFonts w:ascii="Times New Roman"/>
                <w:b w:val="false"/>
                <w:i w:val="false"/>
                <w:color w:val="000000"/>
                <w:sz w:val="20"/>
              </w:rPr>
              <w:t xml:space="preserve">
юридический адрес юридического лица </w:t>
            </w:r>
          </w:p>
          <w:bookmarkEnd w:id="2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403"/>
          <w:p>
            <w:pPr>
              <w:spacing w:after="20"/>
              <w:ind w:left="20"/>
              <w:jc w:val="both"/>
            </w:pPr>
            <w:r>
              <w:rPr>
                <w:rFonts w:ascii="Times New Roman"/>
                <w:b w:val="false"/>
                <w:i w:val="false"/>
                <w:color w:val="000000"/>
                <w:sz w:val="20"/>
              </w:rPr>
              <w:t xml:space="preserve">
государство </w:t>
            </w:r>
          </w:p>
          <w:bookmarkEnd w:id="2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404"/>
          <w:p>
            <w:pPr>
              <w:spacing w:after="20"/>
              <w:ind w:left="20"/>
              <w:jc w:val="both"/>
            </w:pPr>
            <w:r>
              <w:rPr>
                <w:rFonts w:ascii="Times New Roman"/>
                <w:b w:val="false"/>
                <w:i w:val="false"/>
                <w:color w:val="000000"/>
                <w:sz w:val="20"/>
              </w:rPr>
              <w:t xml:space="preserve">
номера телефона и факса (при наличии) </w:t>
            </w:r>
          </w:p>
          <w:bookmarkEnd w:id="2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405"/>
          <w:p>
            <w:pPr>
              <w:spacing w:after="20"/>
              <w:ind w:left="20"/>
              <w:jc w:val="both"/>
            </w:pPr>
            <w:r>
              <w:rPr>
                <w:rFonts w:ascii="Times New Roman"/>
                <w:b w:val="false"/>
                <w:i w:val="false"/>
                <w:color w:val="000000"/>
                <w:sz w:val="20"/>
              </w:rPr>
              <w:t xml:space="preserve">
адрес электронной почты </w:t>
            </w:r>
          </w:p>
          <w:bookmarkEnd w:id="2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2406"/>
    <w:p>
      <w:pPr>
        <w:spacing w:after="0"/>
        <w:ind w:left="0"/>
        <w:jc w:val="both"/>
      </w:pPr>
      <w:r>
        <w:rPr>
          <w:rFonts w:ascii="Times New Roman"/>
          <w:b w:val="false"/>
          <w:i w:val="false"/>
          <w:color w:val="000000"/>
          <w:sz w:val="28"/>
        </w:rPr>
        <w:t>
      При заполнении данного пункта приложите доверенность (подпункт 5.1 приложения к настоящему заявлению).</w:t>
      </w:r>
    </w:p>
    <w:bookmarkEnd w:id="2406"/>
    <w:bookmarkStart w:name="z2316" w:id="2407"/>
    <w:p>
      <w:pPr>
        <w:spacing w:after="0"/>
        <w:ind w:left="0"/>
        <w:jc w:val="both"/>
      </w:pPr>
      <w:r>
        <w:rPr>
          <w:rFonts w:ascii="Times New Roman"/>
          <w:b w:val="false"/>
          <w:i w:val="false"/>
          <w:color w:val="000000"/>
          <w:sz w:val="28"/>
        </w:rPr>
        <w:t>
      3.4.4. Уполномоченное лицо держателя регистрационного удостоверения, ответственное за фармаконадзор:</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408"/>
          <w:p>
            <w:pPr>
              <w:spacing w:after="20"/>
              <w:ind w:left="20"/>
              <w:jc w:val="both"/>
            </w:pPr>
            <w:r>
              <w:rPr>
                <w:rFonts w:ascii="Times New Roman"/>
                <w:b w:val="false"/>
                <w:i w:val="false"/>
                <w:color w:val="000000"/>
                <w:sz w:val="20"/>
              </w:rPr>
              <w:t xml:space="preserve">
фамилия, имя уполномоченного лица держателя регистрационного удостоверения, ответственного за фармаконадзор </w:t>
            </w:r>
          </w:p>
          <w:bookmarkEnd w:id="2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409"/>
          <w:p>
            <w:pPr>
              <w:spacing w:after="20"/>
              <w:ind w:left="20"/>
              <w:jc w:val="both"/>
            </w:pPr>
            <w:r>
              <w:rPr>
                <w:rFonts w:ascii="Times New Roman"/>
                <w:b w:val="false"/>
                <w:i w:val="false"/>
                <w:color w:val="000000"/>
                <w:sz w:val="20"/>
              </w:rPr>
              <w:t xml:space="preserve">
наименование юридического лица (держателя регистрационного удостоверения) </w:t>
            </w:r>
          </w:p>
          <w:bookmarkEnd w:id="2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410"/>
          <w:p>
            <w:pPr>
              <w:spacing w:after="20"/>
              <w:ind w:left="20"/>
              <w:jc w:val="both"/>
            </w:pPr>
            <w:r>
              <w:rPr>
                <w:rFonts w:ascii="Times New Roman"/>
                <w:b w:val="false"/>
                <w:i w:val="false"/>
                <w:color w:val="000000"/>
                <w:sz w:val="20"/>
              </w:rPr>
              <w:t xml:space="preserve">
юридический адрес юридического лица (держателя регистрационного удостоверения) </w:t>
            </w:r>
          </w:p>
          <w:bookmarkEnd w:id="2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411"/>
          <w:p>
            <w:pPr>
              <w:spacing w:after="20"/>
              <w:ind w:left="20"/>
              <w:jc w:val="both"/>
            </w:pPr>
            <w:r>
              <w:rPr>
                <w:rFonts w:ascii="Times New Roman"/>
                <w:b w:val="false"/>
                <w:i w:val="false"/>
                <w:color w:val="000000"/>
                <w:sz w:val="20"/>
              </w:rPr>
              <w:t xml:space="preserve">
государство </w:t>
            </w:r>
          </w:p>
          <w:bookmarkEnd w:id="2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412"/>
          <w:p>
            <w:pPr>
              <w:spacing w:after="20"/>
              <w:ind w:left="20"/>
              <w:jc w:val="both"/>
            </w:pPr>
            <w:r>
              <w:rPr>
                <w:rFonts w:ascii="Times New Roman"/>
                <w:b w:val="false"/>
                <w:i w:val="false"/>
                <w:color w:val="000000"/>
                <w:sz w:val="20"/>
              </w:rPr>
              <w:t xml:space="preserve">
номера круглосуточных телефона и факса </w:t>
            </w:r>
          </w:p>
          <w:bookmarkEnd w:id="2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413"/>
          <w:p>
            <w:pPr>
              <w:spacing w:after="20"/>
              <w:ind w:left="20"/>
              <w:jc w:val="both"/>
            </w:pPr>
            <w:r>
              <w:rPr>
                <w:rFonts w:ascii="Times New Roman"/>
                <w:b w:val="false"/>
                <w:i w:val="false"/>
                <w:color w:val="000000"/>
                <w:sz w:val="20"/>
              </w:rPr>
              <w:t xml:space="preserve">
адрес электронной почты </w:t>
            </w:r>
          </w:p>
          <w:bookmarkEnd w:id="2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3" w:id="2414"/>
    <w:p>
      <w:pPr>
        <w:spacing w:after="0"/>
        <w:ind w:left="0"/>
        <w:jc w:val="both"/>
      </w:pPr>
      <w:r>
        <w:rPr>
          <w:rFonts w:ascii="Times New Roman"/>
          <w:b w:val="false"/>
          <w:i w:val="false"/>
          <w:color w:val="000000"/>
          <w:sz w:val="28"/>
        </w:rPr>
        <w:t xml:space="preserve">
      Укажите место регистрации и фактическое место жительства уполномоченного лица держателя регистрационного удостоверения, ответственного за фармаконадзор </w:t>
      </w:r>
    </w:p>
    <w:bookmarkEnd w:id="2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415"/>
          <w:p>
            <w:pPr>
              <w:spacing w:after="20"/>
              <w:ind w:left="20"/>
              <w:jc w:val="both"/>
            </w:pPr>
            <w:r>
              <w:rPr>
                <w:rFonts w:ascii="Times New Roman"/>
                <w:b w:val="false"/>
                <w:i w:val="false"/>
                <w:color w:val="000000"/>
                <w:sz w:val="20"/>
              </w:rPr>
              <w:t>
мастер-файл фармаконадзора:</w:t>
            </w:r>
          </w:p>
          <w:bookmarkEnd w:id="2415"/>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 xml:space="preserve">адрес местонахождения: </w:t>
            </w:r>
          </w:p>
        </w:tc>
      </w:tr>
    </w:tbl>
    <w:bookmarkStart w:name="z2325" w:id="2416"/>
    <w:p>
      <w:pPr>
        <w:spacing w:after="0"/>
        <w:ind w:left="0"/>
        <w:jc w:val="both"/>
      </w:pPr>
      <w:r>
        <w:rPr>
          <w:rFonts w:ascii="Times New Roman"/>
          <w:b w:val="false"/>
          <w:i w:val="false"/>
          <w:color w:val="000000"/>
          <w:sz w:val="28"/>
        </w:rPr>
        <w:t>
      3.4.5. Уполномоченное лицо держателя регистрационного удостоверения в государстве - члене Евразийского экономического союза для осуществления фармаконадзора, если оно отличается от указанного в подпункте 3.4.4 настоящего заявления:</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417"/>
          <w:p>
            <w:pPr>
              <w:spacing w:after="20"/>
              <w:ind w:left="20"/>
              <w:jc w:val="both"/>
            </w:pPr>
            <w:r>
              <w:rPr>
                <w:rFonts w:ascii="Times New Roman"/>
                <w:b w:val="false"/>
                <w:i w:val="false"/>
                <w:color w:val="000000"/>
                <w:sz w:val="20"/>
              </w:rPr>
              <w:t xml:space="preserve">
фамилия, имя, отчество уполномоченного лица держателя регистрационного удостоверения, ответственного за фармаконадзор </w:t>
            </w:r>
          </w:p>
          <w:bookmarkEnd w:id="2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418"/>
          <w:p>
            <w:pPr>
              <w:spacing w:after="20"/>
              <w:ind w:left="20"/>
              <w:jc w:val="both"/>
            </w:pPr>
            <w:r>
              <w:rPr>
                <w:rFonts w:ascii="Times New Roman"/>
                <w:b w:val="false"/>
                <w:i w:val="false"/>
                <w:color w:val="000000"/>
                <w:sz w:val="20"/>
              </w:rPr>
              <w:t xml:space="preserve">
наименование юридического лица (держателя регистрационного удостоверения) </w:t>
            </w:r>
          </w:p>
          <w:bookmarkEnd w:id="2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419"/>
          <w:p>
            <w:pPr>
              <w:spacing w:after="20"/>
              <w:ind w:left="20"/>
              <w:jc w:val="both"/>
            </w:pPr>
            <w:r>
              <w:rPr>
                <w:rFonts w:ascii="Times New Roman"/>
                <w:b w:val="false"/>
                <w:i w:val="false"/>
                <w:color w:val="000000"/>
                <w:sz w:val="20"/>
              </w:rPr>
              <w:t xml:space="preserve">
адрес юридического лица </w:t>
            </w:r>
          </w:p>
          <w:bookmarkEnd w:id="2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420"/>
          <w:p>
            <w:pPr>
              <w:spacing w:after="20"/>
              <w:ind w:left="20"/>
              <w:jc w:val="both"/>
            </w:pPr>
            <w:r>
              <w:rPr>
                <w:rFonts w:ascii="Times New Roman"/>
                <w:b w:val="false"/>
                <w:i w:val="false"/>
                <w:color w:val="000000"/>
                <w:sz w:val="20"/>
              </w:rPr>
              <w:t xml:space="preserve">
страна </w:t>
            </w:r>
          </w:p>
          <w:bookmarkEnd w:id="2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421"/>
          <w:p>
            <w:pPr>
              <w:spacing w:after="20"/>
              <w:ind w:left="20"/>
              <w:jc w:val="both"/>
            </w:pPr>
            <w:r>
              <w:rPr>
                <w:rFonts w:ascii="Times New Roman"/>
                <w:b w:val="false"/>
                <w:i w:val="false"/>
                <w:color w:val="000000"/>
                <w:sz w:val="20"/>
              </w:rPr>
              <w:t xml:space="preserve">
круглосуточный телефон (факс) </w:t>
            </w:r>
          </w:p>
          <w:bookmarkEnd w:id="2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422"/>
          <w:p>
            <w:pPr>
              <w:spacing w:after="20"/>
              <w:ind w:left="20"/>
              <w:jc w:val="both"/>
            </w:pPr>
            <w:r>
              <w:rPr>
                <w:rFonts w:ascii="Times New Roman"/>
                <w:b w:val="false"/>
                <w:i w:val="false"/>
                <w:color w:val="000000"/>
                <w:sz w:val="20"/>
              </w:rPr>
              <w:t xml:space="preserve">
электронная почта </w:t>
            </w:r>
          </w:p>
          <w:bookmarkEnd w:id="2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2" w:id="2423"/>
    <w:p>
      <w:pPr>
        <w:spacing w:after="0"/>
        <w:ind w:left="0"/>
        <w:jc w:val="both"/>
      </w:pPr>
      <w:r>
        <w:rPr>
          <w:rFonts w:ascii="Times New Roman"/>
          <w:b w:val="false"/>
          <w:i w:val="false"/>
          <w:color w:val="000000"/>
          <w:sz w:val="28"/>
        </w:rPr>
        <w:t>
      Укажите место регистрации и фактическое место жительства уполномоченного лица в государстве - члене Евразийского экономического союза для осуществления фармаконадзора, номер его телефона.</w:t>
      </w:r>
    </w:p>
    <w:bookmarkEnd w:id="2423"/>
    <w:bookmarkStart w:name="z2333" w:id="2424"/>
    <w:p>
      <w:pPr>
        <w:spacing w:after="0"/>
        <w:ind w:left="0"/>
        <w:jc w:val="both"/>
      </w:pPr>
      <w:r>
        <w:rPr>
          <w:rFonts w:ascii="Times New Roman"/>
          <w:b w:val="false"/>
          <w:i w:val="false"/>
          <w:color w:val="000000"/>
          <w:sz w:val="28"/>
        </w:rPr>
        <w:t>
      3.5. Производитель лекарственного препарата</w:t>
      </w:r>
    </w:p>
    <w:bookmarkEnd w:id="2424"/>
    <w:bookmarkStart w:name="z2334" w:id="2425"/>
    <w:p>
      <w:pPr>
        <w:spacing w:after="0"/>
        <w:ind w:left="0"/>
        <w:jc w:val="both"/>
      </w:pPr>
      <w:r>
        <w:rPr>
          <w:rFonts w:ascii="Times New Roman"/>
          <w:b w:val="false"/>
          <w:i w:val="false"/>
          <w:color w:val="000000"/>
          <w:sz w:val="28"/>
        </w:rPr>
        <w:t>
      3.5.1. Производитель, который отвечает за выпускающий контроль качества серий лекарственного препарата (как указано в общей характеристике лекарственного препарата, листке-вкладыше и, при необходимости, на вторичной (потребительской) упаковке)</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426"/>
          <w:p>
            <w:pPr>
              <w:spacing w:after="20"/>
              <w:ind w:left="20"/>
              <w:jc w:val="both"/>
            </w:pPr>
            <w:r>
              <w:rPr>
                <w:rFonts w:ascii="Times New Roman"/>
                <w:b w:val="false"/>
                <w:i w:val="false"/>
                <w:color w:val="000000"/>
                <w:sz w:val="20"/>
              </w:rPr>
              <w:t xml:space="preserve">
наименование юридического лица </w:t>
            </w:r>
          </w:p>
          <w:bookmarkEnd w:id="2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427"/>
          <w:p>
            <w:pPr>
              <w:spacing w:after="20"/>
              <w:ind w:left="20"/>
              <w:jc w:val="both"/>
            </w:pPr>
            <w:r>
              <w:rPr>
                <w:rFonts w:ascii="Times New Roman"/>
                <w:b w:val="false"/>
                <w:i w:val="false"/>
                <w:color w:val="000000"/>
                <w:sz w:val="20"/>
              </w:rPr>
              <w:t xml:space="preserve">
адрес места осуществления деятельности </w:t>
            </w:r>
          </w:p>
          <w:bookmarkEnd w:id="2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428"/>
          <w:p>
            <w:pPr>
              <w:spacing w:after="20"/>
              <w:ind w:left="20"/>
              <w:jc w:val="both"/>
            </w:pPr>
            <w:r>
              <w:rPr>
                <w:rFonts w:ascii="Times New Roman"/>
                <w:b w:val="false"/>
                <w:i w:val="false"/>
                <w:color w:val="000000"/>
                <w:sz w:val="20"/>
              </w:rPr>
              <w:t xml:space="preserve">
государство </w:t>
            </w:r>
          </w:p>
          <w:bookmarkEnd w:id="2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429"/>
          <w:p>
            <w:pPr>
              <w:spacing w:after="20"/>
              <w:ind w:left="20"/>
              <w:jc w:val="both"/>
            </w:pPr>
            <w:r>
              <w:rPr>
                <w:rFonts w:ascii="Times New Roman"/>
                <w:b w:val="false"/>
                <w:i w:val="false"/>
                <w:color w:val="000000"/>
                <w:sz w:val="20"/>
              </w:rPr>
              <w:t xml:space="preserve">
номера телефона и факса (при наличии) </w:t>
            </w:r>
          </w:p>
          <w:bookmarkEnd w:id="2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430"/>
          <w:p>
            <w:pPr>
              <w:spacing w:after="20"/>
              <w:ind w:left="20"/>
              <w:jc w:val="both"/>
            </w:pPr>
            <w:r>
              <w:rPr>
                <w:rFonts w:ascii="Times New Roman"/>
                <w:b w:val="false"/>
                <w:i w:val="false"/>
                <w:color w:val="000000"/>
                <w:sz w:val="20"/>
              </w:rPr>
              <w:t xml:space="preserve">
адрес электронной почты </w:t>
            </w:r>
          </w:p>
          <w:bookmarkEnd w:id="2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0" w:id="2431"/>
    <w:p>
      <w:pPr>
        <w:spacing w:after="0"/>
        <w:ind w:left="0"/>
        <w:jc w:val="both"/>
      </w:pPr>
      <w:r>
        <w:rPr>
          <w:rFonts w:ascii="Times New Roman"/>
          <w:b w:val="false"/>
          <w:i w:val="false"/>
          <w:color w:val="000000"/>
          <w:sz w:val="28"/>
        </w:rPr>
        <w:t>
      3.5.2. Лаборатория страны-производителя по контролю качества препаратов крови и вакцин, ответственная за контроль качества (выпуск) серии</w:t>
      </w:r>
    </w:p>
    <w:bookmarkEnd w:id="2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432"/>
          <w:p>
            <w:pPr>
              <w:spacing w:after="20"/>
              <w:ind w:left="20"/>
              <w:jc w:val="both"/>
            </w:pPr>
            <w:r>
              <w:rPr>
                <w:rFonts w:ascii="Times New Roman"/>
                <w:b w:val="false"/>
                <w:i w:val="false"/>
                <w:color w:val="000000"/>
                <w:sz w:val="20"/>
              </w:rPr>
              <w:t xml:space="preserve">
наименование лаборатории </w:t>
            </w:r>
          </w:p>
          <w:bookmarkEnd w:id="2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433"/>
          <w:p>
            <w:pPr>
              <w:spacing w:after="20"/>
              <w:ind w:left="20"/>
              <w:jc w:val="both"/>
            </w:pPr>
            <w:r>
              <w:rPr>
                <w:rFonts w:ascii="Times New Roman"/>
                <w:b w:val="false"/>
                <w:i w:val="false"/>
                <w:color w:val="000000"/>
                <w:sz w:val="20"/>
              </w:rPr>
              <w:t xml:space="preserve">
адрес места осуществления деятельности </w:t>
            </w:r>
          </w:p>
          <w:bookmarkEnd w:id="2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434"/>
          <w:p>
            <w:pPr>
              <w:spacing w:after="20"/>
              <w:ind w:left="20"/>
              <w:jc w:val="both"/>
            </w:pPr>
            <w:r>
              <w:rPr>
                <w:rFonts w:ascii="Times New Roman"/>
                <w:b w:val="false"/>
                <w:i w:val="false"/>
                <w:color w:val="000000"/>
                <w:sz w:val="20"/>
              </w:rPr>
              <w:t xml:space="preserve">
государство </w:t>
            </w:r>
          </w:p>
          <w:bookmarkEnd w:id="2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435"/>
          <w:p>
            <w:pPr>
              <w:spacing w:after="20"/>
              <w:ind w:left="20"/>
              <w:jc w:val="both"/>
            </w:pPr>
            <w:r>
              <w:rPr>
                <w:rFonts w:ascii="Times New Roman"/>
                <w:b w:val="false"/>
                <w:i w:val="false"/>
                <w:color w:val="000000"/>
                <w:sz w:val="20"/>
              </w:rPr>
              <w:t xml:space="preserve">
номера телефона и факса (при наличии) </w:t>
            </w:r>
          </w:p>
          <w:bookmarkEnd w:id="2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436"/>
          <w:p>
            <w:pPr>
              <w:spacing w:after="20"/>
              <w:ind w:left="20"/>
              <w:jc w:val="both"/>
            </w:pPr>
            <w:r>
              <w:rPr>
                <w:rFonts w:ascii="Times New Roman"/>
                <w:b w:val="false"/>
                <w:i w:val="false"/>
                <w:color w:val="000000"/>
                <w:sz w:val="20"/>
              </w:rPr>
              <w:t xml:space="preserve">
адрес электронной почты </w:t>
            </w:r>
          </w:p>
          <w:bookmarkEnd w:id="2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6" w:id="2437"/>
    <w:p>
      <w:pPr>
        <w:spacing w:after="0"/>
        <w:ind w:left="0"/>
        <w:jc w:val="both"/>
      </w:pPr>
      <w:r>
        <w:rPr>
          <w:rFonts w:ascii="Times New Roman"/>
          <w:b w:val="false"/>
          <w:i w:val="false"/>
          <w:color w:val="000000"/>
          <w:sz w:val="28"/>
        </w:rPr>
        <w:t>
      3.5.3. Организация, ответственная за работу с рекламациями в рамках Евразийского экономического союза (для каждого государства - члена Евразийского экономического союза (при наличии)</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438"/>
          <w:p>
            <w:pPr>
              <w:spacing w:after="20"/>
              <w:ind w:left="20"/>
              <w:jc w:val="both"/>
            </w:pPr>
            <w:r>
              <w:rPr>
                <w:rFonts w:ascii="Times New Roman"/>
                <w:b w:val="false"/>
                <w:i w:val="false"/>
                <w:color w:val="000000"/>
                <w:sz w:val="20"/>
              </w:rPr>
              <w:t xml:space="preserve">
наименование юридического лица </w:t>
            </w:r>
          </w:p>
          <w:bookmarkEnd w:id="2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439"/>
          <w:p>
            <w:pPr>
              <w:spacing w:after="20"/>
              <w:ind w:left="20"/>
              <w:jc w:val="both"/>
            </w:pPr>
            <w:r>
              <w:rPr>
                <w:rFonts w:ascii="Times New Roman"/>
                <w:b w:val="false"/>
                <w:i w:val="false"/>
                <w:color w:val="000000"/>
                <w:sz w:val="20"/>
              </w:rPr>
              <w:t xml:space="preserve">
местонахождение юридического лица </w:t>
            </w:r>
          </w:p>
          <w:bookmarkEnd w:id="2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440"/>
          <w:p>
            <w:pPr>
              <w:spacing w:after="20"/>
              <w:ind w:left="20"/>
              <w:jc w:val="both"/>
            </w:pPr>
            <w:r>
              <w:rPr>
                <w:rFonts w:ascii="Times New Roman"/>
                <w:b w:val="false"/>
                <w:i w:val="false"/>
                <w:color w:val="000000"/>
                <w:sz w:val="20"/>
              </w:rPr>
              <w:t xml:space="preserve">
государство </w:t>
            </w:r>
          </w:p>
          <w:bookmarkEnd w:id="2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441"/>
          <w:p>
            <w:pPr>
              <w:spacing w:after="20"/>
              <w:ind w:left="20"/>
              <w:jc w:val="both"/>
            </w:pPr>
            <w:r>
              <w:rPr>
                <w:rFonts w:ascii="Times New Roman"/>
                <w:b w:val="false"/>
                <w:i w:val="false"/>
                <w:color w:val="000000"/>
                <w:sz w:val="20"/>
              </w:rPr>
              <w:t xml:space="preserve">
номера круглосуточных телефона и факса </w:t>
            </w:r>
          </w:p>
          <w:bookmarkEnd w:id="2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442"/>
          <w:p>
            <w:pPr>
              <w:spacing w:after="20"/>
              <w:ind w:left="20"/>
              <w:jc w:val="both"/>
            </w:pPr>
            <w:r>
              <w:rPr>
                <w:rFonts w:ascii="Times New Roman"/>
                <w:b w:val="false"/>
                <w:i w:val="false"/>
                <w:color w:val="000000"/>
                <w:sz w:val="20"/>
              </w:rPr>
              <w:t xml:space="preserve">
адрес электронной почты </w:t>
            </w:r>
          </w:p>
          <w:bookmarkEnd w:id="2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2" w:id="2443"/>
    <w:p>
      <w:pPr>
        <w:spacing w:after="0"/>
        <w:ind w:left="0"/>
        <w:jc w:val="both"/>
      </w:pPr>
      <w:r>
        <w:rPr>
          <w:rFonts w:ascii="Times New Roman"/>
          <w:b w:val="false"/>
          <w:i w:val="false"/>
          <w:color w:val="000000"/>
          <w:sz w:val="28"/>
        </w:rPr>
        <w:t>
      3.5.4. Производитель лекарственного препарата и производственные площадки:</w:t>
      </w:r>
    </w:p>
    <w:bookmarkEnd w:id="2443"/>
    <w:bookmarkStart w:name="z2353" w:id="2444"/>
    <w:p>
      <w:pPr>
        <w:spacing w:after="0"/>
        <w:ind w:left="0"/>
        <w:jc w:val="both"/>
      </w:pPr>
      <w:r>
        <w:rPr>
          <w:rFonts w:ascii="Times New Roman"/>
          <w:b w:val="false"/>
          <w:i w:val="false"/>
          <w:color w:val="000000"/>
          <w:sz w:val="28"/>
        </w:rPr>
        <w:t xml:space="preserve">
      Все производственные площадки, участвующие в процессе производства лекарственного препарата (включая растворители) с указанием стадии производственного процесса </w:t>
      </w:r>
    </w:p>
    <w:bookmarkEnd w:id="2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445"/>
          <w:p>
            <w:pPr>
              <w:spacing w:after="20"/>
              <w:ind w:left="20"/>
              <w:jc w:val="both"/>
            </w:pPr>
            <w:r>
              <w:rPr>
                <w:rFonts w:ascii="Times New Roman"/>
                <w:b w:val="false"/>
                <w:i w:val="false"/>
                <w:color w:val="000000"/>
                <w:sz w:val="20"/>
              </w:rPr>
              <w:t xml:space="preserve">
наименование стадии производственного процесса *, наименование юридического лица * </w:t>
            </w:r>
          </w:p>
          <w:bookmarkEnd w:id="2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446"/>
          <w:p>
            <w:pPr>
              <w:spacing w:after="20"/>
              <w:ind w:left="20"/>
              <w:jc w:val="both"/>
            </w:pPr>
            <w:r>
              <w:rPr>
                <w:rFonts w:ascii="Times New Roman"/>
                <w:b w:val="false"/>
                <w:i w:val="false"/>
                <w:color w:val="000000"/>
                <w:sz w:val="20"/>
              </w:rPr>
              <w:t xml:space="preserve">
адрес места осуществления деятельности * </w:t>
            </w:r>
          </w:p>
          <w:bookmarkEnd w:id="2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447"/>
          <w:p>
            <w:pPr>
              <w:spacing w:after="20"/>
              <w:ind w:left="20"/>
              <w:jc w:val="both"/>
            </w:pPr>
            <w:r>
              <w:rPr>
                <w:rFonts w:ascii="Times New Roman"/>
                <w:b w:val="false"/>
                <w:i w:val="false"/>
                <w:color w:val="000000"/>
                <w:sz w:val="20"/>
              </w:rPr>
              <w:t xml:space="preserve">
государство * </w:t>
            </w:r>
          </w:p>
          <w:bookmarkEnd w:id="2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448"/>
          <w:p>
            <w:pPr>
              <w:spacing w:after="20"/>
              <w:ind w:left="20"/>
              <w:jc w:val="both"/>
            </w:pPr>
            <w:r>
              <w:rPr>
                <w:rFonts w:ascii="Times New Roman"/>
                <w:b w:val="false"/>
                <w:i w:val="false"/>
                <w:color w:val="000000"/>
                <w:sz w:val="20"/>
              </w:rPr>
              <w:t xml:space="preserve">
номера телефона и факса (при наличии) * </w:t>
            </w:r>
          </w:p>
          <w:bookmarkEnd w:id="2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449"/>
          <w:p>
            <w:pPr>
              <w:spacing w:after="20"/>
              <w:ind w:left="20"/>
              <w:jc w:val="both"/>
            </w:pPr>
            <w:r>
              <w:rPr>
                <w:rFonts w:ascii="Times New Roman"/>
                <w:b w:val="false"/>
                <w:i w:val="false"/>
                <w:color w:val="000000"/>
                <w:sz w:val="20"/>
              </w:rPr>
              <w:t xml:space="preserve">
адрес электронной почты * </w:t>
            </w:r>
          </w:p>
          <w:bookmarkEnd w:id="2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9" w:id="2450"/>
    <w:p>
      <w:pPr>
        <w:spacing w:after="0"/>
        <w:ind w:left="0"/>
        <w:jc w:val="both"/>
      </w:pPr>
      <w:r>
        <w:rPr>
          <w:rFonts w:ascii="Times New Roman"/>
          <w:b w:val="false"/>
          <w:i w:val="false"/>
          <w:color w:val="000000"/>
          <w:sz w:val="28"/>
        </w:rPr>
        <w:t>
      ────────────────────────────────</w:t>
      </w:r>
    </w:p>
    <w:bookmarkEnd w:id="2450"/>
    <w:bookmarkStart w:name="z2360" w:id="2451"/>
    <w:p>
      <w:pPr>
        <w:spacing w:after="0"/>
        <w:ind w:left="0"/>
        <w:jc w:val="both"/>
      </w:pPr>
      <w:r>
        <w:rPr>
          <w:rFonts w:ascii="Times New Roman"/>
          <w:b w:val="false"/>
          <w:i w:val="false"/>
          <w:color w:val="000000"/>
          <w:sz w:val="28"/>
        </w:rPr>
        <w:t>
      * Указанные поля заполняются для каждой стадии производственного процесса (приложите схему, включающую последовательность и действия для различных производственных площадок, вовлеченных в процесс производства, включая выпускающий контроль)</w:t>
      </w:r>
    </w:p>
    <w:bookmarkEnd w:id="2451"/>
    <w:bookmarkStart w:name="z2361" w:id="2452"/>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Евразийского экономического союза уполномоченным органом государства - члена Евразийского экономического союза:</w:t>
      </w:r>
    </w:p>
    <w:bookmarkEnd w:id="24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62" w:id="2453"/>
          <w:p>
            <w:pPr>
              <w:spacing w:after="20"/>
              <w:ind w:left="20"/>
              <w:jc w:val="both"/>
            </w:pPr>
          </w:p>
          <w:bookmarkEnd w:id="2453"/>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363" w:id="2454"/>
    <w:p>
      <w:pPr>
        <w:spacing w:after="0"/>
        <w:ind w:left="0"/>
        <w:jc w:val="both"/>
      </w:pPr>
      <w:r>
        <w:rPr>
          <w:rFonts w:ascii="Times New Roman"/>
          <w:b w:val="false"/>
          <w:i w:val="false"/>
          <w:color w:val="000000"/>
          <w:sz w:val="28"/>
        </w:rPr>
        <w:t>
      Если да, укажите:</w:t>
      </w:r>
    </w:p>
    <w:bookmarkEnd w:id="2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455"/>
          <w:p>
            <w:pPr>
              <w:spacing w:after="20"/>
              <w:ind w:left="20"/>
              <w:jc w:val="both"/>
            </w:pPr>
            <w:r>
              <w:rPr>
                <w:rFonts w:ascii="Times New Roman"/>
                <w:b w:val="false"/>
                <w:i w:val="false"/>
                <w:color w:val="000000"/>
                <w:sz w:val="20"/>
              </w:rPr>
              <w:t xml:space="preserve">
дата последней инспекции </w:t>
            </w:r>
          </w:p>
          <w:bookmarkEnd w:id="2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456"/>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2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457"/>
          <w:p>
            <w:pPr>
              <w:spacing w:after="20"/>
              <w:ind w:left="20"/>
              <w:jc w:val="both"/>
            </w:pPr>
            <w:r>
              <w:rPr>
                <w:rFonts w:ascii="Times New Roman"/>
                <w:b w:val="false"/>
                <w:i w:val="false"/>
                <w:color w:val="000000"/>
                <w:sz w:val="20"/>
              </w:rPr>
              <w:t xml:space="preserve">
вид инспекции </w:t>
            </w:r>
          </w:p>
          <w:bookmarkEnd w:id="2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458"/>
          <w:p>
            <w:pPr>
              <w:spacing w:after="20"/>
              <w:ind w:left="20"/>
              <w:jc w:val="both"/>
            </w:pPr>
            <w:r>
              <w:rPr>
                <w:rFonts w:ascii="Times New Roman"/>
                <w:b w:val="false"/>
                <w:i w:val="false"/>
                <w:color w:val="000000"/>
                <w:sz w:val="20"/>
              </w:rPr>
              <w:t xml:space="preserve">
категория проверяемых лекарственных препаратов и АФС </w:t>
            </w:r>
          </w:p>
          <w:bookmarkEnd w:id="2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459"/>
          <w:p>
            <w:pPr>
              <w:spacing w:after="20"/>
              <w:ind w:left="20"/>
              <w:jc w:val="both"/>
            </w:pPr>
            <w:r>
              <w:rPr>
                <w:rFonts w:ascii="Times New Roman"/>
                <w:b w:val="false"/>
                <w:i w:val="false"/>
                <w:color w:val="000000"/>
                <w:sz w:val="20"/>
              </w:rPr>
              <w:t xml:space="preserve">
заключение </w:t>
            </w:r>
          </w:p>
          <w:bookmarkEnd w:id="2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r>
    </w:tbl>
    <w:bookmarkStart w:name="z2369" w:id="2460"/>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уполномоченным органом другого государства:</w:t>
      </w:r>
    </w:p>
    <w:bookmarkEnd w:id="24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70" w:id="2461"/>
          <w:p>
            <w:pPr>
              <w:spacing w:after="20"/>
              <w:ind w:left="20"/>
              <w:jc w:val="both"/>
            </w:pPr>
          </w:p>
          <w:bookmarkEnd w:id="2461"/>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371" w:id="2462"/>
    <w:p>
      <w:pPr>
        <w:spacing w:after="0"/>
        <w:ind w:left="0"/>
        <w:jc w:val="both"/>
      </w:pPr>
      <w:r>
        <w:rPr>
          <w:rFonts w:ascii="Times New Roman"/>
          <w:b w:val="false"/>
          <w:i w:val="false"/>
          <w:color w:val="000000"/>
          <w:sz w:val="28"/>
        </w:rPr>
        <w:t>
      Если да, укажите:</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463"/>
          <w:p>
            <w:pPr>
              <w:spacing w:after="20"/>
              <w:ind w:left="20"/>
              <w:jc w:val="both"/>
            </w:pPr>
            <w:r>
              <w:rPr>
                <w:rFonts w:ascii="Times New Roman"/>
                <w:b w:val="false"/>
                <w:i w:val="false"/>
                <w:color w:val="000000"/>
                <w:sz w:val="20"/>
              </w:rPr>
              <w:t xml:space="preserve">
дата последней инспекции </w:t>
            </w:r>
          </w:p>
          <w:bookmarkEnd w:id="2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464"/>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2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465"/>
          <w:p>
            <w:pPr>
              <w:spacing w:after="20"/>
              <w:ind w:left="20"/>
              <w:jc w:val="both"/>
            </w:pPr>
            <w:r>
              <w:rPr>
                <w:rFonts w:ascii="Times New Roman"/>
                <w:b w:val="false"/>
                <w:i w:val="false"/>
                <w:color w:val="000000"/>
                <w:sz w:val="20"/>
              </w:rPr>
              <w:t xml:space="preserve">
вид инспекции </w:t>
            </w:r>
          </w:p>
          <w:bookmarkEnd w:id="2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466"/>
          <w:p>
            <w:pPr>
              <w:spacing w:after="20"/>
              <w:ind w:left="20"/>
              <w:jc w:val="both"/>
            </w:pPr>
            <w:r>
              <w:rPr>
                <w:rFonts w:ascii="Times New Roman"/>
                <w:b w:val="false"/>
                <w:i w:val="false"/>
                <w:color w:val="000000"/>
                <w:sz w:val="20"/>
              </w:rPr>
              <w:t xml:space="preserve">
категория проверяемых лекарственных препаратов и АФС </w:t>
            </w:r>
          </w:p>
          <w:bookmarkEnd w:id="2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467"/>
          <w:p>
            <w:pPr>
              <w:spacing w:after="20"/>
              <w:ind w:left="20"/>
              <w:jc w:val="both"/>
            </w:pPr>
            <w:r>
              <w:rPr>
                <w:rFonts w:ascii="Times New Roman"/>
                <w:b w:val="false"/>
                <w:i w:val="false"/>
                <w:color w:val="000000"/>
                <w:sz w:val="20"/>
              </w:rPr>
              <w:t xml:space="preserve">
заключение </w:t>
            </w:r>
          </w:p>
          <w:bookmarkEnd w:id="2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r>
    </w:tbl>
    <w:bookmarkStart w:name="z2377" w:id="2468"/>
    <w:p>
      <w:pPr>
        <w:spacing w:after="0"/>
        <w:ind w:left="0"/>
        <w:jc w:val="both"/>
      </w:pPr>
      <w:r>
        <w:rPr>
          <w:rFonts w:ascii="Times New Roman"/>
          <w:b w:val="false"/>
          <w:i w:val="false"/>
          <w:color w:val="000000"/>
          <w:sz w:val="28"/>
        </w:rPr>
        <w:t>
      3.5.5. Производитель АФС и производственные площадки</w:t>
      </w:r>
    </w:p>
    <w:bookmarkEnd w:id="2468"/>
    <w:bookmarkStart w:name="z2378" w:id="2469"/>
    <w:p>
      <w:pPr>
        <w:spacing w:after="0"/>
        <w:ind w:left="0"/>
        <w:jc w:val="both"/>
      </w:pPr>
      <w:r>
        <w:rPr>
          <w:rFonts w:ascii="Times New Roman"/>
          <w:b w:val="false"/>
          <w:i w:val="false"/>
          <w:color w:val="000000"/>
          <w:sz w:val="28"/>
        </w:rPr>
        <w:t xml:space="preserve">
      Все производственные площадки, участвующие в процессе производства каждой АФС с указанием этапа производства. Для биологических лекарственных препаратов должны быть перечислены все площадки, осуществляющие хранение главного и рабочего банков клеток, и площадки, осуществляющие приготовление рабочего банка клеток. </w:t>
      </w:r>
    </w:p>
    <w:bookmarkEnd w:id="2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470"/>
          <w:p>
            <w:pPr>
              <w:spacing w:after="20"/>
              <w:ind w:left="20"/>
              <w:jc w:val="both"/>
            </w:pPr>
            <w:r>
              <w:rPr>
                <w:rFonts w:ascii="Times New Roman"/>
                <w:b w:val="false"/>
                <w:i w:val="false"/>
                <w:color w:val="000000"/>
                <w:sz w:val="20"/>
              </w:rPr>
              <w:t xml:space="preserve">
наименование стадии производственного процесса, активная фармацевтическая субстанция </w:t>
            </w:r>
          </w:p>
          <w:bookmarkEnd w:id="2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471"/>
          <w:p>
            <w:pPr>
              <w:spacing w:after="20"/>
              <w:ind w:left="20"/>
              <w:jc w:val="both"/>
            </w:pPr>
            <w:r>
              <w:rPr>
                <w:rFonts w:ascii="Times New Roman"/>
                <w:b w:val="false"/>
                <w:i w:val="false"/>
                <w:color w:val="000000"/>
                <w:sz w:val="20"/>
              </w:rPr>
              <w:t xml:space="preserve">
наименование юридического лица, фамилия, имя, отчество физического лица - индивидуального предпринимателя </w:t>
            </w:r>
          </w:p>
          <w:bookmarkEnd w:id="2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472"/>
          <w:p>
            <w:pPr>
              <w:spacing w:after="20"/>
              <w:ind w:left="20"/>
              <w:jc w:val="both"/>
            </w:pPr>
            <w:r>
              <w:rPr>
                <w:rFonts w:ascii="Times New Roman"/>
                <w:b w:val="false"/>
                <w:i w:val="false"/>
                <w:color w:val="000000"/>
                <w:sz w:val="20"/>
              </w:rPr>
              <w:t xml:space="preserve">
адрес места осуществления деятельности </w:t>
            </w:r>
          </w:p>
          <w:bookmarkEnd w:id="2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473"/>
          <w:p>
            <w:pPr>
              <w:spacing w:after="20"/>
              <w:ind w:left="20"/>
              <w:jc w:val="both"/>
            </w:pPr>
            <w:r>
              <w:rPr>
                <w:rFonts w:ascii="Times New Roman"/>
                <w:b w:val="false"/>
                <w:i w:val="false"/>
                <w:color w:val="000000"/>
                <w:sz w:val="20"/>
              </w:rPr>
              <w:t xml:space="preserve">
государство </w:t>
            </w:r>
          </w:p>
          <w:bookmarkEnd w:id="2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474"/>
          <w:p>
            <w:pPr>
              <w:spacing w:after="20"/>
              <w:ind w:left="20"/>
              <w:jc w:val="both"/>
            </w:pPr>
            <w:r>
              <w:rPr>
                <w:rFonts w:ascii="Times New Roman"/>
                <w:b w:val="false"/>
                <w:i w:val="false"/>
                <w:color w:val="000000"/>
                <w:sz w:val="20"/>
              </w:rPr>
              <w:t xml:space="preserve">
номера телефона и факса (при наличии) </w:t>
            </w:r>
          </w:p>
          <w:bookmarkEnd w:id="2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475"/>
          <w:p>
            <w:pPr>
              <w:spacing w:after="20"/>
              <w:ind w:left="20"/>
              <w:jc w:val="both"/>
            </w:pPr>
            <w:r>
              <w:rPr>
                <w:rFonts w:ascii="Times New Roman"/>
                <w:b w:val="false"/>
                <w:i w:val="false"/>
                <w:color w:val="000000"/>
                <w:sz w:val="20"/>
              </w:rPr>
              <w:t xml:space="preserve">
адрес электронной почты </w:t>
            </w:r>
          </w:p>
          <w:bookmarkEnd w:id="2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5" w:id="2476"/>
    <w:p>
      <w:pPr>
        <w:spacing w:after="0"/>
        <w:ind w:left="0"/>
        <w:jc w:val="both"/>
      </w:pPr>
      <w:r>
        <w:rPr>
          <w:rFonts w:ascii="Times New Roman"/>
          <w:b w:val="false"/>
          <w:i w:val="false"/>
          <w:color w:val="000000"/>
          <w:sz w:val="28"/>
        </w:rPr>
        <w:t xml:space="preserve">
      Для каждой АФС приложите заявление уполномоченного лица производителя согласно подпункту 5.5 приложения к настоящему заявлению (приложите схему, включающую последовательность и действия для различных производственных площадок, вовлеченных в процесс производства, включая выпускающий контроль). </w:t>
      </w:r>
    </w:p>
    <w:bookmarkEnd w:id="2476"/>
    <w:bookmarkStart w:name="z2386" w:id="2477"/>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Евразийского экономического союза уполномоченным органом государства - члена Евразийского экономического союза:</w:t>
      </w:r>
    </w:p>
    <w:bookmarkEnd w:id="24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87" w:id="2478"/>
          <w:p>
            <w:pPr>
              <w:spacing w:after="20"/>
              <w:ind w:left="20"/>
              <w:jc w:val="both"/>
            </w:pPr>
          </w:p>
          <w:bookmarkEnd w:id="2478"/>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388" w:id="2479"/>
    <w:p>
      <w:pPr>
        <w:spacing w:after="0"/>
        <w:ind w:left="0"/>
        <w:jc w:val="both"/>
      </w:pPr>
      <w:r>
        <w:rPr>
          <w:rFonts w:ascii="Times New Roman"/>
          <w:b w:val="false"/>
          <w:i w:val="false"/>
          <w:color w:val="000000"/>
          <w:sz w:val="28"/>
        </w:rPr>
        <w:t>
      Выдан ли сертификат соответствия монографии Европейской фармакопеи для АФС:</w:t>
      </w:r>
    </w:p>
    <w:bookmarkEnd w:id="24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89" w:id="2480"/>
          <w:p>
            <w:pPr>
              <w:spacing w:after="20"/>
              <w:ind w:left="20"/>
              <w:jc w:val="both"/>
            </w:pPr>
          </w:p>
          <w:bookmarkEnd w:id="248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390" w:id="2481"/>
    <w:p>
      <w:pPr>
        <w:spacing w:after="0"/>
        <w:ind w:left="0"/>
        <w:jc w:val="both"/>
      </w:pPr>
      <w:r>
        <w:rPr>
          <w:rFonts w:ascii="Times New Roman"/>
          <w:b w:val="false"/>
          <w:i w:val="false"/>
          <w:color w:val="000000"/>
          <w:sz w:val="28"/>
        </w:rPr>
        <w:t>
      Если да:</w:t>
      </w:r>
    </w:p>
    <w:bookmarkEnd w:id="2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482"/>
          <w:p>
            <w:pPr>
              <w:spacing w:after="20"/>
              <w:ind w:left="20"/>
              <w:jc w:val="both"/>
            </w:pPr>
            <w:r>
              <w:rPr>
                <w:rFonts w:ascii="Times New Roman"/>
                <w:b w:val="false"/>
                <w:i w:val="false"/>
                <w:color w:val="000000"/>
                <w:sz w:val="20"/>
              </w:rPr>
              <w:t xml:space="preserve">
наименование активной фармацевтической субстанции </w:t>
            </w:r>
          </w:p>
          <w:bookmarkEnd w:id="2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483"/>
          <w:p>
            <w:pPr>
              <w:spacing w:after="20"/>
              <w:ind w:left="20"/>
              <w:jc w:val="both"/>
            </w:pPr>
            <w:r>
              <w:rPr>
                <w:rFonts w:ascii="Times New Roman"/>
                <w:b w:val="false"/>
                <w:i w:val="false"/>
                <w:color w:val="000000"/>
                <w:sz w:val="20"/>
              </w:rPr>
              <w:t xml:space="preserve">
наименование юридического лица или фамилия, имя, отчество физического лица - предпринимателя (производителя) </w:t>
            </w:r>
          </w:p>
          <w:bookmarkEnd w:id="2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484"/>
          <w:p>
            <w:pPr>
              <w:spacing w:after="20"/>
              <w:ind w:left="20"/>
              <w:jc w:val="both"/>
            </w:pPr>
            <w:r>
              <w:rPr>
                <w:rFonts w:ascii="Times New Roman"/>
                <w:b w:val="false"/>
                <w:i w:val="false"/>
                <w:color w:val="000000"/>
                <w:sz w:val="20"/>
              </w:rPr>
              <w:t xml:space="preserve">
номер документа о соответствии </w:t>
            </w:r>
          </w:p>
          <w:bookmarkEnd w:id="2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485"/>
          <w:p>
            <w:pPr>
              <w:spacing w:after="20"/>
              <w:ind w:left="20"/>
              <w:jc w:val="both"/>
            </w:pPr>
            <w:r>
              <w:rPr>
                <w:rFonts w:ascii="Times New Roman"/>
                <w:b w:val="false"/>
                <w:i w:val="false"/>
                <w:color w:val="000000"/>
                <w:sz w:val="20"/>
              </w:rPr>
              <w:t xml:space="preserve">
дата последнего пересмотра </w:t>
            </w:r>
          </w:p>
          <w:bookmarkEnd w:id="2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5" w:id="2486"/>
    <w:p>
      <w:pPr>
        <w:spacing w:after="0"/>
        <w:ind w:left="0"/>
        <w:jc w:val="both"/>
      </w:pPr>
      <w:r>
        <w:rPr>
          <w:rFonts w:ascii="Times New Roman"/>
          <w:b w:val="false"/>
          <w:i w:val="false"/>
          <w:color w:val="000000"/>
          <w:sz w:val="28"/>
        </w:rPr>
        <w:t>
       Проводилась ли инспекция площадки на соблюдение требований надлежащей производственной практики уполномоченным органом другого государства:</w:t>
      </w:r>
    </w:p>
    <w:bookmarkEnd w:id="24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96" w:id="2487"/>
          <w:p>
            <w:pPr>
              <w:spacing w:after="20"/>
              <w:ind w:left="20"/>
              <w:jc w:val="both"/>
            </w:pPr>
          </w:p>
          <w:bookmarkEnd w:id="2487"/>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397" w:id="2488"/>
    <w:p>
      <w:pPr>
        <w:spacing w:after="0"/>
        <w:ind w:left="0"/>
        <w:jc w:val="both"/>
      </w:pPr>
      <w:r>
        <w:rPr>
          <w:rFonts w:ascii="Times New Roman"/>
          <w:b w:val="false"/>
          <w:i w:val="false"/>
          <w:color w:val="000000"/>
          <w:sz w:val="28"/>
        </w:rPr>
        <w:t>
      Если да, укажите:</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489"/>
          <w:p>
            <w:pPr>
              <w:spacing w:after="20"/>
              <w:ind w:left="20"/>
              <w:jc w:val="both"/>
            </w:pPr>
            <w:r>
              <w:rPr>
                <w:rFonts w:ascii="Times New Roman"/>
                <w:b w:val="false"/>
                <w:i w:val="false"/>
                <w:color w:val="000000"/>
                <w:sz w:val="20"/>
              </w:rPr>
              <w:t xml:space="preserve">
дата последней инспекции </w:t>
            </w:r>
          </w:p>
          <w:bookmarkEnd w:id="2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490"/>
          <w:p>
            <w:pPr>
              <w:spacing w:after="20"/>
              <w:ind w:left="20"/>
              <w:jc w:val="both"/>
            </w:pPr>
            <w:r>
              <w:rPr>
                <w:rFonts w:ascii="Times New Roman"/>
                <w:b w:val="false"/>
                <w:i w:val="false"/>
                <w:color w:val="000000"/>
                <w:sz w:val="20"/>
              </w:rPr>
              <w:t xml:space="preserve">
наименование уполномоченного органа, проводившего проверку </w:t>
            </w:r>
          </w:p>
          <w:bookmarkEnd w:id="2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491"/>
          <w:p>
            <w:pPr>
              <w:spacing w:after="20"/>
              <w:ind w:left="20"/>
              <w:jc w:val="both"/>
            </w:pPr>
            <w:r>
              <w:rPr>
                <w:rFonts w:ascii="Times New Roman"/>
                <w:b w:val="false"/>
                <w:i w:val="false"/>
                <w:color w:val="000000"/>
                <w:sz w:val="20"/>
              </w:rPr>
              <w:t xml:space="preserve">
вид инспекции </w:t>
            </w:r>
          </w:p>
          <w:bookmarkEnd w:id="2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492"/>
          <w:p>
            <w:pPr>
              <w:spacing w:after="20"/>
              <w:ind w:left="20"/>
              <w:jc w:val="both"/>
            </w:pPr>
            <w:r>
              <w:rPr>
                <w:rFonts w:ascii="Times New Roman"/>
                <w:b w:val="false"/>
                <w:i w:val="false"/>
                <w:color w:val="000000"/>
                <w:sz w:val="20"/>
              </w:rPr>
              <w:t xml:space="preserve">
номер документа о соответствии </w:t>
            </w:r>
          </w:p>
          <w:bookmarkEnd w:id="2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493"/>
          <w:p>
            <w:pPr>
              <w:spacing w:after="20"/>
              <w:ind w:left="20"/>
              <w:jc w:val="both"/>
            </w:pPr>
            <w:r>
              <w:rPr>
                <w:rFonts w:ascii="Times New Roman"/>
                <w:b w:val="false"/>
                <w:i w:val="false"/>
                <w:color w:val="000000"/>
                <w:sz w:val="20"/>
              </w:rPr>
              <w:t xml:space="preserve">
заключение </w:t>
            </w:r>
          </w:p>
          <w:bookmarkEnd w:id="2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w:t>
            </w: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r>
    </w:tbl>
    <w:bookmarkStart w:name="z2403" w:id="2494"/>
    <w:p>
      <w:pPr>
        <w:spacing w:after="0"/>
        <w:ind w:left="0"/>
        <w:jc w:val="both"/>
      </w:pPr>
      <w:r>
        <w:rPr>
          <w:rFonts w:ascii="Times New Roman"/>
          <w:b w:val="false"/>
          <w:i w:val="false"/>
          <w:color w:val="000000"/>
          <w:sz w:val="28"/>
        </w:rPr>
        <w:t>
      Будет ли использован мастер-файл производителя АФС в составе регистрационного досье:</w:t>
      </w:r>
    </w:p>
    <w:bookmarkEnd w:id="24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04" w:id="2495"/>
          <w:p>
            <w:pPr>
              <w:spacing w:after="20"/>
              <w:ind w:left="20"/>
              <w:jc w:val="both"/>
            </w:pPr>
          </w:p>
          <w:bookmarkEnd w:id="2495"/>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05" w:id="2496"/>
    <w:p>
      <w:pPr>
        <w:spacing w:after="0"/>
        <w:ind w:left="0"/>
        <w:jc w:val="both"/>
      </w:pPr>
      <w:r>
        <w:rPr>
          <w:rFonts w:ascii="Times New Roman"/>
          <w:b w:val="false"/>
          <w:i w:val="false"/>
          <w:color w:val="000000"/>
          <w:sz w:val="28"/>
        </w:rPr>
        <w:t>
      Если да:</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497"/>
          <w:p>
            <w:pPr>
              <w:spacing w:after="20"/>
              <w:ind w:left="20"/>
              <w:jc w:val="both"/>
            </w:pPr>
            <w:r>
              <w:rPr>
                <w:rFonts w:ascii="Times New Roman"/>
                <w:b w:val="false"/>
                <w:i w:val="false"/>
                <w:color w:val="000000"/>
                <w:sz w:val="20"/>
              </w:rPr>
              <w:t xml:space="preserve">
наименование активной фармацевтической субстанции </w:t>
            </w:r>
          </w:p>
          <w:bookmarkEnd w:id="2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498"/>
          <w:p>
            <w:pPr>
              <w:spacing w:after="20"/>
              <w:ind w:left="20"/>
              <w:jc w:val="both"/>
            </w:pPr>
            <w:r>
              <w:rPr>
                <w:rFonts w:ascii="Times New Roman"/>
                <w:b w:val="false"/>
                <w:i w:val="false"/>
                <w:color w:val="000000"/>
                <w:sz w:val="20"/>
              </w:rPr>
              <w:t xml:space="preserve">
наименование держателя мастер-файла производителя АФС </w:t>
            </w:r>
          </w:p>
          <w:bookmarkEnd w:id="2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499"/>
          <w:p>
            <w:pPr>
              <w:spacing w:after="20"/>
              <w:ind w:left="20"/>
              <w:jc w:val="both"/>
            </w:pPr>
            <w:r>
              <w:rPr>
                <w:rFonts w:ascii="Times New Roman"/>
                <w:b w:val="false"/>
                <w:i w:val="false"/>
                <w:color w:val="000000"/>
                <w:sz w:val="20"/>
              </w:rPr>
              <w:t xml:space="preserve">
наименование производителя АФС, если отличается от держателя мастер-файла производителя АФС </w:t>
            </w:r>
          </w:p>
          <w:bookmarkEnd w:id="2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500"/>
          <w:p>
            <w:pPr>
              <w:spacing w:after="20"/>
              <w:ind w:left="20"/>
              <w:jc w:val="both"/>
            </w:pPr>
            <w:r>
              <w:rPr>
                <w:rFonts w:ascii="Times New Roman"/>
                <w:b w:val="false"/>
                <w:i w:val="false"/>
                <w:color w:val="000000"/>
                <w:sz w:val="20"/>
              </w:rPr>
              <w:t xml:space="preserve">
дата последнего пересмотра </w:t>
            </w:r>
          </w:p>
          <w:bookmarkEnd w:id="2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0" w:id="2501"/>
    <w:p>
      <w:pPr>
        <w:spacing w:after="0"/>
        <w:ind w:left="0"/>
        <w:jc w:val="both"/>
      </w:pPr>
      <w:r>
        <w:rPr>
          <w:rFonts w:ascii="Times New Roman"/>
          <w:b w:val="false"/>
          <w:i w:val="false"/>
          <w:color w:val="000000"/>
          <w:sz w:val="28"/>
        </w:rPr>
        <w:t>
      Выдан ли сертификат на мастер-файл на вакцинный антиген (далее - МФВА), который используется в регистрационном досье, или подано заявление на его получение:</w:t>
      </w:r>
    </w:p>
    <w:bookmarkEnd w:id="25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11" w:id="2502"/>
          <w:p>
            <w:pPr>
              <w:spacing w:after="20"/>
              <w:ind w:left="20"/>
              <w:jc w:val="both"/>
            </w:pPr>
          </w:p>
          <w:bookmarkEnd w:id="2502"/>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12" w:id="2503"/>
    <w:p>
      <w:pPr>
        <w:spacing w:after="0"/>
        <w:ind w:left="0"/>
        <w:jc w:val="both"/>
      </w:pPr>
      <w:r>
        <w:rPr>
          <w:rFonts w:ascii="Times New Roman"/>
          <w:b w:val="false"/>
          <w:i w:val="false"/>
          <w:color w:val="000000"/>
          <w:sz w:val="28"/>
        </w:rPr>
        <w:t xml:space="preserve">
      Если да: </w:t>
      </w:r>
    </w:p>
    <w:bookmarkEnd w:id="2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504"/>
          <w:p>
            <w:pPr>
              <w:spacing w:after="20"/>
              <w:ind w:left="20"/>
              <w:jc w:val="both"/>
            </w:pPr>
            <w:r>
              <w:rPr>
                <w:rFonts w:ascii="Times New Roman"/>
                <w:b w:val="false"/>
                <w:i w:val="false"/>
                <w:color w:val="000000"/>
                <w:sz w:val="20"/>
              </w:rPr>
              <w:t xml:space="preserve">
наименование вакцинного антигена </w:t>
            </w:r>
          </w:p>
          <w:bookmarkEnd w:id="2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505"/>
          <w:p>
            <w:pPr>
              <w:spacing w:after="20"/>
              <w:ind w:left="20"/>
              <w:jc w:val="both"/>
            </w:pPr>
            <w:r>
              <w:rPr>
                <w:rFonts w:ascii="Times New Roman"/>
                <w:b w:val="false"/>
                <w:i w:val="false"/>
                <w:color w:val="000000"/>
                <w:sz w:val="20"/>
              </w:rPr>
              <w:t xml:space="preserve">
наименование производителя вакцинного антигена (владельца сертификата на МФВА) </w:t>
            </w:r>
          </w:p>
          <w:bookmarkEnd w:id="2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506"/>
          <w:p>
            <w:pPr>
              <w:spacing w:after="20"/>
              <w:ind w:left="20"/>
              <w:jc w:val="both"/>
            </w:pPr>
            <w:r>
              <w:rPr>
                <w:rFonts w:ascii="Times New Roman"/>
                <w:b w:val="false"/>
                <w:i w:val="false"/>
                <w:color w:val="000000"/>
                <w:sz w:val="20"/>
              </w:rPr>
              <w:t xml:space="preserve">
номер заявления (сертификата) </w:t>
            </w:r>
          </w:p>
          <w:bookmarkEnd w:id="2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507"/>
          <w:p>
            <w:pPr>
              <w:spacing w:after="20"/>
              <w:ind w:left="20"/>
              <w:jc w:val="both"/>
            </w:pPr>
            <w:r>
              <w:rPr>
                <w:rFonts w:ascii="Times New Roman"/>
                <w:b w:val="false"/>
                <w:i w:val="false"/>
                <w:color w:val="000000"/>
                <w:sz w:val="20"/>
              </w:rPr>
              <w:t xml:space="preserve">
дата подачи (если на рассмотрении) </w:t>
            </w:r>
          </w:p>
          <w:bookmarkEnd w:id="2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508"/>
          <w:p>
            <w:pPr>
              <w:spacing w:after="20"/>
              <w:ind w:left="20"/>
              <w:jc w:val="both"/>
            </w:pPr>
            <w:r>
              <w:rPr>
                <w:rFonts w:ascii="Times New Roman"/>
                <w:b w:val="false"/>
                <w:i w:val="false"/>
                <w:color w:val="000000"/>
                <w:sz w:val="20"/>
              </w:rPr>
              <w:t xml:space="preserve">
дата утверждения или последнего пересмотра (если имеется) </w:t>
            </w:r>
          </w:p>
          <w:bookmarkEnd w:id="2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8" w:id="2509"/>
    <w:p>
      <w:pPr>
        <w:spacing w:after="0"/>
        <w:ind w:left="0"/>
        <w:jc w:val="both"/>
      </w:pPr>
      <w:r>
        <w:rPr>
          <w:rFonts w:ascii="Times New Roman"/>
          <w:b w:val="false"/>
          <w:i w:val="false"/>
          <w:color w:val="000000"/>
          <w:sz w:val="28"/>
        </w:rPr>
        <w:t>
      3.5.6. Контрактные исследовательские организации, привлекаемые к клиническому исследованию для определения биодоступности и (или) биоэквивалентности, или которые привлекались для валидации процессов производства препаратов крови</w:t>
      </w:r>
    </w:p>
    <w:bookmarkEnd w:id="2509"/>
    <w:bookmarkStart w:name="z2419" w:id="2510"/>
    <w:p>
      <w:pPr>
        <w:spacing w:after="0"/>
        <w:ind w:left="0"/>
        <w:jc w:val="both"/>
      </w:pPr>
      <w:r>
        <w:rPr>
          <w:rFonts w:ascii="Times New Roman"/>
          <w:b w:val="false"/>
          <w:i w:val="false"/>
          <w:color w:val="000000"/>
          <w:sz w:val="28"/>
        </w:rPr>
        <w:t xml:space="preserve">
      Для каждой контрактной исследовательской организации укажите, где проводилось аналитические испытания и осуществлялся сбор клинических данных, а также: </w:t>
      </w:r>
    </w:p>
    <w:bookmarkEnd w:id="2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511"/>
          <w:p>
            <w:pPr>
              <w:spacing w:after="20"/>
              <w:ind w:left="20"/>
              <w:jc w:val="both"/>
            </w:pPr>
            <w:r>
              <w:rPr>
                <w:rFonts w:ascii="Times New Roman"/>
                <w:b w:val="false"/>
                <w:i w:val="false"/>
                <w:color w:val="000000"/>
                <w:sz w:val="20"/>
              </w:rPr>
              <w:t xml:space="preserve">
название исследования </w:t>
            </w:r>
          </w:p>
          <w:bookmarkEnd w:id="2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512"/>
          <w:p>
            <w:pPr>
              <w:spacing w:after="20"/>
              <w:ind w:left="20"/>
              <w:jc w:val="both"/>
            </w:pPr>
            <w:r>
              <w:rPr>
                <w:rFonts w:ascii="Times New Roman"/>
                <w:b w:val="false"/>
                <w:i w:val="false"/>
                <w:color w:val="000000"/>
                <w:sz w:val="20"/>
              </w:rPr>
              <w:t xml:space="preserve">
код протокола </w:t>
            </w:r>
          </w:p>
          <w:bookmarkEnd w:id="2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513"/>
          <w:p>
            <w:pPr>
              <w:spacing w:after="20"/>
              <w:ind w:left="20"/>
              <w:jc w:val="both"/>
            </w:pPr>
            <w:r>
              <w:rPr>
                <w:rFonts w:ascii="Times New Roman"/>
                <w:b w:val="false"/>
                <w:i w:val="false"/>
                <w:color w:val="000000"/>
                <w:sz w:val="20"/>
              </w:rPr>
              <w:t xml:space="preserve">
номер EudraCT (при наличии) </w:t>
            </w:r>
          </w:p>
          <w:bookmarkEnd w:id="2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514"/>
          <w:p>
            <w:pPr>
              <w:spacing w:after="20"/>
              <w:ind w:left="20"/>
              <w:jc w:val="both"/>
            </w:pPr>
            <w:r>
              <w:rPr>
                <w:rFonts w:ascii="Times New Roman"/>
                <w:b w:val="false"/>
                <w:i w:val="false"/>
                <w:color w:val="000000"/>
                <w:sz w:val="20"/>
              </w:rPr>
              <w:t xml:space="preserve">
номер ClinicalTrials.gov (при наличии) </w:t>
            </w:r>
          </w:p>
          <w:bookmarkEnd w:id="2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515"/>
          <w:p>
            <w:pPr>
              <w:spacing w:after="20"/>
              <w:ind w:left="20"/>
              <w:jc w:val="both"/>
            </w:pPr>
            <w:r>
              <w:rPr>
                <w:rFonts w:ascii="Times New Roman"/>
                <w:b w:val="false"/>
                <w:i w:val="false"/>
                <w:color w:val="000000"/>
                <w:sz w:val="20"/>
              </w:rPr>
              <w:t xml:space="preserve">
наименование контрактной исследовательской организации </w:t>
            </w:r>
          </w:p>
          <w:bookmarkEnd w:id="2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516"/>
          <w:p>
            <w:pPr>
              <w:spacing w:after="20"/>
              <w:ind w:left="20"/>
              <w:jc w:val="both"/>
            </w:pPr>
            <w:r>
              <w:rPr>
                <w:rFonts w:ascii="Times New Roman"/>
                <w:b w:val="false"/>
                <w:i w:val="false"/>
                <w:color w:val="000000"/>
                <w:sz w:val="20"/>
              </w:rPr>
              <w:t xml:space="preserve">
адрес контрактной исследовательской организации </w:t>
            </w:r>
          </w:p>
          <w:bookmarkEnd w:id="2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517"/>
          <w:p>
            <w:pPr>
              <w:spacing w:after="20"/>
              <w:ind w:left="20"/>
              <w:jc w:val="both"/>
            </w:pPr>
            <w:r>
              <w:rPr>
                <w:rFonts w:ascii="Times New Roman"/>
                <w:b w:val="false"/>
                <w:i w:val="false"/>
                <w:color w:val="000000"/>
                <w:sz w:val="20"/>
              </w:rPr>
              <w:t xml:space="preserve">
номера телефона и факса (при наличии) </w:t>
            </w:r>
          </w:p>
          <w:bookmarkEnd w:id="2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518"/>
          <w:p>
            <w:pPr>
              <w:spacing w:after="20"/>
              <w:ind w:left="20"/>
              <w:jc w:val="both"/>
            </w:pPr>
            <w:r>
              <w:rPr>
                <w:rFonts w:ascii="Times New Roman"/>
                <w:b w:val="false"/>
                <w:i w:val="false"/>
                <w:color w:val="000000"/>
                <w:sz w:val="20"/>
              </w:rPr>
              <w:t xml:space="preserve">
адрес электронной почты </w:t>
            </w:r>
          </w:p>
          <w:bookmarkEnd w:id="2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8" w:id="2519"/>
    <w:p>
      <w:pPr>
        <w:spacing w:after="0"/>
        <w:ind w:left="0"/>
        <w:jc w:val="both"/>
      </w:pPr>
      <w:r>
        <w:rPr>
          <w:rFonts w:ascii="Times New Roman"/>
          <w:b w:val="false"/>
          <w:i w:val="false"/>
          <w:color w:val="000000"/>
          <w:sz w:val="28"/>
        </w:rPr>
        <w:t>
      3.6. Качественный и количественный состав лекарственного препарата.</w:t>
      </w:r>
    </w:p>
    <w:bookmarkEnd w:id="2519"/>
    <w:bookmarkStart w:name="z2429" w:id="2520"/>
    <w:p>
      <w:pPr>
        <w:spacing w:after="0"/>
        <w:ind w:left="0"/>
        <w:jc w:val="both"/>
      </w:pPr>
      <w:r>
        <w:rPr>
          <w:rFonts w:ascii="Times New Roman"/>
          <w:b w:val="false"/>
          <w:i w:val="false"/>
          <w:color w:val="000000"/>
          <w:sz w:val="28"/>
        </w:rPr>
        <w:t>
      3.6.1. Качественный и количественный состав лекарственного препарата (АФС и вспомогательные вещества)</w:t>
      </w:r>
    </w:p>
    <w:bookmarkEnd w:id="2520"/>
    <w:bookmarkStart w:name="z2430" w:id="2521"/>
    <w:p>
      <w:pPr>
        <w:spacing w:after="0"/>
        <w:ind w:left="0"/>
        <w:jc w:val="both"/>
      </w:pPr>
      <w:r>
        <w:rPr>
          <w:rFonts w:ascii="Times New Roman"/>
          <w:b w:val="false"/>
          <w:i w:val="false"/>
          <w:color w:val="000000"/>
          <w:sz w:val="28"/>
        </w:rPr>
        <w:t>
      Необходимо указать, на какую единицу состав (на единицу дозированной формы, на единицу объема, на единицу массы и др.).</w:t>
      </w:r>
    </w:p>
    <w:bookmarkEnd w:id="2521"/>
    <w:bookmarkStart w:name="z2431" w:id="2522"/>
    <w:p>
      <w:pPr>
        <w:spacing w:after="0"/>
        <w:ind w:left="0"/>
        <w:jc w:val="both"/>
      </w:pPr>
      <w:r>
        <w:rPr>
          <w:rFonts w:ascii="Times New Roman"/>
          <w:b w:val="false"/>
          <w:i w:val="false"/>
          <w:color w:val="000000"/>
          <w:sz w:val="28"/>
        </w:rPr>
        <w:t>
      Перечислите АФС отдельно от вспомогательных веществ:</w:t>
      </w:r>
    </w:p>
    <w:bookmarkEnd w:id="2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523"/>
          <w:p>
            <w:pPr>
              <w:spacing w:after="20"/>
              <w:ind w:left="20"/>
              <w:jc w:val="both"/>
            </w:pPr>
            <w:r>
              <w:rPr>
                <w:rFonts w:ascii="Times New Roman"/>
                <w:b w:val="false"/>
                <w:i w:val="false"/>
                <w:color w:val="000000"/>
                <w:sz w:val="20"/>
              </w:rPr>
              <w:t xml:space="preserve">
№ </w:t>
            </w:r>
          </w:p>
          <w:bookmarkEnd w:id="2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АФС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 единицах массы, объема, активности или концентрации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(монография)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524"/>
          <w:p>
            <w:pPr>
              <w:spacing w:after="20"/>
              <w:ind w:left="20"/>
              <w:jc w:val="both"/>
            </w:pPr>
            <w:r>
              <w:rPr>
                <w:rFonts w:ascii="Times New Roman"/>
                <w:b w:val="false"/>
                <w:i w:val="false"/>
                <w:color w:val="000000"/>
                <w:sz w:val="20"/>
              </w:rPr>
              <w:t xml:space="preserve">
№ </w:t>
            </w:r>
          </w:p>
          <w:bookmarkEnd w:id="2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вспомогательных веществ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 единицах массы, объема, активности или концентрации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(монография) </w:t>
            </w:r>
          </w:p>
        </w:tc>
      </w:tr>
    </w:tbl>
    <w:bookmarkStart w:name="z2434" w:id="2525"/>
    <w:p>
      <w:pPr>
        <w:spacing w:after="0"/>
        <w:ind w:left="0"/>
        <w:jc w:val="both"/>
      </w:pPr>
      <w:r>
        <w:rPr>
          <w:rFonts w:ascii="Times New Roman"/>
          <w:b w:val="false"/>
          <w:i w:val="false"/>
          <w:color w:val="000000"/>
          <w:sz w:val="28"/>
        </w:rPr>
        <w:t>
      Примечание. Только одно наименование для каждого АФС необходимо указать в такой последовательности: МНН &lt;*&gt;, наименование по Фармакопее Евразийского экономического союза, фармакопеям государств - членов Евразийского экономического союза (или основные фармакопеи в соответствии с Концепцией гармонизации фармакопей государств – членов Евразийского экономического союза), общепринятое или группировочное наименование, научное (химическое) название.</w:t>
      </w:r>
    </w:p>
    <w:bookmarkEnd w:id="2525"/>
    <w:bookmarkStart w:name="z2435" w:id="2526"/>
    <w:p>
      <w:pPr>
        <w:spacing w:after="0"/>
        <w:ind w:left="0"/>
        <w:jc w:val="both"/>
      </w:pPr>
      <w:r>
        <w:rPr>
          <w:rFonts w:ascii="Times New Roman"/>
          <w:b w:val="false"/>
          <w:i w:val="false"/>
          <w:color w:val="000000"/>
          <w:sz w:val="28"/>
        </w:rPr>
        <w:t>
      ────────────────────────────────</w:t>
      </w:r>
    </w:p>
    <w:bookmarkEnd w:id="2526"/>
    <w:bookmarkStart w:name="z2436" w:id="2527"/>
    <w:p>
      <w:pPr>
        <w:spacing w:after="0"/>
        <w:ind w:left="0"/>
        <w:jc w:val="both"/>
      </w:pPr>
      <w:r>
        <w:rPr>
          <w:rFonts w:ascii="Times New Roman"/>
          <w:b w:val="false"/>
          <w:i w:val="false"/>
          <w:color w:val="000000"/>
          <w:sz w:val="28"/>
        </w:rPr>
        <w:t>
      * Наименование АФС необходимо указывать по его рекомендованному Всемирной организацией здравоохранения МНН с указанием его солей или гидратной формы, если необходимо.</w:t>
      </w:r>
    </w:p>
    <w:bookmarkEnd w:id="2527"/>
    <w:bookmarkStart w:name="z2437" w:id="2528"/>
    <w:p>
      <w:pPr>
        <w:spacing w:after="0"/>
        <w:ind w:left="0"/>
        <w:jc w:val="both"/>
      </w:pPr>
      <w:r>
        <w:rPr>
          <w:rFonts w:ascii="Times New Roman"/>
          <w:b w:val="false"/>
          <w:i w:val="false"/>
          <w:color w:val="000000"/>
          <w:sz w:val="28"/>
        </w:rPr>
        <w:t>
      Сведения об избытке указывать в столбцах о составе не допускается, их необходимо изложить ниже:</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529"/>
          <w:p>
            <w:pPr>
              <w:spacing w:after="20"/>
              <w:ind w:left="20"/>
              <w:jc w:val="both"/>
            </w:pPr>
            <w:r>
              <w:rPr>
                <w:rFonts w:ascii="Times New Roman"/>
                <w:b w:val="false"/>
                <w:i w:val="false"/>
                <w:color w:val="000000"/>
                <w:sz w:val="20"/>
              </w:rPr>
              <w:t xml:space="preserve">
активные фармацевтические субстанции </w:t>
            </w:r>
          </w:p>
          <w:bookmarkEnd w:id="2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530"/>
          <w:p>
            <w:pPr>
              <w:spacing w:after="20"/>
              <w:ind w:left="20"/>
              <w:jc w:val="both"/>
            </w:pPr>
            <w:r>
              <w:rPr>
                <w:rFonts w:ascii="Times New Roman"/>
                <w:b w:val="false"/>
                <w:i w:val="false"/>
                <w:color w:val="000000"/>
                <w:sz w:val="20"/>
              </w:rPr>
              <w:t xml:space="preserve">
вспомогательное вещество(а) </w:t>
            </w:r>
          </w:p>
          <w:bookmarkEnd w:id="2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2531"/>
    <w:p>
      <w:pPr>
        <w:spacing w:after="0"/>
        <w:ind w:left="0"/>
        <w:jc w:val="both"/>
      </w:pPr>
      <w:r>
        <w:rPr>
          <w:rFonts w:ascii="Times New Roman"/>
          <w:b w:val="false"/>
          <w:i w:val="false"/>
          <w:color w:val="000000"/>
          <w:sz w:val="28"/>
        </w:rPr>
        <w:t>
      3.6.2. Перечень материалов животного и (или) человеческого происхождения, входящих в состав лекарственного препарата или используемых в процессе его производства</w:t>
      </w:r>
    </w:p>
    <w:bookmarkEnd w:id="2531"/>
    <w:bookmarkStart w:name="z2441" w:id="2532"/>
    <w:p>
      <w:pPr>
        <w:spacing w:after="0"/>
        <w:ind w:left="0"/>
        <w:jc w:val="both"/>
      </w:pPr>
      <w:r>
        <w:rPr>
          <w:rFonts w:ascii="Times New Roman"/>
          <w:b w:val="false"/>
          <w:i w:val="false"/>
          <w:color w:val="000000"/>
          <w:sz w:val="28"/>
        </w:rPr>
        <w:t xml:space="preserve">
      </w:t>
      </w:r>
    </w:p>
    <w:bookmarkEnd w:id="2532"/>
    <w:p>
      <w:pPr>
        <w:spacing w:after="0"/>
        <w:ind w:left="0"/>
        <w:jc w:val="both"/>
      </w:pPr>
      <w:r>
        <w:t>[MISSING IMAGE: ,  ]</w:t>
      </w:r>
    </w:p>
    <w:p>
      <w:pPr>
        <w:spacing w:after="0"/>
        <w:ind w:left="0"/>
        <w:jc w:val="left"/>
      </w:pPr>
      <w:r>
        <w:rPr>
          <w:rFonts w:ascii="Times New Roman"/>
          <w:b w:val="false"/>
          <w:i w:val="false"/>
          <w:color w:val="000000"/>
          <w:sz w:val="28"/>
        </w:rPr>
        <w:t>отсутствуют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533"/>
          <w:p>
            <w:pPr>
              <w:spacing w:after="20"/>
              <w:ind w:left="20"/>
              <w:jc w:val="both"/>
            </w:pPr>
            <w:r>
              <w:rPr>
                <w:rFonts w:ascii="Times New Roman"/>
                <w:b w:val="false"/>
                <w:i w:val="false"/>
                <w:color w:val="000000"/>
                <w:sz w:val="20"/>
              </w:rPr>
              <w:t xml:space="preserve">
Название </w:t>
            </w:r>
          </w:p>
          <w:bookmarkEnd w:id="25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животных, восприимчивых к ТГЭ </w:t>
            </w:r>
            <w:r>
              <w:rPr>
                <w:rFonts w:ascii="Times New Roman"/>
                <w:b w:val="false"/>
                <w:i w:val="false"/>
                <w:color w:val="000000"/>
                <w:vertAlign w:val="superscript"/>
              </w:rPr>
              <w:t xml:space="preserve">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животные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Человеческого происхождения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соответствия Европейской фармакопеи относительно ТГЭ </w:t>
            </w:r>
            <w:r>
              <w:rPr>
                <w:rFonts w:ascii="Times New Roman"/>
                <w:b w:val="false"/>
                <w:i w:val="false"/>
                <w:color w:val="000000"/>
                <w:vertAlign w:val="superscript"/>
              </w:rPr>
              <w:t>3</w:t>
            </w:r>
            <w:r>
              <w:rPr>
                <w:rFonts w:ascii="Times New Roman"/>
                <w:b w:val="false"/>
                <w:i w:val="false"/>
                <w:color w:val="000000"/>
                <w:sz w:val="20"/>
              </w:rPr>
              <w:t xml:space="preserve"> (укажите номер)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534"/>
          <w:p>
            <w:pPr>
              <w:spacing w:after="20"/>
              <w:ind w:left="20"/>
              <w:jc w:val="both"/>
            </w:pPr>
          </w:p>
          <w:bookmarkEnd w:id="25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w:t>
            </w:r>
            <w:r>
              <w:rPr>
                <w:rFonts w:ascii="Times New Roman"/>
                <w:b w:val="false"/>
                <w:i w:val="false"/>
                <w:color w:val="000000"/>
                <w:vertAlign w:val="superscript"/>
              </w:rPr>
              <w:t>1</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perscript"/>
              </w:rPr>
              <w:t>2</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535"/>
          <w:p>
            <w:pPr>
              <w:spacing w:after="20"/>
              <w:ind w:left="20"/>
              <w:jc w:val="both"/>
            </w:pPr>
            <w:r>
              <w:rPr>
                <w:rFonts w:ascii="Times New Roman"/>
                <w:b w:val="false"/>
                <w:i w:val="false"/>
                <w:color w:val="000000"/>
                <w:sz w:val="20"/>
              </w:rPr>
              <w:t xml:space="preserve">
1 </w:t>
            </w:r>
          </w:p>
          <w:bookmarkEnd w:id="25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536"/>
          <w:p>
            <w:pPr>
              <w:spacing w:after="20"/>
              <w:ind w:left="20"/>
              <w:jc w:val="both"/>
            </w:pPr>
            <w:r>
              <w:rPr>
                <w:rFonts w:ascii="Times New Roman"/>
                <w:b w:val="false"/>
                <w:i w:val="false"/>
                <w:color w:val="000000"/>
                <w:sz w:val="20"/>
              </w:rPr>
              <w:t xml:space="preserve">
2 </w:t>
            </w:r>
          </w:p>
          <w:bookmarkEnd w:id="25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537"/>
          <w:p>
            <w:pPr>
              <w:spacing w:after="20"/>
              <w:ind w:left="20"/>
              <w:jc w:val="both"/>
            </w:pPr>
            <w:r>
              <w:rPr>
                <w:rFonts w:ascii="Times New Roman"/>
                <w:b w:val="false"/>
                <w:i w:val="false"/>
                <w:color w:val="000000"/>
                <w:sz w:val="20"/>
              </w:rPr>
              <w:t xml:space="preserve">
3 </w:t>
            </w:r>
          </w:p>
          <w:bookmarkEnd w:id="25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538"/>
          <w:p>
            <w:pPr>
              <w:spacing w:after="20"/>
              <w:ind w:left="20"/>
              <w:jc w:val="both"/>
            </w:pPr>
            <w:r>
              <w:rPr>
                <w:rFonts w:ascii="Times New Roman"/>
                <w:b w:val="false"/>
                <w:i w:val="false"/>
                <w:color w:val="000000"/>
                <w:sz w:val="20"/>
              </w:rPr>
              <w:t xml:space="preserve">
... </w:t>
            </w:r>
          </w:p>
          <w:bookmarkEnd w:id="25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8" w:id="2539"/>
    <w:p>
      <w:pPr>
        <w:spacing w:after="0"/>
        <w:ind w:left="0"/>
        <w:jc w:val="both"/>
      </w:pPr>
      <w:r>
        <w:rPr>
          <w:rFonts w:ascii="Times New Roman"/>
          <w:b w:val="false"/>
          <w:i w:val="false"/>
          <w:color w:val="000000"/>
          <w:sz w:val="28"/>
        </w:rPr>
        <w:t xml:space="preserve">
      Указать наличие сертификата соответствия Европейской фармакопеи относительно ТГЭ </w:t>
      </w:r>
      <w:r>
        <w:rPr>
          <w:rFonts w:ascii="Times New Roman"/>
          <w:b w:val="false"/>
          <w:i w:val="false"/>
          <w:color w:val="000000"/>
          <w:vertAlign w:val="superscript"/>
        </w:rPr>
        <w:t>3</w:t>
      </w:r>
      <w:r>
        <w:rPr>
          <w:rFonts w:ascii="Times New Roman"/>
          <w:b w:val="false"/>
          <w:i w:val="false"/>
          <w:color w:val="000000"/>
          <w:sz w:val="28"/>
        </w:rPr>
        <w:t xml:space="preserve"> или документа, выданного уполномоченными органами ветеринарного надзора страны происхождения сырья относительно регистрации в стране (по результатам клинического и лабораторного контроля) случаев ТГЭ </w:t>
      </w:r>
      <w:r>
        <w:rPr>
          <w:rFonts w:ascii="Times New Roman"/>
          <w:b w:val="false"/>
          <w:i w:val="false"/>
          <w:color w:val="000000"/>
          <w:vertAlign w:val="superscript"/>
        </w:rPr>
        <w:t>3</w:t>
      </w:r>
    </w:p>
    <w:bookmarkEnd w:id="2539"/>
    <w:bookmarkStart w:name="z2449" w:id="2540"/>
    <w:p>
      <w:pPr>
        <w:spacing w:after="0"/>
        <w:ind w:left="0"/>
        <w:jc w:val="both"/>
      </w:pPr>
      <w:r>
        <w:rPr>
          <w:rFonts w:ascii="Times New Roman"/>
          <w:b w:val="false"/>
          <w:i w:val="false"/>
          <w:color w:val="000000"/>
          <w:sz w:val="28"/>
        </w:rPr>
        <w:t>
      ────────────────────────────────</w:t>
      </w:r>
    </w:p>
    <w:bookmarkEnd w:id="2540"/>
    <w:bookmarkStart w:name="z2450" w:id="25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ВВ - вспомогательное вещество (включая исходные материалы, которые </w:t>
      </w:r>
    </w:p>
    <w:bookmarkEnd w:id="2541"/>
    <w:bookmarkStart w:name="z2451" w:id="2542"/>
    <w:p>
      <w:pPr>
        <w:spacing w:after="0"/>
        <w:ind w:left="0"/>
        <w:jc w:val="both"/>
      </w:pPr>
      <w:r>
        <w:rPr>
          <w:rFonts w:ascii="Times New Roman"/>
          <w:b w:val="false"/>
          <w:i w:val="false"/>
          <w:color w:val="000000"/>
          <w:sz w:val="28"/>
        </w:rPr>
        <w:t>
      используются в производстве АФС/вспомогательного вещества).</w:t>
      </w:r>
    </w:p>
    <w:bookmarkEnd w:id="2542"/>
    <w:bookmarkStart w:name="z2452" w:id="25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 - реагент/среда культивирования (включая используемые для приготовления </w:t>
      </w:r>
    </w:p>
    <w:bookmarkEnd w:id="2543"/>
    <w:bookmarkStart w:name="z2453" w:id="2544"/>
    <w:p>
      <w:pPr>
        <w:spacing w:after="0"/>
        <w:ind w:left="0"/>
        <w:jc w:val="both"/>
      </w:pPr>
      <w:r>
        <w:rPr>
          <w:rFonts w:ascii="Times New Roman"/>
          <w:b w:val="false"/>
          <w:i w:val="false"/>
          <w:color w:val="000000"/>
          <w:sz w:val="28"/>
        </w:rPr>
        <w:t>
      главного и рабочего банков клеток).</w:t>
      </w:r>
    </w:p>
    <w:bookmarkEnd w:id="2544"/>
    <w:bookmarkStart w:name="z2454" w:id="25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ТГЭ - трансмиссивная губчатая энцефалопатия.</w:t>
      </w:r>
    </w:p>
    <w:bookmarkEnd w:id="2545"/>
    <w:bookmarkStart w:name="z2455" w:id="2546"/>
    <w:p>
      <w:pPr>
        <w:spacing w:after="0"/>
        <w:ind w:left="0"/>
        <w:jc w:val="both"/>
      </w:pPr>
      <w:r>
        <w:rPr>
          <w:rFonts w:ascii="Times New Roman"/>
          <w:b w:val="false"/>
          <w:i w:val="false"/>
          <w:color w:val="000000"/>
          <w:sz w:val="28"/>
        </w:rPr>
        <w:t>
      3.6.3. Выдан ли сертификат на мастер-файл на плазму (далее - МФП), который используется в данном досье, или подано заявление на его получение:</w:t>
      </w:r>
    </w:p>
    <w:bookmarkEnd w:id="25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56" w:id="2547"/>
          <w:p>
            <w:pPr>
              <w:spacing w:after="20"/>
              <w:ind w:left="20"/>
              <w:jc w:val="both"/>
            </w:pPr>
          </w:p>
          <w:bookmarkEnd w:id="2547"/>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57" w:id="2548"/>
    <w:p>
      <w:pPr>
        <w:spacing w:after="0"/>
        <w:ind w:left="0"/>
        <w:jc w:val="both"/>
      </w:pPr>
      <w:r>
        <w:rPr>
          <w:rFonts w:ascii="Times New Roman"/>
          <w:b w:val="false"/>
          <w:i w:val="false"/>
          <w:color w:val="000000"/>
          <w:sz w:val="28"/>
        </w:rPr>
        <w:t>
      Если да:</w:t>
      </w:r>
    </w:p>
    <w:bookmarkEnd w:id="2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549"/>
          <w:p>
            <w:pPr>
              <w:spacing w:after="20"/>
              <w:ind w:left="20"/>
              <w:jc w:val="both"/>
            </w:pPr>
            <w:r>
              <w:rPr>
                <w:rFonts w:ascii="Times New Roman"/>
                <w:b w:val="false"/>
                <w:i w:val="false"/>
                <w:color w:val="000000"/>
                <w:sz w:val="20"/>
              </w:rPr>
              <w:t xml:space="preserve">
вещество (субстанция) со ссылкой на МФП </w:t>
            </w:r>
          </w:p>
          <w:bookmarkEnd w:id="2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550"/>
          <w:p>
            <w:pPr>
              <w:spacing w:after="20"/>
              <w:ind w:left="20"/>
              <w:jc w:val="both"/>
            </w:pPr>
            <w:r>
              <w:rPr>
                <w:rFonts w:ascii="Times New Roman"/>
                <w:b w:val="false"/>
                <w:i w:val="false"/>
                <w:color w:val="000000"/>
                <w:sz w:val="20"/>
              </w:rPr>
              <w:t xml:space="preserve">
функция </w:t>
            </w:r>
          </w:p>
          <w:bookmarkEnd w:id="2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w:t>
            </w:r>
            <w:r>
              <w:rPr>
                <w:rFonts w:ascii="Times New Roman"/>
                <w:b w:val="false"/>
                <w:i w:val="false"/>
                <w:color w:val="000000"/>
                <w:vertAlign w:val="superscript"/>
              </w:rPr>
              <w:t>1</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551"/>
          <w:p>
            <w:pPr>
              <w:spacing w:after="20"/>
              <w:ind w:left="20"/>
              <w:jc w:val="both"/>
            </w:pPr>
            <w:r>
              <w:rPr>
                <w:rFonts w:ascii="Times New Roman"/>
                <w:b w:val="false"/>
                <w:i w:val="false"/>
                <w:color w:val="000000"/>
                <w:sz w:val="20"/>
              </w:rPr>
              <w:t xml:space="preserve">
наименование владельца/заявителя МФП </w:t>
            </w:r>
          </w:p>
          <w:bookmarkEnd w:id="2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552"/>
          <w:p>
            <w:pPr>
              <w:spacing w:after="20"/>
              <w:ind w:left="20"/>
              <w:jc w:val="both"/>
            </w:pPr>
            <w:r>
              <w:rPr>
                <w:rFonts w:ascii="Times New Roman"/>
                <w:b w:val="false"/>
                <w:i w:val="false"/>
                <w:color w:val="000000"/>
                <w:sz w:val="20"/>
              </w:rPr>
              <w:t xml:space="preserve">
номер сертификата/ заявления </w:t>
            </w:r>
          </w:p>
          <w:bookmarkEnd w:id="2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553"/>
          <w:p>
            <w:pPr>
              <w:spacing w:after="20"/>
              <w:ind w:left="20"/>
              <w:jc w:val="both"/>
            </w:pPr>
            <w:r>
              <w:rPr>
                <w:rFonts w:ascii="Times New Roman"/>
                <w:b w:val="false"/>
                <w:i w:val="false"/>
                <w:color w:val="000000"/>
                <w:sz w:val="20"/>
              </w:rPr>
              <w:t xml:space="preserve">
дата подачи заявления (если на рассмотрении) </w:t>
            </w:r>
          </w:p>
          <w:bookmarkEnd w:id="2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554"/>
          <w:p>
            <w:pPr>
              <w:spacing w:after="20"/>
              <w:ind w:left="20"/>
              <w:jc w:val="both"/>
            </w:pPr>
            <w:r>
              <w:rPr>
                <w:rFonts w:ascii="Times New Roman"/>
                <w:b w:val="false"/>
                <w:i w:val="false"/>
                <w:color w:val="000000"/>
                <w:sz w:val="20"/>
              </w:rPr>
              <w:t xml:space="preserve">
дата утверждения или последнего пересмотра (если сертификат имеется) </w:t>
            </w:r>
          </w:p>
          <w:bookmarkEnd w:id="25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5" w:id="2555"/>
    <w:p>
      <w:pPr>
        <w:spacing w:after="0"/>
        <w:ind w:left="0"/>
        <w:jc w:val="both"/>
      </w:pPr>
      <w:r>
        <w:rPr>
          <w:rFonts w:ascii="Times New Roman"/>
          <w:b w:val="false"/>
          <w:i w:val="false"/>
          <w:color w:val="000000"/>
          <w:sz w:val="28"/>
        </w:rPr>
        <w:t>
      ────────────────────────────────</w:t>
      </w:r>
    </w:p>
    <w:bookmarkEnd w:id="2555"/>
    <w:bookmarkStart w:name="z2466" w:id="25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ВВ - вспомогательное вещество (включая исходные материалы, которые используются в производстве АФС/вспомогательного вещества).</w:t>
      </w:r>
    </w:p>
    <w:bookmarkEnd w:id="2556"/>
    <w:bookmarkStart w:name="z2467" w:id="25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 - реагент/среда культивирования (включая используемые для приготовления главного и рабочего банков клеток).</w:t>
      </w:r>
    </w:p>
    <w:bookmarkEnd w:id="2557"/>
    <w:bookmarkStart w:name="z2468" w:id="2558"/>
    <w:p>
      <w:pPr>
        <w:spacing w:after="0"/>
        <w:ind w:left="0"/>
        <w:jc w:val="both"/>
      </w:pPr>
      <w:r>
        <w:rPr>
          <w:rFonts w:ascii="Times New Roman"/>
          <w:b w:val="false"/>
          <w:i w:val="false"/>
          <w:color w:val="000000"/>
          <w:sz w:val="28"/>
        </w:rPr>
        <w:t xml:space="preserve">
      3.6.4. Содержит ли или состоит ли лекарственный препарат из генетически </w:t>
      </w:r>
    </w:p>
    <w:bookmarkEnd w:id="2558"/>
    <w:bookmarkStart w:name="z2469" w:id="2559"/>
    <w:p>
      <w:pPr>
        <w:spacing w:after="0"/>
        <w:ind w:left="0"/>
        <w:jc w:val="both"/>
      </w:pPr>
      <w:r>
        <w:rPr>
          <w:rFonts w:ascii="Times New Roman"/>
          <w:b w:val="false"/>
          <w:i w:val="false"/>
          <w:color w:val="000000"/>
          <w:sz w:val="28"/>
        </w:rPr>
        <w:t xml:space="preserve">
      модифицированных организмов (ГМО): </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560"/>
          <w:p>
            <w:pPr>
              <w:spacing w:after="20"/>
              <w:ind w:left="20"/>
              <w:jc w:val="both"/>
            </w:pPr>
          </w:p>
          <w:bookmarkEnd w:id="2560"/>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71" w:id="2561"/>
    <w:p>
      <w:pPr>
        <w:spacing w:after="0"/>
        <w:ind w:left="0"/>
        <w:jc w:val="both"/>
      </w:pPr>
      <w:r>
        <w:rPr>
          <w:rFonts w:ascii="Times New Roman"/>
          <w:b w:val="false"/>
          <w:i w:val="false"/>
          <w:color w:val="000000"/>
          <w:sz w:val="28"/>
        </w:rPr>
        <w:t>
      Если да, то соответствует ли препарат установленным требованиям:</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562"/>
          <w:p>
            <w:pPr>
              <w:spacing w:after="20"/>
              <w:ind w:left="20"/>
              <w:jc w:val="both"/>
            </w:pPr>
          </w:p>
          <w:bookmarkEnd w:id="2562"/>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73" w:id="2563"/>
    <w:p>
      <w:pPr>
        <w:spacing w:after="0"/>
        <w:ind w:left="0"/>
        <w:jc w:val="both"/>
      </w:pPr>
      <w:r>
        <w:rPr>
          <w:rFonts w:ascii="Times New Roman"/>
          <w:b w:val="false"/>
          <w:i w:val="false"/>
          <w:color w:val="000000"/>
          <w:sz w:val="28"/>
        </w:rPr>
        <w:t xml:space="preserve">
      Сделайте необходимую ссылку. </w:t>
      </w:r>
    </w:p>
    <w:bookmarkEnd w:id="2563"/>
    <w:bookmarkStart w:name="z2474" w:id="2564"/>
    <w:p>
      <w:pPr>
        <w:spacing w:after="0"/>
        <w:ind w:left="0"/>
        <w:jc w:val="left"/>
      </w:pPr>
      <w:r>
        <w:rPr>
          <w:rFonts w:ascii="Times New Roman"/>
          <w:b/>
          <w:i w:val="false"/>
          <w:color w:val="000000"/>
        </w:rPr>
        <w:t xml:space="preserve">  4. Другие сведения</w:t>
      </w:r>
    </w:p>
    <w:bookmarkEnd w:id="2564"/>
    <w:bookmarkStart w:name="z2475" w:id="2565"/>
    <w:p>
      <w:pPr>
        <w:spacing w:after="0"/>
        <w:ind w:left="0"/>
        <w:jc w:val="both"/>
      </w:pPr>
      <w:r>
        <w:rPr>
          <w:rFonts w:ascii="Times New Roman"/>
          <w:b w:val="false"/>
          <w:i w:val="false"/>
          <w:color w:val="000000"/>
          <w:sz w:val="28"/>
        </w:rPr>
        <w:t>
      4.1. Охраняются ли интеллектуальные права на лекарственный препарат патентами, действующими на территории государства - члена Евразийского экономического союза:</w:t>
      </w:r>
    </w:p>
    <w:bookmarkEnd w:id="25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76" w:id="2566"/>
          <w:p>
            <w:pPr>
              <w:spacing w:after="20"/>
              <w:ind w:left="20"/>
              <w:jc w:val="both"/>
            </w:pPr>
          </w:p>
          <w:bookmarkEnd w:id="2566"/>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77" w:id="2567"/>
    <w:p>
      <w:pPr>
        <w:spacing w:after="0"/>
        <w:ind w:left="0"/>
        <w:jc w:val="both"/>
      </w:pPr>
      <w:r>
        <w:rPr>
          <w:rFonts w:ascii="Times New Roman"/>
          <w:b w:val="false"/>
          <w:i w:val="false"/>
          <w:color w:val="000000"/>
          <w:sz w:val="28"/>
        </w:rPr>
        <w:t>
      Если да, то приведите такую информацию:</w:t>
      </w:r>
    </w:p>
    <w:bookmarkEnd w:id="2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568"/>
          <w:p>
            <w:pPr>
              <w:spacing w:after="20"/>
              <w:ind w:left="20"/>
              <w:jc w:val="both"/>
            </w:pPr>
            <w:r>
              <w:rPr>
                <w:rFonts w:ascii="Times New Roman"/>
                <w:b w:val="false"/>
                <w:i w:val="false"/>
                <w:color w:val="000000"/>
                <w:sz w:val="20"/>
              </w:rPr>
              <w:t xml:space="preserve">
Номер патента </w:t>
            </w:r>
          </w:p>
          <w:bookmarkEnd w:id="2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Действителен на территории государства-члена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Действует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патента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569"/>
          <w:p>
            <w:pPr>
              <w:spacing w:after="20"/>
              <w:ind w:left="20"/>
              <w:jc w:val="both"/>
            </w:pPr>
          </w:p>
          <w:bookmarkEnd w:id="2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0" w:id="2570"/>
    <w:p>
      <w:pPr>
        <w:spacing w:after="0"/>
        <w:ind w:left="0"/>
        <w:jc w:val="both"/>
      </w:pPr>
      <w:r>
        <w:rPr>
          <w:rFonts w:ascii="Times New Roman"/>
          <w:b w:val="false"/>
          <w:i w:val="false"/>
          <w:color w:val="000000"/>
          <w:sz w:val="28"/>
        </w:rPr>
        <w:t>
      Для регистрации лекарственных препаратов, которые основываются на объектах интеллектуальной собственности или имеют отношение к объектам интеллектуальной собственности, на которые в соответствии с законодательством государства - члена Евразийского экономического союза выдан патент, заявитель подает заверенную им копию действующего патента на территории государства - члена Евразийского экономического союза или лицензионного соглашения, которое дает право на производство и продажу зарегистрированного лекарственного препарата. Заявители представляют письмо, в котором указывается, что интеллектуальные права третьих лиц, защищенные патентом или переданные по лицензии, не нарушаются в связи с регистрацией лекарственного препарата.</w:t>
      </w:r>
    </w:p>
    <w:bookmarkEnd w:id="2570"/>
    <w:bookmarkStart w:name="z2481" w:id="2571"/>
    <w:p>
      <w:pPr>
        <w:spacing w:after="0"/>
        <w:ind w:left="0"/>
        <w:jc w:val="both"/>
      </w:pPr>
      <w:r>
        <w:rPr>
          <w:rFonts w:ascii="Times New Roman"/>
          <w:b w:val="false"/>
          <w:i w:val="false"/>
          <w:color w:val="000000"/>
          <w:sz w:val="28"/>
        </w:rPr>
        <w:t>
      4.2. Зарегистрирован ли товарный знак в государствах - членах Евразийского экономического союза:</w:t>
      </w:r>
    </w:p>
    <w:bookmarkEnd w:id="25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82" w:id="2572"/>
          <w:p>
            <w:pPr>
              <w:spacing w:after="20"/>
              <w:ind w:left="20"/>
              <w:jc w:val="both"/>
            </w:pPr>
          </w:p>
          <w:bookmarkEnd w:id="2572"/>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83" w:id="2573"/>
    <w:p>
      <w:pPr>
        <w:spacing w:after="0"/>
        <w:ind w:left="0"/>
        <w:jc w:val="both"/>
      </w:pPr>
      <w:r>
        <w:rPr>
          <w:rFonts w:ascii="Times New Roman"/>
          <w:b w:val="false"/>
          <w:i w:val="false"/>
          <w:color w:val="000000"/>
          <w:sz w:val="28"/>
        </w:rPr>
        <w:t>
      Если да, то приведите такую информацию:</w:t>
      </w:r>
    </w:p>
    <w:bookmarkEnd w:id="2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574"/>
          <w:p>
            <w:pPr>
              <w:spacing w:after="20"/>
              <w:ind w:left="20"/>
              <w:jc w:val="both"/>
            </w:pPr>
            <w:r>
              <w:rPr>
                <w:rFonts w:ascii="Times New Roman"/>
                <w:b w:val="false"/>
                <w:i w:val="false"/>
                <w:color w:val="000000"/>
                <w:sz w:val="20"/>
              </w:rPr>
              <w:t xml:space="preserve">
Номер свидетельства </w:t>
            </w:r>
          </w:p>
          <w:bookmarkEnd w:id="2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Действителен на территории государства-члена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Действует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Правообладатель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575"/>
          <w:p>
            <w:pPr>
              <w:spacing w:after="20"/>
              <w:ind w:left="20"/>
              <w:jc w:val="both"/>
            </w:pPr>
          </w:p>
          <w:bookmarkEnd w:id="2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6" w:id="2576"/>
    <w:p>
      <w:pPr>
        <w:spacing w:after="0"/>
        <w:ind w:left="0"/>
        <w:jc w:val="both"/>
      </w:pPr>
      <w:r>
        <w:rPr>
          <w:rFonts w:ascii="Times New Roman"/>
          <w:b w:val="false"/>
          <w:i w:val="false"/>
          <w:color w:val="000000"/>
          <w:sz w:val="28"/>
        </w:rPr>
        <w:t>
      Приложить заверенную заявителем копию действующего на территории государства – члена Евразийского экономического союза свидетельства о регистрации товарного знака.</w:t>
      </w:r>
    </w:p>
    <w:bookmarkEnd w:id="2576"/>
    <w:bookmarkStart w:name="z2487" w:id="2577"/>
    <w:p>
      <w:pPr>
        <w:spacing w:after="0"/>
        <w:ind w:left="0"/>
        <w:jc w:val="both"/>
      </w:pPr>
      <w:r>
        <w:rPr>
          <w:rFonts w:ascii="Times New Roman"/>
          <w:b w:val="false"/>
          <w:i w:val="false"/>
          <w:color w:val="000000"/>
          <w:sz w:val="28"/>
        </w:rPr>
        <w:t>
       Если заявитель не является правообладателем, то приложить заверенную заявителем копию лицензионного договора или подтверждение регистрации предоставления права использования товарного знака.</w:t>
      </w:r>
    </w:p>
    <w:bookmarkEnd w:id="2577"/>
    <w:bookmarkStart w:name="z2488" w:id="2578"/>
    <w:p>
      <w:pPr>
        <w:spacing w:after="0"/>
        <w:ind w:left="0"/>
        <w:jc w:val="both"/>
      </w:pPr>
      <w:r>
        <w:rPr>
          <w:rFonts w:ascii="Times New Roman"/>
          <w:b w:val="false"/>
          <w:i w:val="false"/>
          <w:color w:val="000000"/>
          <w:sz w:val="28"/>
        </w:rPr>
        <w:t>
       4.3. Зарегистрирован ли лекарственный препарат в стране производителя:</w:t>
      </w:r>
    </w:p>
    <w:bookmarkEnd w:id="25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89" w:id="2579"/>
          <w:p>
            <w:pPr>
              <w:spacing w:after="20"/>
              <w:ind w:left="20"/>
              <w:jc w:val="both"/>
            </w:pPr>
          </w:p>
          <w:bookmarkEnd w:id="2579"/>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90" w:id="2580"/>
    <w:p>
      <w:pPr>
        <w:spacing w:after="0"/>
        <w:ind w:left="0"/>
        <w:jc w:val="both"/>
      </w:pPr>
      <w:r>
        <w:rPr>
          <w:rFonts w:ascii="Times New Roman"/>
          <w:b w:val="false"/>
          <w:i w:val="false"/>
          <w:color w:val="000000"/>
          <w:sz w:val="28"/>
        </w:rPr>
        <w:t>
      Зарегистрирован ли лекарственный препарат в других странах:</w:t>
      </w:r>
    </w:p>
    <w:bookmarkEnd w:id="25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91" w:id="2581"/>
          <w:p>
            <w:pPr>
              <w:spacing w:after="20"/>
              <w:ind w:left="20"/>
              <w:jc w:val="both"/>
            </w:pPr>
          </w:p>
          <w:bookmarkEnd w:id="2581"/>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92" w:id="2582"/>
    <w:p>
      <w:pPr>
        <w:spacing w:after="0"/>
        <w:ind w:left="0"/>
        <w:jc w:val="both"/>
      </w:pPr>
      <w:r>
        <w:rPr>
          <w:rFonts w:ascii="Times New Roman"/>
          <w:b w:val="false"/>
          <w:i w:val="false"/>
          <w:color w:val="000000"/>
          <w:sz w:val="28"/>
        </w:rPr>
        <w:t>
      3.4. Была ли проведена предварительная научная консультация относительно данного лекарственного препарата в государствах - членах Евразийского экономического союза:</w:t>
      </w:r>
    </w:p>
    <w:bookmarkEnd w:id="25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93" w:id="2583"/>
          <w:p>
            <w:pPr>
              <w:spacing w:after="20"/>
              <w:ind w:left="20"/>
              <w:jc w:val="both"/>
            </w:pPr>
          </w:p>
          <w:bookmarkEnd w:id="2583"/>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494" w:id="2584"/>
    <w:p>
      <w:pPr>
        <w:spacing w:after="0"/>
        <w:ind w:left="0"/>
        <w:jc w:val="both"/>
      </w:pPr>
      <w:r>
        <w:rPr>
          <w:rFonts w:ascii="Times New Roman"/>
          <w:b w:val="false"/>
          <w:i w:val="false"/>
          <w:color w:val="000000"/>
          <w:sz w:val="28"/>
        </w:rPr>
        <w:t>
      Если да:</w:t>
      </w:r>
    </w:p>
    <w:bookmarkEnd w:id="2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585"/>
          <w:p>
            <w:pPr>
              <w:spacing w:after="20"/>
              <w:ind w:left="20"/>
              <w:jc w:val="both"/>
            </w:pPr>
            <w:r>
              <w:rPr>
                <w:rFonts w:ascii="Times New Roman"/>
                <w:b w:val="false"/>
                <w:i w:val="false"/>
                <w:color w:val="000000"/>
                <w:sz w:val="20"/>
              </w:rPr>
              <w:t xml:space="preserve">
государство - член Евразийского экономического союза </w:t>
            </w:r>
          </w:p>
          <w:bookmarkEnd w:id="2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586"/>
          <w:p>
            <w:pPr>
              <w:spacing w:after="20"/>
              <w:ind w:left="20"/>
              <w:jc w:val="both"/>
            </w:pPr>
            <w:r>
              <w:rPr>
                <w:rFonts w:ascii="Times New Roman"/>
                <w:b w:val="false"/>
                <w:i w:val="false"/>
                <w:color w:val="000000"/>
                <w:sz w:val="20"/>
              </w:rPr>
              <w:t xml:space="preserve">
дата проведения </w:t>
            </w:r>
          </w:p>
          <w:bookmarkEnd w:id="2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587"/>
          <w:p>
            <w:pPr>
              <w:spacing w:after="20"/>
              <w:ind w:left="20"/>
              <w:jc w:val="both"/>
            </w:pPr>
            <w:r>
              <w:rPr>
                <w:rFonts w:ascii="Times New Roman"/>
                <w:b w:val="false"/>
                <w:i w:val="false"/>
                <w:color w:val="000000"/>
                <w:sz w:val="20"/>
              </w:rPr>
              <w:t xml:space="preserve">
отметка о наличии заключения в составе досье </w:t>
            </w:r>
          </w:p>
          <w:bookmarkEnd w:id="2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8" w:id="2588"/>
    <w:p>
      <w:pPr>
        <w:spacing w:after="0"/>
        <w:ind w:left="0"/>
        <w:jc w:val="both"/>
      </w:pPr>
      <w:r>
        <w:rPr>
          <w:rFonts w:ascii="Times New Roman"/>
          <w:b w:val="false"/>
          <w:i w:val="false"/>
          <w:color w:val="000000"/>
          <w:sz w:val="28"/>
        </w:rPr>
        <w:t>
      Была ли проведена предварительная научная консультация относительно данного лекарственного препарата в Экспертном комитете по лекарственным средствам:</w:t>
      </w:r>
    </w:p>
    <w:bookmarkEnd w:id="25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99" w:id="2589"/>
          <w:p>
            <w:pPr>
              <w:spacing w:after="20"/>
              <w:ind w:left="20"/>
              <w:jc w:val="both"/>
            </w:pPr>
          </w:p>
          <w:bookmarkEnd w:id="2589"/>
          <w:p>
            <w:pPr>
              <w:spacing w:after="20"/>
              <w:ind w:left="20"/>
              <w:jc w:val="both"/>
            </w:pPr>
            <w:r>
              <w:t>[MISSING IMAGE: ,  ]</w:t>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r>
    </w:tbl>
    <w:bookmarkStart w:name="z2500" w:id="2590"/>
    <w:p>
      <w:pPr>
        <w:spacing w:after="0"/>
        <w:ind w:left="0"/>
        <w:jc w:val="both"/>
      </w:pPr>
      <w:r>
        <w:rPr>
          <w:rFonts w:ascii="Times New Roman"/>
          <w:b w:val="false"/>
          <w:i w:val="false"/>
          <w:color w:val="000000"/>
          <w:sz w:val="28"/>
        </w:rPr>
        <w:t>
      Если да:</w:t>
      </w:r>
    </w:p>
    <w:bookmarkEnd w:id="2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591"/>
          <w:p>
            <w:pPr>
              <w:spacing w:after="20"/>
              <w:ind w:left="20"/>
              <w:jc w:val="both"/>
            </w:pPr>
            <w:r>
              <w:rPr>
                <w:rFonts w:ascii="Times New Roman"/>
                <w:b w:val="false"/>
                <w:i w:val="false"/>
                <w:color w:val="000000"/>
                <w:sz w:val="20"/>
              </w:rPr>
              <w:t xml:space="preserve">
дата проведения </w:t>
            </w:r>
          </w:p>
          <w:bookmarkEnd w:id="2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592"/>
          <w:p>
            <w:pPr>
              <w:spacing w:after="20"/>
              <w:ind w:left="20"/>
              <w:jc w:val="both"/>
            </w:pPr>
            <w:r>
              <w:rPr>
                <w:rFonts w:ascii="Times New Roman"/>
                <w:b w:val="false"/>
                <w:i w:val="false"/>
                <w:color w:val="000000"/>
                <w:sz w:val="20"/>
              </w:rPr>
              <w:t xml:space="preserve">
отметка о наличии заключения в составе досье </w:t>
            </w:r>
          </w:p>
          <w:bookmarkEnd w:id="2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3" w:id="2593"/>
    <w:p>
      <w:pPr>
        <w:spacing w:after="0"/>
        <w:ind w:left="0"/>
        <w:jc w:val="both"/>
      </w:pPr>
      <w:r>
        <w:rPr>
          <w:rFonts w:ascii="Times New Roman"/>
          <w:b w:val="false"/>
          <w:i w:val="false"/>
          <w:color w:val="000000"/>
          <w:sz w:val="28"/>
        </w:rPr>
        <w:t>
      4.5. Информация об отказах, отзывах и приостановлении действия регистрационного удостоверения лекарственного препарата в стране производителя и других странах.</w:t>
      </w:r>
    </w:p>
    <w:bookmarkEnd w:id="2593"/>
    <w:bookmarkStart w:name="z2504" w:id="2594"/>
    <w:p>
      <w:pPr>
        <w:spacing w:after="0"/>
        <w:ind w:left="0"/>
        <w:jc w:val="both"/>
      </w:pPr>
      <w:r>
        <w:rPr>
          <w:rFonts w:ascii="Times New Roman"/>
          <w:b w:val="false"/>
          <w:i w:val="false"/>
          <w:color w:val="000000"/>
          <w:sz w:val="28"/>
        </w:rPr>
        <w:t>
      Если да:</w:t>
      </w:r>
    </w:p>
    <w:bookmarkEnd w:id="2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595"/>
          <w:p>
            <w:pPr>
              <w:spacing w:after="20"/>
              <w:ind w:left="20"/>
              <w:jc w:val="both"/>
            </w:pPr>
            <w:r>
              <w:rPr>
                <w:rFonts w:ascii="Times New Roman"/>
                <w:b w:val="false"/>
                <w:i w:val="false"/>
                <w:color w:val="000000"/>
                <w:sz w:val="20"/>
              </w:rPr>
              <w:t>
Вид ограничения</w:t>
            </w:r>
          </w:p>
          <w:bookmarkEnd w:id="2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596"/>
          <w:p>
            <w:pPr>
              <w:spacing w:after="20"/>
              <w:ind w:left="20"/>
              <w:jc w:val="both"/>
            </w:pPr>
          </w:p>
          <w:bookmarkEnd w:id="2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597"/>
          <w:p>
            <w:pPr>
              <w:spacing w:after="20"/>
              <w:ind w:left="20"/>
              <w:jc w:val="both"/>
            </w:pPr>
            <w:r>
              <w:rPr>
                <w:rFonts w:ascii="Times New Roman"/>
                <w:b w:val="false"/>
                <w:i w:val="false"/>
                <w:color w:val="000000"/>
                <w:sz w:val="20"/>
              </w:rPr>
              <w:t xml:space="preserve">
... </w:t>
            </w:r>
          </w:p>
          <w:bookmarkEnd w:id="2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8" w:id="2598"/>
    <w:p>
      <w:pPr>
        <w:spacing w:after="0"/>
        <w:ind w:left="0"/>
        <w:jc w:val="left"/>
      </w:pPr>
      <w:r>
        <w:rPr>
          <w:rFonts w:ascii="Times New Roman"/>
          <w:b/>
          <w:i w:val="false"/>
          <w:color w:val="000000"/>
        </w:rPr>
        <w:t xml:space="preserve"> 5. Приложения к заявлению (подаются на бумажном носителе или в виде электронных документов, подписанных (заверенных) электронной подписью)</w:t>
      </w:r>
    </w:p>
    <w:bookmarkEnd w:id="2598"/>
    <w:p>
      <w:pPr>
        <w:spacing w:after="0"/>
        <w:ind w:left="0"/>
        <w:jc w:val="both"/>
      </w:pPr>
      <w:r>
        <w:rPr>
          <w:rFonts w:ascii="Times New Roman"/>
          <w:b w:val="false"/>
          <w:i w:val="false"/>
          <w:color w:val="ff0000"/>
          <w:sz w:val="28"/>
        </w:rPr>
        <w:t xml:space="preserve">
      Сноска. Подраздел 5 с изменением, внесенным решением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509" w:id="2599"/>
    <w:p>
      <w:pPr>
        <w:spacing w:after="0"/>
        <w:ind w:left="0"/>
        <w:jc w:val="both"/>
      </w:pPr>
      <w:r>
        <w:rPr>
          <w:rFonts w:ascii="Times New Roman"/>
          <w:b w:val="false"/>
          <w:i w:val="false"/>
          <w:color w:val="000000"/>
          <w:sz w:val="28"/>
        </w:rPr>
        <w:t>
       5.1. Доверенность на осуществление юридически значимых действий от имени держателя регистрационного удостоверения и заявителя (если применимо).</w:t>
      </w:r>
    </w:p>
    <w:bookmarkEnd w:id="2599"/>
    <w:bookmarkStart w:name="z2510" w:id="2600"/>
    <w:p>
      <w:pPr>
        <w:spacing w:after="0"/>
        <w:ind w:left="0"/>
        <w:jc w:val="both"/>
      </w:pPr>
      <w:r>
        <w:rPr>
          <w:rFonts w:ascii="Times New Roman"/>
          <w:b w:val="false"/>
          <w:i w:val="false"/>
          <w:color w:val="000000"/>
          <w:sz w:val="28"/>
        </w:rPr>
        <w:t>
       5.2. Копия документа, подтверждающего орфанный статус лекарственного препарата.</w:t>
      </w:r>
    </w:p>
    <w:bookmarkEnd w:id="2600"/>
    <w:bookmarkStart w:name="z2511" w:id="2601"/>
    <w:p>
      <w:pPr>
        <w:spacing w:after="0"/>
        <w:ind w:left="0"/>
        <w:jc w:val="both"/>
      </w:pPr>
      <w:r>
        <w:rPr>
          <w:rFonts w:ascii="Times New Roman"/>
          <w:b w:val="false"/>
          <w:i w:val="false"/>
          <w:color w:val="000000"/>
          <w:sz w:val="28"/>
        </w:rPr>
        <w:t>
       5.3. Копии действующих патентов на территории государств - членов Евразийского экономического союза в отношении регистрируемого лекарственного препарата.</w:t>
      </w:r>
    </w:p>
    <w:bookmarkEnd w:id="2601"/>
    <w:bookmarkStart w:name="z2512" w:id="2602"/>
    <w:p>
      <w:pPr>
        <w:spacing w:after="0"/>
        <w:ind w:left="0"/>
        <w:jc w:val="both"/>
      </w:pPr>
      <w:r>
        <w:rPr>
          <w:rFonts w:ascii="Times New Roman"/>
          <w:b w:val="false"/>
          <w:i w:val="false"/>
          <w:color w:val="000000"/>
          <w:sz w:val="28"/>
        </w:rPr>
        <w:t>
       5.4. Письменное подтверждение заявителя, что регистрация лекарственного препарата не нарушает прав третьих лиц на интеллектуальную собственность.</w:t>
      </w:r>
    </w:p>
    <w:bookmarkEnd w:id="2602"/>
    <w:bookmarkStart w:name="z2513" w:id="2603"/>
    <w:p>
      <w:pPr>
        <w:spacing w:after="0"/>
        <w:ind w:left="0"/>
        <w:jc w:val="both"/>
      </w:pPr>
      <w:r>
        <w:rPr>
          <w:rFonts w:ascii="Times New Roman"/>
          <w:b w:val="false"/>
          <w:i w:val="false"/>
          <w:color w:val="000000"/>
          <w:sz w:val="28"/>
        </w:rPr>
        <w:t>
       5.5. Копия действующего на территории государства - члена Союза свидетельства о регистрации товарного знака.</w:t>
      </w:r>
    </w:p>
    <w:bookmarkEnd w:id="2603"/>
    <w:bookmarkStart w:name="z2514" w:id="2604"/>
    <w:p>
      <w:pPr>
        <w:spacing w:after="0"/>
        <w:ind w:left="0"/>
        <w:jc w:val="both"/>
      </w:pPr>
      <w:r>
        <w:rPr>
          <w:rFonts w:ascii="Times New Roman"/>
          <w:b w:val="false"/>
          <w:i w:val="false"/>
          <w:color w:val="000000"/>
          <w:sz w:val="28"/>
        </w:rPr>
        <w:t>
       5.6. Заявление уполномоченного лица по контролю качества о соответствии производства правилам надлежащей производственной практики Евразийского экономического союза, утверждаемым Евразийской экономической комиссией, и руководствам по надлежащей практике в отношении исходных материалов для каждой производственной площадки, используемой в процессе производства лекарственного препарата и АФС, включая площадки, на которых осуществляется контроль качества (контроль в процессе производства). </w:t>
      </w:r>
    </w:p>
    <w:bookmarkEnd w:id="2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2516" w:id="2605"/>
    <w:p>
      <w:pPr>
        <w:spacing w:after="0"/>
        <w:ind w:left="0"/>
        <w:jc w:val="left"/>
      </w:pPr>
      <w:r>
        <w:rPr>
          <w:rFonts w:ascii="Times New Roman"/>
          <w:b/>
          <w:i w:val="false"/>
          <w:color w:val="000000"/>
        </w:rPr>
        <w:t xml:space="preserve"> УКАЗАНИЯ</w:t>
      </w:r>
      <w:r>
        <w:br/>
      </w:r>
      <w:r>
        <w:rPr>
          <w:rFonts w:ascii="Times New Roman"/>
          <w:b/>
          <w:i w:val="false"/>
          <w:color w:val="000000"/>
        </w:rPr>
        <w:t xml:space="preserve">ПО СОСТАВЛЕНИЮ НОРМАТИВНОГО ДОКУМЕНТА ПО КАЧЕСТВУ, СОПРОВОЖДАЮЩЕГО ЗАЯВЛЕНИЕ НА РЕГИСТРАЦИЮ ЛЕКАРСТВЕННОГО ПРЕПАРАТА </w:t>
      </w:r>
    </w:p>
    <w:bookmarkEnd w:id="2605"/>
    <w:bookmarkStart w:name="z2517" w:id="2606"/>
    <w:p>
      <w:pPr>
        <w:spacing w:after="0"/>
        <w:ind w:left="0"/>
        <w:jc w:val="both"/>
      </w:pPr>
      <w:r>
        <w:rPr>
          <w:rFonts w:ascii="Times New Roman"/>
          <w:b w:val="false"/>
          <w:i w:val="false"/>
          <w:color w:val="000000"/>
          <w:sz w:val="28"/>
        </w:rPr>
        <w:t>
      Проект нормативной документации по контролю качества (далее - НД) должен включать 8 разделов:</w:t>
      </w:r>
    </w:p>
    <w:bookmarkEnd w:id="2606"/>
    <w:bookmarkStart w:name="z2518" w:id="2607"/>
    <w:p>
      <w:pPr>
        <w:spacing w:after="0"/>
        <w:ind w:left="0"/>
        <w:jc w:val="both"/>
      </w:pPr>
      <w:r>
        <w:rPr>
          <w:rFonts w:ascii="Times New Roman"/>
          <w:b w:val="false"/>
          <w:i w:val="false"/>
          <w:color w:val="000000"/>
          <w:sz w:val="28"/>
        </w:rPr>
        <w:t>
      1. Титульный лист, включающий:</w:t>
      </w:r>
    </w:p>
    <w:bookmarkEnd w:id="2607"/>
    <w:bookmarkStart w:name="z2519" w:id="2608"/>
    <w:p>
      <w:pPr>
        <w:spacing w:after="0"/>
        <w:ind w:left="0"/>
        <w:jc w:val="both"/>
      </w:pPr>
      <w:r>
        <w:rPr>
          <w:rFonts w:ascii="Times New Roman"/>
          <w:b w:val="false"/>
          <w:i w:val="false"/>
          <w:color w:val="000000"/>
          <w:sz w:val="28"/>
        </w:rPr>
        <w:t>
      наименование лекарственного препарата (торговое наименование и МНН, при его отсутствии - общепринятое (группировочное) наименование, при отсутствии последнего - химическое наименование):</w:t>
      </w:r>
    </w:p>
    <w:bookmarkEnd w:id="2608"/>
    <w:bookmarkStart w:name="z2520" w:id="2609"/>
    <w:p>
      <w:pPr>
        <w:spacing w:after="0"/>
        <w:ind w:left="0"/>
        <w:jc w:val="both"/>
      </w:pPr>
      <w:r>
        <w:rPr>
          <w:rFonts w:ascii="Times New Roman"/>
          <w:b w:val="false"/>
          <w:i w:val="false"/>
          <w:color w:val="000000"/>
          <w:sz w:val="28"/>
        </w:rPr>
        <w:t>
      лекарственную форму;</w:t>
      </w:r>
    </w:p>
    <w:bookmarkEnd w:id="2609"/>
    <w:bookmarkStart w:name="z2521" w:id="2610"/>
    <w:p>
      <w:pPr>
        <w:spacing w:after="0"/>
        <w:ind w:left="0"/>
        <w:jc w:val="both"/>
      </w:pPr>
      <w:r>
        <w:rPr>
          <w:rFonts w:ascii="Times New Roman"/>
          <w:b w:val="false"/>
          <w:i w:val="false"/>
          <w:color w:val="000000"/>
          <w:sz w:val="28"/>
        </w:rPr>
        <w:t>
      дозировку(-и);</w:t>
      </w:r>
    </w:p>
    <w:bookmarkEnd w:id="2610"/>
    <w:bookmarkStart w:name="z2522" w:id="2611"/>
    <w:p>
      <w:pPr>
        <w:spacing w:after="0"/>
        <w:ind w:left="0"/>
        <w:jc w:val="both"/>
      </w:pPr>
      <w:r>
        <w:rPr>
          <w:rFonts w:ascii="Times New Roman"/>
          <w:b w:val="false"/>
          <w:i w:val="false"/>
          <w:color w:val="000000"/>
          <w:sz w:val="28"/>
        </w:rPr>
        <w:t>
      наименование держателя регистрационного удостоверения и страны;</w:t>
      </w:r>
    </w:p>
    <w:bookmarkEnd w:id="2611"/>
    <w:bookmarkStart w:name="z2523" w:id="2612"/>
    <w:p>
      <w:pPr>
        <w:spacing w:after="0"/>
        <w:ind w:left="0"/>
        <w:jc w:val="both"/>
      </w:pPr>
      <w:r>
        <w:rPr>
          <w:rFonts w:ascii="Times New Roman"/>
          <w:b w:val="false"/>
          <w:i w:val="false"/>
          <w:color w:val="000000"/>
          <w:sz w:val="28"/>
        </w:rPr>
        <w:t>
      поле для указания номера НД (указывается в виде номера регистрационного удостоверения, выданного референтным государством и даты регистрации в формате ДД.ММ.ГГГГ, которая указывается через дефис);</w:t>
      </w:r>
    </w:p>
    <w:bookmarkEnd w:id="2612"/>
    <w:bookmarkStart w:name="z2524" w:id="2613"/>
    <w:p>
      <w:pPr>
        <w:spacing w:after="0"/>
        <w:ind w:left="0"/>
        <w:jc w:val="both"/>
      </w:pPr>
      <w:r>
        <w:rPr>
          <w:rFonts w:ascii="Times New Roman"/>
          <w:b w:val="false"/>
          <w:i w:val="false"/>
          <w:color w:val="000000"/>
          <w:sz w:val="28"/>
        </w:rPr>
        <w:t>
      гриф согласования.</w:t>
      </w:r>
    </w:p>
    <w:bookmarkEnd w:id="2613"/>
    <w:bookmarkStart w:name="z2525" w:id="2614"/>
    <w:p>
      <w:pPr>
        <w:spacing w:after="0"/>
        <w:ind w:left="0"/>
        <w:jc w:val="both"/>
      </w:pPr>
      <w:r>
        <w:rPr>
          <w:rFonts w:ascii="Times New Roman"/>
          <w:b w:val="false"/>
          <w:i w:val="false"/>
          <w:color w:val="000000"/>
          <w:sz w:val="28"/>
        </w:rPr>
        <w:t>
      2. Состав лекарственного препарата приводят в соответствии с разделом 3.2.P.5.1 модуля 3 регистрационного досье (без указания функционального назначения) в отдельном разделе НД в виде указания качественного и количественного состава фармацевтических субстанций и вспомогательных веществ со ссылками на фармакопеи или на нормативные документы, регламентирующие их качество.</w:t>
      </w:r>
    </w:p>
    <w:bookmarkEnd w:id="2614"/>
    <w:bookmarkStart w:name="z2526" w:id="2615"/>
    <w:p>
      <w:pPr>
        <w:spacing w:after="0"/>
        <w:ind w:left="0"/>
        <w:jc w:val="both"/>
      </w:pPr>
      <w:r>
        <w:rPr>
          <w:rFonts w:ascii="Times New Roman"/>
          <w:b w:val="false"/>
          <w:i w:val="false"/>
          <w:color w:val="000000"/>
          <w:sz w:val="28"/>
        </w:rPr>
        <w:t>
      3. Спецификация (в соответствии с разделом 3.2.P.5.1 модуля 3 регистрационного досье) в виде таблицы из 3 столбцов:</w:t>
      </w:r>
    </w:p>
    <w:bookmarkEnd w:id="2615"/>
    <w:bookmarkStart w:name="z2527" w:id="2616"/>
    <w:p>
      <w:pPr>
        <w:spacing w:after="0"/>
        <w:ind w:left="0"/>
        <w:jc w:val="both"/>
      </w:pPr>
      <w:r>
        <w:rPr>
          <w:rFonts w:ascii="Times New Roman"/>
          <w:b w:val="false"/>
          <w:i w:val="false"/>
          <w:color w:val="000000"/>
          <w:sz w:val="28"/>
        </w:rPr>
        <w:t>
      перечень всех показателей качества;</w:t>
      </w:r>
    </w:p>
    <w:bookmarkEnd w:id="2616"/>
    <w:bookmarkStart w:name="z2528" w:id="2617"/>
    <w:p>
      <w:pPr>
        <w:spacing w:after="0"/>
        <w:ind w:left="0"/>
        <w:jc w:val="both"/>
      </w:pPr>
      <w:r>
        <w:rPr>
          <w:rFonts w:ascii="Times New Roman"/>
          <w:b w:val="false"/>
          <w:i w:val="false"/>
          <w:color w:val="000000"/>
          <w:sz w:val="28"/>
        </w:rPr>
        <w:t>
      нормы (допустимые пределы);</w:t>
      </w:r>
    </w:p>
    <w:bookmarkEnd w:id="2617"/>
    <w:bookmarkStart w:name="z2529" w:id="2618"/>
    <w:p>
      <w:pPr>
        <w:spacing w:after="0"/>
        <w:ind w:left="0"/>
        <w:jc w:val="both"/>
      </w:pPr>
      <w:r>
        <w:rPr>
          <w:rFonts w:ascii="Times New Roman"/>
          <w:b w:val="false"/>
          <w:i w:val="false"/>
          <w:color w:val="000000"/>
          <w:sz w:val="28"/>
        </w:rPr>
        <w:t>
      ссылки на методы испытаний.</w:t>
      </w:r>
    </w:p>
    <w:bookmarkEnd w:id="2618"/>
    <w:bookmarkStart w:name="z2530" w:id="2619"/>
    <w:p>
      <w:pPr>
        <w:spacing w:after="0"/>
        <w:ind w:left="0"/>
        <w:jc w:val="both"/>
      </w:pPr>
      <w:r>
        <w:rPr>
          <w:rFonts w:ascii="Times New Roman"/>
          <w:b w:val="false"/>
          <w:i w:val="false"/>
          <w:color w:val="000000"/>
          <w:sz w:val="28"/>
        </w:rPr>
        <w:t>
      Показатели качества следует устанавливать в соответствии с требованиями общих фармакопейных статей (монографий) Фармакопеи Евразийского экономического союза (далее - Союз) на лекарственные формы с учетом особенностей конкретной лекарственной формы лекарственного препарата в зависимости от природы фармацевтической субстанции и в соответствии с настоящим документом.</w:t>
      </w:r>
    </w:p>
    <w:bookmarkEnd w:id="2619"/>
    <w:bookmarkStart w:name="z2531" w:id="2620"/>
    <w:p>
      <w:pPr>
        <w:spacing w:after="0"/>
        <w:ind w:left="0"/>
        <w:jc w:val="both"/>
      </w:pPr>
      <w:r>
        <w:rPr>
          <w:rFonts w:ascii="Times New Roman"/>
          <w:b w:val="false"/>
          <w:i w:val="false"/>
          <w:color w:val="000000"/>
          <w:sz w:val="28"/>
        </w:rPr>
        <w:t>
      Наименование показателей качества в спецификации указывается в соответствии с Фармакопеей Евразийского экономического союза.</w:t>
      </w:r>
    </w:p>
    <w:bookmarkEnd w:id="2620"/>
    <w:bookmarkStart w:name="z2532" w:id="2621"/>
    <w:p>
      <w:pPr>
        <w:spacing w:after="0"/>
        <w:ind w:left="0"/>
        <w:jc w:val="both"/>
      </w:pPr>
      <w:r>
        <w:rPr>
          <w:rFonts w:ascii="Times New Roman"/>
          <w:b w:val="false"/>
          <w:i w:val="false"/>
          <w:color w:val="000000"/>
          <w:sz w:val="28"/>
        </w:rPr>
        <w:t>
      В случае если испытание по отдельным показателям проводится выборочно или с установленной периодичностью, в спецификации устанавливают выборочность и периодичность испытаний.</w:t>
      </w:r>
    </w:p>
    <w:bookmarkEnd w:id="2621"/>
    <w:bookmarkStart w:name="z2533" w:id="2622"/>
    <w:p>
      <w:pPr>
        <w:spacing w:after="0"/>
        <w:ind w:left="0"/>
        <w:jc w:val="both"/>
      </w:pPr>
      <w:r>
        <w:rPr>
          <w:rFonts w:ascii="Times New Roman"/>
          <w:b w:val="false"/>
          <w:i w:val="false"/>
          <w:color w:val="000000"/>
          <w:sz w:val="28"/>
        </w:rPr>
        <w:t>
      4. Подробное описание выполнения методов и методик испытаний лекарственного препарата по всем показателям качества спецификации со ссылками на Фармакопею Союза (если применимо) осуществляется в соответствии с разделом 3.2.P.5.2 модуля 3 регистрационного досье.</w:t>
      </w:r>
    </w:p>
    <w:bookmarkEnd w:id="2622"/>
    <w:bookmarkStart w:name="z2534" w:id="2623"/>
    <w:p>
      <w:pPr>
        <w:spacing w:after="0"/>
        <w:ind w:left="0"/>
        <w:jc w:val="both"/>
      </w:pPr>
      <w:r>
        <w:rPr>
          <w:rFonts w:ascii="Times New Roman"/>
          <w:b w:val="false"/>
          <w:i w:val="false"/>
          <w:color w:val="000000"/>
          <w:sz w:val="28"/>
        </w:rPr>
        <w:t>
      5. В разделе НД "Упаковка" описывают первичную упаковку (ампулы, флаконы, банки, пакеты и т.п.), количество единиц продукции в первичной упаковке (например, количество таблеток в контурной ячейковой или безъячейковой упаковке), промежуточную, вторичную (потребительскую) упаковку и количество первичных упаковок в ней (например, количество контурных ячейковых упаковок во вторичной упаковке), наличие поглотителя влаги, листка-вкладыша (инструкции по медицинскому применению), комплектность (игла, капельница, зажим и др.) и др.</w:t>
      </w:r>
    </w:p>
    <w:bookmarkEnd w:id="2623"/>
    <w:bookmarkStart w:name="z2535" w:id="2624"/>
    <w:p>
      <w:pPr>
        <w:spacing w:after="0"/>
        <w:ind w:left="0"/>
        <w:jc w:val="both"/>
      </w:pPr>
      <w:r>
        <w:rPr>
          <w:rFonts w:ascii="Times New Roman"/>
          <w:b w:val="false"/>
          <w:i w:val="false"/>
          <w:color w:val="000000"/>
          <w:sz w:val="28"/>
        </w:rPr>
        <w:t>
      6. В разделе НД "Маркировка" дается ссылка на раздел 1.3.2 модуля 1 регистрационного досье.</w:t>
      </w:r>
    </w:p>
    <w:bookmarkEnd w:id="2624"/>
    <w:bookmarkStart w:name="z2536" w:id="2625"/>
    <w:p>
      <w:pPr>
        <w:spacing w:after="0"/>
        <w:ind w:left="0"/>
        <w:jc w:val="both"/>
      </w:pPr>
      <w:r>
        <w:rPr>
          <w:rFonts w:ascii="Times New Roman"/>
          <w:b w:val="false"/>
          <w:i w:val="false"/>
          <w:color w:val="000000"/>
          <w:sz w:val="28"/>
        </w:rPr>
        <w:t>
      7. Условия хранения.</w:t>
      </w:r>
    </w:p>
    <w:bookmarkEnd w:id="2625"/>
    <w:bookmarkStart w:name="z2537" w:id="2626"/>
    <w:p>
      <w:pPr>
        <w:spacing w:after="0"/>
        <w:ind w:left="0"/>
        <w:jc w:val="both"/>
      </w:pPr>
      <w:r>
        <w:rPr>
          <w:rFonts w:ascii="Times New Roman"/>
          <w:b w:val="false"/>
          <w:i w:val="false"/>
          <w:color w:val="000000"/>
          <w:sz w:val="28"/>
        </w:rPr>
        <w:t>
      8. Срок годности (хранения).</w:t>
      </w:r>
    </w:p>
    <w:bookmarkEnd w:id="2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4 с изменениями, внесенными решениями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производителя (производственной площадки) (вступает в силу по истечении 30 календарных дней с даты его официального опубликования); от 05.03.2021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 от 23.04.2021 </w:t>
      </w:r>
      <w:r>
        <w:rPr>
          <w:rFonts w:ascii="Times New Roman"/>
          <w:b w:val="false"/>
          <w:i w:val="false"/>
          <w:color w:val="ff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23.09.2022 </w:t>
      </w:r>
      <w:r>
        <w:rPr>
          <w:rFonts w:ascii="Times New Roman"/>
          <w:b w:val="false"/>
          <w:i w:val="false"/>
          <w:color w:val="ff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20.10.2023 </w:t>
      </w:r>
      <w:r>
        <w:rPr>
          <w:rFonts w:ascii="Times New Roman"/>
          <w:b w:val="false"/>
          <w:i w:val="false"/>
          <w:color w:val="ff0000"/>
          <w:sz w:val="28"/>
        </w:rPr>
        <w:t>№ 114</w:t>
      </w:r>
      <w:r>
        <w:rPr>
          <w:rFonts w:ascii="Times New Roman"/>
          <w:b w:val="false"/>
          <w:i w:val="false"/>
          <w:color w:val="ff0000"/>
          <w:sz w:val="28"/>
        </w:rPr>
        <w:t xml:space="preserve"> (вступает в силу с 20.12.2023);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539" w:id="2627"/>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ФОРМАТУ И РАСПОЛОЖЕНИЮ ДОКУМЕНТОВ РЕГИСТРАЦИОННОГО ДОСЬЕ ЛЕКАРСТВЕННОГО ПРЕПАРАТА В ФОРМАТЕ ОБЩЕГО ТЕХНИЧЕСКОГО ДОКУМЕНТА (ОТД) </w:t>
      </w:r>
    </w:p>
    <w:bookmarkEnd w:id="2627"/>
    <w:bookmarkStart w:name="z2540" w:id="2628"/>
    <w:p>
      <w:pPr>
        <w:spacing w:after="0"/>
        <w:ind w:left="0"/>
        <w:jc w:val="left"/>
      </w:pPr>
      <w:r>
        <w:rPr>
          <w:rFonts w:ascii="Times New Roman"/>
          <w:b/>
          <w:i w:val="false"/>
          <w:color w:val="000000"/>
        </w:rPr>
        <w:t xml:space="preserve"> I. Перечень документов в модулях регистрационного досье лекарственного препарата</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629"/>
          <w:p>
            <w:pPr>
              <w:spacing w:after="20"/>
              <w:ind w:left="20"/>
              <w:jc w:val="both"/>
            </w:pPr>
            <w:r>
              <w:rPr>
                <w:rFonts w:ascii="Times New Roman"/>
                <w:b w:val="false"/>
                <w:i w:val="false"/>
                <w:color w:val="000000"/>
                <w:sz w:val="20"/>
              </w:rPr>
              <w:t>
№ п/п</w:t>
            </w:r>
          </w:p>
          <w:bookmarkEnd w:id="26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630"/>
          <w:p>
            <w:pPr>
              <w:spacing w:after="20"/>
              <w:ind w:left="20"/>
              <w:jc w:val="both"/>
            </w:pPr>
            <w:r>
              <w:rPr>
                <w:rFonts w:ascii="Times New Roman"/>
                <w:b w:val="false"/>
                <w:i w:val="false"/>
                <w:color w:val="000000"/>
                <w:sz w:val="20"/>
              </w:rPr>
              <w:t>
МОДУЛЬ 1. АДМИНИСТРАТИВНАЯ ИНФОРМАЦИЯ</w:t>
            </w:r>
          </w:p>
          <w:bookmarkEnd w:id="26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631"/>
          <w:p>
            <w:pPr>
              <w:spacing w:after="20"/>
              <w:ind w:left="20"/>
              <w:jc w:val="both"/>
            </w:pPr>
            <w:r>
              <w:rPr>
                <w:rFonts w:ascii="Times New Roman"/>
                <w:b w:val="false"/>
                <w:i w:val="false"/>
                <w:color w:val="000000"/>
                <w:sz w:val="20"/>
              </w:rPr>
              <w:t>
1.0.</w:t>
            </w:r>
          </w:p>
          <w:bookmarkEnd w:id="26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Сопроводительное письмо (как в ОТД)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632"/>
          <w:p>
            <w:pPr>
              <w:spacing w:after="20"/>
              <w:ind w:left="20"/>
              <w:jc w:val="both"/>
            </w:pPr>
            <w:r>
              <w:rPr>
                <w:rFonts w:ascii="Times New Roman"/>
                <w:b w:val="false"/>
                <w:i w:val="false"/>
                <w:color w:val="000000"/>
                <w:sz w:val="20"/>
              </w:rPr>
              <w:t>
1.1.</w:t>
            </w:r>
          </w:p>
          <w:bookmarkEnd w:id="26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633"/>
          <w:p>
            <w:pPr>
              <w:spacing w:after="20"/>
              <w:ind w:left="20"/>
              <w:jc w:val="both"/>
            </w:pPr>
            <w:r>
              <w:rPr>
                <w:rFonts w:ascii="Times New Roman"/>
                <w:b w:val="false"/>
                <w:i w:val="false"/>
                <w:color w:val="000000"/>
                <w:sz w:val="20"/>
              </w:rPr>
              <w:t>
1.2.</w:t>
            </w:r>
          </w:p>
          <w:bookmarkEnd w:id="26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документация: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634"/>
          <w:p>
            <w:pPr>
              <w:spacing w:after="20"/>
              <w:ind w:left="20"/>
              <w:jc w:val="both"/>
            </w:pPr>
            <w:r>
              <w:rPr>
                <w:rFonts w:ascii="Times New Roman"/>
                <w:b w:val="false"/>
                <w:i w:val="false"/>
                <w:color w:val="000000"/>
                <w:sz w:val="20"/>
              </w:rPr>
              <w:t>
1.2.1.</w:t>
            </w:r>
          </w:p>
          <w:bookmarkEnd w:id="26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регистрацию лекарственного препарата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635"/>
          <w:p>
            <w:pPr>
              <w:spacing w:after="20"/>
              <w:ind w:left="20"/>
              <w:jc w:val="both"/>
            </w:pPr>
            <w:r>
              <w:rPr>
                <w:rFonts w:ascii="Times New Roman"/>
                <w:b w:val="false"/>
                <w:i w:val="false"/>
                <w:color w:val="000000"/>
                <w:sz w:val="20"/>
              </w:rPr>
              <w:t>
1.2.2.</w:t>
            </w:r>
          </w:p>
          <w:bookmarkEnd w:id="2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оплату экспертных работ и (или) оплату сбора за регистрацию (пошлину) в случае и порядке, установленных в соответствии с законодательством государства - члена Евразийского экономического союза, осуществляющего регистрацию &lt;*&gt;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636"/>
          <w:p>
            <w:pPr>
              <w:spacing w:after="20"/>
              <w:ind w:left="20"/>
              <w:jc w:val="both"/>
            </w:pPr>
            <w:r>
              <w:rPr>
                <w:rFonts w:ascii="Times New Roman"/>
                <w:b w:val="false"/>
                <w:i w:val="false"/>
                <w:color w:val="000000"/>
                <w:sz w:val="20"/>
              </w:rPr>
              <w:t>
1.2.3.</w:t>
            </w:r>
          </w:p>
          <w:bookmarkEnd w:id="2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сертификата на лекарственный препарат  согласно формату, рекомендованному ВОЗ, выданного уполномоченным органом страны-производителя. При отсутствии такого сертификата представляется документ, подтверждающий регистрацию в стране-производителе и (или) в стране-держателе регистрационного удостоверения на лекарственный препарат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637"/>
          <w:p>
            <w:pPr>
              <w:spacing w:after="20"/>
              <w:ind w:left="20"/>
              <w:jc w:val="both"/>
            </w:pPr>
            <w:r>
              <w:rPr>
                <w:rFonts w:ascii="Times New Roman"/>
                <w:b w:val="false"/>
                <w:i w:val="false"/>
                <w:color w:val="000000"/>
                <w:sz w:val="20"/>
              </w:rPr>
              <w:t>
1.2.4</w:t>
            </w:r>
          </w:p>
          <w:bookmarkEnd w:id="2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на русский язык и заверенная в установленном порядке копия экспертного отчета, выданного уполномоченным органом при регистрации лекарственного препарата в стране-производителе или в стране-держателе регистрационного удостоверения (при наличии). В рамках процедуры приведения регистрационного досье лекарственного препарата, зарегистрированного по национальной процедуре в государствах – членах Евразийского экономического союза, в соответствие с Правилами регистрации и экспертизы лекарственного препарата для медицинского применения, утвержденными Решением Совета Евразийской экономической комиссии от 3 ноября 2016 г. № 78 (далее – приведение в соответствие с требованиями Союза), представление сведений не является обязательным.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638"/>
          <w:p>
            <w:pPr>
              <w:spacing w:after="20"/>
              <w:ind w:left="20"/>
              <w:jc w:val="both"/>
            </w:pPr>
            <w:r>
              <w:rPr>
                <w:rFonts w:ascii="Times New Roman"/>
                <w:b w:val="false"/>
                <w:i w:val="false"/>
                <w:color w:val="000000"/>
                <w:sz w:val="20"/>
              </w:rPr>
              <w:t>
1.2.5.</w:t>
            </w:r>
          </w:p>
          <w:bookmarkEnd w:id="2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(рекомендация) уполномоченного органа (уполномоченной организации) государства - члена Евразийского экономического союза по итогам предварительного научного консультирования относительно данного лекарственного препарата в государстве - члене Евразийского экономического союза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639"/>
          <w:p>
            <w:pPr>
              <w:spacing w:after="20"/>
              <w:ind w:left="20"/>
              <w:jc w:val="both"/>
            </w:pPr>
            <w:r>
              <w:rPr>
                <w:rFonts w:ascii="Times New Roman"/>
                <w:b w:val="false"/>
                <w:i w:val="false"/>
                <w:color w:val="000000"/>
                <w:sz w:val="20"/>
              </w:rPr>
              <w:t>
1.2.6.</w:t>
            </w:r>
          </w:p>
          <w:bookmarkEnd w:id="2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Экспертного комитета по лекарственным средствам при Евразийской экономической комиссии по итогам предварительного научного консультирования относительно данного лекарственного препарата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640"/>
          <w:p>
            <w:pPr>
              <w:spacing w:after="20"/>
              <w:ind w:left="20"/>
              <w:jc w:val="both"/>
            </w:pPr>
            <w:r>
              <w:rPr>
                <w:rFonts w:ascii="Times New Roman"/>
                <w:b w:val="false"/>
                <w:i w:val="false"/>
                <w:color w:val="000000"/>
                <w:sz w:val="20"/>
              </w:rPr>
              <w:t>
1.3.</w:t>
            </w:r>
          </w:p>
          <w:bookmarkEnd w:id="2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характеристика лекарственного препарата, инструкция по медицинскому применению (листок-вкладыш), макеты упаковок: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641"/>
          <w:p>
            <w:pPr>
              <w:spacing w:after="20"/>
              <w:ind w:left="20"/>
              <w:jc w:val="both"/>
            </w:pPr>
            <w:r>
              <w:rPr>
                <w:rFonts w:ascii="Times New Roman"/>
                <w:b w:val="false"/>
                <w:i w:val="false"/>
                <w:color w:val="000000"/>
                <w:sz w:val="20"/>
              </w:rPr>
              <w:t>
1.3.1.</w:t>
            </w:r>
          </w:p>
          <w:bookmarkEnd w:id="2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общей характеристики лекарственного препарата, инструкции по медицинскому применению (листка-вкладыша), составленные в соответствии с требованиями актов органов Евразийского экономического союза на русском языке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642"/>
          <w:p>
            <w:pPr>
              <w:spacing w:after="20"/>
              <w:ind w:left="20"/>
              <w:jc w:val="both"/>
            </w:pPr>
            <w:r>
              <w:rPr>
                <w:rFonts w:ascii="Times New Roman"/>
                <w:b w:val="false"/>
                <w:i w:val="false"/>
                <w:color w:val="000000"/>
                <w:sz w:val="20"/>
              </w:rPr>
              <w:t>
1.3.2.</w:t>
            </w:r>
          </w:p>
          <w:bookmarkEnd w:id="2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макеты первичной (внутренней) и вторичной (потребительской), промежуточной упаковок, составленные в соответствии с требованиями актов органов Евразийского экономического союза. Макеты промежуточной упаковки, этикеток, стикеров представляются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643"/>
          <w:p>
            <w:pPr>
              <w:spacing w:after="20"/>
              <w:ind w:left="20"/>
              <w:jc w:val="both"/>
            </w:pPr>
            <w:r>
              <w:rPr>
                <w:rFonts w:ascii="Times New Roman"/>
                <w:b w:val="false"/>
                <w:i w:val="false"/>
                <w:color w:val="000000"/>
                <w:sz w:val="20"/>
              </w:rPr>
              <w:t>
1.3.3.</w:t>
            </w:r>
          </w:p>
          <w:bookmarkEnd w:id="2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пользовательского тестирования макета ИМП (в случаях, установленных приложением № 12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644"/>
          <w:p>
            <w:pPr>
              <w:spacing w:after="20"/>
              <w:ind w:left="20"/>
              <w:jc w:val="both"/>
            </w:pPr>
            <w:r>
              <w:rPr>
                <w:rFonts w:ascii="Times New Roman"/>
                <w:b w:val="false"/>
                <w:i w:val="false"/>
                <w:color w:val="000000"/>
                <w:sz w:val="20"/>
              </w:rPr>
              <w:t>
1.3.4.</w:t>
            </w:r>
          </w:p>
          <w:bookmarkEnd w:id="2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заверенные держателем регистрационного удостоверения копии общей характеристики лекарственного препарата с датой последнего пересмотра, инструкции по медицинскому применению (листка-вкладыша), утвержденные уполномоченным органом страны-производителя и (или) страны-держателя регистрационного удостоверения и (или) другой страны с хорошо регулируемым фармацевтическим рынком, где зарегистрирован лекарственный препарат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645"/>
          <w:p>
            <w:pPr>
              <w:spacing w:after="20"/>
              <w:ind w:left="20"/>
              <w:jc w:val="both"/>
            </w:pPr>
            <w:r>
              <w:rPr>
                <w:rFonts w:ascii="Times New Roman"/>
                <w:b w:val="false"/>
                <w:i w:val="false"/>
                <w:color w:val="000000"/>
                <w:sz w:val="20"/>
              </w:rPr>
              <w:t>
1.4.</w:t>
            </w:r>
          </w:p>
          <w:bookmarkEnd w:id="2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регуляторному статусу лекарственного препарата в других странах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646"/>
          <w:p>
            <w:pPr>
              <w:spacing w:after="20"/>
              <w:ind w:left="20"/>
              <w:jc w:val="both"/>
            </w:pPr>
            <w:r>
              <w:rPr>
                <w:rFonts w:ascii="Times New Roman"/>
                <w:b w:val="false"/>
                <w:i w:val="false"/>
                <w:color w:val="000000"/>
                <w:sz w:val="20"/>
              </w:rPr>
              <w:t>
1.4.1.</w:t>
            </w:r>
          </w:p>
          <w:bookmarkEnd w:id="2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стран, в которых лекарственный препарат подан на регистрацию, зарегистрирован, получил отказ в регистрации или его обращение на рынке этих стран было приостановлено, с указанием наименования лекарственного препарата номера и даты регистрационного удостоверения, срока его действия или даты принятия решений об отказе в регистрации, приостановлении действия регистрационного удостоверения, представляемая информация должна быть заверена держателем регистрационного удостоверения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647"/>
          <w:p>
            <w:pPr>
              <w:spacing w:after="20"/>
              <w:ind w:left="20"/>
              <w:jc w:val="both"/>
            </w:pPr>
            <w:r>
              <w:rPr>
                <w:rFonts w:ascii="Times New Roman"/>
                <w:b w:val="false"/>
                <w:i w:val="false"/>
                <w:color w:val="000000"/>
                <w:sz w:val="20"/>
              </w:rPr>
              <w:t>
1.5.</w:t>
            </w:r>
          </w:p>
          <w:bookmarkEnd w:id="2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 качеству: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648"/>
          <w:p>
            <w:pPr>
              <w:spacing w:after="20"/>
              <w:ind w:left="20"/>
              <w:jc w:val="both"/>
            </w:pPr>
            <w:r>
              <w:rPr>
                <w:rFonts w:ascii="Times New Roman"/>
                <w:b w:val="false"/>
                <w:i w:val="false"/>
                <w:color w:val="000000"/>
                <w:sz w:val="20"/>
              </w:rPr>
              <w:t>
1.5.1.</w:t>
            </w:r>
          </w:p>
          <w:bookmarkEnd w:id="2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соответствия статье Фармакопеи Евразийского экономического союза или Европейской фармакопеи по губчатой энцефалопатии или документ, выданный уполномоченными органами ветеринарного надзора страны происхождения сырья в случае использования фармацевтических субстанций животного происхождения в соответствии с пунктом 30 настоящих Правил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649"/>
          <w:p>
            <w:pPr>
              <w:spacing w:after="20"/>
              <w:ind w:left="20"/>
              <w:jc w:val="both"/>
            </w:pPr>
            <w:r>
              <w:rPr>
                <w:rFonts w:ascii="Times New Roman"/>
                <w:b w:val="false"/>
                <w:i w:val="false"/>
                <w:color w:val="000000"/>
                <w:sz w:val="20"/>
              </w:rPr>
              <w:t>
1.5.2.</w:t>
            </w:r>
          </w:p>
          <w:bookmarkEnd w:id="2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держателя мастер-файла активной фармацевтической субстанции с обязательством сообщать о всех изменениях производителю лекарственного препарата и уполномоченному органу государства - члена Евразийского экономического союза, прежде чем какие-либо существенные изменения будут внесены в мастер-файл фармацевтической субстанции (перевод письма держателя мастер-файла активной фармацевтической субстанции с подписью ответственного лица, заверенный держателем регистрационного удостоверения или заверенный нотариально)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650"/>
          <w:p>
            <w:pPr>
              <w:spacing w:after="20"/>
              <w:ind w:left="20"/>
              <w:jc w:val="both"/>
            </w:pPr>
            <w:r>
              <w:rPr>
                <w:rFonts w:ascii="Times New Roman"/>
                <w:b w:val="false"/>
                <w:i w:val="false"/>
                <w:color w:val="000000"/>
                <w:sz w:val="20"/>
              </w:rPr>
              <w:t>
1.5.3.</w:t>
            </w:r>
          </w:p>
          <w:bookmarkEnd w:id="2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подтверждающее согласие держателя мастер-файла фармацевтической субстанции на представление документов закрытой части мастер-файла на фармацевтическую субстанцию по запросу уполномоченного органа государства - члена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651"/>
          <w:p>
            <w:pPr>
              <w:spacing w:after="20"/>
              <w:ind w:left="20"/>
              <w:jc w:val="both"/>
            </w:pPr>
            <w:r>
              <w:rPr>
                <w:rFonts w:ascii="Times New Roman"/>
                <w:b w:val="false"/>
                <w:i w:val="false"/>
                <w:color w:val="000000"/>
                <w:sz w:val="20"/>
              </w:rPr>
              <w:t>
1.5.4.</w:t>
            </w:r>
          </w:p>
          <w:bookmarkEnd w:id="2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сертификата соответствия фармацевтической субстанции требованиям Европейской фармакопеи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652"/>
          <w:p>
            <w:pPr>
              <w:spacing w:after="20"/>
              <w:ind w:left="20"/>
              <w:jc w:val="both"/>
            </w:pPr>
            <w:r>
              <w:rPr>
                <w:rFonts w:ascii="Times New Roman"/>
                <w:b w:val="false"/>
                <w:i w:val="false"/>
                <w:color w:val="000000"/>
                <w:sz w:val="20"/>
              </w:rPr>
              <w:t>
1.5.5.</w:t>
            </w:r>
          </w:p>
          <w:bookmarkEnd w:id="2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сертификата на мастер-файл плазмы, выданного уполномоченным органом страны-производителя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653"/>
          <w:p>
            <w:pPr>
              <w:spacing w:after="20"/>
              <w:ind w:left="20"/>
              <w:jc w:val="both"/>
            </w:pPr>
            <w:r>
              <w:rPr>
                <w:rFonts w:ascii="Times New Roman"/>
                <w:b w:val="false"/>
                <w:i w:val="false"/>
                <w:color w:val="000000"/>
                <w:sz w:val="20"/>
              </w:rPr>
              <w:t>
1.5.6.</w:t>
            </w:r>
          </w:p>
          <w:bookmarkEnd w:id="2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сертификата на мастер-файл вакцинного антигена, выданного уполномоченным органом страны-производителя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нормативного документа по качеству, подготовленный в соответствии с Руководством по составлению нормативного документа по качеству лекарственного препарата, утвержденным Решением Коллегии Евразийской экономической комиссии </w:t>
            </w:r>
          </w:p>
          <w:p>
            <w:pPr>
              <w:spacing w:after="20"/>
              <w:ind w:left="20"/>
              <w:jc w:val="both"/>
            </w:pPr>
            <w:r>
              <w:rPr>
                <w:rFonts w:ascii="Times New Roman"/>
                <w:b w:val="false"/>
                <w:i w:val="false"/>
                <w:color w:val="000000"/>
                <w:sz w:val="20"/>
              </w:rPr>
              <w:t>от 7 сентября 2018 г. №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654"/>
          <w:p>
            <w:pPr>
              <w:spacing w:after="20"/>
              <w:ind w:left="20"/>
              <w:jc w:val="both"/>
            </w:pPr>
            <w:r>
              <w:rPr>
                <w:rFonts w:ascii="Times New Roman"/>
                <w:b w:val="false"/>
                <w:i w:val="false"/>
                <w:color w:val="000000"/>
                <w:sz w:val="20"/>
              </w:rPr>
              <w:t>
1.6.</w:t>
            </w:r>
          </w:p>
          <w:bookmarkEnd w:id="2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 производству: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655"/>
          <w:p>
            <w:pPr>
              <w:spacing w:after="20"/>
              <w:ind w:left="20"/>
              <w:jc w:val="both"/>
            </w:pPr>
            <w:r>
              <w:rPr>
                <w:rFonts w:ascii="Times New Roman"/>
                <w:b w:val="false"/>
                <w:i w:val="false"/>
                <w:color w:val="000000"/>
                <w:sz w:val="20"/>
              </w:rPr>
              <w:t>
1.6.1.</w:t>
            </w:r>
          </w:p>
          <w:bookmarkEnd w:id="2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представления и регистрационном номере в соответствующем реестре государства – члена Евразийского экономического союза или копия действующего документа, подтверждающего соответствие производителя (производственной площадки, осуществляющей производство готовой лекарственной формы и выпускающий контроль качества) заявленного на регистрацию лекарственного препарата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Союза), и выданного уполномоченным органом государства – члена Евразийского экономического союза (если это применимо в соответствии с пунктом 29 Правил регистрации и экспертизы лекарственных средств для медицинского применения), а также копии действующих документов, подтверждающих соответствие производственной площадки производителя требованиям надлежащей производственной практики и выданных уполномоченными органами страны (стран), в которой расположена производственная площадка (производственные площадки), осуществляющая производство готовой лекарственной формы и выпускающий контроль качества, и (или) иным уполномоченным органом, и адрес сайта реестра выданных уполномоченным органом сертификатов соответствия требованиям надлежащей производственной практики (например, EudraGMP) в информационно-телекоммуникационной сети "Интернет" (при наличии) (если это применимо в соответствии с пунктом 29 Правил регистрации и экспертизы лекарственных средств для медицинского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656"/>
          <w:p>
            <w:pPr>
              <w:spacing w:after="20"/>
              <w:ind w:left="20"/>
              <w:jc w:val="both"/>
            </w:pPr>
            <w:r>
              <w:rPr>
                <w:rFonts w:ascii="Times New Roman"/>
                <w:b w:val="false"/>
                <w:i w:val="false"/>
                <w:color w:val="000000"/>
                <w:sz w:val="20"/>
              </w:rPr>
              <w:t>
 1.6.2.</w:t>
            </w:r>
          </w:p>
          <w:bookmarkEnd w:id="2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действующего разрешения (лицензии) на производство лекарственных средств (с приложениями), выданного уполномоченным органом страны, в которой расположена производственная площадка (производственные площадки), осуществляющая производство готовой лекарственной формы и выпускающий контроль качества. Для производственных площадок, расположенных на территориях государств – членов Евразийского экономического союза, вместо указанных документов могут быть представлены сведения о дате представления и регистрационном номере лицензии (разрешения) на производство лекарственных средств, выданной уполномоченным органом государства – члена Евразийского экономического союза в соответствующем реестре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657"/>
          <w:p>
            <w:pPr>
              <w:spacing w:after="20"/>
              <w:ind w:left="20"/>
              <w:jc w:val="both"/>
            </w:pPr>
            <w:r>
              <w:rPr>
                <w:rFonts w:ascii="Times New Roman"/>
                <w:b w:val="false"/>
                <w:i w:val="false"/>
                <w:color w:val="000000"/>
                <w:sz w:val="20"/>
              </w:rPr>
              <w:t>
 1.6.3.</w:t>
            </w:r>
          </w:p>
          <w:bookmarkEnd w:id="2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(копии отчетов) об инспекции производственной площадки (производственных площадок, осуществляющих производство готовой лекарственной формы и выпускающий контроль качества) на соответствие GMP, проведенной уполномоченным органом страны-производителя или иным уполномоченным органом в течение последних 3 лет, а также план и отчет о проведении корректирующих и предупреждающих действий (CAPA) после инспекции (при наличии), а также в случаях, предусмотренных пунктом 30 Правил регистрации и экспертизы лекарственных средств для медицинского применения, адрес сайта уполномоченного органа в информационно-телекоммуникационной сети "Интернет", содержащего сведения из информационной базы GMP-инспекций (например, EudraGMP). При представлении документов в соответствии с пунктом 1.6.1 настоящих Требований, а также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658"/>
          <w:p>
            <w:pPr>
              <w:spacing w:after="20"/>
              <w:ind w:left="20"/>
              <w:jc w:val="both"/>
            </w:pPr>
            <w:r>
              <w:rPr>
                <w:rFonts w:ascii="Times New Roman"/>
                <w:b w:val="false"/>
                <w:i w:val="false"/>
                <w:color w:val="000000"/>
                <w:sz w:val="20"/>
              </w:rPr>
              <w:t>
1.6.4.</w:t>
            </w:r>
          </w:p>
          <w:bookmarkEnd w:id="2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Утратил силу решением Совета Евразийской экономической комиссии от 20.10.2023 </w:t>
            </w:r>
            <w:r>
              <w:rPr>
                <w:rFonts w:ascii="Times New Roman"/>
                <w:b w:val="false"/>
                <w:i w:val="false"/>
                <w:color w:val="ff0000"/>
                <w:sz w:val="20"/>
              </w:rPr>
              <w:t>№ 114</w:t>
            </w:r>
            <w:r>
              <w:rPr>
                <w:rFonts w:ascii="Times New Roman"/>
                <w:b w:val="false"/>
                <w:i w:val="false"/>
                <w:color w:val="ff0000"/>
                <w:sz w:val="20"/>
              </w:rPr>
              <w:t xml:space="preserve"> (вступает в силу с 20.12.2023).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659"/>
          <w:p>
            <w:pPr>
              <w:spacing w:after="20"/>
              <w:ind w:left="20"/>
              <w:jc w:val="both"/>
            </w:pPr>
            <w:r>
              <w:rPr>
                <w:rFonts w:ascii="Times New Roman"/>
                <w:b w:val="false"/>
                <w:i w:val="false"/>
                <w:color w:val="000000"/>
                <w:sz w:val="20"/>
              </w:rPr>
              <w:t>
1.6.5.</w:t>
            </w:r>
          </w:p>
          <w:bookmarkEnd w:id="2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Утратил силу решением Совета Евразийской экономической комиссии от 20.10.2023 </w:t>
            </w:r>
            <w:r>
              <w:rPr>
                <w:rFonts w:ascii="Times New Roman"/>
                <w:b w:val="false"/>
                <w:i w:val="false"/>
                <w:color w:val="ff0000"/>
                <w:sz w:val="20"/>
              </w:rPr>
              <w:t>№ 114</w:t>
            </w:r>
            <w:r>
              <w:rPr>
                <w:rFonts w:ascii="Times New Roman"/>
                <w:b w:val="false"/>
                <w:i w:val="false"/>
                <w:color w:val="ff0000"/>
                <w:sz w:val="20"/>
              </w:rPr>
              <w:t xml:space="preserve"> (вступает в силу с 20.12.2023).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660"/>
          <w:p>
            <w:pPr>
              <w:spacing w:after="20"/>
              <w:ind w:left="20"/>
              <w:jc w:val="both"/>
            </w:pPr>
            <w:r>
              <w:rPr>
                <w:rFonts w:ascii="Times New Roman"/>
                <w:b w:val="false"/>
                <w:i w:val="false"/>
                <w:color w:val="000000"/>
                <w:sz w:val="20"/>
              </w:rPr>
              <w:t>
1.6.6.</w:t>
            </w:r>
          </w:p>
          <w:bookmarkEnd w:id="2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любых регуляторных мерах, принятых уполномоченным органом, осуществлявшим инспектирование в течение последних 3 лет по результатам инспекций (с даты подачи заявления) в отношении заявленной производственной площадки (при наличии). При представлении документов в соответствии с пунктом 1.6.1 настоящих Требований и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661"/>
          <w:p>
            <w:pPr>
              <w:spacing w:after="20"/>
              <w:ind w:left="20"/>
              <w:jc w:val="both"/>
            </w:pPr>
            <w:r>
              <w:rPr>
                <w:rFonts w:ascii="Times New Roman"/>
                <w:b w:val="false"/>
                <w:i w:val="false"/>
                <w:color w:val="000000"/>
                <w:sz w:val="20"/>
              </w:rPr>
              <w:t>
1.6.7.</w:t>
            </w:r>
          </w:p>
          <w:bookmarkEnd w:id="2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уполномоченного лица по качеству о соответствии условий производства заявленного на регистрацию лекарственного препарата требованиям Правил надлежащей производственной практики Евразийского экономического союза, утверждаемых Евразийской экономической комиссией, в том числе в отношении исходных материалов для каждой производственной площадки, используемой в процессе производства лекарственного препарата и активной фармацевтической субстанции, включая площадки, на которых осуществляются контроль качества и контроль в процессе производства. Письмо должно быть подписано уполномоченным лицом по качеству и заверено печатью (штампом) производителя при необходимости с переводом на русский язык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662"/>
          <w:p>
            <w:pPr>
              <w:spacing w:after="20"/>
              <w:ind w:left="20"/>
              <w:jc w:val="both"/>
            </w:pPr>
            <w:r>
              <w:rPr>
                <w:rFonts w:ascii="Times New Roman"/>
                <w:b w:val="false"/>
                <w:i w:val="false"/>
                <w:color w:val="000000"/>
                <w:sz w:val="20"/>
              </w:rPr>
              <w:t>
1.6.8.</w:t>
            </w:r>
          </w:p>
          <w:bookmarkEnd w:id="2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рекламациях в отношении качества лекарственных препаратов, произведенных на производственной площадке заявляемого к регистрации лекарственного препарата, за последние 3 года (если применимо). При представлении документов в соответствии с пунктом 1.6.1 настоящих Требований и в рамках процедуры приведения в соответствие с требованиями Союза представление сведений не является обязательным.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663"/>
          <w:p>
            <w:pPr>
              <w:spacing w:after="20"/>
              <w:ind w:left="20"/>
              <w:jc w:val="both"/>
            </w:pPr>
            <w:r>
              <w:rPr>
                <w:rFonts w:ascii="Times New Roman"/>
                <w:b w:val="false"/>
                <w:i w:val="false"/>
                <w:color w:val="000000"/>
                <w:sz w:val="20"/>
              </w:rPr>
              <w:t>
1.6.9.</w:t>
            </w:r>
          </w:p>
          <w:bookmarkEnd w:id="2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проведение фармацевтической инспекции на соответствие требованиям международных договоров и актов, составляющих право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664"/>
          <w:p>
            <w:pPr>
              <w:spacing w:after="20"/>
              <w:ind w:left="20"/>
              <w:jc w:val="both"/>
            </w:pPr>
            <w:r>
              <w:rPr>
                <w:rFonts w:ascii="Times New Roman"/>
                <w:b w:val="false"/>
                <w:i w:val="false"/>
                <w:color w:val="000000"/>
                <w:sz w:val="20"/>
              </w:rPr>
              <w:t>
1.6.10.</w:t>
            </w:r>
          </w:p>
          <w:bookmarkEnd w:id="2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Утратил силу решением Совета Евразийской экономической комиссии от 20.10.2023 </w:t>
            </w:r>
            <w:r>
              <w:rPr>
                <w:rFonts w:ascii="Times New Roman"/>
                <w:b w:val="false"/>
                <w:i w:val="false"/>
                <w:color w:val="ff0000"/>
                <w:sz w:val="20"/>
              </w:rPr>
              <w:t>№ 114</w:t>
            </w:r>
            <w:r>
              <w:rPr>
                <w:rFonts w:ascii="Times New Roman"/>
                <w:b w:val="false"/>
                <w:i w:val="false"/>
                <w:color w:val="ff0000"/>
                <w:sz w:val="20"/>
              </w:rPr>
              <w:t xml:space="preserve"> (вступает в силу с 20.12.2023).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665"/>
          <w:p>
            <w:pPr>
              <w:spacing w:after="20"/>
              <w:ind w:left="20"/>
              <w:jc w:val="both"/>
            </w:pPr>
            <w:r>
              <w:rPr>
                <w:rFonts w:ascii="Times New Roman"/>
                <w:b w:val="false"/>
                <w:i w:val="false"/>
                <w:color w:val="000000"/>
                <w:sz w:val="20"/>
              </w:rPr>
              <w:t>
1.6.11.</w:t>
            </w:r>
          </w:p>
          <w:bookmarkEnd w:id="2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этапов производства с указанием всех производственных площадок, задействованных в процессе производства лекарственного препарата и активной фармацевтической субстанции, включая выпускающий контроль качества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666"/>
          <w:p>
            <w:pPr>
              <w:spacing w:after="20"/>
              <w:ind w:left="20"/>
              <w:jc w:val="both"/>
            </w:pPr>
            <w:r>
              <w:rPr>
                <w:rFonts w:ascii="Times New Roman"/>
                <w:b w:val="false"/>
                <w:i w:val="false"/>
                <w:color w:val="000000"/>
                <w:sz w:val="20"/>
              </w:rPr>
              <w:t>
1.7.</w:t>
            </w:r>
          </w:p>
          <w:bookmarkEnd w:id="2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специалистах: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667"/>
          <w:p>
            <w:pPr>
              <w:spacing w:after="20"/>
              <w:ind w:left="20"/>
              <w:jc w:val="both"/>
            </w:pPr>
            <w:r>
              <w:rPr>
                <w:rFonts w:ascii="Times New Roman"/>
                <w:b w:val="false"/>
                <w:i w:val="false"/>
                <w:color w:val="000000"/>
                <w:sz w:val="20"/>
              </w:rPr>
              <w:t>
1.7.1.</w:t>
            </w:r>
          </w:p>
          <w:bookmarkEnd w:id="2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специалисте, подготовившем резюме по качеству (при наличии).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668"/>
          <w:p>
            <w:pPr>
              <w:spacing w:after="20"/>
              <w:ind w:left="20"/>
              <w:jc w:val="both"/>
            </w:pPr>
            <w:r>
              <w:rPr>
                <w:rFonts w:ascii="Times New Roman"/>
                <w:b w:val="false"/>
                <w:i w:val="false"/>
                <w:color w:val="000000"/>
                <w:sz w:val="20"/>
              </w:rPr>
              <w:t>
 1.7.2.</w:t>
            </w:r>
          </w:p>
          <w:bookmarkEnd w:id="2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специалисте, подготовившем резюме доклинических исследований (при наличии).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669"/>
          <w:p>
            <w:pPr>
              <w:spacing w:after="20"/>
              <w:ind w:left="20"/>
              <w:jc w:val="both"/>
            </w:pPr>
            <w:r>
              <w:rPr>
                <w:rFonts w:ascii="Times New Roman"/>
                <w:b w:val="false"/>
                <w:i w:val="false"/>
                <w:color w:val="000000"/>
                <w:sz w:val="20"/>
              </w:rPr>
              <w:t>
 1.7.3.</w:t>
            </w:r>
          </w:p>
          <w:bookmarkEnd w:id="2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специалисте, подготовившем резюме клинических исследований (при наличии).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670"/>
          <w:p>
            <w:pPr>
              <w:spacing w:after="20"/>
              <w:ind w:left="20"/>
              <w:jc w:val="both"/>
            </w:pPr>
            <w:r>
              <w:rPr>
                <w:rFonts w:ascii="Times New Roman"/>
                <w:b w:val="false"/>
                <w:i w:val="false"/>
                <w:color w:val="000000"/>
                <w:sz w:val="20"/>
              </w:rPr>
              <w:t>
1.8.</w:t>
            </w:r>
          </w:p>
          <w:bookmarkEnd w:id="2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Специфические требования для различных типов заявлений: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671"/>
          <w:p>
            <w:pPr>
              <w:spacing w:after="20"/>
              <w:ind w:left="20"/>
              <w:jc w:val="both"/>
            </w:pPr>
            <w:r>
              <w:rPr>
                <w:rFonts w:ascii="Times New Roman"/>
                <w:b w:val="false"/>
                <w:i w:val="false"/>
                <w:color w:val="000000"/>
                <w:sz w:val="20"/>
              </w:rPr>
              <w:t>
1.8.1.</w:t>
            </w:r>
          </w:p>
          <w:bookmarkEnd w:id="2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держателя регистрационного удостоверения, содержащее сведения о дополнительном торговом наименовании лекарственного препарата (если применимо).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672"/>
          <w:p>
            <w:pPr>
              <w:spacing w:after="20"/>
              <w:ind w:left="20"/>
              <w:jc w:val="both"/>
            </w:pPr>
            <w:r>
              <w:rPr>
                <w:rFonts w:ascii="Times New Roman"/>
                <w:b w:val="false"/>
                <w:i w:val="false"/>
                <w:color w:val="000000"/>
                <w:sz w:val="20"/>
              </w:rPr>
              <w:t>
1.8.2.</w:t>
            </w:r>
          </w:p>
          <w:bookmarkEnd w:id="2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 клиническим исследованиям (если применимо)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клиническим исследованиям и резюме для обоснования заявления на регистрацию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уполномоченного органа на проведение клинического исследования в государствах – членах Евразийского экономического союза, в том числе на внесение изменений в регистрационное досье (при наличии). </w:t>
            </w:r>
          </w:p>
          <w:p>
            <w:pPr>
              <w:spacing w:after="20"/>
              <w:ind w:left="20"/>
              <w:jc w:val="both"/>
            </w:pPr>
            <w:r>
              <w:rPr>
                <w:rFonts w:ascii="Times New Roman"/>
                <w:b w:val="false"/>
                <w:i w:val="false"/>
                <w:color w:val="000000"/>
                <w:sz w:val="20"/>
              </w:rPr>
              <w:t>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проведенных инспекций на соответствие Правилам надлежащей клинической практики Евразийского экономического союза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Утратил силу решением Совета Евразийской экономической комиссии от 20.10.2023 </w:t>
            </w:r>
            <w:r>
              <w:rPr>
                <w:rFonts w:ascii="Times New Roman"/>
                <w:b w:val="false"/>
                <w:i w:val="false"/>
                <w:color w:val="ff0000"/>
                <w:sz w:val="20"/>
              </w:rPr>
              <w:t>№ 114</w:t>
            </w:r>
            <w:r>
              <w:rPr>
                <w:rFonts w:ascii="Times New Roman"/>
                <w:b w:val="false"/>
                <w:i w:val="false"/>
                <w:color w:val="ff0000"/>
                <w:sz w:val="20"/>
              </w:rPr>
              <w:t xml:space="preserve"> (вступает в силу с 20.12.2023).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Утратил силу решением Совета Евразийской экономической комиссии от 20.10.2023 </w:t>
            </w:r>
            <w:r>
              <w:rPr>
                <w:rFonts w:ascii="Times New Roman"/>
                <w:b w:val="false"/>
                <w:i w:val="false"/>
                <w:color w:val="ff0000"/>
                <w:sz w:val="20"/>
              </w:rPr>
              <w:t>№ 114</w:t>
            </w:r>
            <w:r>
              <w:rPr>
                <w:rFonts w:ascii="Times New Roman"/>
                <w:b w:val="false"/>
                <w:i w:val="false"/>
                <w:color w:val="ff0000"/>
                <w:sz w:val="20"/>
              </w:rPr>
              <w:t xml:space="preserve"> (вступает в силу с 20.12.2023).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для заявления на регистрацию лекарственного препарата с хорошо изученным медицинским применением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для заявления на регистрацию воспроизведенных, гибридных или биоаналогичных (биоподобных) лекарственных препаратов (если применимо).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для заявления на регистрацию при наличии патентов в государстве-члене в отношении регистрируемого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для заявления на регистрацию в исключительных случаях (если применимо) (в рамках процедуры приведения в соответствие с требованиями Союза представление сведений не является обязательным)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для заявления на регистрацию с установлением пострегистрационных мер или резюме для заявления на условную регистрацию (если применимо)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673"/>
          <w:p>
            <w:pPr>
              <w:spacing w:after="20"/>
              <w:ind w:left="20"/>
              <w:jc w:val="both"/>
            </w:pPr>
            <w:r>
              <w:rPr>
                <w:rFonts w:ascii="Times New Roman"/>
                <w:b w:val="false"/>
                <w:i w:val="false"/>
                <w:color w:val="000000"/>
                <w:sz w:val="20"/>
              </w:rPr>
              <w:t>
1.8.3.</w:t>
            </w:r>
          </w:p>
          <w:bookmarkEnd w:id="2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с перечнем клинических исследований (если применимо) (в рамках процедуры приведения в соответствие с требованиями Союза представление сведений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674"/>
          <w:p>
            <w:pPr>
              <w:spacing w:after="20"/>
              <w:ind w:left="20"/>
              <w:jc w:val="both"/>
            </w:pPr>
            <w:r>
              <w:rPr>
                <w:rFonts w:ascii="Times New Roman"/>
                <w:b w:val="false"/>
                <w:i w:val="false"/>
                <w:color w:val="000000"/>
                <w:sz w:val="20"/>
              </w:rPr>
              <w:t>
1.8.4.</w:t>
            </w:r>
          </w:p>
          <w:bookmarkEnd w:id="2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Утратил силу решением Совета Евразийской экономической комиссии от 20.10.2023 </w:t>
            </w:r>
            <w:r>
              <w:rPr>
                <w:rFonts w:ascii="Times New Roman"/>
                <w:b w:val="false"/>
                <w:i w:val="false"/>
                <w:color w:val="ff0000"/>
                <w:sz w:val="20"/>
              </w:rPr>
              <w:t>№ 114</w:t>
            </w:r>
            <w:r>
              <w:rPr>
                <w:rFonts w:ascii="Times New Roman"/>
                <w:b w:val="false"/>
                <w:i w:val="false"/>
                <w:color w:val="ff0000"/>
                <w:sz w:val="20"/>
              </w:rPr>
              <w:t xml:space="preserve"> (вступает в силу с 20.12.2023).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675"/>
          <w:p>
            <w:pPr>
              <w:spacing w:after="20"/>
              <w:ind w:left="20"/>
              <w:jc w:val="both"/>
            </w:pPr>
            <w:r>
              <w:rPr>
                <w:rFonts w:ascii="Times New Roman"/>
                <w:b w:val="false"/>
                <w:i w:val="false"/>
                <w:color w:val="000000"/>
                <w:sz w:val="20"/>
              </w:rPr>
              <w:t>
1.9.</w:t>
            </w:r>
          </w:p>
          <w:bookmarkEnd w:id="2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заявителя об оценке потенциальной опасности для окружающей среды (при наличии):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676"/>
          <w:p>
            <w:pPr>
              <w:spacing w:after="20"/>
              <w:ind w:left="20"/>
              <w:jc w:val="both"/>
            </w:pPr>
            <w:r>
              <w:rPr>
                <w:rFonts w:ascii="Times New Roman"/>
                <w:b w:val="false"/>
                <w:i w:val="false"/>
                <w:color w:val="000000"/>
                <w:sz w:val="20"/>
              </w:rPr>
              <w:t>
1.9.1.</w:t>
            </w:r>
          </w:p>
          <w:bookmarkEnd w:id="2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заявителя о том, что лекарственные препараты содержат генетически модифицированные организмы или получены из них (если применимо)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677"/>
          <w:p>
            <w:pPr>
              <w:spacing w:after="20"/>
              <w:ind w:left="20"/>
              <w:jc w:val="both"/>
            </w:pPr>
            <w:r>
              <w:rPr>
                <w:rFonts w:ascii="Times New Roman"/>
                <w:b w:val="false"/>
                <w:i w:val="false"/>
                <w:color w:val="000000"/>
                <w:sz w:val="20"/>
              </w:rPr>
              <w:t>
1.10.</w:t>
            </w:r>
          </w:p>
          <w:bookmarkEnd w:id="2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относительно фармаконадзора заявителя в государстве - члене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678"/>
          <w:p>
            <w:pPr>
              <w:spacing w:after="20"/>
              <w:ind w:left="20"/>
              <w:jc w:val="both"/>
            </w:pPr>
            <w:r>
              <w:rPr>
                <w:rFonts w:ascii="Times New Roman"/>
                <w:b w:val="false"/>
                <w:i w:val="false"/>
                <w:color w:val="000000"/>
                <w:sz w:val="20"/>
              </w:rPr>
              <w:t>
1.10.1.</w:t>
            </w:r>
          </w:p>
          <w:bookmarkEnd w:id="2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мастер-файл системы фармаконадзора держателя регистрационного удостоверения в соответствии с надлежащей практикой фармаконадзора Евразийского экономического союза или краткая характеристика системы фармаконадзора держателя регистрационного удостоверения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679"/>
          <w:p>
            <w:pPr>
              <w:spacing w:after="20"/>
              <w:ind w:left="20"/>
              <w:jc w:val="both"/>
            </w:pPr>
            <w:r>
              <w:rPr>
                <w:rFonts w:ascii="Times New Roman"/>
                <w:b w:val="false"/>
                <w:i w:val="false"/>
                <w:color w:val="000000"/>
                <w:sz w:val="20"/>
              </w:rPr>
              <w:t>
1.10.2.</w:t>
            </w:r>
          </w:p>
          <w:bookmarkEnd w:id="2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письменное подтверждение того, что держатель регистрационного удостоверения имеет в своем распоряжении квалифицированное лицо, ответственное за фармаконадзор на территории государства - члена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680"/>
          <w:p>
            <w:pPr>
              <w:spacing w:after="20"/>
              <w:ind w:left="20"/>
              <w:jc w:val="both"/>
            </w:pPr>
            <w:r>
              <w:rPr>
                <w:rFonts w:ascii="Times New Roman"/>
                <w:b w:val="false"/>
                <w:i w:val="false"/>
                <w:color w:val="000000"/>
                <w:sz w:val="20"/>
              </w:rPr>
              <w:t>
1.10.3.</w:t>
            </w:r>
          </w:p>
          <w:bookmarkEnd w:id="2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управления рисками и резюме плана управления рисками на лекарственный препарат, заявляемый на регистрацию в соответствии с требованиями Правил надлежащей практики фармаконадзора Евразийского экономического союза, утверждаемых Евразийской экономической комиссией (если применимо)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681"/>
          <w:p>
            <w:pPr>
              <w:spacing w:after="20"/>
              <w:ind w:left="20"/>
              <w:jc w:val="both"/>
            </w:pPr>
            <w:r>
              <w:rPr>
                <w:rFonts w:ascii="Times New Roman"/>
                <w:b w:val="false"/>
                <w:i w:val="false"/>
                <w:color w:val="000000"/>
                <w:sz w:val="20"/>
              </w:rPr>
              <w:t>
1.10.4.</w:t>
            </w:r>
          </w:p>
          <w:bookmarkEnd w:id="2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заверенные надлежащим образом, подтверждающие наличие взаимодействия, обеспечивающего надлежащее выполнение несколькими юридическими лицами всех обязанностей держателя регистрационного удостоверения (если применимо)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682"/>
          <w:p>
            <w:pPr>
              <w:spacing w:after="20"/>
              <w:ind w:left="20"/>
              <w:jc w:val="both"/>
            </w:pPr>
            <w:r>
              <w:rPr>
                <w:rFonts w:ascii="Times New Roman"/>
                <w:b w:val="false"/>
                <w:i w:val="false"/>
                <w:color w:val="000000"/>
                <w:sz w:val="20"/>
              </w:rPr>
              <w:t>
1.11.</w:t>
            </w:r>
          </w:p>
          <w:bookmarkEnd w:id="2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регистрацию товарного знака (при наличии)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683"/>
          <w:p>
            <w:pPr>
              <w:spacing w:after="20"/>
              <w:ind w:left="20"/>
              <w:jc w:val="both"/>
            </w:pPr>
            <w:r>
              <w:rPr>
                <w:rFonts w:ascii="Times New Roman"/>
                <w:b w:val="false"/>
                <w:i w:val="false"/>
                <w:color w:val="000000"/>
                <w:sz w:val="20"/>
              </w:rPr>
              <w:t>
МОДУЛЬ 2. РЕЗЮМЕ ОБЩЕГО ТЕХНИЧЕСКОГО ДОКУМЕНТА</w:t>
            </w:r>
          </w:p>
          <w:bookmarkEnd w:id="26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684"/>
          <w:p>
            <w:pPr>
              <w:spacing w:after="20"/>
              <w:ind w:left="20"/>
              <w:jc w:val="both"/>
            </w:pPr>
            <w:r>
              <w:rPr>
                <w:rFonts w:ascii="Times New Roman"/>
                <w:b w:val="false"/>
                <w:i w:val="false"/>
                <w:color w:val="000000"/>
                <w:sz w:val="20"/>
              </w:rPr>
              <w:t>
2.1.</w:t>
            </w:r>
          </w:p>
          <w:bookmarkEnd w:id="2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модулей 2 - 5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685"/>
          <w:p>
            <w:pPr>
              <w:spacing w:after="20"/>
              <w:ind w:left="20"/>
              <w:jc w:val="both"/>
            </w:pPr>
            <w:r>
              <w:rPr>
                <w:rFonts w:ascii="Times New Roman"/>
                <w:b w:val="false"/>
                <w:i w:val="false"/>
                <w:color w:val="000000"/>
                <w:sz w:val="20"/>
              </w:rPr>
              <w:t>
2.2.</w:t>
            </w:r>
          </w:p>
          <w:bookmarkEnd w:id="2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ОТД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686"/>
          <w:p>
            <w:pPr>
              <w:spacing w:after="20"/>
              <w:ind w:left="20"/>
              <w:jc w:val="both"/>
            </w:pPr>
            <w:r>
              <w:rPr>
                <w:rFonts w:ascii="Times New Roman"/>
                <w:b w:val="false"/>
                <w:i w:val="false"/>
                <w:color w:val="000000"/>
                <w:sz w:val="20"/>
              </w:rPr>
              <w:t>
2.3.</w:t>
            </w:r>
          </w:p>
          <w:bookmarkEnd w:id="2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резюме по качеству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687"/>
          <w:p>
            <w:pPr>
              <w:spacing w:after="20"/>
              <w:ind w:left="20"/>
              <w:jc w:val="both"/>
            </w:pPr>
            <w:r>
              <w:rPr>
                <w:rFonts w:ascii="Times New Roman"/>
                <w:b w:val="false"/>
                <w:i w:val="false"/>
                <w:color w:val="000000"/>
                <w:sz w:val="20"/>
              </w:rPr>
              <w:t>
2.4.</w:t>
            </w:r>
          </w:p>
          <w:bookmarkEnd w:id="2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Обзор доклинических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688"/>
          <w:p>
            <w:pPr>
              <w:spacing w:after="20"/>
              <w:ind w:left="20"/>
              <w:jc w:val="both"/>
            </w:pPr>
            <w:r>
              <w:rPr>
                <w:rFonts w:ascii="Times New Roman"/>
                <w:b w:val="false"/>
                <w:i w:val="false"/>
                <w:color w:val="000000"/>
                <w:sz w:val="20"/>
              </w:rPr>
              <w:t>
2.5.</w:t>
            </w:r>
          </w:p>
          <w:bookmarkEnd w:id="2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Обзор клинических данных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689"/>
          <w:p>
            <w:pPr>
              <w:spacing w:after="20"/>
              <w:ind w:left="20"/>
              <w:jc w:val="both"/>
            </w:pPr>
            <w:r>
              <w:rPr>
                <w:rFonts w:ascii="Times New Roman"/>
                <w:b w:val="false"/>
                <w:i w:val="false"/>
                <w:color w:val="000000"/>
                <w:sz w:val="20"/>
              </w:rPr>
              <w:t>
2.6.</w:t>
            </w:r>
          </w:p>
          <w:bookmarkEnd w:id="2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690"/>
          <w:p>
            <w:pPr>
              <w:spacing w:after="20"/>
              <w:ind w:left="20"/>
              <w:jc w:val="both"/>
            </w:pPr>
            <w:r>
              <w:rPr>
                <w:rFonts w:ascii="Times New Roman"/>
                <w:b w:val="false"/>
                <w:i w:val="false"/>
                <w:color w:val="000000"/>
                <w:sz w:val="20"/>
              </w:rPr>
              <w:t>
2.6.1.</w:t>
            </w:r>
          </w:p>
          <w:bookmarkEnd w:id="2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691"/>
          <w:p>
            <w:pPr>
              <w:spacing w:after="20"/>
              <w:ind w:left="20"/>
              <w:jc w:val="both"/>
            </w:pPr>
            <w:r>
              <w:rPr>
                <w:rFonts w:ascii="Times New Roman"/>
                <w:b w:val="false"/>
                <w:i w:val="false"/>
                <w:color w:val="000000"/>
                <w:sz w:val="20"/>
              </w:rPr>
              <w:t>
2.6.2.</w:t>
            </w:r>
          </w:p>
          <w:bookmarkEnd w:id="2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исследований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692"/>
          <w:p>
            <w:pPr>
              <w:spacing w:after="20"/>
              <w:ind w:left="20"/>
              <w:jc w:val="both"/>
            </w:pPr>
            <w:r>
              <w:rPr>
                <w:rFonts w:ascii="Times New Roman"/>
                <w:b w:val="false"/>
                <w:i w:val="false"/>
                <w:color w:val="000000"/>
                <w:sz w:val="20"/>
              </w:rPr>
              <w:t>
2.6.3.</w:t>
            </w:r>
          </w:p>
          <w:bookmarkEnd w:id="2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исследований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693"/>
          <w:p>
            <w:pPr>
              <w:spacing w:after="20"/>
              <w:ind w:left="20"/>
              <w:jc w:val="both"/>
            </w:pPr>
            <w:r>
              <w:rPr>
                <w:rFonts w:ascii="Times New Roman"/>
                <w:b w:val="false"/>
                <w:i w:val="false"/>
                <w:color w:val="000000"/>
                <w:sz w:val="20"/>
              </w:rPr>
              <w:t>
2.6.4.</w:t>
            </w:r>
          </w:p>
          <w:bookmarkEnd w:id="2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исследований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694"/>
          <w:p>
            <w:pPr>
              <w:spacing w:after="20"/>
              <w:ind w:left="20"/>
              <w:jc w:val="both"/>
            </w:pPr>
            <w:r>
              <w:rPr>
                <w:rFonts w:ascii="Times New Roman"/>
                <w:b w:val="false"/>
                <w:i w:val="false"/>
                <w:color w:val="000000"/>
                <w:sz w:val="20"/>
              </w:rPr>
              <w:t>
2.6.5.</w:t>
            </w:r>
          </w:p>
          <w:bookmarkEnd w:id="2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исследований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695"/>
          <w:p>
            <w:pPr>
              <w:spacing w:after="20"/>
              <w:ind w:left="20"/>
              <w:jc w:val="both"/>
            </w:pPr>
            <w:r>
              <w:rPr>
                <w:rFonts w:ascii="Times New Roman"/>
                <w:b w:val="false"/>
                <w:i w:val="false"/>
                <w:color w:val="000000"/>
                <w:sz w:val="20"/>
              </w:rPr>
              <w:t>
2.6.6.</w:t>
            </w:r>
          </w:p>
          <w:bookmarkEnd w:id="2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исследований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5" w:id="2696"/>
          <w:p>
            <w:pPr>
              <w:spacing w:after="20"/>
              <w:ind w:left="20"/>
              <w:jc w:val="both"/>
            </w:pPr>
            <w:r>
              <w:rPr>
                <w:rFonts w:ascii="Times New Roman"/>
                <w:b w:val="false"/>
                <w:i w:val="false"/>
                <w:color w:val="000000"/>
                <w:sz w:val="20"/>
              </w:rPr>
              <w:t>
2.6.7.</w:t>
            </w:r>
          </w:p>
          <w:bookmarkEnd w:id="2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исследований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697"/>
          <w:p>
            <w:pPr>
              <w:spacing w:after="20"/>
              <w:ind w:left="20"/>
              <w:jc w:val="both"/>
            </w:pPr>
            <w:r>
              <w:rPr>
                <w:rFonts w:ascii="Times New Roman"/>
                <w:b w:val="false"/>
                <w:i w:val="false"/>
                <w:color w:val="000000"/>
                <w:sz w:val="20"/>
              </w:rPr>
              <w:t>
2.7.</w:t>
            </w:r>
          </w:p>
          <w:bookmarkEnd w:id="2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698"/>
          <w:p>
            <w:pPr>
              <w:spacing w:after="20"/>
              <w:ind w:left="20"/>
              <w:jc w:val="both"/>
            </w:pPr>
            <w:r>
              <w:rPr>
                <w:rFonts w:ascii="Times New Roman"/>
                <w:b w:val="false"/>
                <w:i w:val="false"/>
                <w:color w:val="000000"/>
                <w:sz w:val="20"/>
              </w:rPr>
              <w:t>
2.7.1.</w:t>
            </w:r>
          </w:p>
          <w:bookmarkEnd w:id="2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биофармацевтических исследований и связанных с ними аналитических методов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699"/>
          <w:p>
            <w:pPr>
              <w:spacing w:after="20"/>
              <w:ind w:left="20"/>
              <w:jc w:val="both"/>
            </w:pPr>
            <w:r>
              <w:rPr>
                <w:rFonts w:ascii="Times New Roman"/>
                <w:b w:val="false"/>
                <w:i w:val="false"/>
                <w:color w:val="000000"/>
                <w:sz w:val="20"/>
              </w:rPr>
              <w:t>
2.7.2.</w:t>
            </w:r>
          </w:p>
          <w:bookmarkEnd w:id="2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исследований по клинической фармакологии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700"/>
          <w:p>
            <w:pPr>
              <w:spacing w:after="20"/>
              <w:ind w:left="20"/>
              <w:jc w:val="both"/>
            </w:pPr>
            <w:r>
              <w:rPr>
                <w:rFonts w:ascii="Times New Roman"/>
                <w:b w:val="false"/>
                <w:i w:val="false"/>
                <w:color w:val="000000"/>
                <w:sz w:val="20"/>
              </w:rPr>
              <w:t>
2.7.3.</w:t>
            </w:r>
          </w:p>
          <w:bookmarkEnd w:id="2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по клинической эффективности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701"/>
          <w:p>
            <w:pPr>
              <w:spacing w:after="20"/>
              <w:ind w:left="20"/>
              <w:jc w:val="both"/>
            </w:pPr>
            <w:r>
              <w:rPr>
                <w:rFonts w:ascii="Times New Roman"/>
                <w:b w:val="false"/>
                <w:i w:val="false"/>
                <w:color w:val="000000"/>
                <w:sz w:val="20"/>
              </w:rPr>
              <w:t>
2.7.4.</w:t>
            </w:r>
          </w:p>
          <w:bookmarkEnd w:id="2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по клинической 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702"/>
          <w:p>
            <w:pPr>
              <w:spacing w:after="20"/>
              <w:ind w:left="20"/>
              <w:jc w:val="both"/>
            </w:pPr>
            <w:r>
              <w:rPr>
                <w:rFonts w:ascii="Times New Roman"/>
                <w:b w:val="false"/>
                <w:i w:val="false"/>
                <w:color w:val="000000"/>
                <w:sz w:val="20"/>
              </w:rPr>
              <w:t>
2.7.5.</w:t>
            </w:r>
          </w:p>
          <w:bookmarkEnd w:id="2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использованных литературных источников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703"/>
          <w:p>
            <w:pPr>
              <w:spacing w:after="20"/>
              <w:ind w:left="20"/>
              <w:jc w:val="both"/>
            </w:pPr>
            <w:r>
              <w:rPr>
                <w:rFonts w:ascii="Times New Roman"/>
                <w:b w:val="false"/>
                <w:i w:val="false"/>
                <w:color w:val="000000"/>
                <w:sz w:val="20"/>
              </w:rPr>
              <w:t>
2.7.6.</w:t>
            </w:r>
          </w:p>
          <w:bookmarkEnd w:id="2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Краткий обзор индивидуальных исследований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704"/>
          <w:p>
            <w:pPr>
              <w:spacing w:after="20"/>
              <w:ind w:left="20"/>
              <w:jc w:val="both"/>
            </w:pPr>
            <w:r>
              <w:rPr>
                <w:rFonts w:ascii="Times New Roman"/>
                <w:b w:val="false"/>
                <w:i w:val="false"/>
                <w:color w:val="000000"/>
                <w:sz w:val="20"/>
              </w:rPr>
              <w:t>
МОДУЛЬ 3. КАЧЕСТВО</w:t>
            </w:r>
          </w:p>
          <w:bookmarkEnd w:id="270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705"/>
          <w:p>
            <w:pPr>
              <w:spacing w:after="20"/>
              <w:ind w:left="20"/>
              <w:jc w:val="both"/>
            </w:pPr>
            <w:r>
              <w:rPr>
                <w:rFonts w:ascii="Times New Roman"/>
                <w:b w:val="false"/>
                <w:i w:val="false"/>
                <w:color w:val="000000"/>
                <w:sz w:val="20"/>
              </w:rPr>
              <w:t>
3.1.</w:t>
            </w:r>
          </w:p>
          <w:bookmarkEnd w:id="2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модуля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706"/>
          <w:p>
            <w:pPr>
              <w:spacing w:after="20"/>
              <w:ind w:left="20"/>
              <w:jc w:val="both"/>
            </w:pPr>
            <w:r>
              <w:rPr>
                <w:rFonts w:ascii="Times New Roman"/>
                <w:b w:val="false"/>
                <w:i w:val="false"/>
                <w:color w:val="000000"/>
                <w:sz w:val="20"/>
              </w:rPr>
              <w:t>
3.2.</w:t>
            </w:r>
          </w:p>
          <w:bookmarkEnd w:id="2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сведения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707"/>
          <w:p>
            <w:pPr>
              <w:spacing w:after="20"/>
              <w:ind w:left="20"/>
              <w:jc w:val="both"/>
            </w:pPr>
            <w:r>
              <w:rPr>
                <w:rFonts w:ascii="Times New Roman"/>
                <w:b w:val="false"/>
                <w:i w:val="false"/>
                <w:color w:val="000000"/>
                <w:sz w:val="20"/>
              </w:rPr>
              <w:t>
3.2.S.</w:t>
            </w:r>
          </w:p>
          <w:bookmarkEnd w:id="2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Активная фармацевтическая субстанция (АФС), для лекарственных препаратов, содержащих несколько активных (действующих) веществ, информация представляется в полном объеме относительно каждого из них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708"/>
          <w:p>
            <w:pPr>
              <w:spacing w:after="20"/>
              <w:ind w:left="20"/>
              <w:jc w:val="both"/>
            </w:pPr>
            <w:r>
              <w:rPr>
                <w:rFonts w:ascii="Times New Roman"/>
                <w:b w:val="false"/>
                <w:i w:val="false"/>
                <w:color w:val="000000"/>
                <w:sz w:val="20"/>
              </w:rPr>
              <w:t>
3.2.S.1.</w:t>
            </w:r>
          </w:p>
          <w:bookmarkEnd w:id="2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информация относительно исходных материалов и сырья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709"/>
          <w:p>
            <w:pPr>
              <w:spacing w:after="20"/>
              <w:ind w:left="20"/>
              <w:jc w:val="both"/>
            </w:pPr>
            <w:r>
              <w:rPr>
                <w:rFonts w:ascii="Times New Roman"/>
                <w:b w:val="false"/>
                <w:i w:val="false"/>
                <w:color w:val="000000"/>
                <w:sz w:val="20"/>
              </w:rPr>
              <w:t>
3.2.S.1.1.</w:t>
            </w:r>
          </w:p>
          <w:bookmarkEnd w:id="2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наименовании АФС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710"/>
          <w:p>
            <w:pPr>
              <w:spacing w:after="20"/>
              <w:ind w:left="20"/>
              <w:jc w:val="both"/>
            </w:pPr>
            <w:r>
              <w:rPr>
                <w:rFonts w:ascii="Times New Roman"/>
                <w:b w:val="false"/>
                <w:i w:val="false"/>
                <w:color w:val="000000"/>
                <w:sz w:val="20"/>
              </w:rPr>
              <w:t>
3.2.S.1.2.</w:t>
            </w:r>
          </w:p>
          <w:bookmarkEnd w:id="2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АФС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711"/>
          <w:p>
            <w:pPr>
              <w:spacing w:after="20"/>
              <w:ind w:left="20"/>
              <w:jc w:val="both"/>
            </w:pPr>
            <w:r>
              <w:rPr>
                <w:rFonts w:ascii="Times New Roman"/>
                <w:b w:val="false"/>
                <w:i w:val="false"/>
                <w:color w:val="000000"/>
                <w:sz w:val="20"/>
              </w:rPr>
              <w:t>
3.2.S.1.3.</w:t>
            </w:r>
          </w:p>
          <w:bookmarkEnd w:id="2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свойства АФС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712"/>
          <w:p>
            <w:pPr>
              <w:spacing w:after="20"/>
              <w:ind w:left="20"/>
              <w:jc w:val="both"/>
            </w:pPr>
            <w:r>
              <w:rPr>
                <w:rFonts w:ascii="Times New Roman"/>
                <w:b w:val="false"/>
                <w:i w:val="false"/>
                <w:color w:val="000000"/>
                <w:sz w:val="20"/>
              </w:rPr>
              <w:t>
3.2.S.2.</w:t>
            </w:r>
          </w:p>
          <w:bookmarkEnd w:id="2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производства АФС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713"/>
          <w:p>
            <w:pPr>
              <w:spacing w:after="20"/>
              <w:ind w:left="20"/>
              <w:jc w:val="both"/>
            </w:pPr>
            <w:r>
              <w:rPr>
                <w:rFonts w:ascii="Times New Roman"/>
                <w:b w:val="false"/>
                <w:i w:val="false"/>
                <w:color w:val="000000"/>
                <w:sz w:val="20"/>
              </w:rPr>
              <w:t>
3.2.S.2.1.</w:t>
            </w:r>
          </w:p>
          <w:bookmarkEnd w:id="2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714"/>
          <w:p>
            <w:pPr>
              <w:spacing w:after="20"/>
              <w:ind w:left="20"/>
              <w:jc w:val="both"/>
            </w:pPr>
            <w:r>
              <w:rPr>
                <w:rFonts w:ascii="Times New Roman"/>
                <w:b w:val="false"/>
                <w:i w:val="false"/>
                <w:color w:val="000000"/>
                <w:sz w:val="20"/>
              </w:rPr>
              <w:t>
3.2.S.2.2.</w:t>
            </w:r>
          </w:p>
          <w:bookmarkEnd w:id="2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производственного процесса и его контроля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715"/>
          <w:p>
            <w:pPr>
              <w:spacing w:after="20"/>
              <w:ind w:left="20"/>
              <w:jc w:val="both"/>
            </w:pPr>
            <w:r>
              <w:rPr>
                <w:rFonts w:ascii="Times New Roman"/>
                <w:b w:val="false"/>
                <w:i w:val="false"/>
                <w:color w:val="000000"/>
                <w:sz w:val="20"/>
              </w:rPr>
              <w:t>
3.2.S.2.3.</w:t>
            </w:r>
          </w:p>
          <w:bookmarkEnd w:id="2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 В рамках процедуры приведения в соответствие с требованиями Союза указанные сведения представляются по запросу уполномоченного органа (экспертной организации) государства – члена Евразийского экономического союза в ходе проведения экспертных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716"/>
          <w:p>
            <w:pPr>
              <w:spacing w:after="20"/>
              <w:ind w:left="20"/>
              <w:jc w:val="both"/>
            </w:pPr>
            <w:r>
              <w:rPr>
                <w:rFonts w:ascii="Times New Roman"/>
                <w:b w:val="false"/>
                <w:i w:val="false"/>
                <w:color w:val="000000"/>
                <w:sz w:val="20"/>
              </w:rPr>
              <w:t>
3.2.S.2.4.</w:t>
            </w:r>
          </w:p>
          <w:bookmarkEnd w:id="2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стадий и промежуточной продукции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 В рамках процедуры приведения в соответствие с требованиями Союза указанные сведения представляются по запросу уполномоченного органа (экспертной организации) государства – члена Евразийского экономического союза в ходе проведения экспертных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717"/>
          <w:p>
            <w:pPr>
              <w:spacing w:after="20"/>
              <w:ind w:left="20"/>
              <w:jc w:val="both"/>
            </w:pPr>
            <w:r>
              <w:rPr>
                <w:rFonts w:ascii="Times New Roman"/>
                <w:b w:val="false"/>
                <w:i w:val="false"/>
                <w:color w:val="000000"/>
                <w:sz w:val="20"/>
              </w:rPr>
              <w:t>
3.2.S.2.5.</w:t>
            </w:r>
          </w:p>
          <w:bookmarkEnd w:id="2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производственного процесса и (или) его оценка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 В рамках процедуры приведения в соответствие с требованиями Союза указанные сведения представляются по запросу уполномоченного органа (экспертной организации) государства – члена Евразийского экономического союза в ходе проведения экспертных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718"/>
          <w:p>
            <w:pPr>
              <w:spacing w:after="20"/>
              <w:ind w:left="20"/>
              <w:jc w:val="both"/>
            </w:pPr>
            <w:r>
              <w:rPr>
                <w:rFonts w:ascii="Times New Roman"/>
                <w:b w:val="false"/>
                <w:i w:val="false"/>
                <w:color w:val="000000"/>
                <w:sz w:val="20"/>
              </w:rPr>
              <w:t>
3.2.S.2.6.</w:t>
            </w:r>
          </w:p>
          <w:bookmarkEnd w:id="2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 В рамках процедуры приведения в соответствие с требованиями Союза указанные сведения представляются по запросу уполномоченного органа (экспертной организации) государства – члена Евразийского экономического союза в ходе проведения экспертных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719"/>
          <w:p>
            <w:pPr>
              <w:spacing w:after="20"/>
              <w:ind w:left="20"/>
              <w:jc w:val="both"/>
            </w:pPr>
            <w:r>
              <w:rPr>
                <w:rFonts w:ascii="Times New Roman"/>
                <w:b w:val="false"/>
                <w:i w:val="false"/>
                <w:color w:val="000000"/>
                <w:sz w:val="20"/>
              </w:rPr>
              <w:t>
3.2.S.3.</w:t>
            </w:r>
          </w:p>
          <w:bookmarkEnd w:id="2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характеристик АФС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720"/>
          <w:p>
            <w:pPr>
              <w:spacing w:after="20"/>
              <w:ind w:left="20"/>
              <w:jc w:val="both"/>
            </w:pPr>
            <w:r>
              <w:rPr>
                <w:rFonts w:ascii="Times New Roman"/>
                <w:b w:val="false"/>
                <w:i w:val="false"/>
                <w:color w:val="000000"/>
                <w:sz w:val="20"/>
              </w:rPr>
              <w:t>
3.2.S.3.1.</w:t>
            </w:r>
          </w:p>
          <w:bookmarkEnd w:id="2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Подтверждение структуры и других характеристик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721"/>
          <w:p>
            <w:pPr>
              <w:spacing w:after="20"/>
              <w:ind w:left="20"/>
              <w:jc w:val="both"/>
            </w:pPr>
            <w:r>
              <w:rPr>
                <w:rFonts w:ascii="Times New Roman"/>
                <w:b w:val="false"/>
                <w:i w:val="false"/>
                <w:color w:val="000000"/>
                <w:sz w:val="20"/>
              </w:rPr>
              <w:t>
3.2.S.3.2.</w:t>
            </w:r>
          </w:p>
          <w:bookmarkEnd w:id="2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Примеси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722"/>
          <w:p>
            <w:pPr>
              <w:spacing w:after="20"/>
              <w:ind w:left="20"/>
              <w:jc w:val="both"/>
            </w:pPr>
            <w:r>
              <w:rPr>
                <w:rFonts w:ascii="Times New Roman"/>
                <w:b w:val="false"/>
                <w:i w:val="false"/>
                <w:color w:val="000000"/>
                <w:sz w:val="20"/>
              </w:rPr>
              <w:t>
3.2.S.4.</w:t>
            </w:r>
          </w:p>
          <w:bookmarkEnd w:id="2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качества АФС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723"/>
          <w:p>
            <w:pPr>
              <w:spacing w:after="20"/>
              <w:ind w:left="20"/>
              <w:jc w:val="both"/>
            </w:pPr>
            <w:r>
              <w:rPr>
                <w:rFonts w:ascii="Times New Roman"/>
                <w:b w:val="false"/>
                <w:i w:val="false"/>
                <w:color w:val="000000"/>
                <w:sz w:val="20"/>
              </w:rPr>
              <w:t>
3.2.S.4.1.</w:t>
            </w:r>
          </w:p>
          <w:bookmarkEnd w:id="2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Спецификация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724"/>
          <w:p>
            <w:pPr>
              <w:spacing w:after="20"/>
              <w:ind w:left="20"/>
              <w:jc w:val="both"/>
            </w:pPr>
            <w:r>
              <w:rPr>
                <w:rFonts w:ascii="Times New Roman"/>
                <w:b w:val="false"/>
                <w:i w:val="false"/>
                <w:color w:val="000000"/>
                <w:sz w:val="20"/>
              </w:rPr>
              <w:t>
3.2.S.4.2.</w:t>
            </w:r>
          </w:p>
          <w:bookmarkEnd w:id="2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725"/>
          <w:p>
            <w:pPr>
              <w:spacing w:after="20"/>
              <w:ind w:left="20"/>
              <w:jc w:val="both"/>
            </w:pPr>
            <w:r>
              <w:rPr>
                <w:rFonts w:ascii="Times New Roman"/>
                <w:b w:val="false"/>
                <w:i w:val="false"/>
                <w:color w:val="000000"/>
                <w:sz w:val="20"/>
              </w:rPr>
              <w:t>
3.2.S.4.3.</w:t>
            </w:r>
          </w:p>
          <w:bookmarkEnd w:id="2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726"/>
          <w:p>
            <w:pPr>
              <w:spacing w:after="20"/>
              <w:ind w:left="20"/>
              <w:jc w:val="both"/>
            </w:pPr>
            <w:r>
              <w:rPr>
                <w:rFonts w:ascii="Times New Roman"/>
                <w:b w:val="false"/>
                <w:i w:val="false"/>
                <w:color w:val="000000"/>
                <w:sz w:val="20"/>
              </w:rPr>
              <w:t>
3.2.S.4.4.</w:t>
            </w:r>
          </w:p>
          <w:bookmarkEnd w:id="2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Анализы серий (результаты анализа серий)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727"/>
          <w:p>
            <w:pPr>
              <w:spacing w:after="20"/>
              <w:ind w:left="20"/>
              <w:jc w:val="both"/>
            </w:pPr>
            <w:r>
              <w:rPr>
                <w:rFonts w:ascii="Times New Roman"/>
                <w:b w:val="false"/>
                <w:i w:val="false"/>
                <w:color w:val="000000"/>
                <w:sz w:val="20"/>
              </w:rPr>
              <w:t>
3.2.S.4.5.</w:t>
            </w:r>
          </w:p>
          <w:bookmarkEnd w:id="2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спецификации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728"/>
          <w:p>
            <w:pPr>
              <w:spacing w:after="20"/>
              <w:ind w:left="20"/>
              <w:jc w:val="both"/>
            </w:pPr>
            <w:r>
              <w:rPr>
                <w:rFonts w:ascii="Times New Roman"/>
                <w:b w:val="false"/>
                <w:i w:val="false"/>
                <w:color w:val="000000"/>
                <w:sz w:val="20"/>
              </w:rPr>
              <w:t>
3.2.S.5.</w:t>
            </w:r>
          </w:p>
          <w:bookmarkEnd w:id="2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образцы или материалы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729"/>
          <w:p>
            <w:pPr>
              <w:spacing w:after="20"/>
              <w:ind w:left="20"/>
              <w:jc w:val="both"/>
            </w:pPr>
            <w:r>
              <w:rPr>
                <w:rFonts w:ascii="Times New Roman"/>
                <w:b w:val="false"/>
                <w:i w:val="false"/>
                <w:color w:val="000000"/>
                <w:sz w:val="20"/>
              </w:rPr>
              <w:t>
3.2.S.6.</w:t>
            </w:r>
          </w:p>
          <w:bookmarkEnd w:id="2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упаковки (укупорки)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730"/>
          <w:p>
            <w:pPr>
              <w:spacing w:after="20"/>
              <w:ind w:left="20"/>
              <w:jc w:val="both"/>
            </w:pPr>
            <w:r>
              <w:rPr>
                <w:rFonts w:ascii="Times New Roman"/>
                <w:b w:val="false"/>
                <w:i w:val="false"/>
                <w:color w:val="000000"/>
                <w:sz w:val="20"/>
              </w:rPr>
              <w:t>
3.2.S.7.</w:t>
            </w:r>
          </w:p>
          <w:bookmarkEnd w:id="2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Стабильность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731"/>
          <w:p>
            <w:pPr>
              <w:spacing w:after="20"/>
              <w:ind w:left="20"/>
              <w:jc w:val="both"/>
            </w:pPr>
            <w:r>
              <w:rPr>
                <w:rFonts w:ascii="Times New Roman"/>
                <w:b w:val="false"/>
                <w:i w:val="false"/>
                <w:color w:val="000000"/>
                <w:sz w:val="20"/>
              </w:rPr>
              <w:t>
3.2.S.7.1.</w:t>
            </w:r>
          </w:p>
          <w:bookmarkEnd w:id="2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о испытаниях стабильности и заключение о стабильности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732"/>
          <w:p>
            <w:pPr>
              <w:spacing w:after="20"/>
              <w:ind w:left="20"/>
              <w:jc w:val="both"/>
            </w:pPr>
            <w:r>
              <w:rPr>
                <w:rFonts w:ascii="Times New Roman"/>
                <w:b w:val="false"/>
                <w:i w:val="false"/>
                <w:color w:val="000000"/>
                <w:sz w:val="20"/>
              </w:rPr>
              <w:t>
3.2.S.7.2.</w:t>
            </w:r>
          </w:p>
          <w:bookmarkEnd w:id="2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пострегистрационных исследований стабильности и обязательства относительно стабильности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733"/>
          <w:p>
            <w:pPr>
              <w:spacing w:after="20"/>
              <w:ind w:left="20"/>
              <w:jc w:val="both"/>
            </w:pPr>
            <w:r>
              <w:rPr>
                <w:rFonts w:ascii="Times New Roman"/>
                <w:b w:val="false"/>
                <w:i w:val="false"/>
                <w:color w:val="000000"/>
                <w:sz w:val="20"/>
              </w:rPr>
              <w:t>
3.2.S.7.3.</w:t>
            </w:r>
          </w:p>
          <w:bookmarkEnd w:id="2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испытаний о стабильности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734"/>
          <w:p>
            <w:pPr>
              <w:spacing w:after="20"/>
              <w:ind w:left="20"/>
              <w:jc w:val="both"/>
            </w:pPr>
            <w:r>
              <w:rPr>
                <w:rFonts w:ascii="Times New Roman"/>
                <w:b w:val="false"/>
                <w:i w:val="false"/>
                <w:color w:val="000000"/>
                <w:sz w:val="20"/>
              </w:rPr>
              <w:t>
3.2.P.</w:t>
            </w:r>
          </w:p>
          <w:bookmarkEnd w:id="2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препарат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735"/>
          <w:p>
            <w:pPr>
              <w:spacing w:after="20"/>
              <w:ind w:left="20"/>
              <w:jc w:val="both"/>
            </w:pPr>
            <w:r>
              <w:rPr>
                <w:rFonts w:ascii="Times New Roman"/>
                <w:b w:val="false"/>
                <w:i w:val="false"/>
                <w:color w:val="000000"/>
                <w:sz w:val="20"/>
              </w:rPr>
              <w:t>
3.2.P.1.</w:t>
            </w:r>
          </w:p>
          <w:bookmarkEnd w:id="2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и состав лекарственного препарата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736"/>
          <w:p>
            <w:pPr>
              <w:spacing w:after="20"/>
              <w:ind w:left="20"/>
              <w:jc w:val="both"/>
            </w:pPr>
            <w:r>
              <w:rPr>
                <w:rFonts w:ascii="Times New Roman"/>
                <w:b w:val="false"/>
                <w:i w:val="false"/>
                <w:color w:val="000000"/>
                <w:sz w:val="20"/>
              </w:rPr>
              <w:t>
3.2.P.2.</w:t>
            </w:r>
          </w:p>
          <w:bookmarkEnd w:id="2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Фармацевтическая разработка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737"/>
          <w:p>
            <w:pPr>
              <w:spacing w:after="20"/>
              <w:ind w:left="20"/>
              <w:jc w:val="both"/>
            </w:pPr>
            <w:r>
              <w:rPr>
                <w:rFonts w:ascii="Times New Roman"/>
                <w:b w:val="false"/>
                <w:i w:val="false"/>
                <w:color w:val="000000"/>
                <w:sz w:val="20"/>
              </w:rPr>
              <w:t>
3.2.P.2.1.</w:t>
            </w:r>
          </w:p>
          <w:bookmarkEnd w:id="2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Компоненты лекарственного препарата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738"/>
          <w:p>
            <w:pPr>
              <w:spacing w:after="20"/>
              <w:ind w:left="20"/>
              <w:jc w:val="both"/>
            </w:pPr>
            <w:r>
              <w:rPr>
                <w:rFonts w:ascii="Times New Roman"/>
                <w:b w:val="false"/>
                <w:i w:val="false"/>
                <w:color w:val="000000"/>
                <w:sz w:val="20"/>
              </w:rPr>
              <w:t>
3.2.P.2.1.1.</w:t>
            </w:r>
          </w:p>
          <w:bookmarkEnd w:id="2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Активная фармацевтическая субстанция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739"/>
          <w:p>
            <w:pPr>
              <w:spacing w:after="20"/>
              <w:ind w:left="20"/>
              <w:jc w:val="both"/>
            </w:pPr>
            <w:r>
              <w:rPr>
                <w:rFonts w:ascii="Times New Roman"/>
                <w:b w:val="false"/>
                <w:i w:val="false"/>
                <w:color w:val="000000"/>
                <w:sz w:val="20"/>
              </w:rPr>
              <w:t>
3.2.P.2.1.2.</w:t>
            </w:r>
          </w:p>
          <w:bookmarkEnd w:id="2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вещества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740"/>
          <w:p>
            <w:pPr>
              <w:spacing w:after="20"/>
              <w:ind w:left="20"/>
              <w:jc w:val="both"/>
            </w:pPr>
            <w:r>
              <w:rPr>
                <w:rFonts w:ascii="Times New Roman"/>
                <w:b w:val="false"/>
                <w:i w:val="false"/>
                <w:color w:val="000000"/>
                <w:sz w:val="20"/>
              </w:rPr>
              <w:t>
3.2.P.2.2.</w:t>
            </w:r>
          </w:p>
          <w:bookmarkEnd w:id="2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Лекарственный препарат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741"/>
          <w:p>
            <w:pPr>
              <w:spacing w:after="20"/>
              <w:ind w:left="20"/>
              <w:jc w:val="both"/>
            </w:pPr>
            <w:r>
              <w:rPr>
                <w:rFonts w:ascii="Times New Roman"/>
                <w:b w:val="false"/>
                <w:i w:val="false"/>
                <w:color w:val="000000"/>
                <w:sz w:val="20"/>
              </w:rPr>
              <w:t>
3.2.P.2.2.1.</w:t>
            </w:r>
          </w:p>
          <w:bookmarkEnd w:id="2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лекарственной формы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742"/>
          <w:p>
            <w:pPr>
              <w:spacing w:after="20"/>
              <w:ind w:left="20"/>
              <w:jc w:val="both"/>
            </w:pPr>
            <w:r>
              <w:rPr>
                <w:rFonts w:ascii="Times New Roman"/>
                <w:b w:val="false"/>
                <w:i w:val="false"/>
                <w:color w:val="000000"/>
                <w:sz w:val="20"/>
              </w:rPr>
              <w:t>
3.2.P.2.2.2.</w:t>
            </w:r>
          </w:p>
          <w:bookmarkEnd w:id="2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избытки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743"/>
          <w:p>
            <w:pPr>
              <w:spacing w:after="20"/>
              <w:ind w:left="20"/>
              <w:jc w:val="both"/>
            </w:pPr>
            <w:r>
              <w:rPr>
                <w:rFonts w:ascii="Times New Roman"/>
                <w:b w:val="false"/>
                <w:i w:val="false"/>
                <w:color w:val="000000"/>
                <w:sz w:val="20"/>
              </w:rPr>
              <w:t>
3.2.P.2.2.3.</w:t>
            </w:r>
          </w:p>
          <w:bookmarkEnd w:id="2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744"/>
          <w:p>
            <w:pPr>
              <w:spacing w:after="20"/>
              <w:ind w:left="20"/>
              <w:jc w:val="both"/>
            </w:pPr>
            <w:r>
              <w:rPr>
                <w:rFonts w:ascii="Times New Roman"/>
                <w:b w:val="false"/>
                <w:i w:val="false"/>
                <w:color w:val="000000"/>
                <w:sz w:val="20"/>
              </w:rPr>
              <w:t>
3.2.P.2.3.</w:t>
            </w:r>
          </w:p>
          <w:bookmarkEnd w:id="2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 Допускается не представлять в случае, если во всех государствах – членах Евразийского экономического союза, указанных в заявлении на приведение в соответствие с требованиями Союза, зарегистрирован лекарственный препарат, который производился на одних и тех же производственных площадках (за исключением 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745"/>
          <w:p>
            <w:pPr>
              <w:spacing w:after="20"/>
              <w:ind w:left="20"/>
              <w:jc w:val="both"/>
            </w:pPr>
            <w:r>
              <w:rPr>
                <w:rFonts w:ascii="Times New Roman"/>
                <w:b w:val="false"/>
                <w:i w:val="false"/>
                <w:color w:val="000000"/>
                <w:sz w:val="20"/>
              </w:rPr>
              <w:t>
3.2.P.2.4.</w:t>
            </w:r>
          </w:p>
          <w:bookmarkEnd w:id="2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упаковки (укупорки). Допускается не представлять в случае, если во всех государствах – членах Евразийского экономического союза, указанных в заявлении на приведение в соответствие с требованиями Союза, используется одинаковая система упаковки (укупорки) (за исключением 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746"/>
          <w:p>
            <w:pPr>
              <w:spacing w:after="20"/>
              <w:ind w:left="20"/>
              <w:jc w:val="both"/>
            </w:pPr>
            <w:r>
              <w:rPr>
                <w:rFonts w:ascii="Times New Roman"/>
                <w:b w:val="false"/>
                <w:i w:val="false"/>
                <w:color w:val="000000"/>
                <w:sz w:val="20"/>
              </w:rPr>
              <w:t>
3.2.P.2.5.</w:t>
            </w:r>
          </w:p>
          <w:bookmarkEnd w:id="2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747"/>
          <w:p>
            <w:pPr>
              <w:spacing w:after="20"/>
              <w:ind w:left="20"/>
              <w:jc w:val="both"/>
            </w:pPr>
            <w:r>
              <w:rPr>
                <w:rFonts w:ascii="Times New Roman"/>
                <w:b w:val="false"/>
                <w:i w:val="false"/>
                <w:color w:val="000000"/>
                <w:sz w:val="20"/>
              </w:rPr>
              <w:t>
3.2.P.2.6.</w:t>
            </w:r>
          </w:p>
          <w:bookmarkEnd w:id="2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748"/>
          <w:p>
            <w:pPr>
              <w:spacing w:after="20"/>
              <w:ind w:left="20"/>
              <w:jc w:val="both"/>
            </w:pPr>
            <w:r>
              <w:rPr>
                <w:rFonts w:ascii="Times New Roman"/>
                <w:b w:val="false"/>
                <w:i w:val="false"/>
                <w:color w:val="000000"/>
                <w:sz w:val="20"/>
              </w:rPr>
              <w:t>
3.2.P.3.</w:t>
            </w:r>
          </w:p>
          <w:bookmarkEnd w:id="2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производства лекарственного препарата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749"/>
          <w:p>
            <w:pPr>
              <w:spacing w:after="20"/>
              <w:ind w:left="20"/>
              <w:jc w:val="both"/>
            </w:pPr>
            <w:r>
              <w:rPr>
                <w:rFonts w:ascii="Times New Roman"/>
                <w:b w:val="false"/>
                <w:i w:val="false"/>
                <w:color w:val="000000"/>
                <w:sz w:val="20"/>
              </w:rPr>
              <w:t>
3.2.P.3.1.</w:t>
            </w:r>
          </w:p>
          <w:bookmarkEnd w:id="2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750"/>
          <w:p>
            <w:pPr>
              <w:spacing w:after="20"/>
              <w:ind w:left="20"/>
              <w:jc w:val="both"/>
            </w:pPr>
            <w:r>
              <w:rPr>
                <w:rFonts w:ascii="Times New Roman"/>
                <w:b w:val="false"/>
                <w:i w:val="false"/>
                <w:color w:val="000000"/>
                <w:sz w:val="20"/>
              </w:rPr>
              <w:t>
3.2.P.3.2.</w:t>
            </w:r>
          </w:p>
          <w:bookmarkEnd w:id="2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на серию (производственная рецептура)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751"/>
          <w:p>
            <w:pPr>
              <w:spacing w:after="20"/>
              <w:ind w:left="20"/>
              <w:jc w:val="both"/>
            </w:pPr>
            <w:r>
              <w:rPr>
                <w:rFonts w:ascii="Times New Roman"/>
                <w:b w:val="false"/>
                <w:i w:val="false"/>
                <w:color w:val="000000"/>
                <w:sz w:val="20"/>
              </w:rPr>
              <w:t>
3.2.P.3.3.</w:t>
            </w:r>
          </w:p>
          <w:bookmarkEnd w:id="2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производственного процесса и его контроля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752"/>
          <w:p>
            <w:pPr>
              <w:spacing w:after="20"/>
              <w:ind w:left="20"/>
              <w:jc w:val="both"/>
            </w:pPr>
            <w:r>
              <w:rPr>
                <w:rFonts w:ascii="Times New Roman"/>
                <w:b w:val="false"/>
                <w:i w:val="false"/>
                <w:color w:val="000000"/>
                <w:sz w:val="20"/>
              </w:rPr>
              <w:t>
3.2.P.3.4.</w:t>
            </w:r>
          </w:p>
          <w:bookmarkEnd w:id="2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критических стадий и промежуточной продукции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753"/>
          <w:p>
            <w:pPr>
              <w:spacing w:after="20"/>
              <w:ind w:left="20"/>
              <w:jc w:val="both"/>
            </w:pPr>
            <w:r>
              <w:rPr>
                <w:rFonts w:ascii="Times New Roman"/>
                <w:b w:val="false"/>
                <w:i w:val="false"/>
                <w:color w:val="000000"/>
                <w:sz w:val="20"/>
              </w:rPr>
              <w:t>
3.2.P.3.5.</w:t>
            </w:r>
          </w:p>
          <w:bookmarkEnd w:id="2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производственного процесса и (или) его оценка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754"/>
          <w:p>
            <w:pPr>
              <w:spacing w:after="20"/>
              <w:ind w:left="20"/>
              <w:jc w:val="both"/>
            </w:pPr>
            <w:r>
              <w:rPr>
                <w:rFonts w:ascii="Times New Roman"/>
                <w:b w:val="false"/>
                <w:i w:val="false"/>
                <w:color w:val="000000"/>
                <w:sz w:val="20"/>
              </w:rPr>
              <w:t>
3.2.P.4.</w:t>
            </w:r>
          </w:p>
          <w:bookmarkEnd w:id="2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качества вспомогательных веществ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755"/>
          <w:p>
            <w:pPr>
              <w:spacing w:after="20"/>
              <w:ind w:left="20"/>
              <w:jc w:val="both"/>
            </w:pPr>
            <w:r>
              <w:rPr>
                <w:rFonts w:ascii="Times New Roman"/>
                <w:b w:val="false"/>
                <w:i w:val="false"/>
                <w:color w:val="000000"/>
                <w:sz w:val="20"/>
              </w:rPr>
              <w:t>
3.2.P.4.1.</w:t>
            </w:r>
          </w:p>
          <w:bookmarkEnd w:id="2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756"/>
          <w:p>
            <w:pPr>
              <w:spacing w:after="20"/>
              <w:ind w:left="20"/>
              <w:jc w:val="both"/>
            </w:pPr>
            <w:r>
              <w:rPr>
                <w:rFonts w:ascii="Times New Roman"/>
                <w:b w:val="false"/>
                <w:i w:val="false"/>
                <w:color w:val="000000"/>
                <w:sz w:val="20"/>
              </w:rPr>
              <w:t>
3.2.P.4.2.</w:t>
            </w:r>
          </w:p>
          <w:bookmarkEnd w:id="2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методики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757"/>
          <w:p>
            <w:pPr>
              <w:spacing w:after="20"/>
              <w:ind w:left="20"/>
              <w:jc w:val="both"/>
            </w:pPr>
            <w:r>
              <w:rPr>
                <w:rFonts w:ascii="Times New Roman"/>
                <w:b w:val="false"/>
                <w:i w:val="false"/>
                <w:color w:val="000000"/>
                <w:sz w:val="20"/>
              </w:rPr>
              <w:t>
3.2.P.4.3.</w:t>
            </w:r>
          </w:p>
          <w:bookmarkEnd w:id="2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аналитических методик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758"/>
          <w:p>
            <w:pPr>
              <w:spacing w:after="20"/>
              <w:ind w:left="20"/>
              <w:jc w:val="both"/>
            </w:pPr>
            <w:r>
              <w:rPr>
                <w:rFonts w:ascii="Times New Roman"/>
                <w:b w:val="false"/>
                <w:i w:val="false"/>
                <w:color w:val="000000"/>
                <w:sz w:val="20"/>
              </w:rPr>
              <w:t>
3.2.P.4.4.</w:t>
            </w:r>
          </w:p>
          <w:bookmarkEnd w:id="2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спецификаций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759"/>
          <w:p>
            <w:pPr>
              <w:spacing w:after="20"/>
              <w:ind w:left="20"/>
              <w:jc w:val="both"/>
            </w:pPr>
            <w:r>
              <w:rPr>
                <w:rFonts w:ascii="Times New Roman"/>
                <w:b w:val="false"/>
                <w:i w:val="false"/>
                <w:color w:val="000000"/>
                <w:sz w:val="20"/>
              </w:rPr>
              <w:t>
3.2.P.4.5.</w:t>
            </w:r>
          </w:p>
          <w:bookmarkEnd w:id="2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вещества человеческого и животного происхождения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760"/>
          <w:p>
            <w:pPr>
              <w:spacing w:after="20"/>
              <w:ind w:left="20"/>
              <w:jc w:val="both"/>
            </w:pPr>
            <w:r>
              <w:rPr>
                <w:rFonts w:ascii="Times New Roman"/>
                <w:b w:val="false"/>
                <w:i w:val="false"/>
                <w:color w:val="000000"/>
                <w:sz w:val="20"/>
              </w:rPr>
              <w:t>
3.2.P.4.6.</w:t>
            </w:r>
          </w:p>
          <w:bookmarkEnd w:id="2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вспомогательные вещества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761"/>
          <w:p>
            <w:pPr>
              <w:spacing w:after="20"/>
              <w:ind w:left="20"/>
              <w:jc w:val="both"/>
            </w:pPr>
            <w:r>
              <w:rPr>
                <w:rFonts w:ascii="Times New Roman"/>
                <w:b w:val="false"/>
                <w:i w:val="false"/>
                <w:color w:val="000000"/>
                <w:sz w:val="20"/>
              </w:rPr>
              <w:t>
3.2.P.5.</w:t>
            </w:r>
          </w:p>
          <w:bookmarkEnd w:id="2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качества лекарственного препарата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762"/>
          <w:p>
            <w:pPr>
              <w:spacing w:after="20"/>
              <w:ind w:left="20"/>
              <w:jc w:val="both"/>
            </w:pPr>
            <w:r>
              <w:rPr>
                <w:rFonts w:ascii="Times New Roman"/>
                <w:b w:val="false"/>
                <w:i w:val="false"/>
                <w:color w:val="000000"/>
                <w:sz w:val="20"/>
              </w:rPr>
              <w:t>
3.2.P.5.1.</w:t>
            </w:r>
          </w:p>
          <w:bookmarkEnd w:id="2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763"/>
          <w:p>
            <w:pPr>
              <w:spacing w:after="20"/>
              <w:ind w:left="20"/>
              <w:jc w:val="both"/>
            </w:pPr>
            <w:r>
              <w:rPr>
                <w:rFonts w:ascii="Times New Roman"/>
                <w:b w:val="false"/>
                <w:i w:val="false"/>
                <w:color w:val="000000"/>
                <w:sz w:val="20"/>
              </w:rPr>
              <w:t>
3.2.Р.5.2.</w:t>
            </w:r>
          </w:p>
          <w:bookmarkEnd w:id="2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764"/>
          <w:p>
            <w:pPr>
              <w:spacing w:after="20"/>
              <w:ind w:left="20"/>
              <w:jc w:val="both"/>
            </w:pPr>
            <w:r>
              <w:rPr>
                <w:rFonts w:ascii="Times New Roman"/>
                <w:b w:val="false"/>
                <w:i w:val="false"/>
                <w:color w:val="000000"/>
                <w:sz w:val="20"/>
              </w:rPr>
              <w:t>
3.2.P.5.3.</w:t>
            </w:r>
          </w:p>
          <w:bookmarkEnd w:id="2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аналитических методик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765"/>
          <w:p>
            <w:pPr>
              <w:spacing w:after="20"/>
              <w:ind w:left="20"/>
              <w:jc w:val="both"/>
            </w:pPr>
            <w:r>
              <w:rPr>
                <w:rFonts w:ascii="Times New Roman"/>
                <w:b w:val="false"/>
                <w:i w:val="false"/>
                <w:color w:val="000000"/>
                <w:sz w:val="20"/>
              </w:rPr>
              <w:t>
3.2.P.5.4.</w:t>
            </w:r>
          </w:p>
          <w:bookmarkEnd w:id="2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анализа серий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766"/>
          <w:p>
            <w:pPr>
              <w:spacing w:after="20"/>
              <w:ind w:left="20"/>
              <w:jc w:val="both"/>
            </w:pPr>
            <w:r>
              <w:rPr>
                <w:rFonts w:ascii="Times New Roman"/>
                <w:b w:val="false"/>
                <w:i w:val="false"/>
                <w:color w:val="000000"/>
                <w:sz w:val="20"/>
              </w:rPr>
              <w:t>
3.2.P.5.5.</w:t>
            </w:r>
          </w:p>
          <w:bookmarkEnd w:id="2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примесей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767"/>
          <w:p>
            <w:pPr>
              <w:spacing w:after="20"/>
              <w:ind w:left="20"/>
              <w:jc w:val="both"/>
            </w:pPr>
            <w:r>
              <w:rPr>
                <w:rFonts w:ascii="Times New Roman"/>
                <w:b w:val="false"/>
                <w:i w:val="false"/>
                <w:color w:val="000000"/>
                <w:sz w:val="20"/>
              </w:rPr>
              <w:t>
3.2.P.5.6.</w:t>
            </w:r>
          </w:p>
          <w:bookmarkEnd w:id="2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Обоснования спецификаций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768"/>
          <w:p>
            <w:pPr>
              <w:spacing w:after="20"/>
              <w:ind w:left="20"/>
              <w:jc w:val="both"/>
            </w:pPr>
            <w:r>
              <w:rPr>
                <w:rFonts w:ascii="Times New Roman"/>
                <w:b w:val="false"/>
                <w:i w:val="false"/>
                <w:color w:val="000000"/>
                <w:sz w:val="20"/>
              </w:rPr>
              <w:t>
3.2.P.6.</w:t>
            </w:r>
          </w:p>
          <w:bookmarkEnd w:id="2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образцы и материалы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769"/>
          <w:p>
            <w:pPr>
              <w:spacing w:after="20"/>
              <w:ind w:left="20"/>
              <w:jc w:val="both"/>
            </w:pPr>
            <w:r>
              <w:rPr>
                <w:rFonts w:ascii="Times New Roman"/>
                <w:b w:val="false"/>
                <w:i w:val="false"/>
                <w:color w:val="000000"/>
                <w:sz w:val="20"/>
              </w:rPr>
              <w:t>
3.2.P.7.</w:t>
            </w:r>
          </w:p>
          <w:bookmarkEnd w:id="2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упаковки (укупорки)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770"/>
          <w:p>
            <w:pPr>
              <w:spacing w:after="20"/>
              <w:ind w:left="20"/>
              <w:jc w:val="both"/>
            </w:pPr>
            <w:r>
              <w:rPr>
                <w:rFonts w:ascii="Times New Roman"/>
                <w:b w:val="false"/>
                <w:i w:val="false"/>
                <w:color w:val="000000"/>
                <w:sz w:val="20"/>
              </w:rPr>
              <w:t>
3.2.P.8.</w:t>
            </w:r>
          </w:p>
          <w:bookmarkEnd w:id="2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Стабильность лекарственного препарата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771"/>
          <w:p>
            <w:pPr>
              <w:spacing w:after="20"/>
              <w:ind w:left="20"/>
              <w:jc w:val="both"/>
            </w:pPr>
            <w:r>
              <w:rPr>
                <w:rFonts w:ascii="Times New Roman"/>
                <w:b w:val="false"/>
                <w:i w:val="false"/>
                <w:color w:val="000000"/>
                <w:sz w:val="20"/>
              </w:rPr>
              <w:t>
3.2.P.8.1.</w:t>
            </w:r>
          </w:p>
          <w:bookmarkEnd w:id="2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об испытаниях стабильности и заключение о стабильности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772"/>
          <w:p>
            <w:pPr>
              <w:spacing w:after="20"/>
              <w:ind w:left="20"/>
              <w:jc w:val="both"/>
            </w:pPr>
            <w:r>
              <w:rPr>
                <w:rFonts w:ascii="Times New Roman"/>
                <w:b w:val="false"/>
                <w:i w:val="false"/>
                <w:color w:val="000000"/>
                <w:sz w:val="20"/>
              </w:rPr>
              <w:t>
3.2.P.8.2.</w:t>
            </w:r>
          </w:p>
          <w:bookmarkEnd w:id="2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пострегистрационных испытаний стабильности и обязательства относительно изучения стабильности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773"/>
          <w:p>
            <w:pPr>
              <w:spacing w:after="20"/>
              <w:ind w:left="20"/>
              <w:jc w:val="both"/>
            </w:pPr>
            <w:r>
              <w:rPr>
                <w:rFonts w:ascii="Times New Roman"/>
                <w:b w:val="false"/>
                <w:i w:val="false"/>
                <w:color w:val="000000"/>
                <w:sz w:val="20"/>
              </w:rPr>
              <w:t>
3.2.P.8.3.</w:t>
            </w:r>
          </w:p>
          <w:bookmarkEnd w:id="2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испытаний стабильности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774"/>
          <w:p>
            <w:pPr>
              <w:spacing w:after="20"/>
              <w:ind w:left="20"/>
              <w:jc w:val="both"/>
            </w:pPr>
            <w:r>
              <w:rPr>
                <w:rFonts w:ascii="Times New Roman"/>
                <w:b w:val="false"/>
                <w:i w:val="false"/>
                <w:color w:val="000000"/>
                <w:sz w:val="20"/>
              </w:rPr>
              <w:t>
3.2.A.</w:t>
            </w:r>
          </w:p>
          <w:bookmarkEnd w:id="2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775"/>
          <w:p>
            <w:pPr>
              <w:spacing w:after="20"/>
              <w:ind w:left="20"/>
              <w:jc w:val="both"/>
            </w:pPr>
            <w:r>
              <w:rPr>
                <w:rFonts w:ascii="Times New Roman"/>
                <w:b w:val="false"/>
                <w:i w:val="false"/>
                <w:color w:val="000000"/>
                <w:sz w:val="20"/>
              </w:rPr>
              <w:t>
3.2.A.1.</w:t>
            </w:r>
          </w:p>
          <w:bookmarkEnd w:id="2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помещения и оборудование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3.2.A.2.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безопасности относительно посторонних агентов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3.2.А.3.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вспомогательных веществах (восстановителях, растворителях, разбавителях, носителях)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вспомогательного вещества (восстановителя, растворителя, разбавителя, носителя)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вспомогательного вещества (восстановителя, растворителя, разбавителя, носителя)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производства вспомогательного вещества (восстановителя, растворителя, разбавителя, носителя)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 (производственная рецептура) восстановителя, растворителя, разбавителя, носителя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вспомогательного вещества (восстановителя, растворителя, разбавителя, носителя)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 восстановителя, растворителя, разбавителя, носителя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упаковки (укупорки) для вспомогательного вещества (восстановителя, растворителя, разбавителя, носителя)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вспомогательного вещества (восстановителя, растворителя, разбавителя, носителя)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совместимости восстановителя, растворителя, разбавителя, носителя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17.03.2022 </w:t>
            </w:r>
            <w:r>
              <w:rPr>
                <w:rFonts w:ascii="Times New Roman"/>
                <w:b w:val="false"/>
                <w:i w:val="false"/>
                <w:color w:val="ff0000"/>
                <w:sz w:val="20"/>
              </w:rPr>
              <w:t>№ 36</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валидации процесса производства".</w:t>
            </w:r>
          </w:p>
          <w:p>
            <w:pPr>
              <w:spacing w:after="20"/>
              <w:ind w:left="20"/>
              <w:jc w:val="both"/>
            </w:pPr>
            <w:r>
              <w:rPr>
                <w:rFonts w:ascii="Times New Roman"/>
                <w:b w:val="false"/>
                <w:i w:val="false"/>
                <w:color w:val="000000"/>
                <w:sz w:val="20"/>
              </w:rPr>
              <w:t>
е) позиции 3.2.R.3, 3.2.R.4, 3.2.R.5 исключить;</w:t>
            </w:r>
          </w:p>
          <w:p>
            <w:pPr>
              <w:spacing w:after="0"/>
              <w:ind w:left="0"/>
              <w:jc w:val="both"/>
            </w:pPr>
            <w:r>
              <w:rPr>
                <w:rFonts w:ascii="Times New Roman"/>
                <w:b w:val="false"/>
                <w:i w:val="false"/>
                <w:color w:val="000000"/>
                <w:sz w:val="20"/>
              </w:rPr>
              <w:t>
ж) предложение третье примечания изложить в следующей редакции: "Допускается представление документа раздела 1.6.3 модуля 1, а также документов модулей 3 – 5 на английском языке с обязательным переводом на русский язык следующих разделов модуля 3: описание производственного процесса и его контроля (3.2.S.2.2), контроль критических стадий и промежуточной продукции (3.2.S.2.4), валидация производственного процесса и (или) его оценка (3.2.S.2.5), примеси (3.2.S.3.2), подтверждение структуры и других характеристик (3.2.S.3.1), спецификация (3.2.S.4.1), аналитические методики (3.2.S.4.2), валидация аналитических методик (3.2.S.4.3), обоснование спецификации (3.2.S.4.5), система упаковки (укупорки) (3.2.S.6), резюме об испытаниях стабильности и заключение о стабильности (3.2.S.7.1), описание и состав лекарственного препарата (3.2.P.1), активная фармацевтическая субстанция (3.2.P.2.1.1), вспомогательные вещества (3.2.P.2.1.2), разработка лекарственной формы (3.2.P.2.2.1), производственные избытки (3.2.P.2.2.2), физико-химические и биологические свойства (3.2.P.2.2.3), разработка производственного процесса (3.2.P.2.3), система упаковки (укупорки) (3.2.P.2.4), микробиологические характеристики (3.2.P.2.5), совместимость (3.2.P.2.6), описание производственного процесса и его контроля (3.2.P.3.3), контроль критических стадий и промежуточной продукции (3.2.P.3.4), валидация производственного процесса и (или) его оценка (3.2.P.3.5), валидация аналитических методик (3.2.P.4.3), обоснование спецификаций (3.2.P.4.4), вспомогательные вещества человеческого и животного происхождения (3.2.P.4.5), новые вспомогательные вещества (3.2.P.4.6), спецификации (3.2.P.5.1), аналитические методики (3.2.P.5.2), валидация аналитических методик (3.2.P.5.3), характеристика примесей (3.2.P.5.5), обоснование спецификаций (3.2.P.5.6), система упаковки (укупорки) (3.2.P.7), резюме об испытаниях стабильности и заключение о стабильности (3.2.P.8.1), программа пострегистрационных испытаний стабильности и обязательства относительно изучения стабильности (3.2.P.8.2), оценка безопасности относительно посторонних агентов (3.2.A.2), новые вспомогательные вещества (3.2.A.3), план валидации процесса производства (3.2.R.2).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обзор по качеству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качеству (лабораторное руководство) лаборатории контроля качества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аналитических методик, которые выполняет лаборатория контроля качества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776"/>
          <w:p>
            <w:pPr>
              <w:spacing w:after="20"/>
              <w:ind w:left="20"/>
              <w:jc w:val="both"/>
            </w:pPr>
            <w:r>
              <w:rPr>
                <w:rFonts w:ascii="Times New Roman"/>
                <w:b w:val="false"/>
                <w:i w:val="false"/>
                <w:color w:val="000000"/>
                <w:sz w:val="20"/>
              </w:rPr>
              <w:t>
3.3.</w:t>
            </w:r>
          </w:p>
          <w:bookmarkEnd w:id="2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использованных литературных источников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777"/>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bookmarkEnd w:id="27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778"/>
          <w:p>
            <w:pPr>
              <w:spacing w:after="20"/>
              <w:ind w:left="20"/>
              <w:jc w:val="both"/>
            </w:pPr>
            <w:r>
              <w:rPr>
                <w:rFonts w:ascii="Times New Roman"/>
                <w:b w:val="false"/>
                <w:i w:val="false"/>
                <w:color w:val="000000"/>
                <w:sz w:val="20"/>
              </w:rPr>
              <w:t>
4.1.</w:t>
            </w:r>
          </w:p>
          <w:bookmarkEnd w:id="2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модуля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779"/>
          <w:p>
            <w:pPr>
              <w:spacing w:after="20"/>
              <w:ind w:left="20"/>
              <w:jc w:val="both"/>
            </w:pPr>
            <w:r>
              <w:rPr>
                <w:rFonts w:ascii="Times New Roman"/>
                <w:b w:val="false"/>
                <w:i w:val="false"/>
                <w:color w:val="000000"/>
                <w:sz w:val="20"/>
              </w:rPr>
              <w:t>
4.2.</w:t>
            </w:r>
          </w:p>
          <w:bookmarkEnd w:id="2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об исследованиях (если применимо)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780"/>
          <w:p>
            <w:pPr>
              <w:spacing w:after="20"/>
              <w:ind w:left="20"/>
              <w:jc w:val="both"/>
            </w:pPr>
            <w:r>
              <w:rPr>
                <w:rFonts w:ascii="Times New Roman"/>
                <w:b w:val="false"/>
                <w:i w:val="false"/>
                <w:color w:val="000000"/>
                <w:sz w:val="20"/>
              </w:rPr>
              <w:t>
4.2.1.</w:t>
            </w:r>
          </w:p>
          <w:bookmarkEnd w:id="2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781"/>
          <w:p>
            <w:pPr>
              <w:spacing w:after="20"/>
              <w:ind w:left="20"/>
              <w:jc w:val="both"/>
            </w:pPr>
            <w:r>
              <w:rPr>
                <w:rFonts w:ascii="Times New Roman"/>
                <w:b w:val="false"/>
                <w:i w:val="false"/>
                <w:color w:val="000000"/>
                <w:sz w:val="20"/>
              </w:rPr>
              <w:t>
4.2.1.1.</w:t>
            </w:r>
          </w:p>
          <w:bookmarkEnd w:id="2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фармакодинамика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782"/>
          <w:p>
            <w:pPr>
              <w:spacing w:after="20"/>
              <w:ind w:left="20"/>
              <w:jc w:val="both"/>
            </w:pPr>
            <w:r>
              <w:rPr>
                <w:rFonts w:ascii="Times New Roman"/>
                <w:b w:val="false"/>
                <w:i w:val="false"/>
                <w:color w:val="000000"/>
                <w:sz w:val="20"/>
              </w:rPr>
              <w:t>
4.2.1.2.</w:t>
            </w:r>
          </w:p>
          <w:bookmarkEnd w:id="2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Вторичная фармакодинамика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783"/>
          <w:p>
            <w:pPr>
              <w:spacing w:after="20"/>
              <w:ind w:left="20"/>
              <w:jc w:val="both"/>
            </w:pPr>
            <w:r>
              <w:rPr>
                <w:rFonts w:ascii="Times New Roman"/>
                <w:b w:val="false"/>
                <w:i w:val="false"/>
                <w:color w:val="000000"/>
                <w:sz w:val="20"/>
              </w:rPr>
              <w:t>
4.2.1.3.</w:t>
            </w:r>
          </w:p>
          <w:bookmarkEnd w:id="2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Фармакологическая безопасность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784"/>
          <w:p>
            <w:pPr>
              <w:spacing w:after="20"/>
              <w:ind w:left="20"/>
              <w:jc w:val="both"/>
            </w:pPr>
            <w:r>
              <w:rPr>
                <w:rFonts w:ascii="Times New Roman"/>
                <w:b w:val="false"/>
                <w:i w:val="false"/>
                <w:color w:val="000000"/>
                <w:sz w:val="20"/>
              </w:rPr>
              <w:t>
4.2.1.4.</w:t>
            </w:r>
          </w:p>
          <w:bookmarkEnd w:id="2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Фармакодинамические лекарственные взаимодействия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785"/>
          <w:p>
            <w:pPr>
              <w:spacing w:after="20"/>
              <w:ind w:left="20"/>
              <w:jc w:val="both"/>
            </w:pPr>
            <w:r>
              <w:rPr>
                <w:rFonts w:ascii="Times New Roman"/>
                <w:b w:val="false"/>
                <w:i w:val="false"/>
                <w:color w:val="000000"/>
                <w:sz w:val="20"/>
              </w:rPr>
              <w:t>
4.2.2.</w:t>
            </w:r>
          </w:p>
          <w:bookmarkEnd w:id="2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Фармакокинетика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786"/>
          <w:p>
            <w:pPr>
              <w:spacing w:after="20"/>
              <w:ind w:left="20"/>
              <w:jc w:val="both"/>
            </w:pPr>
            <w:r>
              <w:rPr>
                <w:rFonts w:ascii="Times New Roman"/>
                <w:b w:val="false"/>
                <w:i w:val="false"/>
                <w:color w:val="000000"/>
                <w:sz w:val="20"/>
              </w:rPr>
              <w:t>
4.2.2.1.</w:t>
            </w:r>
          </w:p>
          <w:bookmarkEnd w:id="2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методики и отчеты по валидации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787"/>
          <w:p>
            <w:pPr>
              <w:spacing w:after="20"/>
              <w:ind w:left="20"/>
              <w:jc w:val="both"/>
            </w:pPr>
            <w:r>
              <w:rPr>
                <w:rFonts w:ascii="Times New Roman"/>
                <w:b w:val="false"/>
                <w:i w:val="false"/>
                <w:color w:val="000000"/>
                <w:sz w:val="20"/>
              </w:rPr>
              <w:t>
4.2.2.2.</w:t>
            </w:r>
          </w:p>
          <w:bookmarkEnd w:id="2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Абсорбция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788"/>
          <w:p>
            <w:pPr>
              <w:spacing w:after="20"/>
              <w:ind w:left="20"/>
              <w:jc w:val="both"/>
            </w:pPr>
            <w:r>
              <w:rPr>
                <w:rFonts w:ascii="Times New Roman"/>
                <w:b w:val="false"/>
                <w:i w:val="false"/>
                <w:color w:val="000000"/>
                <w:sz w:val="20"/>
              </w:rPr>
              <w:t>
4.2.2.3.</w:t>
            </w:r>
          </w:p>
          <w:bookmarkEnd w:id="2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789"/>
          <w:p>
            <w:pPr>
              <w:spacing w:after="20"/>
              <w:ind w:left="20"/>
              <w:jc w:val="both"/>
            </w:pPr>
            <w:r>
              <w:rPr>
                <w:rFonts w:ascii="Times New Roman"/>
                <w:b w:val="false"/>
                <w:i w:val="false"/>
                <w:color w:val="000000"/>
                <w:sz w:val="20"/>
              </w:rPr>
              <w:t>
4.2.2.4.</w:t>
            </w:r>
          </w:p>
          <w:bookmarkEnd w:id="2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Метаболизм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790"/>
          <w:p>
            <w:pPr>
              <w:spacing w:after="20"/>
              <w:ind w:left="20"/>
              <w:jc w:val="both"/>
            </w:pPr>
            <w:r>
              <w:rPr>
                <w:rFonts w:ascii="Times New Roman"/>
                <w:b w:val="false"/>
                <w:i w:val="false"/>
                <w:color w:val="000000"/>
                <w:sz w:val="20"/>
              </w:rPr>
              <w:t>
4.2.2.5.</w:t>
            </w:r>
          </w:p>
          <w:bookmarkEnd w:id="2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Экскреция (выведение)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791"/>
          <w:p>
            <w:pPr>
              <w:spacing w:after="20"/>
              <w:ind w:left="20"/>
              <w:jc w:val="both"/>
            </w:pPr>
            <w:r>
              <w:rPr>
                <w:rFonts w:ascii="Times New Roman"/>
                <w:b w:val="false"/>
                <w:i w:val="false"/>
                <w:color w:val="000000"/>
                <w:sz w:val="20"/>
              </w:rPr>
              <w:t>
4.2.2.6.</w:t>
            </w:r>
          </w:p>
          <w:bookmarkEnd w:id="2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Фармакокинетические лекарственные взаимодействия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792"/>
          <w:p>
            <w:pPr>
              <w:spacing w:after="20"/>
              <w:ind w:left="20"/>
              <w:jc w:val="both"/>
            </w:pPr>
            <w:r>
              <w:rPr>
                <w:rFonts w:ascii="Times New Roman"/>
                <w:b w:val="false"/>
                <w:i w:val="false"/>
                <w:color w:val="000000"/>
                <w:sz w:val="20"/>
              </w:rPr>
              <w:t>
4.2.2.7.</w:t>
            </w:r>
          </w:p>
          <w:bookmarkEnd w:id="2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фармакокинетические исследования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793"/>
          <w:p>
            <w:pPr>
              <w:spacing w:after="20"/>
              <w:ind w:left="20"/>
              <w:jc w:val="both"/>
            </w:pPr>
            <w:r>
              <w:rPr>
                <w:rFonts w:ascii="Times New Roman"/>
                <w:b w:val="false"/>
                <w:i w:val="false"/>
                <w:color w:val="000000"/>
                <w:sz w:val="20"/>
              </w:rPr>
              <w:t>
4.2.3.</w:t>
            </w:r>
          </w:p>
          <w:bookmarkEnd w:id="2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Токсикология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794"/>
          <w:p>
            <w:pPr>
              <w:spacing w:after="20"/>
              <w:ind w:left="20"/>
              <w:jc w:val="both"/>
            </w:pPr>
            <w:r>
              <w:rPr>
                <w:rFonts w:ascii="Times New Roman"/>
                <w:b w:val="false"/>
                <w:i w:val="false"/>
                <w:color w:val="000000"/>
                <w:sz w:val="20"/>
              </w:rPr>
              <w:t>
4.2.3.1.</w:t>
            </w:r>
          </w:p>
          <w:bookmarkEnd w:id="2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Токсичность при однократном введении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795"/>
          <w:p>
            <w:pPr>
              <w:spacing w:after="20"/>
              <w:ind w:left="20"/>
              <w:jc w:val="both"/>
            </w:pPr>
            <w:r>
              <w:rPr>
                <w:rFonts w:ascii="Times New Roman"/>
                <w:b w:val="false"/>
                <w:i w:val="false"/>
                <w:color w:val="000000"/>
                <w:sz w:val="20"/>
              </w:rPr>
              <w:t>
4.2.3.2.</w:t>
            </w:r>
          </w:p>
          <w:bookmarkEnd w:id="2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Токсичность при многократном введении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796"/>
          <w:p>
            <w:pPr>
              <w:spacing w:after="20"/>
              <w:ind w:left="20"/>
              <w:jc w:val="both"/>
            </w:pPr>
            <w:r>
              <w:rPr>
                <w:rFonts w:ascii="Times New Roman"/>
                <w:b w:val="false"/>
                <w:i w:val="false"/>
                <w:color w:val="000000"/>
                <w:sz w:val="20"/>
              </w:rPr>
              <w:t>
4.2.3.3.</w:t>
            </w:r>
          </w:p>
          <w:bookmarkEnd w:id="2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Генотоксичность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797"/>
          <w:p>
            <w:pPr>
              <w:spacing w:after="20"/>
              <w:ind w:left="20"/>
              <w:jc w:val="both"/>
            </w:pPr>
            <w:r>
              <w:rPr>
                <w:rFonts w:ascii="Times New Roman"/>
                <w:b w:val="false"/>
                <w:i w:val="false"/>
                <w:color w:val="000000"/>
                <w:sz w:val="20"/>
              </w:rPr>
              <w:t>
4.2.3.4.</w:t>
            </w:r>
          </w:p>
          <w:bookmarkEnd w:id="2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Канцерогенность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798"/>
          <w:p>
            <w:pPr>
              <w:spacing w:after="20"/>
              <w:ind w:left="20"/>
              <w:jc w:val="both"/>
            </w:pPr>
            <w:r>
              <w:rPr>
                <w:rFonts w:ascii="Times New Roman"/>
                <w:b w:val="false"/>
                <w:i w:val="false"/>
                <w:color w:val="000000"/>
                <w:sz w:val="20"/>
              </w:rPr>
              <w:t>
4.2.3.5.</w:t>
            </w:r>
          </w:p>
          <w:bookmarkEnd w:id="2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799"/>
          <w:p>
            <w:pPr>
              <w:spacing w:after="20"/>
              <w:ind w:left="20"/>
              <w:jc w:val="both"/>
            </w:pPr>
            <w:r>
              <w:rPr>
                <w:rFonts w:ascii="Times New Roman"/>
                <w:b w:val="false"/>
                <w:i w:val="false"/>
                <w:color w:val="000000"/>
                <w:sz w:val="20"/>
              </w:rPr>
              <w:t>
4.2.3.6.</w:t>
            </w:r>
          </w:p>
          <w:bookmarkEnd w:id="2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Местная переносимость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800"/>
          <w:p>
            <w:pPr>
              <w:spacing w:after="20"/>
              <w:ind w:left="20"/>
              <w:jc w:val="both"/>
            </w:pPr>
            <w:r>
              <w:rPr>
                <w:rFonts w:ascii="Times New Roman"/>
                <w:b w:val="false"/>
                <w:i w:val="false"/>
                <w:color w:val="000000"/>
                <w:sz w:val="20"/>
              </w:rPr>
              <w:t>
4.2.3.7.</w:t>
            </w:r>
          </w:p>
          <w:bookmarkEnd w:id="2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токсикологические исследования: антигенность, иммунотоксичность, исследования механизма действия, лекарственная зависимость, метаболиты, примеси и др.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801"/>
          <w:p>
            <w:pPr>
              <w:spacing w:after="20"/>
              <w:ind w:left="20"/>
              <w:jc w:val="both"/>
            </w:pPr>
            <w:r>
              <w:rPr>
                <w:rFonts w:ascii="Times New Roman"/>
                <w:b w:val="false"/>
                <w:i w:val="false"/>
                <w:color w:val="000000"/>
                <w:sz w:val="20"/>
              </w:rPr>
              <w:t>
4.3.</w:t>
            </w:r>
          </w:p>
          <w:bookmarkEnd w:id="2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использованных литературных источников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802"/>
          <w:p>
            <w:pPr>
              <w:spacing w:after="20"/>
              <w:ind w:left="20"/>
              <w:jc w:val="both"/>
            </w:pPr>
            <w:r>
              <w:rPr>
                <w:rFonts w:ascii="Times New Roman"/>
                <w:b w:val="false"/>
                <w:i w:val="false"/>
                <w:color w:val="000000"/>
                <w:sz w:val="20"/>
              </w:rPr>
              <w:t>
МОДУЛЬ 5. ОТЧЕТЫ О КЛИНИЧЕСКИХ ИССЛЕДОВАНИЯХ</w:t>
            </w:r>
          </w:p>
          <w:bookmarkEnd w:id="28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803"/>
          <w:p>
            <w:pPr>
              <w:spacing w:after="20"/>
              <w:ind w:left="20"/>
              <w:jc w:val="both"/>
            </w:pPr>
            <w:r>
              <w:rPr>
                <w:rFonts w:ascii="Times New Roman"/>
                <w:b w:val="false"/>
                <w:i w:val="false"/>
                <w:color w:val="000000"/>
                <w:sz w:val="20"/>
              </w:rPr>
              <w:t>
5.1.</w:t>
            </w:r>
          </w:p>
          <w:bookmarkEnd w:id="2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модуля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804"/>
          <w:p>
            <w:pPr>
              <w:spacing w:after="20"/>
              <w:ind w:left="20"/>
              <w:jc w:val="both"/>
            </w:pPr>
            <w:r>
              <w:rPr>
                <w:rFonts w:ascii="Times New Roman"/>
                <w:b w:val="false"/>
                <w:i w:val="false"/>
                <w:color w:val="000000"/>
                <w:sz w:val="20"/>
              </w:rPr>
              <w:t>
5.2.</w:t>
            </w:r>
          </w:p>
          <w:bookmarkEnd w:id="2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всех клинических исследований (испытаний) в виде таблиц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805"/>
          <w:p>
            <w:pPr>
              <w:spacing w:after="20"/>
              <w:ind w:left="20"/>
              <w:jc w:val="both"/>
            </w:pPr>
            <w:r>
              <w:rPr>
                <w:rFonts w:ascii="Times New Roman"/>
                <w:b w:val="false"/>
                <w:i w:val="false"/>
                <w:color w:val="000000"/>
                <w:sz w:val="20"/>
              </w:rPr>
              <w:t>
5.3.</w:t>
            </w:r>
          </w:p>
          <w:bookmarkEnd w:id="2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клинических исследованиях (испытаниях)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806"/>
          <w:p>
            <w:pPr>
              <w:spacing w:after="20"/>
              <w:ind w:left="20"/>
              <w:jc w:val="both"/>
            </w:pPr>
            <w:r>
              <w:rPr>
                <w:rFonts w:ascii="Times New Roman"/>
                <w:b w:val="false"/>
                <w:i w:val="false"/>
                <w:color w:val="000000"/>
                <w:sz w:val="20"/>
              </w:rPr>
              <w:t>
5.3.1.</w:t>
            </w:r>
          </w:p>
          <w:bookmarkEnd w:id="2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биофармацевтических исследованиях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807"/>
          <w:p>
            <w:pPr>
              <w:spacing w:after="20"/>
              <w:ind w:left="20"/>
              <w:jc w:val="both"/>
            </w:pPr>
            <w:r>
              <w:rPr>
                <w:rFonts w:ascii="Times New Roman"/>
                <w:b w:val="false"/>
                <w:i w:val="false"/>
                <w:color w:val="000000"/>
                <w:sz w:val="20"/>
              </w:rPr>
              <w:t>
5.3.2.</w:t>
            </w:r>
          </w:p>
          <w:bookmarkEnd w:id="2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фармакокинетических исследованиях с использованием биоматериалов человека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808"/>
          <w:p>
            <w:pPr>
              <w:spacing w:after="20"/>
              <w:ind w:left="20"/>
              <w:jc w:val="both"/>
            </w:pPr>
            <w:r>
              <w:rPr>
                <w:rFonts w:ascii="Times New Roman"/>
                <w:b w:val="false"/>
                <w:i w:val="false"/>
                <w:color w:val="000000"/>
                <w:sz w:val="20"/>
              </w:rPr>
              <w:t>
5.3.3.</w:t>
            </w:r>
          </w:p>
          <w:bookmarkEnd w:id="28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фармакокинетических исследованиях у человека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809"/>
          <w:p>
            <w:pPr>
              <w:spacing w:after="20"/>
              <w:ind w:left="20"/>
              <w:jc w:val="both"/>
            </w:pPr>
            <w:r>
              <w:rPr>
                <w:rFonts w:ascii="Times New Roman"/>
                <w:b w:val="false"/>
                <w:i w:val="false"/>
                <w:color w:val="000000"/>
                <w:sz w:val="20"/>
              </w:rPr>
              <w:t>
5.3.4.</w:t>
            </w:r>
          </w:p>
          <w:bookmarkEnd w:id="2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фармакодинамических исследованиях у человека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810"/>
          <w:p>
            <w:pPr>
              <w:spacing w:after="20"/>
              <w:ind w:left="20"/>
              <w:jc w:val="both"/>
            </w:pPr>
            <w:r>
              <w:rPr>
                <w:rFonts w:ascii="Times New Roman"/>
                <w:b w:val="false"/>
                <w:i w:val="false"/>
                <w:color w:val="000000"/>
                <w:sz w:val="20"/>
              </w:rPr>
              <w:t>
5.3.5.</w:t>
            </w:r>
          </w:p>
          <w:bookmarkEnd w:id="28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об исследовании эффективности и 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811"/>
          <w:p>
            <w:pPr>
              <w:spacing w:after="20"/>
              <w:ind w:left="20"/>
              <w:jc w:val="both"/>
            </w:pPr>
            <w:r>
              <w:rPr>
                <w:rFonts w:ascii="Times New Roman"/>
                <w:b w:val="false"/>
                <w:i w:val="false"/>
                <w:color w:val="000000"/>
                <w:sz w:val="20"/>
              </w:rPr>
              <w:t>
5.3.6.</w:t>
            </w:r>
          </w:p>
          <w:bookmarkEnd w:id="2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пострегистрационном опыте применения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812"/>
          <w:p>
            <w:pPr>
              <w:spacing w:after="20"/>
              <w:ind w:left="20"/>
              <w:jc w:val="both"/>
            </w:pPr>
            <w:r>
              <w:rPr>
                <w:rFonts w:ascii="Times New Roman"/>
                <w:b w:val="false"/>
                <w:i w:val="false"/>
                <w:color w:val="000000"/>
                <w:sz w:val="20"/>
              </w:rPr>
              <w:t>
5.3.7.</w:t>
            </w:r>
          </w:p>
          <w:bookmarkEnd w:id="2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Индивидуальные регистрационные карты и перечни пациентов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813"/>
          <w:p>
            <w:pPr>
              <w:spacing w:after="20"/>
              <w:ind w:left="20"/>
              <w:jc w:val="both"/>
            </w:pPr>
            <w:r>
              <w:rPr>
                <w:rFonts w:ascii="Times New Roman"/>
                <w:b w:val="false"/>
                <w:i w:val="false"/>
                <w:color w:val="000000"/>
                <w:sz w:val="20"/>
              </w:rPr>
              <w:t>
5.4.</w:t>
            </w:r>
          </w:p>
          <w:bookmarkEnd w:id="2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использованных литературных источников </w:t>
            </w:r>
          </w:p>
        </w:tc>
      </w:tr>
    </w:tbl>
    <w:bookmarkStart w:name="z2728" w:id="2814"/>
    <w:p>
      <w:pPr>
        <w:spacing w:after="0"/>
        <w:ind w:left="0"/>
        <w:jc w:val="both"/>
      </w:pPr>
      <w:r>
        <w:rPr>
          <w:rFonts w:ascii="Times New Roman"/>
          <w:b w:val="false"/>
          <w:i w:val="false"/>
          <w:color w:val="000000"/>
          <w:sz w:val="28"/>
        </w:rPr>
        <w:t>
      --------------------------------</w:t>
      </w:r>
    </w:p>
    <w:bookmarkEnd w:id="2814"/>
    <w:bookmarkStart w:name="z2729" w:id="2815"/>
    <w:p>
      <w:pPr>
        <w:spacing w:after="0"/>
        <w:ind w:left="0"/>
        <w:jc w:val="both"/>
      </w:pPr>
      <w:r>
        <w:rPr>
          <w:rFonts w:ascii="Times New Roman"/>
          <w:b w:val="false"/>
          <w:i w:val="false"/>
          <w:color w:val="000000"/>
          <w:sz w:val="28"/>
        </w:rPr>
        <w:t>
      * Документы представляются при отсутствии в законодательстве государства - члена Евразийского экономического союза запрета на истребование у заявителя документов, которые находятся в распоряжении или могут быть получены уполномоченным органом самостоятельно.</w:t>
      </w:r>
    </w:p>
    <w:bookmarkEnd w:id="2815"/>
    <w:bookmarkStart w:name="z2730" w:id="2816"/>
    <w:p>
      <w:pPr>
        <w:spacing w:after="0"/>
        <w:ind w:left="0"/>
        <w:jc w:val="both"/>
      </w:pPr>
      <w:r>
        <w:rPr>
          <w:rFonts w:ascii="Times New Roman"/>
          <w:b w:val="false"/>
          <w:i w:val="false"/>
          <w:color w:val="000000"/>
          <w:sz w:val="28"/>
        </w:rPr>
        <w:t>
      ** Минимальный объем сведений, необходимый для представления в разделе 3.2.S. Если отдельные виды документов не включаются в досье, в соответствующем разделе необходимо представить обоснование. Для препаратов животного происхождения в разделе 3.2.S необходимо представить следующие дополнительные сведения: данные о виде, возрасте, рационе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w:t>
      </w:r>
    </w:p>
    <w:bookmarkEnd w:id="2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исключен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32" w:id="2817"/>
    <w:p>
      <w:pPr>
        <w:spacing w:after="0"/>
        <w:ind w:left="0"/>
        <w:jc w:val="both"/>
      </w:pPr>
      <w:r>
        <w:rPr>
          <w:rFonts w:ascii="Times New Roman"/>
          <w:b w:val="false"/>
          <w:i w:val="false"/>
          <w:color w:val="000000"/>
          <w:sz w:val="28"/>
        </w:rPr>
        <w:t>
      Примечание.</w:t>
      </w:r>
    </w:p>
    <w:bookmarkEnd w:id="2817"/>
    <w:bookmarkStart w:name="z2733" w:id="2818"/>
    <w:p>
      <w:pPr>
        <w:spacing w:after="0"/>
        <w:ind w:left="0"/>
        <w:jc w:val="both"/>
      </w:pPr>
      <w:r>
        <w:rPr>
          <w:rFonts w:ascii="Times New Roman"/>
          <w:b w:val="false"/>
          <w:i w:val="false"/>
          <w:color w:val="000000"/>
          <w:sz w:val="28"/>
        </w:rPr>
        <w:t>
      Если Правилами регистрации и экспертизы лекарственных средств для медицинского применения, утверждаемыми Евразийской экономической комиссией, не установлено иное, представляются документы, заверенные заявителем. Документы регистрационного досье представляются на русском языке или с переводом на русский язык в соответствии с указаниями, приведенными в части II настоящего документа. Допускается представление документа раздела 1.6.3 модуля 1, а также документов модулей 3 - 5 на английском языке с обязательным переводом на русский язык следующих разделов модуля 3: описание производственного процесса и его контроля (3.2.S.2.2), валидация производственного процесса и (или) его оценка (3.2.S.2.5), примеси (3.2.S.3.2), аналитические методики (3.2.S.4.2), валидация аналитических методик (3.2.S.4.3), обоснование спецификации (3.2.S.4.5), резюме об испытаниях стабильности и заключение о стабильности (3.2.S.7.1), описание и состав лекарственного препарата (3.2.P.1), разработка лекарственной формы (3.2.P.2.2.1), производственные избытки (3.2.P.2.2.2), физико-химические и биологические свойства (3.2.P.2.2.3), система упаковки (укупорки) (3.2.P.2.4), совместимость (3.2.P.2.6), описание производственного процесса и его контроля (3.2.P.3.3), контроль критических стадий и промежуточной продукции (3.2.P.3.4), валидация производственного процесса и (или) его оценка (3.2.P.3.5), валидация аналитических методик (3.2.P.4.3), обоснование спецификаций (3.2.P.4.4), вспомогательные вещества человеческого и животного происхождения (3.2.P.4.5), новые вспомогательные вещества (3.2.P.4.6), спецификации (3.2.P.5.1), аналитические методики (3.2.P.5.2), валидация аналитических методик (3.2.P.5.3), характеристика примесей (3.2.P.5.5), обоснование спецификаций (3.2.P.5.6), система упаковки (укупорки) (3.2.P.7), резюме об испытаниях стабильности и заключение о стабильности (3.2.P.8.1), программа пострегистрационных испытаний стабильности и обязательства относительно изучения стабильности (3.2.P.8.2), оценка безопасности относительно посторонних агентов (3.2.A.2), новые вспомогательные вещества (3.2.A.3). Допускается представление мастер-файла по фармаконадзору на английском языке с обязательным переводом на русский язык краткой характеристики системы фармаконадзора держателя регистрационного удостоверения, плана управления рисками на английском языке с обязательным переводом резюме на русский язык. При этом не требуется перевод на русский язык документов, представленных в соответствии с пунктом 175</w:t>
      </w:r>
      <w:r>
        <w:rPr>
          <w:rFonts w:ascii="Times New Roman"/>
          <w:b w:val="false"/>
          <w:i w:val="false"/>
          <w:color w:val="000000"/>
          <w:vertAlign w:val="superscript"/>
        </w:rPr>
        <w:t xml:space="preserve">1 </w:t>
      </w:r>
      <w:r>
        <w:rPr>
          <w:rFonts w:ascii="Times New Roman"/>
          <w:b w:val="false"/>
          <w:i w:val="false"/>
          <w:color w:val="000000"/>
          <w:sz w:val="28"/>
        </w:rPr>
        <w:t>указанных Правил, в случае, если русский язык в соответствующем государстве – члене Евразийского экономического союза не является государственным.</w:t>
      </w:r>
    </w:p>
    <w:bookmarkEnd w:id="2818"/>
    <w:bookmarkStart w:name="z2734" w:id="2819"/>
    <w:p>
      <w:pPr>
        <w:spacing w:after="0"/>
        <w:ind w:left="0"/>
        <w:jc w:val="left"/>
      </w:pPr>
      <w:r>
        <w:rPr>
          <w:rFonts w:ascii="Times New Roman"/>
          <w:b/>
          <w:i w:val="false"/>
          <w:color w:val="000000"/>
        </w:rPr>
        <w:t xml:space="preserve"> II. Примерный перечень документов, представляемых в модулях регистрационного досье для разных видов лекарственных препаратов </w:t>
      </w:r>
    </w:p>
    <w:bookmarkEnd w:id="2819"/>
    <w:bookmarkStart w:name="z2735" w:id="2820"/>
    <w:p>
      <w:pPr>
        <w:spacing w:after="0"/>
        <w:ind w:left="0"/>
        <w:jc w:val="both"/>
      </w:pPr>
      <w:r>
        <w:rPr>
          <w:rFonts w:ascii="Times New Roman"/>
          <w:b w:val="false"/>
          <w:i w:val="false"/>
          <w:color w:val="000000"/>
          <w:sz w:val="28"/>
        </w:rPr>
        <w:t>
      Настоящий Перечень является вспомогательным по отношению к части I настоящего документа и приводит в табличном виде информацию о примерной комплектности регистрационного досье лекарственного препарата для отдельных видов лекарственных препаратов.</w:t>
      </w:r>
    </w:p>
    <w:bookmarkEnd w:id="2820"/>
    <w:bookmarkStart w:name="z2736" w:id="2821"/>
    <w:p>
      <w:pPr>
        <w:spacing w:after="0"/>
        <w:ind w:left="0"/>
        <w:jc w:val="both"/>
      </w:pPr>
      <w:r>
        <w:rPr>
          <w:rFonts w:ascii="Times New Roman"/>
          <w:b w:val="false"/>
          <w:i w:val="false"/>
          <w:color w:val="000000"/>
          <w:sz w:val="28"/>
        </w:rPr>
        <w:t>
      При формировании регистрационного досье и проведении оценки его комплектности следует в первую очередь руководствоваться указаниями, приведенными в части I настоящего документа и в приложении № 1 к Правилам регистрации и экспертизы лекарственных средств для медицинского применения, утверждаемых Евразийской экономической комиссией, а также необходимым объемом выполнения доклинических и клинических исследований при разработке лекарственного препарата, указанным в Правилах проведения исследований биоэквивалентности лекарственных препаратов в Евразийском экономическом союзе и Правилах проведения исследований биологических лекарственных средств в Евразийском экономическом союзе, утверждаемых Евразийской экономической комиссией. </w:t>
      </w:r>
    </w:p>
    <w:bookmarkEnd w:id="2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822"/>
          <w:p>
            <w:pPr>
              <w:spacing w:after="20"/>
              <w:ind w:left="20"/>
              <w:jc w:val="both"/>
            </w:pPr>
            <w:r>
              <w:rPr>
                <w:rFonts w:ascii="Times New Roman"/>
                <w:b w:val="false"/>
                <w:i w:val="false"/>
                <w:color w:val="000000"/>
                <w:sz w:val="20"/>
              </w:rPr>
              <w:t>
Номер части модуля</w:t>
            </w:r>
          </w:p>
          <w:bookmarkEnd w:id="28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биоаналогичный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(сыворотки)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гомеопатический (упрощенное досье)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растительный (упрощенное досье)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823"/>
          <w:p>
            <w:pPr>
              <w:spacing w:after="20"/>
              <w:ind w:left="20"/>
              <w:jc w:val="both"/>
            </w:pPr>
            <w:r>
              <w:rPr>
                <w:rFonts w:ascii="Times New Roman"/>
                <w:b w:val="false"/>
                <w:i w:val="false"/>
                <w:color w:val="000000"/>
                <w:sz w:val="20"/>
              </w:rPr>
              <w:t>
МОДУЛЬ 1. АДМИНИСТРАТИВНАЯ ИНФОРМАЦИЯ</w:t>
            </w:r>
          </w:p>
          <w:bookmarkEnd w:id="282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824"/>
          <w:p>
            <w:pPr>
              <w:spacing w:after="20"/>
              <w:ind w:left="20"/>
              <w:jc w:val="both"/>
            </w:pPr>
            <w:r>
              <w:rPr>
                <w:rFonts w:ascii="Times New Roman"/>
                <w:b w:val="false"/>
                <w:i w:val="false"/>
                <w:color w:val="000000"/>
                <w:sz w:val="20"/>
              </w:rPr>
              <w:t>
1.0.</w:t>
            </w:r>
          </w:p>
          <w:bookmarkEnd w:id="28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825"/>
          <w:p>
            <w:pPr>
              <w:spacing w:after="20"/>
              <w:ind w:left="20"/>
              <w:jc w:val="both"/>
            </w:pPr>
            <w:r>
              <w:rPr>
                <w:rFonts w:ascii="Times New Roman"/>
                <w:b w:val="false"/>
                <w:i w:val="false"/>
                <w:color w:val="000000"/>
                <w:sz w:val="20"/>
              </w:rPr>
              <w:t>
1.1.</w:t>
            </w:r>
          </w:p>
          <w:bookmarkEnd w:id="28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826"/>
          <w:p>
            <w:pPr>
              <w:spacing w:after="20"/>
              <w:ind w:left="20"/>
              <w:jc w:val="both"/>
            </w:pPr>
            <w:r>
              <w:rPr>
                <w:rFonts w:ascii="Times New Roman"/>
                <w:b w:val="false"/>
                <w:i w:val="false"/>
                <w:color w:val="000000"/>
                <w:sz w:val="20"/>
              </w:rPr>
              <w:t>
1.2.</w:t>
            </w:r>
          </w:p>
          <w:bookmarkEnd w:id="28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827"/>
          <w:p>
            <w:pPr>
              <w:spacing w:after="20"/>
              <w:ind w:left="20"/>
              <w:jc w:val="both"/>
            </w:pPr>
            <w:r>
              <w:rPr>
                <w:rFonts w:ascii="Times New Roman"/>
                <w:b w:val="false"/>
                <w:i w:val="false"/>
                <w:color w:val="000000"/>
                <w:sz w:val="20"/>
              </w:rPr>
              <w:t>
1.2.1.</w:t>
            </w:r>
          </w:p>
          <w:bookmarkEnd w:id="28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828"/>
          <w:p>
            <w:pPr>
              <w:spacing w:after="20"/>
              <w:ind w:left="20"/>
              <w:jc w:val="both"/>
            </w:pPr>
            <w:r>
              <w:rPr>
                <w:rFonts w:ascii="Times New Roman"/>
                <w:b w:val="false"/>
                <w:i w:val="false"/>
                <w:color w:val="000000"/>
                <w:sz w:val="20"/>
              </w:rPr>
              <w:t>
1.2.2.</w:t>
            </w:r>
          </w:p>
          <w:bookmarkEnd w:id="28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829"/>
          <w:p>
            <w:pPr>
              <w:spacing w:after="20"/>
              <w:ind w:left="20"/>
              <w:jc w:val="both"/>
            </w:pPr>
            <w:r>
              <w:rPr>
                <w:rFonts w:ascii="Times New Roman"/>
                <w:b w:val="false"/>
                <w:i w:val="false"/>
                <w:color w:val="000000"/>
                <w:sz w:val="20"/>
              </w:rPr>
              <w:t>
1.2.3.</w:t>
            </w:r>
          </w:p>
          <w:bookmarkEnd w:id="28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830"/>
          <w:p>
            <w:pPr>
              <w:spacing w:after="20"/>
              <w:ind w:left="20"/>
              <w:jc w:val="both"/>
            </w:pPr>
            <w:r>
              <w:rPr>
                <w:rFonts w:ascii="Times New Roman"/>
                <w:b w:val="false"/>
                <w:i w:val="false"/>
                <w:color w:val="000000"/>
                <w:sz w:val="20"/>
              </w:rPr>
              <w:t>
1.2.4</w:t>
            </w:r>
          </w:p>
          <w:bookmarkEnd w:id="28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831"/>
          <w:p>
            <w:pPr>
              <w:spacing w:after="20"/>
              <w:ind w:left="20"/>
              <w:jc w:val="both"/>
            </w:pPr>
            <w:r>
              <w:rPr>
                <w:rFonts w:ascii="Times New Roman"/>
                <w:b w:val="false"/>
                <w:i w:val="false"/>
                <w:color w:val="000000"/>
                <w:sz w:val="20"/>
              </w:rPr>
              <w:t>
1.2.5.</w:t>
            </w:r>
          </w:p>
          <w:bookmarkEnd w:id="28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832"/>
          <w:p>
            <w:pPr>
              <w:spacing w:after="20"/>
              <w:ind w:left="20"/>
              <w:jc w:val="both"/>
            </w:pPr>
            <w:r>
              <w:rPr>
                <w:rFonts w:ascii="Times New Roman"/>
                <w:b w:val="false"/>
                <w:i w:val="false"/>
                <w:color w:val="000000"/>
                <w:sz w:val="20"/>
              </w:rPr>
              <w:t>
1.2.6.</w:t>
            </w:r>
          </w:p>
          <w:bookmarkEnd w:id="28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833"/>
          <w:p>
            <w:pPr>
              <w:spacing w:after="20"/>
              <w:ind w:left="20"/>
              <w:jc w:val="both"/>
            </w:pPr>
            <w:r>
              <w:rPr>
                <w:rFonts w:ascii="Times New Roman"/>
                <w:b w:val="false"/>
                <w:i w:val="false"/>
                <w:color w:val="000000"/>
                <w:sz w:val="20"/>
              </w:rPr>
              <w:t>
1.3.</w:t>
            </w:r>
          </w:p>
          <w:bookmarkEnd w:id="28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834"/>
          <w:p>
            <w:pPr>
              <w:spacing w:after="20"/>
              <w:ind w:left="20"/>
              <w:jc w:val="both"/>
            </w:pPr>
            <w:r>
              <w:rPr>
                <w:rFonts w:ascii="Times New Roman"/>
                <w:b w:val="false"/>
                <w:i w:val="false"/>
                <w:color w:val="000000"/>
                <w:sz w:val="20"/>
              </w:rPr>
              <w:t>
1.3.1.</w:t>
            </w:r>
          </w:p>
          <w:bookmarkEnd w:id="28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835"/>
          <w:p>
            <w:pPr>
              <w:spacing w:after="20"/>
              <w:ind w:left="20"/>
              <w:jc w:val="both"/>
            </w:pPr>
            <w:r>
              <w:rPr>
                <w:rFonts w:ascii="Times New Roman"/>
                <w:b w:val="false"/>
                <w:i w:val="false"/>
                <w:color w:val="000000"/>
                <w:sz w:val="20"/>
              </w:rPr>
              <w:t>
1.3.2.</w:t>
            </w:r>
          </w:p>
          <w:bookmarkEnd w:id="28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836"/>
          <w:p>
            <w:pPr>
              <w:spacing w:after="20"/>
              <w:ind w:left="20"/>
              <w:jc w:val="both"/>
            </w:pPr>
            <w:r>
              <w:rPr>
                <w:rFonts w:ascii="Times New Roman"/>
                <w:b w:val="false"/>
                <w:i w:val="false"/>
                <w:color w:val="000000"/>
                <w:sz w:val="20"/>
              </w:rPr>
              <w:t>
1.3.3.</w:t>
            </w:r>
          </w:p>
          <w:bookmarkEnd w:id="28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837"/>
          <w:p>
            <w:pPr>
              <w:spacing w:after="20"/>
              <w:ind w:left="20"/>
              <w:jc w:val="both"/>
            </w:pPr>
            <w:r>
              <w:rPr>
                <w:rFonts w:ascii="Times New Roman"/>
                <w:b w:val="false"/>
                <w:i w:val="false"/>
                <w:color w:val="000000"/>
                <w:sz w:val="20"/>
              </w:rPr>
              <w:t>
1.3.4.</w:t>
            </w:r>
          </w:p>
          <w:bookmarkEnd w:id="28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838"/>
          <w:p>
            <w:pPr>
              <w:spacing w:after="20"/>
              <w:ind w:left="20"/>
              <w:jc w:val="both"/>
            </w:pPr>
            <w:r>
              <w:rPr>
                <w:rFonts w:ascii="Times New Roman"/>
                <w:b w:val="false"/>
                <w:i w:val="false"/>
                <w:color w:val="000000"/>
                <w:sz w:val="20"/>
              </w:rPr>
              <w:t>
1.4.</w:t>
            </w:r>
          </w:p>
          <w:bookmarkEnd w:id="28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839"/>
          <w:p>
            <w:pPr>
              <w:spacing w:after="20"/>
              <w:ind w:left="20"/>
              <w:jc w:val="both"/>
            </w:pPr>
            <w:r>
              <w:rPr>
                <w:rFonts w:ascii="Times New Roman"/>
                <w:b w:val="false"/>
                <w:i w:val="false"/>
                <w:color w:val="000000"/>
                <w:sz w:val="20"/>
              </w:rPr>
              <w:t>
1.4.1</w:t>
            </w:r>
          </w:p>
          <w:bookmarkEnd w:id="28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840"/>
          <w:p>
            <w:pPr>
              <w:spacing w:after="20"/>
              <w:ind w:left="20"/>
              <w:jc w:val="both"/>
            </w:pPr>
            <w:r>
              <w:rPr>
                <w:rFonts w:ascii="Times New Roman"/>
                <w:b w:val="false"/>
                <w:i w:val="false"/>
                <w:color w:val="000000"/>
                <w:sz w:val="20"/>
              </w:rPr>
              <w:t>
1.5.</w:t>
            </w:r>
          </w:p>
          <w:bookmarkEnd w:id="28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841"/>
          <w:p>
            <w:pPr>
              <w:spacing w:after="20"/>
              <w:ind w:left="20"/>
              <w:jc w:val="both"/>
            </w:pPr>
            <w:r>
              <w:rPr>
                <w:rFonts w:ascii="Times New Roman"/>
                <w:b w:val="false"/>
                <w:i w:val="false"/>
                <w:color w:val="000000"/>
                <w:sz w:val="20"/>
              </w:rPr>
              <w:t>
1.5.1.</w:t>
            </w:r>
          </w:p>
          <w:bookmarkEnd w:id="28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842"/>
          <w:p>
            <w:pPr>
              <w:spacing w:after="20"/>
              <w:ind w:left="20"/>
              <w:jc w:val="both"/>
            </w:pPr>
            <w:r>
              <w:rPr>
                <w:rFonts w:ascii="Times New Roman"/>
                <w:b w:val="false"/>
                <w:i w:val="false"/>
                <w:color w:val="000000"/>
                <w:sz w:val="20"/>
              </w:rPr>
              <w:t>
1.5.2.</w:t>
            </w:r>
          </w:p>
          <w:bookmarkEnd w:id="28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843"/>
          <w:p>
            <w:pPr>
              <w:spacing w:after="20"/>
              <w:ind w:left="20"/>
              <w:jc w:val="both"/>
            </w:pPr>
            <w:r>
              <w:rPr>
                <w:rFonts w:ascii="Times New Roman"/>
                <w:b w:val="false"/>
                <w:i w:val="false"/>
                <w:color w:val="000000"/>
                <w:sz w:val="20"/>
              </w:rPr>
              <w:t>
1.5.3.</w:t>
            </w:r>
          </w:p>
          <w:bookmarkEnd w:id="28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844"/>
          <w:p>
            <w:pPr>
              <w:spacing w:after="20"/>
              <w:ind w:left="20"/>
              <w:jc w:val="both"/>
            </w:pPr>
            <w:r>
              <w:rPr>
                <w:rFonts w:ascii="Times New Roman"/>
                <w:b w:val="false"/>
                <w:i w:val="false"/>
                <w:color w:val="000000"/>
                <w:sz w:val="20"/>
              </w:rPr>
              <w:t>
1.5.4.</w:t>
            </w:r>
          </w:p>
          <w:bookmarkEnd w:id="28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845"/>
          <w:p>
            <w:pPr>
              <w:spacing w:after="20"/>
              <w:ind w:left="20"/>
              <w:jc w:val="both"/>
            </w:pPr>
            <w:r>
              <w:rPr>
                <w:rFonts w:ascii="Times New Roman"/>
                <w:b w:val="false"/>
                <w:i w:val="false"/>
                <w:color w:val="000000"/>
                <w:sz w:val="20"/>
              </w:rPr>
              <w:t>
1.5.5.</w:t>
            </w:r>
          </w:p>
          <w:bookmarkEnd w:id="28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846"/>
          <w:p>
            <w:pPr>
              <w:spacing w:after="20"/>
              <w:ind w:left="20"/>
              <w:jc w:val="both"/>
            </w:pPr>
            <w:r>
              <w:rPr>
                <w:rFonts w:ascii="Times New Roman"/>
                <w:b w:val="false"/>
                <w:i w:val="false"/>
                <w:color w:val="000000"/>
                <w:sz w:val="20"/>
              </w:rPr>
              <w:t>
1.5.6.</w:t>
            </w:r>
          </w:p>
          <w:bookmarkEnd w:id="28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847"/>
          <w:p>
            <w:pPr>
              <w:spacing w:after="20"/>
              <w:ind w:left="20"/>
              <w:jc w:val="both"/>
            </w:pPr>
            <w:r>
              <w:rPr>
                <w:rFonts w:ascii="Times New Roman"/>
                <w:b w:val="false"/>
                <w:i w:val="false"/>
                <w:color w:val="000000"/>
                <w:sz w:val="20"/>
              </w:rPr>
              <w:t>
1.6.</w:t>
            </w:r>
          </w:p>
          <w:bookmarkEnd w:id="28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848"/>
          <w:p>
            <w:pPr>
              <w:spacing w:after="20"/>
              <w:ind w:left="20"/>
              <w:jc w:val="both"/>
            </w:pPr>
            <w:r>
              <w:rPr>
                <w:rFonts w:ascii="Times New Roman"/>
                <w:b w:val="false"/>
                <w:i w:val="false"/>
                <w:color w:val="000000"/>
                <w:sz w:val="20"/>
              </w:rPr>
              <w:t>
1.6.1.</w:t>
            </w:r>
          </w:p>
          <w:bookmarkEnd w:id="28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849"/>
          <w:p>
            <w:pPr>
              <w:spacing w:after="20"/>
              <w:ind w:left="20"/>
              <w:jc w:val="both"/>
            </w:pPr>
            <w:r>
              <w:rPr>
                <w:rFonts w:ascii="Times New Roman"/>
                <w:b w:val="false"/>
                <w:i w:val="false"/>
                <w:color w:val="000000"/>
                <w:sz w:val="20"/>
              </w:rPr>
              <w:t>
1.6.2.</w:t>
            </w:r>
          </w:p>
          <w:bookmarkEnd w:id="28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850"/>
          <w:p>
            <w:pPr>
              <w:spacing w:after="20"/>
              <w:ind w:left="20"/>
              <w:jc w:val="both"/>
            </w:pPr>
            <w:r>
              <w:rPr>
                <w:rFonts w:ascii="Times New Roman"/>
                <w:b w:val="false"/>
                <w:i w:val="false"/>
                <w:color w:val="000000"/>
                <w:sz w:val="20"/>
              </w:rPr>
              <w:t>
1.6.3.</w:t>
            </w:r>
          </w:p>
          <w:bookmarkEnd w:id="28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851"/>
          <w:p>
            <w:pPr>
              <w:spacing w:after="20"/>
              <w:ind w:left="20"/>
              <w:jc w:val="both"/>
            </w:pPr>
            <w:r>
              <w:rPr>
                <w:rFonts w:ascii="Times New Roman"/>
                <w:b w:val="false"/>
                <w:i w:val="false"/>
                <w:color w:val="000000"/>
                <w:sz w:val="20"/>
              </w:rPr>
              <w:t>
1.6.4.</w:t>
            </w:r>
          </w:p>
          <w:bookmarkEnd w:id="28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852"/>
          <w:p>
            <w:pPr>
              <w:spacing w:after="20"/>
              <w:ind w:left="20"/>
              <w:jc w:val="both"/>
            </w:pPr>
            <w:r>
              <w:rPr>
                <w:rFonts w:ascii="Times New Roman"/>
                <w:b w:val="false"/>
                <w:i w:val="false"/>
                <w:color w:val="000000"/>
                <w:sz w:val="20"/>
              </w:rPr>
              <w:t>
1.6.5.</w:t>
            </w:r>
          </w:p>
          <w:bookmarkEnd w:id="28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853"/>
          <w:p>
            <w:pPr>
              <w:spacing w:after="20"/>
              <w:ind w:left="20"/>
              <w:jc w:val="both"/>
            </w:pPr>
            <w:r>
              <w:rPr>
                <w:rFonts w:ascii="Times New Roman"/>
                <w:b w:val="false"/>
                <w:i w:val="false"/>
                <w:color w:val="000000"/>
                <w:sz w:val="20"/>
              </w:rPr>
              <w:t>
1.6.6.</w:t>
            </w:r>
          </w:p>
          <w:bookmarkEnd w:id="28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854"/>
          <w:p>
            <w:pPr>
              <w:spacing w:after="20"/>
              <w:ind w:left="20"/>
              <w:jc w:val="both"/>
            </w:pPr>
            <w:r>
              <w:rPr>
                <w:rFonts w:ascii="Times New Roman"/>
                <w:b w:val="false"/>
                <w:i w:val="false"/>
                <w:color w:val="000000"/>
                <w:sz w:val="20"/>
              </w:rPr>
              <w:t>
1.6.7.</w:t>
            </w:r>
          </w:p>
          <w:bookmarkEnd w:id="28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855"/>
          <w:p>
            <w:pPr>
              <w:spacing w:after="20"/>
              <w:ind w:left="20"/>
              <w:jc w:val="both"/>
            </w:pPr>
            <w:r>
              <w:rPr>
                <w:rFonts w:ascii="Times New Roman"/>
                <w:b w:val="false"/>
                <w:i w:val="false"/>
                <w:color w:val="000000"/>
                <w:sz w:val="20"/>
              </w:rPr>
              <w:t>
1.6.8.</w:t>
            </w:r>
          </w:p>
          <w:bookmarkEnd w:id="28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856"/>
          <w:p>
            <w:pPr>
              <w:spacing w:after="20"/>
              <w:ind w:left="20"/>
              <w:jc w:val="both"/>
            </w:pPr>
            <w:r>
              <w:rPr>
                <w:rFonts w:ascii="Times New Roman"/>
                <w:b w:val="false"/>
                <w:i w:val="false"/>
                <w:color w:val="000000"/>
                <w:sz w:val="20"/>
              </w:rPr>
              <w:t>
1.6.9.</w:t>
            </w:r>
          </w:p>
          <w:bookmarkEnd w:id="28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857"/>
          <w:p>
            <w:pPr>
              <w:spacing w:after="20"/>
              <w:ind w:left="20"/>
              <w:jc w:val="both"/>
            </w:pPr>
            <w:r>
              <w:rPr>
                <w:rFonts w:ascii="Times New Roman"/>
                <w:b w:val="false"/>
                <w:i w:val="false"/>
                <w:color w:val="000000"/>
                <w:sz w:val="20"/>
              </w:rPr>
              <w:t>
1.6.10.</w:t>
            </w:r>
          </w:p>
          <w:bookmarkEnd w:id="28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858"/>
          <w:p>
            <w:pPr>
              <w:spacing w:after="20"/>
              <w:ind w:left="20"/>
              <w:jc w:val="both"/>
            </w:pPr>
            <w:r>
              <w:rPr>
                <w:rFonts w:ascii="Times New Roman"/>
                <w:b w:val="false"/>
                <w:i w:val="false"/>
                <w:color w:val="000000"/>
                <w:sz w:val="20"/>
              </w:rPr>
              <w:t>
1.6.11.</w:t>
            </w:r>
          </w:p>
          <w:bookmarkEnd w:id="28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859"/>
          <w:p>
            <w:pPr>
              <w:spacing w:after="20"/>
              <w:ind w:left="20"/>
              <w:jc w:val="both"/>
            </w:pPr>
            <w:r>
              <w:rPr>
                <w:rFonts w:ascii="Times New Roman"/>
                <w:b w:val="false"/>
                <w:i w:val="false"/>
                <w:color w:val="000000"/>
                <w:sz w:val="20"/>
              </w:rPr>
              <w:t>
1.7.</w:t>
            </w:r>
          </w:p>
          <w:bookmarkEnd w:id="28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860"/>
          <w:p>
            <w:pPr>
              <w:spacing w:after="20"/>
              <w:ind w:left="20"/>
              <w:jc w:val="both"/>
            </w:pPr>
            <w:r>
              <w:rPr>
                <w:rFonts w:ascii="Times New Roman"/>
                <w:b w:val="false"/>
                <w:i w:val="false"/>
                <w:color w:val="000000"/>
                <w:sz w:val="20"/>
              </w:rPr>
              <w:t>
1.7.1</w:t>
            </w:r>
          </w:p>
          <w:bookmarkEnd w:id="28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861"/>
          <w:p>
            <w:pPr>
              <w:spacing w:after="20"/>
              <w:ind w:left="20"/>
              <w:jc w:val="both"/>
            </w:pPr>
            <w:r>
              <w:rPr>
                <w:rFonts w:ascii="Times New Roman"/>
                <w:b w:val="false"/>
                <w:i w:val="false"/>
                <w:color w:val="000000"/>
                <w:sz w:val="20"/>
              </w:rPr>
              <w:t>
1.7.2.</w:t>
            </w:r>
          </w:p>
          <w:bookmarkEnd w:id="28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862"/>
          <w:p>
            <w:pPr>
              <w:spacing w:after="20"/>
              <w:ind w:left="20"/>
              <w:jc w:val="both"/>
            </w:pPr>
            <w:r>
              <w:rPr>
                <w:rFonts w:ascii="Times New Roman"/>
                <w:b w:val="false"/>
                <w:i w:val="false"/>
                <w:color w:val="000000"/>
                <w:sz w:val="20"/>
              </w:rPr>
              <w:t>
1.7.3.</w:t>
            </w:r>
          </w:p>
          <w:bookmarkEnd w:id="28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863"/>
          <w:p>
            <w:pPr>
              <w:spacing w:after="20"/>
              <w:ind w:left="20"/>
              <w:jc w:val="both"/>
            </w:pPr>
            <w:r>
              <w:rPr>
                <w:rFonts w:ascii="Times New Roman"/>
                <w:b w:val="false"/>
                <w:i w:val="false"/>
                <w:color w:val="000000"/>
                <w:sz w:val="20"/>
              </w:rPr>
              <w:t>
1.8.</w:t>
            </w:r>
          </w:p>
          <w:bookmarkEnd w:id="28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864"/>
          <w:p>
            <w:pPr>
              <w:spacing w:after="20"/>
              <w:ind w:left="20"/>
              <w:jc w:val="both"/>
            </w:pPr>
            <w:r>
              <w:rPr>
                <w:rFonts w:ascii="Times New Roman"/>
                <w:b w:val="false"/>
                <w:i w:val="false"/>
                <w:color w:val="000000"/>
                <w:sz w:val="20"/>
              </w:rPr>
              <w:t>
1.8.1.</w:t>
            </w:r>
          </w:p>
          <w:bookmarkEnd w:id="28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865"/>
          <w:p>
            <w:pPr>
              <w:spacing w:after="20"/>
              <w:ind w:left="20"/>
              <w:jc w:val="both"/>
            </w:pPr>
            <w:r>
              <w:rPr>
                <w:rFonts w:ascii="Times New Roman"/>
                <w:b w:val="false"/>
                <w:i w:val="false"/>
                <w:color w:val="000000"/>
                <w:sz w:val="20"/>
              </w:rPr>
              <w:t>
1.8.2.</w:t>
            </w:r>
          </w:p>
          <w:bookmarkEnd w:id="28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866"/>
          <w:p>
            <w:pPr>
              <w:spacing w:after="20"/>
              <w:ind w:left="20"/>
              <w:jc w:val="both"/>
            </w:pPr>
            <w:r>
              <w:rPr>
                <w:rFonts w:ascii="Times New Roman"/>
                <w:b w:val="false"/>
                <w:i w:val="false"/>
                <w:color w:val="000000"/>
                <w:sz w:val="20"/>
              </w:rPr>
              <w:t>
1.8.3.</w:t>
            </w:r>
          </w:p>
          <w:bookmarkEnd w:id="28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867"/>
          <w:p>
            <w:pPr>
              <w:spacing w:after="20"/>
              <w:ind w:left="20"/>
              <w:jc w:val="both"/>
            </w:pPr>
            <w:r>
              <w:rPr>
                <w:rFonts w:ascii="Times New Roman"/>
                <w:b w:val="false"/>
                <w:i w:val="false"/>
                <w:color w:val="000000"/>
                <w:sz w:val="20"/>
              </w:rPr>
              <w:t>
1.8.4.</w:t>
            </w:r>
          </w:p>
          <w:bookmarkEnd w:id="28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868"/>
          <w:p>
            <w:pPr>
              <w:spacing w:after="20"/>
              <w:ind w:left="20"/>
              <w:jc w:val="both"/>
            </w:pPr>
            <w:r>
              <w:rPr>
                <w:rFonts w:ascii="Times New Roman"/>
                <w:b w:val="false"/>
                <w:i w:val="false"/>
                <w:color w:val="000000"/>
                <w:sz w:val="20"/>
              </w:rPr>
              <w:t>
1.9.</w:t>
            </w:r>
          </w:p>
          <w:bookmarkEnd w:id="28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869"/>
          <w:p>
            <w:pPr>
              <w:spacing w:after="20"/>
              <w:ind w:left="20"/>
              <w:jc w:val="both"/>
            </w:pPr>
            <w:r>
              <w:rPr>
                <w:rFonts w:ascii="Times New Roman"/>
                <w:b w:val="false"/>
                <w:i w:val="false"/>
                <w:color w:val="000000"/>
                <w:sz w:val="20"/>
              </w:rPr>
              <w:t>
1.9.1.</w:t>
            </w:r>
          </w:p>
          <w:bookmarkEnd w:id="28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870"/>
          <w:p>
            <w:pPr>
              <w:spacing w:after="20"/>
              <w:ind w:left="20"/>
              <w:jc w:val="both"/>
            </w:pPr>
            <w:r>
              <w:rPr>
                <w:rFonts w:ascii="Times New Roman"/>
                <w:b w:val="false"/>
                <w:i w:val="false"/>
                <w:color w:val="000000"/>
                <w:sz w:val="20"/>
              </w:rPr>
              <w:t>
1.10.</w:t>
            </w:r>
          </w:p>
          <w:bookmarkEnd w:id="28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871"/>
          <w:p>
            <w:pPr>
              <w:spacing w:after="20"/>
              <w:ind w:left="20"/>
              <w:jc w:val="both"/>
            </w:pPr>
            <w:r>
              <w:rPr>
                <w:rFonts w:ascii="Times New Roman"/>
                <w:b w:val="false"/>
                <w:i w:val="false"/>
                <w:color w:val="000000"/>
                <w:sz w:val="20"/>
              </w:rPr>
              <w:t>
1.10.1.</w:t>
            </w:r>
          </w:p>
          <w:bookmarkEnd w:id="28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872"/>
          <w:p>
            <w:pPr>
              <w:spacing w:after="20"/>
              <w:ind w:left="20"/>
              <w:jc w:val="both"/>
            </w:pPr>
            <w:r>
              <w:rPr>
                <w:rFonts w:ascii="Times New Roman"/>
                <w:b w:val="false"/>
                <w:i w:val="false"/>
                <w:color w:val="000000"/>
                <w:sz w:val="20"/>
              </w:rPr>
              <w:t>
1.10.2.</w:t>
            </w:r>
          </w:p>
          <w:bookmarkEnd w:id="28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873"/>
          <w:p>
            <w:pPr>
              <w:spacing w:after="20"/>
              <w:ind w:left="20"/>
              <w:jc w:val="both"/>
            </w:pPr>
            <w:r>
              <w:rPr>
                <w:rFonts w:ascii="Times New Roman"/>
                <w:b w:val="false"/>
                <w:i w:val="false"/>
                <w:color w:val="000000"/>
                <w:sz w:val="20"/>
              </w:rPr>
              <w:t>
1.10.3.</w:t>
            </w:r>
          </w:p>
          <w:bookmarkEnd w:id="28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874"/>
          <w:p>
            <w:pPr>
              <w:spacing w:after="20"/>
              <w:ind w:left="20"/>
              <w:jc w:val="both"/>
            </w:pPr>
            <w:r>
              <w:rPr>
                <w:rFonts w:ascii="Times New Roman"/>
                <w:b w:val="false"/>
                <w:i w:val="false"/>
                <w:color w:val="000000"/>
                <w:sz w:val="20"/>
              </w:rPr>
              <w:t>
1.10.4.</w:t>
            </w:r>
          </w:p>
          <w:bookmarkEnd w:id="28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875"/>
          <w:p>
            <w:pPr>
              <w:spacing w:after="20"/>
              <w:ind w:left="20"/>
              <w:jc w:val="both"/>
            </w:pPr>
            <w:r>
              <w:rPr>
                <w:rFonts w:ascii="Times New Roman"/>
                <w:b w:val="false"/>
                <w:i w:val="false"/>
                <w:color w:val="000000"/>
                <w:sz w:val="20"/>
              </w:rPr>
              <w:t>
1.11.</w:t>
            </w:r>
          </w:p>
          <w:bookmarkEnd w:id="28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876"/>
          <w:p>
            <w:pPr>
              <w:spacing w:after="20"/>
              <w:ind w:left="20"/>
              <w:jc w:val="both"/>
            </w:pPr>
            <w:r>
              <w:rPr>
                <w:rFonts w:ascii="Times New Roman"/>
                <w:b w:val="false"/>
                <w:i w:val="false"/>
                <w:color w:val="000000"/>
                <w:sz w:val="20"/>
              </w:rPr>
              <w:t>
МОДУЛЬ 2. РЕЗЮМЕ ОБЩЕГО ТЕХНИЧЕСКОГО ДОКУМЕНТА</w:t>
            </w:r>
          </w:p>
          <w:bookmarkEnd w:id="2876"/>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877"/>
          <w:p>
            <w:pPr>
              <w:spacing w:after="20"/>
              <w:ind w:left="20"/>
              <w:jc w:val="both"/>
            </w:pPr>
            <w:r>
              <w:rPr>
                <w:rFonts w:ascii="Times New Roman"/>
                <w:b w:val="false"/>
                <w:i w:val="false"/>
                <w:color w:val="000000"/>
                <w:sz w:val="20"/>
              </w:rPr>
              <w:t>
2.1.</w:t>
            </w:r>
          </w:p>
          <w:bookmarkEnd w:id="28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878"/>
          <w:p>
            <w:pPr>
              <w:spacing w:after="20"/>
              <w:ind w:left="20"/>
              <w:jc w:val="both"/>
            </w:pPr>
            <w:r>
              <w:rPr>
                <w:rFonts w:ascii="Times New Roman"/>
                <w:b w:val="false"/>
                <w:i w:val="false"/>
                <w:color w:val="000000"/>
                <w:sz w:val="20"/>
              </w:rPr>
              <w:t>
2.2.</w:t>
            </w:r>
          </w:p>
          <w:bookmarkEnd w:id="28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879"/>
          <w:p>
            <w:pPr>
              <w:spacing w:after="20"/>
              <w:ind w:left="20"/>
              <w:jc w:val="both"/>
            </w:pPr>
            <w:r>
              <w:rPr>
                <w:rFonts w:ascii="Times New Roman"/>
                <w:b w:val="false"/>
                <w:i w:val="false"/>
                <w:color w:val="000000"/>
                <w:sz w:val="20"/>
              </w:rPr>
              <w:t>
2.3.</w:t>
            </w:r>
          </w:p>
          <w:bookmarkEnd w:id="28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880"/>
          <w:p>
            <w:pPr>
              <w:spacing w:after="20"/>
              <w:ind w:left="20"/>
              <w:jc w:val="both"/>
            </w:pPr>
            <w:r>
              <w:rPr>
                <w:rFonts w:ascii="Times New Roman"/>
                <w:b w:val="false"/>
                <w:i w:val="false"/>
                <w:color w:val="000000"/>
                <w:sz w:val="20"/>
              </w:rPr>
              <w:t>
2.4.</w:t>
            </w:r>
          </w:p>
          <w:bookmarkEnd w:id="28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881"/>
          <w:p>
            <w:pPr>
              <w:spacing w:after="20"/>
              <w:ind w:left="20"/>
              <w:jc w:val="both"/>
            </w:pPr>
            <w:r>
              <w:rPr>
                <w:rFonts w:ascii="Times New Roman"/>
                <w:b w:val="false"/>
                <w:i w:val="false"/>
                <w:color w:val="000000"/>
                <w:sz w:val="20"/>
              </w:rPr>
              <w:t>
2.5.</w:t>
            </w:r>
          </w:p>
          <w:bookmarkEnd w:id="28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882"/>
          <w:p>
            <w:pPr>
              <w:spacing w:after="20"/>
              <w:ind w:left="20"/>
              <w:jc w:val="both"/>
            </w:pPr>
            <w:r>
              <w:rPr>
                <w:rFonts w:ascii="Times New Roman"/>
                <w:b w:val="false"/>
                <w:i w:val="false"/>
                <w:color w:val="000000"/>
                <w:sz w:val="20"/>
              </w:rPr>
              <w:t>
2.6.</w:t>
            </w:r>
          </w:p>
          <w:bookmarkEnd w:id="28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883"/>
          <w:p>
            <w:pPr>
              <w:spacing w:after="20"/>
              <w:ind w:left="20"/>
              <w:jc w:val="both"/>
            </w:pPr>
            <w:r>
              <w:rPr>
                <w:rFonts w:ascii="Times New Roman"/>
                <w:b w:val="false"/>
                <w:i w:val="false"/>
                <w:color w:val="000000"/>
                <w:sz w:val="20"/>
              </w:rPr>
              <w:t>
2.6.1.</w:t>
            </w:r>
          </w:p>
          <w:bookmarkEnd w:id="28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884"/>
          <w:p>
            <w:pPr>
              <w:spacing w:after="20"/>
              <w:ind w:left="20"/>
              <w:jc w:val="both"/>
            </w:pPr>
            <w:r>
              <w:rPr>
                <w:rFonts w:ascii="Times New Roman"/>
                <w:b w:val="false"/>
                <w:i w:val="false"/>
                <w:color w:val="000000"/>
                <w:sz w:val="20"/>
              </w:rPr>
              <w:t>
2.6.2.</w:t>
            </w:r>
          </w:p>
          <w:bookmarkEnd w:id="28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885"/>
          <w:p>
            <w:pPr>
              <w:spacing w:after="20"/>
              <w:ind w:left="20"/>
              <w:jc w:val="both"/>
            </w:pPr>
            <w:r>
              <w:rPr>
                <w:rFonts w:ascii="Times New Roman"/>
                <w:b w:val="false"/>
                <w:i w:val="false"/>
                <w:color w:val="000000"/>
                <w:sz w:val="20"/>
              </w:rPr>
              <w:t>
2.6.3.</w:t>
            </w:r>
          </w:p>
          <w:bookmarkEnd w:id="28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886"/>
          <w:p>
            <w:pPr>
              <w:spacing w:after="20"/>
              <w:ind w:left="20"/>
              <w:jc w:val="both"/>
            </w:pPr>
            <w:r>
              <w:rPr>
                <w:rFonts w:ascii="Times New Roman"/>
                <w:b w:val="false"/>
                <w:i w:val="false"/>
                <w:color w:val="000000"/>
                <w:sz w:val="20"/>
              </w:rPr>
              <w:t>
2.6.4.</w:t>
            </w:r>
          </w:p>
          <w:bookmarkEnd w:id="28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887"/>
          <w:p>
            <w:pPr>
              <w:spacing w:after="20"/>
              <w:ind w:left="20"/>
              <w:jc w:val="both"/>
            </w:pPr>
            <w:r>
              <w:rPr>
                <w:rFonts w:ascii="Times New Roman"/>
                <w:b w:val="false"/>
                <w:i w:val="false"/>
                <w:color w:val="000000"/>
                <w:sz w:val="20"/>
              </w:rPr>
              <w:t>
2.6.5.</w:t>
            </w:r>
          </w:p>
          <w:bookmarkEnd w:id="28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888"/>
          <w:p>
            <w:pPr>
              <w:spacing w:after="20"/>
              <w:ind w:left="20"/>
              <w:jc w:val="both"/>
            </w:pPr>
            <w:r>
              <w:rPr>
                <w:rFonts w:ascii="Times New Roman"/>
                <w:b w:val="false"/>
                <w:i w:val="false"/>
                <w:color w:val="000000"/>
                <w:sz w:val="20"/>
              </w:rPr>
              <w:t>
2.6.6.</w:t>
            </w:r>
          </w:p>
          <w:bookmarkEnd w:id="28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889"/>
          <w:p>
            <w:pPr>
              <w:spacing w:after="20"/>
              <w:ind w:left="20"/>
              <w:jc w:val="both"/>
            </w:pPr>
            <w:r>
              <w:rPr>
                <w:rFonts w:ascii="Times New Roman"/>
                <w:b w:val="false"/>
                <w:i w:val="false"/>
                <w:color w:val="000000"/>
                <w:sz w:val="20"/>
              </w:rPr>
              <w:t>
2.7.</w:t>
            </w:r>
          </w:p>
          <w:bookmarkEnd w:id="28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890"/>
          <w:p>
            <w:pPr>
              <w:spacing w:after="20"/>
              <w:ind w:left="20"/>
              <w:jc w:val="both"/>
            </w:pPr>
            <w:r>
              <w:rPr>
                <w:rFonts w:ascii="Times New Roman"/>
                <w:b w:val="false"/>
                <w:i w:val="false"/>
                <w:color w:val="000000"/>
                <w:sz w:val="20"/>
              </w:rPr>
              <w:t>
2.7.1.</w:t>
            </w:r>
          </w:p>
          <w:bookmarkEnd w:id="28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891"/>
          <w:p>
            <w:pPr>
              <w:spacing w:after="20"/>
              <w:ind w:left="20"/>
              <w:jc w:val="both"/>
            </w:pPr>
            <w:r>
              <w:rPr>
                <w:rFonts w:ascii="Times New Roman"/>
                <w:b w:val="false"/>
                <w:i w:val="false"/>
                <w:color w:val="000000"/>
                <w:sz w:val="20"/>
              </w:rPr>
              <w:t>
2.7.2.</w:t>
            </w:r>
          </w:p>
          <w:bookmarkEnd w:id="28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892"/>
          <w:p>
            <w:pPr>
              <w:spacing w:after="20"/>
              <w:ind w:left="20"/>
              <w:jc w:val="both"/>
            </w:pPr>
            <w:r>
              <w:rPr>
                <w:rFonts w:ascii="Times New Roman"/>
                <w:b w:val="false"/>
                <w:i w:val="false"/>
                <w:color w:val="000000"/>
                <w:sz w:val="20"/>
              </w:rPr>
              <w:t>
2.7.3.</w:t>
            </w:r>
          </w:p>
          <w:bookmarkEnd w:id="28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893"/>
          <w:p>
            <w:pPr>
              <w:spacing w:after="20"/>
              <w:ind w:left="20"/>
              <w:jc w:val="both"/>
            </w:pPr>
            <w:r>
              <w:rPr>
                <w:rFonts w:ascii="Times New Roman"/>
                <w:b w:val="false"/>
                <w:i w:val="false"/>
                <w:color w:val="000000"/>
                <w:sz w:val="20"/>
              </w:rPr>
              <w:t>
2.7.4.</w:t>
            </w:r>
          </w:p>
          <w:bookmarkEnd w:id="28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894"/>
          <w:p>
            <w:pPr>
              <w:spacing w:after="20"/>
              <w:ind w:left="20"/>
              <w:jc w:val="both"/>
            </w:pPr>
            <w:r>
              <w:rPr>
                <w:rFonts w:ascii="Times New Roman"/>
                <w:b w:val="false"/>
                <w:i w:val="false"/>
                <w:color w:val="000000"/>
                <w:sz w:val="20"/>
              </w:rPr>
              <w:t>
2.7.5.</w:t>
            </w:r>
          </w:p>
          <w:bookmarkEnd w:id="28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895"/>
          <w:p>
            <w:pPr>
              <w:spacing w:after="20"/>
              <w:ind w:left="20"/>
              <w:jc w:val="both"/>
            </w:pPr>
            <w:r>
              <w:rPr>
                <w:rFonts w:ascii="Times New Roman"/>
                <w:b w:val="false"/>
                <w:i w:val="false"/>
                <w:color w:val="000000"/>
                <w:sz w:val="20"/>
              </w:rPr>
              <w:t>
2.7.6.</w:t>
            </w:r>
          </w:p>
          <w:bookmarkEnd w:id="28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896"/>
          <w:p>
            <w:pPr>
              <w:spacing w:after="20"/>
              <w:ind w:left="20"/>
              <w:jc w:val="both"/>
            </w:pPr>
            <w:r>
              <w:rPr>
                <w:rFonts w:ascii="Times New Roman"/>
                <w:b w:val="false"/>
                <w:i w:val="false"/>
                <w:color w:val="000000"/>
                <w:sz w:val="20"/>
              </w:rPr>
              <w:t>
МОДУЛЬ 3. КАЧЕСТВО</w:t>
            </w:r>
          </w:p>
          <w:bookmarkEnd w:id="2896"/>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897"/>
          <w:p>
            <w:pPr>
              <w:spacing w:after="20"/>
              <w:ind w:left="20"/>
              <w:jc w:val="both"/>
            </w:pPr>
            <w:r>
              <w:rPr>
                <w:rFonts w:ascii="Times New Roman"/>
                <w:b w:val="false"/>
                <w:i w:val="false"/>
                <w:color w:val="000000"/>
                <w:sz w:val="20"/>
              </w:rPr>
              <w:t>
3.1.</w:t>
            </w:r>
          </w:p>
          <w:bookmarkEnd w:id="28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898"/>
          <w:p>
            <w:pPr>
              <w:spacing w:after="20"/>
              <w:ind w:left="20"/>
              <w:jc w:val="both"/>
            </w:pPr>
            <w:r>
              <w:rPr>
                <w:rFonts w:ascii="Times New Roman"/>
                <w:b w:val="false"/>
                <w:i w:val="false"/>
                <w:color w:val="000000"/>
                <w:sz w:val="20"/>
              </w:rPr>
              <w:t>
3.2.</w:t>
            </w:r>
          </w:p>
          <w:bookmarkEnd w:id="28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899"/>
          <w:p>
            <w:pPr>
              <w:spacing w:after="20"/>
              <w:ind w:left="20"/>
              <w:jc w:val="both"/>
            </w:pPr>
            <w:r>
              <w:rPr>
                <w:rFonts w:ascii="Times New Roman"/>
                <w:b w:val="false"/>
                <w:i w:val="false"/>
                <w:color w:val="000000"/>
                <w:sz w:val="20"/>
              </w:rPr>
              <w:t>
3.2.S.</w:t>
            </w:r>
          </w:p>
          <w:bookmarkEnd w:id="28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900"/>
          <w:p>
            <w:pPr>
              <w:spacing w:after="20"/>
              <w:ind w:left="20"/>
              <w:jc w:val="both"/>
            </w:pPr>
            <w:r>
              <w:rPr>
                <w:rFonts w:ascii="Times New Roman"/>
                <w:b w:val="false"/>
                <w:i w:val="false"/>
                <w:color w:val="000000"/>
                <w:sz w:val="20"/>
              </w:rPr>
              <w:t>
3.2.S.1.</w:t>
            </w:r>
          </w:p>
          <w:bookmarkEnd w:id="29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901"/>
          <w:p>
            <w:pPr>
              <w:spacing w:after="20"/>
              <w:ind w:left="20"/>
              <w:jc w:val="both"/>
            </w:pPr>
            <w:r>
              <w:rPr>
                <w:rFonts w:ascii="Times New Roman"/>
                <w:b w:val="false"/>
                <w:i w:val="false"/>
                <w:color w:val="000000"/>
                <w:sz w:val="20"/>
              </w:rPr>
              <w:t>
3.2.S.2.</w:t>
            </w:r>
          </w:p>
          <w:bookmarkEnd w:id="29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902"/>
          <w:p>
            <w:pPr>
              <w:spacing w:after="20"/>
              <w:ind w:left="20"/>
              <w:jc w:val="both"/>
            </w:pPr>
            <w:r>
              <w:rPr>
                <w:rFonts w:ascii="Times New Roman"/>
                <w:b w:val="false"/>
                <w:i w:val="false"/>
                <w:color w:val="000000"/>
                <w:sz w:val="20"/>
              </w:rPr>
              <w:t>
3.2.S.3.</w:t>
            </w:r>
          </w:p>
          <w:bookmarkEnd w:id="29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903"/>
          <w:p>
            <w:pPr>
              <w:spacing w:after="20"/>
              <w:ind w:left="20"/>
              <w:jc w:val="both"/>
            </w:pPr>
            <w:r>
              <w:rPr>
                <w:rFonts w:ascii="Times New Roman"/>
                <w:b w:val="false"/>
                <w:i w:val="false"/>
                <w:color w:val="000000"/>
                <w:sz w:val="20"/>
              </w:rPr>
              <w:t>
3.2.S.4.</w:t>
            </w:r>
          </w:p>
          <w:bookmarkEnd w:id="29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904"/>
          <w:p>
            <w:pPr>
              <w:spacing w:after="20"/>
              <w:ind w:left="20"/>
              <w:jc w:val="both"/>
            </w:pPr>
            <w:r>
              <w:rPr>
                <w:rFonts w:ascii="Times New Roman"/>
                <w:b w:val="false"/>
                <w:i w:val="false"/>
                <w:color w:val="000000"/>
                <w:sz w:val="20"/>
              </w:rPr>
              <w:t>
3.2.S.5.</w:t>
            </w:r>
          </w:p>
          <w:bookmarkEnd w:id="29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905"/>
          <w:p>
            <w:pPr>
              <w:spacing w:after="20"/>
              <w:ind w:left="20"/>
              <w:jc w:val="both"/>
            </w:pPr>
            <w:r>
              <w:rPr>
                <w:rFonts w:ascii="Times New Roman"/>
                <w:b w:val="false"/>
                <w:i w:val="false"/>
                <w:color w:val="000000"/>
                <w:sz w:val="20"/>
              </w:rPr>
              <w:t>
3.2.S.6.</w:t>
            </w:r>
          </w:p>
          <w:bookmarkEnd w:id="29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906"/>
          <w:p>
            <w:pPr>
              <w:spacing w:after="20"/>
              <w:ind w:left="20"/>
              <w:jc w:val="both"/>
            </w:pPr>
            <w:r>
              <w:rPr>
                <w:rFonts w:ascii="Times New Roman"/>
                <w:b w:val="false"/>
                <w:i w:val="false"/>
                <w:color w:val="000000"/>
                <w:sz w:val="20"/>
              </w:rPr>
              <w:t>
3.2.S.7.</w:t>
            </w:r>
          </w:p>
          <w:bookmarkEnd w:id="29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907"/>
          <w:p>
            <w:pPr>
              <w:spacing w:after="20"/>
              <w:ind w:left="20"/>
              <w:jc w:val="both"/>
            </w:pPr>
            <w:r>
              <w:rPr>
                <w:rFonts w:ascii="Times New Roman"/>
                <w:b w:val="false"/>
                <w:i w:val="false"/>
                <w:color w:val="000000"/>
                <w:sz w:val="20"/>
              </w:rPr>
              <w:t>
3.2.P.</w:t>
            </w:r>
          </w:p>
          <w:bookmarkEnd w:id="29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908"/>
          <w:p>
            <w:pPr>
              <w:spacing w:after="20"/>
              <w:ind w:left="20"/>
              <w:jc w:val="both"/>
            </w:pPr>
            <w:r>
              <w:rPr>
                <w:rFonts w:ascii="Times New Roman"/>
                <w:b w:val="false"/>
                <w:i w:val="false"/>
                <w:color w:val="000000"/>
                <w:sz w:val="20"/>
              </w:rPr>
              <w:t>
3.2.P.1.</w:t>
            </w:r>
          </w:p>
          <w:bookmarkEnd w:id="29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909"/>
          <w:p>
            <w:pPr>
              <w:spacing w:after="20"/>
              <w:ind w:left="20"/>
              <w:jc w:val="both"/>
            </w:pPr>
            <w:r>
              <w:rPr>
                <w:rFonts w:ascii="Times New Roman"/>
                <w:b w:val="false"/>
                <w:i w:val="false"/>
                <w:color w:val="000000"/>
                <w:sz w:val="20"/>
              </w:rPr>
              <w:t>
3.2.P.2.</w:t>
            </w:r>
          </w:p>
          <w:bookmarkEnd w:id="29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910"/>
          <w:p>
            <w:pPr>
              <w:spacing w:after="20"/>
              <w:ind w:left="20"/>
              <w:jc w:val="both"/>
            </w:pPr>
            <w:r>
              <w:rPr>
                <w:rFonts w:ascii="Times New Roman"/>
                <w:b w:val="false"/>
                <w:i w:val="false"/>
                <w:color w:val="000000"/>
                <w:sz w:val="20"/>
              </w:rPr>
              <w:t>
3.2.P.3.</w:t>
            </w:r>
          </w:p>
          <w:bookmarkEnd w:id="29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911"/>
          <w:p>
            <w:pPr>
              <w:spacing w:after="20"/>
              <w:ind w:left="20"/>
              <w:jc w:val="both"/>
            </w:pPr>
            <w:r>
              <w:rPr>
                <w:rFonts w:ascii="Times New Roman"/>
                <w:b w:val="false"/>
                <w:i w:val="false"/>
                <w:color w:val="000000"/>
                <w:sz w:val="20"/>
              </w:rPr>
              <w:t>
3.2.P.4.</w:t>
            </w:r>
          </w:p>
          <w:bookmarkEnd w:id="29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912"/>
          <w:p>
            <w:pPr>
              <w:spacing w:after="20"/>
              <w:ind w:left="20"/>
              <w:jc w:val="both"/>
            </w:pPr>
            <w:r>
              <w:rPr>
                <w:rFonts w:ascii="Times New Roman"/>
                <w:b w:val="false"/>
                <w:i w:val="false"/>
                <w:color w:val="000000"/>
                <w:sz w:val="20"/>
              </w:rPr>
              <w:t>
3.2.P.5.</w:t>
            </w:r>
          </w:p>
          <w:bookmarkEnd w:id="29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913"/>
          <w:p>
            <w:pPr>
              <w:spacing w:after="20"/>
              <w:ind w:left="20"/>
              <w:jc w:val="both"/>
            </w:pPr>
            <w:r>
              <w:rPr>
                <w:rFonts w:ascii="Times New Roman"/>
                <w:b w:val="false"/>
                <w:i w:val="false"/>
                <w:color w:val="000000"/>
                <w:sz w:val="20"/>
              </w:rPr>
              <w:t>
3.2.P.6.</w:t>
            </w:r>
          </w:p>
          <w:bookmarkEnd w:id="29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914"/>
          <w:p>
            <w:pPr>
              <w:spacing w:after="20"/>
              <w:ind w:left="20"/>
              <w:jc w:val="both"/>
            </w:pPr>
            <w:r>
              <w:rPr>
                <w:rFonts w:ascii="Times New Roman"/>
                <w:b w:val="false"/>
                <w:i w:val="false"/>
                <w:color w:val="000000"/>
                <w:sz w:val="20"/>
              </w:rPr>
              <w:t>
3.2.P.7.</w:t>
            </w:r>
          </w:p>
          <w:bookmarkEnd w:id="29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915"/>
          <w:p>
            <w:pPr>
              <w:spacing w:after="20"/>
              <w:ind w:left="20"/>
              <w:jc w:val="both"/>
            </w:pPr>
            <w:r>
              <w:rPr>
                <w:rFonts w:ascii="Times New Roman"/>
                <w:b w:val="false"/>
                <w:i w:val="false"/>
                <w:color w:val="000000"/>
                <w:sz w:val="20"/>
              </w:rPr>
              <w:t>
3.2.P.8.</w:t>
            </w:r>
          </w:p>
          <w:bookmarkEnd w:id="29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916"/>
          <w:p>
            <w:pPr>
              <w:spacing w:after="20"/>
              <w:ind w:left="20"/>
              <w:jc w:val="both"/>
            </w:pPr>
            <w:r>
              <w:rPr>
                <w:rFonts w:ascii="Times New Roman"/>
                <w:b w:val="false"/>
                <w:i w:val="false"/>
                <w:color w:val="000000"/>
                <w:sz w:val="20"/>
              </w:rPr>
              <w:t>
3.2.A.</w:t>
            </w:r>
          </w:p>
          <w:bookmarkEnd w:id="29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917"/>
          <w:p>
            <w:pPr>
              <w:spacing w:after="20"/>
              <w:ind w:left="20"/>
              <w:jc w:val="both"/>
            </w:pPr>
            <w:r>
              <w:rPr>
                <w:rFonts w:ascii="Times New Roman"/>
                <w:b w:val="false"/>
                <w:i w:val="false"/>
                <w:color w:val="000000"/>
                <w:sz w:val="20"/>
              </w:rPr>
              <w:t>
3.2.A.1.</w:t>
            </w:r>
          </w:p>
          <w:bookmarkEnd w:id="29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918"/>
          <w:p>
            <w:pPr>
              <w:spacing w:after="20"/>
              <w:ind w:left="20"/>
              <w:jc w:val="both"/>
            </w:pPr>
            <w:r>
              <w:rPr>
                <w:rFonts w:ascii="Times New Roman"/>
                <w:b w:val="false"/>
                <w:i w:val="false"/>
                <w:color w:val="000000"/>
                <w:sz w:val="20"/>
              </w:rPr>
              <w:t>
3.2.A.2.</w:t>
            </w:r>
          </w:p>
          <w:bookmarkEnd w:id="29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919"/>
          <w:p>
            <w:pPr>
              <w:spacing w:after="20"/>
              <w:ind w:left="20"/>
              <w:jc w:val="both"/>
            </w:pPr>
            <w:r>
              <w:rPr>
                <w:rFonts w:ascii="Times New Roman"/>
                <w:b w:val="false"/>
                <w:i w:val="false"/>
                <w:color w:val="000000"/>
                <w:sz w:val="20"/>
              </w:rPr>
              <w:t>
3.2.A.3.</w:t>
            </w:r>
          </w:p>
          <w:bookmarkEnd w:id="29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920"/>
          <w:p>
            <w:pPr>
              <w:spacing w:after="20"/>
              <w:ind w:left="20"/>
              <w:jc w:val="both"/>
            </w:pPr>
            <w:r>
              <w:rPr>
                <w:rFonts w:ascii="Times New Roman"/>
                <w:b w:val="false"/>
                <w:i w:val="false"/>
                <w:color w:val="000000"/>
                <w:sz w:val="20"/>
              </w:rPr>
              <w:t>
3.2.R.</w:t>
            </w:r>
          </w:p>
          <w:bookmarkEnd w:id="29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921"/>
          <w:p>
            <w:pPr>
              <w:spacing w:after="20"/>
              <w:ind w:left="20"/>
              <w:jc w:val="both"/>
            </w:pPr>
            <w:r>
              <w:rPr>
                <w:rFonts w:ascii="Times New Roman"/>
                <w:b w:val="false"/>
                <w:i w:val="false"/>
                <w:color w:val="000000"/>
                <w:sz w:val="20"/>
              </w:rPr>
              <w:t>
3.3.</w:t>
            </w:r>
          </w:p>
          <w:bookmarkEnd w:id="29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922"/>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bookmarkEnd w:id="2922"/>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923"/>
          <w:p>
            <w:pPr>
              <w:spacing w:after="20"/>
              <w:ind w:left="20"/>
              <w:jc w:val="both"/>
            </w:pPr>
            <w:r>
              <w:rPr>
                <w:rFonts w:ascii="Times New Roman"/>
                <w:b w:val="false"/>
                <w:i w:val="false"/>
                <w:color w:val="000000"/>
                <w:sz w:val="20"/>
              </w:rPr>
              <w:t>
4.1.</w:t>
            </w:r>
          </w:p>
          <w:bookmarkEnd w:id="29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924"/>
          <w:p>
            <w:pPr>
              <w:spacing w:after="20"/>
              <w:ind w:left="20"/>
              <w:jc w:val="both"/>
            </w:pPr>
            <w:r>
              <w:rPr>
                <w:rFonts w:ascii="Times New Roman"/>
                <w:b w:val="false"/>
                <w:i w:val="false"/>
                <w:color w:val="000000"/>
                <w:sz w:val="20"/>
              </w:rPr>
              <w:t>
4.2.</w:t>
            </w:r>
          </w:p>
          <w:bookmarkEnd w:id="29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925"/>
          <w:p>
            <w:pPr>
              <w:spacing w:after="20"/>
              <w:ind w:left="20"/>
              <w:jc w:val="both"/>
            </w:pPr>
            <w:r>
              <w:rPr>
                <w:rFonts w:ascii="Times New Roman"/>
                <w:b w:val="false"/>
                <w:i w:val="false"/>
                <w:color w:val="000000"/>
                <w:sz w:val="20"/>
              </w:rPr>
              <w:t>
4.2.1.</w:t>
            </w:r>
          </w:p>
          <w:bookmarkEnd w:id="29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926"/>
          <w:p>
            <w:pPr>
              <w:spacing w:after="20"/>
              <w:ind w:left="20"/>
              <w:jc w:val="both"/>
            </w:pPr>
            <w:r>
              <w:rPr>
                <w:rFonts w:ascii="Times New Roman"/>
                <w:b w:val="false"/>
                <w:i w:val="false"/>
                <w:color w:val="000000"/>
                <w:sz w:val="20"/>
              </w:rPr>
              <w:t>
4.2.2.</w:t>
            </w:r>
          </w:p>
          <w:bookmarkEnd w:id="29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927"/>
          <w:p>
            <w:pPr>
              <w:spacing w:after="20"/>
              <w:ind w:left="20"/>
              <w:jc w:val="both"/>
            </w:pPr>
            <w:r>
              <w:rPr>
                <w:rFonts w:ascii="Times New Roman"/>
                <w:b w:val="false"/>
                <w:i w:val="false"/>
                <w:color w:val="000000"/>
                <w:sz w:val="20"/>
              </w:rPr>
              <w:t>
4.2.3.</w:t>
            </w:r>
          </w:p>
          <w:bookmarkEnd w:id="29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928"/>
          <w:p>
            <w:pPr>
              <w:spacing w:after="20"/>
              <w:ind w:left="20"/>
              <w:jc w:val="both"/>
            </w:pPr>
            <w:r>
              <w:rPr>
                <w:rFonts w:ascii="Times New Roman"/>
                <w:b w:val="false"/>
                <w:i w:val="false"/>
                <w:color w:val="000000"/>
                <w:sz w:val="20"/>
              </w:rPr>
              <w:t>
4.3.</w:t>
            </w:r>
          </w:p>
          <w:bookmarkEnd w:id="29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929"/>
          <w:p>
            <w:pPr>
              <w:spacing w:after="20"/>
              <w:ind w:left="20"/>
              <w:jc w:val="both"/>
            </w:pPr>
            <w:r>
              <w:rPr>
                <w:rFonts w:ascii="Times New Roman"/>
                <w:b w:val="false"/>
                <w:i w:val="false"/>
                <w:color w:val="000000"/>
                <w:sz w:val="20"/>
              </w:rPr>
              <w:t>
МОДУЛЬ 5. ОТЧЕТЫ О КЛИНИЧЕСКИХ ИССЛЕДОВАНИЯХ</w:t>
            </w:r>
          </w:p>
          <w:bookmarkEnd w:id="2929"/>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930"/>
          <w:p>
            <w:pPr>
              <w:spacing w:after="20"/>
              <w:ind w:left="20"/>
              <w:jc w:val="both"/>
            </w:pPr>
            <w:r>
              <w:rPr>
                <w:rFonts w:ascii="Times New Roman"/>
                <w:b w:val="false"/>
                <w:i w:val="false"/>
                <w:color w:val="000000"/>
                <w:sz w:val="20"/>
              </w:rPr>
              <w:t>
5.1.</w:t>
            </w:r>
          </w:p>
          <w:bookmarkEnd w:id="29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931"/>
          <w:p>
            <w:pPr>
              <w:spacing w:after="20"/>
              <w:ind w:left="20"/>
              <w:jc w:val="both"/>
            </w:pPr>
            <w:r>
              <w:rPr>
                <w:rFonts w:ascii="Times New Roman"/>
                <w:b w:val="false"/>
                <w:i w:val="false"/>
                <w:color w:val="000000"/>
                <w:sz w:val="20"/>
              </w:rPr>
              <w:t>
5.2.</w:t>
            </w:r>
          </w:p>
          <w:bookmarkEnd w:id="29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932"/>
          <w:p>
            <w:pPr>
              <w:spacing w:after="20"/>
              <w:ind w:left="20"/>
              <w:jc w:val="both"/>
            </w:pPr>
            <w:r>
              <w:rPr>
                <w:rFonts w:ascii="Times New Roman"/>
                <w:b w:val="false"/>
                <w:i w:val="false"/>
                <w:color w:val="000000"/>
                <w:sz w:val="20"/>
              </w:rPr>
              <w:t>
5.3.</w:t>
            </w:r>
          </w:p>
          <w:bookmarkEnd w:id="29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933"/>
          <w:p>
            <w:pPr>
              <w:spacing w:after="20"/>
              <w:ind w:left="20"/>
              <w:jc w:val="both"/>
            </w:pPr>
            <w:r>
              <w:rPr>
                <w:rFonts w:ascii="Times New Roman"/>
                <w:b w:val="false"/>
                <w:i w:val="false"/>
                <w:color w:val="000000"/>
                <w:sz w:val="20"/>
              </w:rPr>
              <w:t>
5.3.1.</w:t>
            </w:r>
          </w:p>
          <w:bookmarkEnd w:id="29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934"/>
          <w:p>
            <w:pPr>
              <w:spacing w:after="20"/>
              <w:ind w:left="20"/>
              <w:jc w:val="both"/>
            </w:pPr>
            <w:r>
              <w:rPr>
                <w:rFonts w:ascii="Times New Roman"/>
                <w:b w:val="false"/>
                <w:i w:val="false"/>
                <w:color w:val="000000"/>
                <w:sz w:val="20"/>
              </w:rPr>
              <w:t>
5.3.2.</w:t>
            </w:r>
          </w:p>
          <w:bookmarkEnd w:id="29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935"/>
          <w:p>
            <w:pPr>
              <w:spacing w:after="20"/>
              <w:ind w:left="20"/>
              <w:jc w:val="both"/>
            </w:pPr>
            <w:r>
              <w:rPr>
                <w:rFonts w:ascii="Times New Roman"/>
                <w:b w:val="false"/>
                <w:i w:val="false"/>
                <w:color w:val="000000"/>
                <w:sz w:val="20"/>
              </w:rPr>
              <w:t>
5.3.3.</w:t>
            </w:r>
          </w:p>
          <w:bookmarkEnd w:id="29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936"/>
          <w:p>
            <w:pPr>
              <w:spacing w:after="20"/>
              <w:ind w:left="20"/>
              <w:jc w:val="both"/>
            </w:pPr>
            <w:r>
              <w:rPr>
                <w:rFonts w:ascii="Times New Roman"/>
                <w:b w:val="false"/>
                <w:i w:val="false"/>
                <w:color w:val="000000"/>
                <w:sz w:val="20"/>
              </w:rPr>
              <w:t>
5.3.4.</w:t>
            </w:r>
          </w:p>
          <w:bookmarkEnd w:id="29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937"/>
          <w:p>
            <w:pPr>
              <w:spacing w:after="20"/>
              <w:ind w:left="20"/>
              <w:jc w:val="both"/>
            </w:pPr>
            <w:r>
              <w:rPr>
                <w:rFonts w:ascii="Times New Roman"/>
                <w:b w:val="false"/>
                <w:i w:val="false"/>
                <w:color w:val="000000"/>
                <w:sz w:val="20"/>
              </w:rPr>
              <w:t>
5.3.5.</w:t>
            </w:r>
          </w:p>
          <w:bookmarkEnd w:id="29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938"/>
          <w:p>
            <w:pPr>
              <w:spacing w:after="20"/>
              <w:ind w:left="20"/>
              <w:jc w:val="both"/>
            </w:pPr>
            <w:r>
              <w:rPr>
                <w:rFonts w:ascii="Times New Roman"/>
                <w:b w:val="false"/>
                <w:i w:val="false"/>
                <w:color w:val="000000"/>
                <w:sz w:val="20"/>
              </w:rPr>
              <w:t>
5.3.6.</w:t>
            </w:r>
          </w:p>
          <w:bookmarkEnd w:id="29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939"/>
          <w:p>
            <w:pPr>
              <w:spacing w:after="20"/>
              <w:ind w:left="20"/>
              <w:jc w:val="both"/>
            </w:pPr>
            <w:r>
              <w:rPr>
                <w:rFonts w:ascii="Times New Roman"/>
                <w:b w:val="false"/>
                <w:i w:val="false"/>
                <w:color w:val="000000"/>
                <w:sz w:val="20"/>
              </w:rPr>
              <w:t>
5.3.7.</w:t>
            </w:r>
          </w:p>
          <w:bookmarkEnd w:id="29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940"/>
          <w:p>
            <w:pPr>
              <w:spacing w:after="20"/>
              <w:ind w:left="20"/>
              <w:jc w:val="both"/>
            </w:pPr>
            <w:r>
              <w:rPr>
                <w:rFonts w:ascii="Times New Roman"/>
                <w:b w:val="false"/>
                <w:i w:val="false"/>
                <w:color w:val="000000"/>
                <w:sz w:val="20"/>
              </w:rPr>
              <w:t>
5.4.</w:t>
            </w:r>
          </w:p>
          <w:bookmarkEnd w:id="29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857" w:id="2941"/>
    <w:p>
      <w:pPr>
        <w:spacing w:after="0"/>
        <w:ind w:left="0"/>
        <w:jc w:val="both"/>
      </w:pPr>
      <w:r>
        <w:rPr>
          <w:rFonts w:ascii="Times New Roman"/>
          <w:b w:val="false"/>
          <w:i w:val="false"/>
          <w:color w:val="000000"/>
          <w:sz w:val="28"/>
        </w:rPr>
        <w:t>
      Примечание. Используемые обозначения:</w:t>
      </w:r>
    </w:p>
    <w:bookmarkEnd w:id="2941"/>
    <w:bookmarkStart w:name="z2858" w:id="2942"/>
    <w:p>
      <w:pPr>
        <w:spacing w:after="0"/>
        <w:ind w:left="0"/>
        <w:jc w:val="both"/>
      </w:pPr>
      <w:r>
        <w:rPr>
          <w:rFonts w:ascii="Times New Roman"/>
          <w:b w:val="false"/>
          <w:i w:val="false"/>
          <w:color w:val="000000"/>
          <w:sz w:val="28"/>
        </w:rPr>
        <w:t>
      "+" - документ предоставляется в соответствии с указаниями, приведенными в части I настоящего приложения в обязательном порядке или при необходимости;</w:t>
      </w:r>
    </w:p>
    <w:bookmarkEnd w:id="2942"/>
    <w:bookmarkStart w:name="z2859" w:id="2943"/>
    <w:p>
      <w:pPr>
        <w:spacing w:after="0"/>
        <w:ind w:left="0"/>
        <w:jc w:val="both"/>
      </w:pPr>
      <w:r>
        <w:rPr>
          <w:rFonts w:ascii="Times New Roman"/>
          <w:b w:val="false"/>
          <w:i w:val="false"/>
          <w:color w:val="000000"/>
          <w:sz w:val="28"/>
        </w:rPr>
        <w:t>
      "(+)" - документ представляется при наличии;</w:t>
      </w:r>
    </w:p>
    <w:bookmarkEnd w:id="2943"/>
    <w:bookmarkStart w:name="z2860" w:id="2944"/>
    <w:p>
      <w:pPr>
        <w:spacing w:after="0"/>
        <w:ind w:left="0"/>
        <w:jc w:val="both"/>
      </w:pPr>
      <w:r>
        <w:rPr>
          <w:rFonts w:ascii="Times New Roman"/>
          <w:b w:val="false"/>
          <w:i w:val="false"/>
          <w:color w:val="000000"/>
          <w:sz w:val="28"/>
        </w:rPr>
        <w:t>
      "-" - документ не предоставляется.</w:t>
      </w:r>
    </w:p>
    <w:bookmarkEnd w:id="2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5 с изменением, внесенным Решением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62" w:id="2945"/>
    <w:p>
      <w:pPr>
        <w:spacing w:after="0"/>
        <w:ind w:left="0"/>
        <w:jc w:val="left"/>
      </w:pPr>
      <w:r>
        <w:rPr>
          <w:rFonts w:ascii="Times New Roman"/>
          <w:b/>
          <w:i w:val="false"/>
          <w:color w:val="000000"/>
        </w:rPr>
        <w:t xml:space="preserve"> СТРУКТУРА</w:t>
      </w:r>
      <w:r>
        <w:br/>
      </w:r>
      <w:r>
        <w:rPr>
          <w:rFonts w:ascii="Times New Roman"/>
          <w:b/>
          <w:i w:val="false"/>
          <w:color w:val="000000"/>
        </w:rPr>
        <w:t>ОБЩЕГО ТЕХНИЧЕСКОГО ДОКУМЕНТА ДЛЯ РЕГИСТРАЦИИ ЛЕКАРСТВЕННЫХ ПРЕПАРАТОВ МЕДИЦИНСКОГО ПРИМЕНЕНИЯ</w:t>
      </w:r>
    </w:p>
    <w:bookmarkEnd w:id="2945"/>
    <w:p>
      <w:pPr>
        <w:spacing w:after="0"/>
        <w:ind w:left="0"/>
        <w:jc w:val="both"/>
      </w:pPr>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63" w:id="2946"/>
    <w:p>
      <w:pPr>
        <w:spacing w:after="0"/>
        <w:ind w:left="0"/>
        <w:jc w:val="left"/>
      </w:pPr>
      <w:r>
        <w:rPr>
          <w:rFonts w:ascii="Times New Roman"/>
          <w:b/>
          <w:i w:val="false"/>
          <w:color w:val="000000"/>
        </w:rPr>
        <w:t xml:space="preserve"> I. Цель </w:t>
      </w:r>
    </w:p>
    <w:bookmarkEnd w:id="2946"/>
    <w:bookmarkStart w:name="z2864" w:id="2947"/>
    <w:p>
      <w:pPr>
        <w:spacing w:after="0"/>
        <w:ind w:left="0"/>
        <w:jc w:val="both"/>
      </w:pPr>
      <w:r>
        <w:rPr>
          <w:rFonts w:ascii="Times New Roman"/>
          <w:b w:val="false"/>
          <w:i w:val="false"/>
          <w:color w:val="000000"/>
          <w:sz w:val="28"/>
        </w:rPr>
        <w:t>
      Настоящий документ представляет собой согласованный государствами - членами Евразийского экономического союза (далее соответственно - государства-члены, Союз) общий формат представления должным образом структурированного общего технического документа (далее - ОТД) регистрационных досье, подаваемых уполномоченным органам государств-членов.</w:t>
      </w:r>
    </w:p>
    <w:bookmarkEnd w:id="2947"/>
    <w:bookmarkStart w:name="z2865" w:id="2948"/>
    <w:p>
      <w:pPr>
        <w:spacing w:after="0"/>
        <w:ind w:left="0"/>
        <w:jc w:val="both"/>
      </w:pPr>
      <w:r>
        <w:rPr>
          <w:rFonts w:ascii="Times New Roman"/>
          <w:b w:val="false"/>
          <w:i w:val="false"/>
          <w:color w:val="000000"/>
          <w:sz w:val="28"/>
        </w:rPr>
        <w:t>
      Общий формат технической документации существенно сокращает время и ресурсы, затрачиваемые на составление регистрационных досье на лекарственные препараты для медицинского применения, и облегчает электронное представление документов в формате общего технического документа (далее - эОТД).</w:t>
      </w:r>
    </w:p>
    <w:bookmarkEnd w:id="2948"/>
    <w:bookmarkStart w:name="z2866" w:id="2949"/>
    <w:p>
      <w:pPr>
        <w:spacing w:after="0"/>
        <w:ind w:left="0"/>
        <w:jc w:val="both"/>
      </w:pPr>
      <w:r>
        <w:rPr>
          <w:rFonts w:ascii="Times New Roman"/>
          <w:b w:val="false"/>
          <w:i w:val="false"/>
          <w:color w:val="000000"/>
          <w:sz w:val="28"/>
        </w:rPr>
        <w:t>
      При стандартизации общих элементов документации упрощаются регуляторная экспертиза и взаимодействие с заявителем. Кроме того, облегчается обмен регуляторной информацией между уполномоченными органами государств-членов.</w:t>
      </w:r>
    </w:p>
    <w:bookmarkEnd w:id="2949"/>
    <w:bookmarkStart w:name="z2867" w:id="2950"/>
    <w:p>
      <w:pPr>
        <w:spacing w:after="0"/>
        <w:ind w:left="0"/>
        <w:jc w:val="left"/>
      </w:pPr>
      <w:r>
        <w:rPr>
          <w:rFonts w:ascii="Times New Roman"/>
          <w:b/>
          <w:i w:val="false"/>
          <w:color w:val="000000"/>
        </w:rPr>
        <w:t xml:space="preserve"> II. Сфера применения </w:t>
      </w:r>
    </w:p>
    <w:bookmarkEnd w:id="2950"/>
    <w:bookmarkStart w:name="z2868" w:id="2951"/>
    <w:p>
      <w:pPr>
        <w:spacing w:after="0"/>
        <w:ind w:left="0"/>
        <w:jc w:val="both"/>
      </w:pPr>
      <w:r>
        <w:rPr>
          <w:rFonts w:ascii="Times New Roman"/>
          <w:b w:val="false"/>
          <w:i w:val="false"/>
          <w:color w:val="000000"/>
          <w:sz w:val="28"/>
        </w:rPr>
        <w:t>
      В настоящем документе рассматривается главным образом организация сведений, подлежащих подаче в составе регистрационных досье на новые лекарственные препараты (включая биотехнологические лекарственные препараты).</w:t>
      </w:r>
    </w:p>
    <w:bookmarkEnd w:id="2951"/>
    <w:bookmarkStart w:name="z2869" w:id="2952"/>
    <w:p>
      <w:pPr>
        <w:spacing w:after="0"/>
        <w:ind w:left="0"/>
        <w:jc w:val="both"/>
      </w:pPr>
      <w:r>
        <w:rPr>
          <w:rFonts w:ascii="Times New Roman"/>
          <w:b w:val="false"/>
          <w:i w:val="false"/>
          <w:color w:val="000000"/>
          <w:sz w:val="28"/>
        </w:rPr>
        <w:t>
      В настоящем документе отсутствуют разъяснения, результаты каких исследований необходимо представить. Настоящий документ лишь указывает на надлежащий формат представления полученных данных. Заявители не вправе изменять принципиальную организацию ОТД, описанную в настоящем документе. Однако в доклинических и клинических резюме заявители вправе изменить отдельные форматы, если этого требует оптимальное представление технических сведений в целях содействия пониманию и оценке результатов.</w:t>
      </w:r>
    </w:p>
    <w:bookmarkEnd w:id="2952"/>
    <w:bookmarkStart w:name="z2870" w:id="2953"/>
    <w:p>
      <w:pPr>
        <w:spacing w:after="0"/>
        <w:ind w:left="0"/>
        <w:jc w:val="left"/>
      </w:pPr>
      <w:r>
        <w:rPr>
          <w:rFonts w:ascii="Times New Roman"/>
          <w:b/>
          <w:i w:val="false"/>
          <w:color w:val="000000"/>
        </w:rPr>
        <w:t xml:space="preserve"> III. Общие принципы </w:t>
      </w:r>
    </w:p>
    <w:bookmarkEnd w:id="2953"/>
    <w:bookmarkStart w:name="z2871" w:id="2954"/>
    <w:p>
      <w:pPr>
        <w:spacing w:after="0"/>
        <w:ind w:left="0"/>
        <w:jc w:val="both"/>
      </w:pPr>
      <w:r>
        <w:rPr>
          <w:rFonts w:ascii="Times New Roman"/>
          <w:b w:val="false"/>
          <w:i w:val="false"/>
          <w:color w:val="000000"/>
          <w:sz w:val="28"/>
        </w:rPr>
        <w:t>
      В целях содействия эксперту при проведении экспертизы основных данных и помощи ему в быстрой ориентации в содержимом регистрационного досье на протяжении всего ОТД представление сведений должно быть недвусмысленным и прозрачным. Границы текста и таблиц должны позволять напечатать документ на бумаге формата A4. Левая граница должна быть достаточно большой, чтобы не повредить сведения при их прошивании (например, левая граница - 3 см, правая граница - 1,5 см, верхняя и нижняя границы - 2 см). Стиль и кегль шрифта текста и таблиц должны быть достаточно большими, чтобы обеспечивать читаемость, даже после ксерокопирования. Для повествовательного текста рекомендуется использовать шрифт Times New Roman, 12 шрифт. Каждая страница должна быть пронумерована в соответствии с разъяснительным документом (см. дополнение к настоящему документу). Сокращения и аббревиатуры следует расшифровывать при их первом упоминании в каждом модуле. Ссылки следует приводить в соответствии с действующей редакцией Единых требований к рукописям, представляемым в биомедицинские журналы, Международного комитета редакторов медицинских журналов (далее - МКРМЖ) (Первая редакция Единых требований к рукописям, подаваемым в биомедицинские журналы, была утверждена Ванкуверской группой и опубликована в 1979 г.).</w:t>
      </w:r>
    </w:p>
    <w:bookmarkEnd w:id="2954"/>
    <w:bookmarkStart w:name="z2872" w:id="2955"/>
    <w:p>
      <w:pPr>
        <w:spacing w:after="0"/>
        <w:ind w:left="0"/>
        <w:jc w:val="left"/>
      </w:pPr>
      <w:r>
        <w:rPr>
          <w:rFonts w:ascii="Times New Roman"/>
          <w:b/>
          <w:i w:val="false"/>
          <w:color w:val="000000"/>
        </w:rPr>
        <w:t xml:space="preserve"> IV. Организация общего технического документа </w:t>
      </w:r>
    </w:p>
    <w:bookmarkEnd w:id="2955"/>
    <w:bookmarkStart w:name="z2873" w:id="2956"/>
    <w:p>
      <w:pPr>
        <w:spacing w:after="0"/>
        <w:ind w:left="0"/>
        <w:jc w:val="both"/>
      </w:pPr>
      <w:r>
        <w:rPr>
          <w:rFonts w:ascii="Times New Roman"/>
          <w:b w:val="false"/>
          <w:i w:val="false"/>
          <w:color w:val="000000"/>
          <w:sz w:val="28"/>
        </w:rPr>
        <w:t>
      ОТД состоит из 5 модулей. Модуль 1 специфичен для государств-членов. Модули 2 - 5 являются общими для всех регионов. Соответствие настоящему документу должно обеспечивать представление этих 4 модулей в приемлемом для уполномоченных органов государств-членов формате.</w:t>
      </w:r>
    </w:p>
    <w:bookmarkEnd w:id="2956"/>
    <w:bookmarkStart w:name="z2874" w:id="2957"/>
    <w:p>
      <w:pPr>
        <w:spacing w:after="0"/>
        <w:ind w:left="0"/>
        <w:jc w:val="both"/>
      </w:pPr>
      <w:r>
        <w:rPr>
          <w:rFonts w:ascii="Times New Roman"/>
          <w:b w:val="false"/>
          <w:i w:val="false"/>
          <w:color w:val="000000"/>
          <w:sz w:val="28"/>
        </w:rPr>
        <w:t>
      Модуль 1. Административные сведения и информация о назначении.</w:t>
      </w:r>
    </w:p>
    <w:bookmarkEnd w:id="2957"/>
    <w:bookmarkStart w:name="z2875" w:id="2958"/>
    <w:p>
      <w:pPr>
        <w:spacing w:after="0"/>
        <w:ind w:left="0"/>
        <w:jc w:val="both"/>
      </w:pPr>
      <w:r>
        <w:rPr>
          <w:rFonts w:ascii="Times New Roman"/>
          <w:b w:val="false"/>
          <w:i w:val="false"/>
          <w:color w:val="000000"/>
          <w:sz w:val="28"/>
        </w:rPr>
        <w:t>
      Данный модуль должен содержать документы, специфичные для государств-членов, например, формы заявлений или предлагаемую информацию о применении в государствах-членах. Содержание и формат этого модуля описаны в приложении № 1 к Правилам регистрации и экспертизы лекарственных средств для медицинского применения (далее - Правила).</w:t>
      </w:r>
    </w:p>
    <w:bookmarkEnd w:id="2958"/>
    <w:bookmarkStart w:name="z2876" w:id="2959"/>
    <w:p>
      <w:pPr>
        <w:spacing w:after="0"/>
        <w:ind w:left="0"/>
        <w:jc w:val="both"/>
      </w:pPr>
      <w:r>
        <w:rPr>
          <w:rFonts w:ascii="Times New Roman"/>
          <w:b w:val="false"/>
          <w:i w:val="false"/>
          <w:color w:val="000000"/>
          <w:sz w:val="28"/>
        </w:rPr>
        <w:t>
      Модуль 2. Резюме ОТД.</w:t>
      </w:r>
    </w:p>
    <w:bookmarkEnd w:id="2959"/>
    <w:bookmarkStart w:name="z2877" w:id="2960"/>
    <w:p>
      <w:pPr>
        <w:spacing w:after="0"/>
        <w:ind w:left="0"/>
        <w:jc w:val="both"/>
      </w:pPr>
      <w:r>
        <w:rPr>
          <w:rFonts w:ascii="Times New Roman"/>
          <w:b w:val="false"/>
          <w:i w:val="false"/>
          <w:color w:val="000000"/>
          <w:sz w:val="28"/>
        </w:rPr>
        <w:t>
      Модуль 2 должен начинаться с общего введения к лекарственному препарату, включая фармакологический класс, механизм действия и предполагаемое клиническое применение. Введение в целом не должно превышать одну страницу.</w:t>
      </w:r>
    </w:p>
    <w:bookmarkEnd w:id="2960"/>
    <w:bookmarkStart w:name="z2878" w:id="2961"/>
    <w:p>
      <w:pPr>
        <w:spacing w:after="0"/>
        <w:ind w:left="0"/>
        <w:jc w:val="both"/>
      </w:pPr>
      <w:r>
        <w:rPr>
          <w:rFonts w:ascii="Times New Roman"/>
          <w:b w:val="false"/>
          <w:i w:val="false"/>
          <w:color w:val="000000"/>
          <w:sz w:val="28"/>
        </w:rPr>
        <w:t>
      Модуль 2 должен содержать 7 следующих разделов в указанном порядке:</w:t>
      </w:r>
    </w:p>
    <w:bookmarkEnd w:id="2961"/>
    <w:bookmarkStart w:name="z2879" w:id="2962"/>
    <w:p>
      <w:pPr>
        <w:spacing w:after="0"/>
        <w:ind w:left="0"/>
        <w:jc w:val="both"/>
      </w:pPr>
      <w:r>
        <w:rPr>
          <w:rFonts w:ascii="Times New Roman"/>
          <w:b w:val="false"/>
          <w:i w:val="false"/>
          <w:color w:val="000000"/>
          <w:sz w:val="28"/>
        </w:rPr>
        <w:t>
      содержание ОТД;</w:t>
      </w:r>
    </w:p>
    <w:bookmarkEnd w:id="2962"/>
    <w:bookmarkStart w:name="z2880" w:id="2963"/>
    <w:p>
      <w:pPr>
        <w:spacing w:after="0"/>
        <w:ind w:left="0"/>
        <w:jc w:val="both"/>
      </w:pPr>
      <w:r>
        <w:rPr>
          <w:rFonts w:ascii="Times New Roman"/>
          <w:b w:val="false"/>
          <w:i w:val="false"/>
          <w:color w:val="000000"/>
          <w:sz w:val="28"/>
        </w:rPr>
        <w:t>
      введение к ОТД;</w:t>
      </w:r>
    </w:p>
    <w:bookmarkEnd w:id="2963"/>
    <w:bookmarkStart w:name="z2881" w:id="2964"/>
    <w:p>
      <w:pPr>
        <w:spacing w:after="0"/>
        <w:ind w:left="0"/>
        <w:jc w:val="both"/>
      </w:pPr>
      <w:r>
        <w:rPr>
          <w:rFonts w:ascii="Times New Roman"/>
          <w:b w:val="false"/>
          <w:i w:val="false"/>
          <w:color w:val="000000"/>
          <w:sz w:val="28"/>
        </w:rPr>
        <w:t>
      сводное резюме по качеству;</w:t>
      </w:r>
    </w:p>
    <w:bookmarkEnd w:id="2964"/>
    <w:bookmarkStart w:name="z2882" w:id="2965"/>
    <w:p>
      <w:pPr>
        <w:spacing w:after="0"/>
        <w:ind w:left="0"/>
        <w:jc w:val="both"/>
      </w:pPr>
      <w:r>
        <w:rPr>
          <w:rFonts w:ascii="Times New Roman"/>
          <w:b w:val="false"/>
          <w:i w:val="false"/>
          <w:color w:val="000000"/>
          <w:sz w:val="28"/>
        </w:rPr>
        <w:t>
      доклинический обзор;</w:t>
      </w:r>
    </w:p>
    <w:bookmarkEnd w:id="2965"/>
    <w:bookmarkStart w:name="z2883" w:id="2966"/>
    <w:p>
      <w:pPr>
        <w:spacing w:after="0"/>
        <w:ind w:left="0"/>
        <w:jc w:val="both"/>
      </w:pPr>
      <w:r>
        <w:rPr>
          <w:rFonts w:ascii="Times New Roman"/>
          <w:b w:val="false"/>
          <w:i w:val="false"/>
          <w:color w:val="000000"/>
          <w:sz w:val="28"/>
        </w:rPr>
        <w:t>
      клинический обзор;</w:t>
      </w:r>
    </w:p>
    <w:bookmarkEnd w:id="2966"/>
    <w:bookmarkStart w:name="z2884" w:id="2967"/>
    <w:p>
      <w:pPr>
        <w:spacing w:after="0"/>
        <w:ind w:left="0"/>
        <w:jc w:val="both"/>
      </w:pPr>
      <w:r>
        <w:rPr>
          <w:rFonts w:ascii="Times New Roman"/>
          <w:b w:val="false"/>
          <w:i w:val="false"/>
          <w:color w:val="000000"/>
          <w:sz w:val="28"/>
        </w:rPr>
        <w:t>
      доклинические повествовательные и табличные резюме;</w:t>
      </w:r>
    </w:p>
    <w:bookmarkEnd w:id="2967"/>
    <w:bookmarkStart w:name="z2885" w:id="2968"/>
    <w:p>
      <w:pPr>
        <w:spacing w:after="0"/>
        <w:ind w:left="0"/>
        <w:jc w:val="both"/>
      </w:pPr>
      <w:r>
        <w:rPr>
          <w:rFonts w:ascii="Times New Roman"/>
          <w:b w:val="false"/>
          <w:i w:val="false"/>
          <w:color w:val="000000"/>
          <w:sz w:val="28"/>
        </w:rPr>
        <w:t>
      клинический обзор.</w:t>
      </w:r>
    </w:p>
    <w:bookmarkEnd w:id="2968"/>
    <w:bookmarkStart w:name="z2886" w:id="2969"/>
    <w:p>
      <w:pPr>
        <w:spacing w:after="0"/>
        <w:ind w:left="0"/>
        <w:jc w:val="both"/>
      </w:pPr>
      <w:r>
        <w:rPr>
          <w:rFonts w:ascii="Times New Roman"/>
          <w:b w:val="false"/>
          <w:i w:val="false"/>
          <w:color w:val="000000"/>
          <w:sz w:val="28"/>
        </w:rPr>
        <w:t>
      Описание этих резюме приведено в приложении № 1 к Правилам.</w:t>
      </w:r>
    </w:p>
    <w:bookmarkEnd w:id="2969"/>
    <w:bookmarkStart w:name="z2887" w:id="2970"/>
    <w:p>
      <w:pPr>
        <w:spacing w:after="0"/>
        <w:ind w:left="0"/>
        <w:jc w:val="both"/>
      </w:pPr>
      <w:r>
        <w:rPr>
          <w:rFonts w:ascii="Times New Roman"/>
          <w:b w:val="false"/>
          <w:i w:val="false"/>
          <w:color w:val="000000"/>
          <w:sz w:val="28"/>
        </w:rPr>
        <w:t>
      Модуль 3. Качество.</w:t>
      </w:r>
    </w:p>
    <w:bookmarkEnd w:id="2970"/>
    <w:bookmarkStart w:name="z2888" w:id="2971"/>
    <w:p>
      <w:pPr>
        <w:spacing w:after="0"/>
        <w:ind w:left="0"/>
        <w:jc w:val="both"/>
      </w:pPr>
      <w:r>
        <w:rPr>
          <w:rFonts w:ascii="Times New Roman"/>
          <w:b w:val="false"/>
          <w:i w:val="false"/>
          <w:color w:val="000000"/>
          <w:sz w:val="28"/>
        </w:rPr>
        <w:t>
      Сведения о качестве необходимо представить в структурированном формате в соответствии с приложением № 1 к Правилам.</w:t>
      </w:r>
    </w:p>
    <w:bookmarkEnd w:id="2971"/>
    <w:bookmarkStart w:name="z2889" w:id="2972"/>
    <w:p>
      <w:pPr>
        <w:spacing w:after="0"/>
        <w:ind w:left="0"/>
        <w:jc w:val="both"/>
      </w:pPr>
      <w:r>
        <w:rPr>
          <w:rFonts w:ascii="Times New Roman"/>
          <w:b w:val="false"/>
          <w:i w:val="false"/>
          <w:color w:val="000000"/>
          <w:sz w:val="28"/>
        </w:rPr>
        <w:t>
      Модуль 4. Отчеты о доклинических исследованиях.</w:t>
      </w:r>
    </w:p>
    <w:bookmarkEnd w:id="2972"/>
    <w:bookmarkStart w:name="z2890" w:id="2973"/>
    <w:p>
      <w:pPr>
        <w:spacing w:after="0"/>
        <w:ind w:left="0"/>
        <w:jc w:val="both"/>
      </w:pPr>
      <w:r>
        <w:rPr>
          <w:rFonts w:ascii="Times New Roman"/>
          <w:b w:val="false"/>
          <w:i w:val="false"/>
          <w:color w:val="000000"/>
          <w:sz w:val="28"/>
        </w:rPr>
        <w:t>
      Отчеты о доклинических исследованиях необходимо представить в порядке, описанном в приложении № 1 к Правилам.</w:t>
      </w:r>
    </w:p>
    <w:bookmarkEnd w:id="2973"/>
    <w:bookmarkStart w:name="z2891" w:id="2974"/>
    <w:p>
      <w:pPr>
        <w:spacing w:after="0"/>
        <w:ind w:left="0"/>
        <w:jc w:val="both"/>
      </w:pPr>
      <w:r>
        <w:rPr>
          <w:rFonts w:ascii="Times New Roman"/>
          <w:b w:val="false"/>
          <w:i w:val="false"/>
          <w:color w:val="000000"/>
          <w:sz w:val="28"/>
        </w:rPr>
        <w:t>
      Модуль 5. Отчеты о клинических исследованиях.</w:t>
      </w:r>
    </w:p>
    <w:bookmarkEnd w:id="2974"/>
    <w:bookmarkStart w:name="z2892" w:id="2975"/>
    <w:p>
      <w:pPr>
        <w:spacing w:after="0"/>
        <w:ind w:left="0"/>
        <w:jc w:val="both"/>
      </w:pPr>
      <w:r>
        <w:rPr>
          <w:rFonts w:ascii="Times New Roman"/>
          <w:b w:val="false"/>
          <w:i w:val="false"/>
          <w:color w:val="000000"/>
          <w:sz w:val="28"/>
        </w:rPr>
        <w:t>
      Отчеты об исследованиях у человека и связанные сведения необходимо представить в порядке, описанном в приложении № 1 к Правилам.</w:t>
      </w:r>
    </w:p>
    <w:bookmarkEnd w:id="2975"/>
    <w:bookmarkStart w:name="z2893" w:id="2976"/>
    <w:p>
      <w:pPr>
        <w:spacing w:after="0"/>
        <w:ind w:left="0"/>
        <w:jc w:val="both"/>
      </w:pPr>
      <w:r>
        <w:rPr>
          <w:rFonts w:ascii="Times New Roman"/>
          <w:b w:val="false"/>
          <w:i w:val="false"/>
          <w:color w:val="000000"/>
          <w:sz w:val="28"/>
        </w:rPr>
        <w:t>
      Далее представлена общая организация ОТД (эОТД).</w:t>
      </w:r>
    </w:p>
    <w:bookmarkEnd w:id="2976"/>
    <w:bookmarkStart w:name="z2894" w:id="2977"/>
    <w:p>
      <w:pPr>
        <w:spacing w:after="0"/>
        <w:ind w:left="0"/>
        <w:jc w:val="left"/>
      </w:pPr>
      <w:r>
        <w:rPr>
          <w:rFonts w:ascii="Times New Roman"/>
          <w:b/>
          <w:i w:val="false"/>
          <w:color w:val="000000"/>
        </w:rPr>
        <w:t xml:space="preserve"> V. СХЕМАТИЧЕСКОЕ ПРЕДСТАВЛЕНИЕ ОРГАНИЗАЦИИ ОТД </w:t>
      </w:r>
    </w:p>
    <w:bookmarkEnd w:id="2977"/>
    <w:bookmarkStart w:name="z2895" w:id="2978"/>
    <w:p>
      <w:pPr>
        <w:spacing w:after="0"/>
        <w:ind w:left="0"/>
        <w:jc w:val="both"/>
      </w:pPr>
      <w:r>
        <w:rPr>
          <w:rFonts w:ascii="Times New Roman"/>
          <w:b w:val="false"/>
          <w:i w:val="false"/>
          <w:color w:val="000000"/>
          <w:sz w:val="28"/>
        </w:rPr>
        <w:t xml:space="preserve">
      </w:t>
      </w:r>
    </w:p>
    <w:bookmarkEnd w:id="29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96" w:id="2979"/>
    <w:p>
      <w:pPr>
        <w:spacing w:after="0"/>
        <w:ind w:left="0"/>
        <w:jc w:val="left"/>
      </w:pPr>
      <w:r>
        <w:rPr>
          <w:rFonts w:ascii="Times New Roman"/>
          <w:b/>
          <w:i w:val="false"/>
          <w:color w:val="000000"/>
        </w:rPr>
        <w:t xml:space="preserve"> VI. Организация ОТД для регистрации лекарственных </w:t>
      </w:r>
      <w:r>
        <w:br/>
      </w:r>
      <w:r>
        <w:rPr>
          <w:rFonts w:ascii="Times New Roman"/>
          <w:b/>
          <w:i w:val="false"/>
          <w:color w:val="000000"/>
        </w:rPr>
        <w:t>препаратов для медицинского применения</w:t>
      </w:r>
    </w:p>
    <w:bookmarkEnd w:id="2979"/>
    <w:p>
      <w:pPr>
        <w:spacing w:after="0"/>
        <w:ind w:left="0"/>
        <w:jc w:val="both"/>
      </w:pPr>
      <w:r>
        <w:rPr>
          <w:rFonts w:ascii="Times New Roman"/>
          <w:b w:val="false"/>
          <w:i w:val="false"/>
          <w:color w:val="ff0000"/>
          <w:sz w:val="28"/>
        </w:rPr>
        <w:t xml:space="preserve">
      Сноска. Раздел в редакции Решением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376" w:id="2980"/>
    <w:p>
      <w:pPr>
        <w:spacing w:after="0"/>
        <w:ind w:left="0"/>
        <w:jc w:val="both"/>
      </w:pPr>
      <w:r>
        <w:rPr>
          <w:rFonts w:ascii="Times New Roman"/>
          <w:b w:val="false"/>
          <w:i w:val="false"/>
          <w:color w:val="000000"/>
          <w:sz w:val="28"/>
        </w:rPr>
        <w:t>
      Модуль 1. Административная информация</w:t>
      </w:r>
    </w:p>
    <w:bookmarkEnd w:id="2980"/>
    <w:bookmarkStart w:name="z9377" w:id="2981"/>
    <w:p>
      <w:pPr>
        <w:spacing w:after="0"/>
        <w:ind w:left="0"/>
        <w:jc w:val="both"/>
      </w:pPr>
      <w:r>
        <w:rPr>
          <w:rFonts w:ascii="Times New Roman"/>
          <w:b w:val="false"/>
          <w:i w:val="false"/>
          <w:color w:val="000000"/>
          <w:sz w:val="28"/>
        </w:rPr>
        <w:t>
      1.1. Содержание</w:t>
      </w:r>
    </w:p>
    <w:bookmarkEnd w:id="2981"/>
    <w:bookmarkStart w:name="z9378" w:id="2982"/>
    <w:p>
      <w:pPr>
        <w:spacing w:after="0"/>
        <w:ind w:left="0"/>
        <w:jc w:val="both"/>
      </w:pPr>
      <w:r>
        <w:rPr>
          <w:rFonts w:ascii="Times New Roman"/>
          <w:b w:val="false"/>
          <w:i w:val="false"/>
          <w:color w:val="000000"/>
          <w:sz w:val="28"/>
        </w:rPr>
        <w:t>
      1.2. Общая документация</w:t>
      </w:r>
    </w:p>
    <w:bookmarkEnd w:id="2982"/>
    <w:bookmarkStart w:name="z9379" w:id="2983"/>
    <w:p>
      <w:pPr>
        <w:spacing w:after="0"/>
        <w:ind w:left="0"/>
        <w:jc w:val="both"/>
      </w:pPr>
      <w:r>
        <w:rPr>
          <w:rFonts w:ascii="Times New Roman"/>
          <w:b w:val="false"/>
          <w:i w:val="false"/>
          <w:color w:val="000000"/>
          <w:sz w:val="28"/>
        </w:rPr>
        <w:t>
      Модуль 2. Резюме общего технического документа</w:t>
      </w:r>
    </w:p>
    <w:bookmarkEnd w:id="2983"/>
    <w:bookmarkStart w:name="z9380" w:id="2984"/>
    <w:p>
      <w:pPr>
        <w:spacing w:after="0"/>
        <w:ind w:left="0"/>
        <w:jc w:val="both"/>
      </w:pPr>
      <w:r>
        <w:rPr>
          <w:rFonts w:ascii="Times New Roman"/>
          <w:b w:val="false"/>
          <w:i w:val="false"/>
          <w:color w:val="000000"/>
          <w:sz w:val="28"/>
        </w:rPr>
        <w:t>
      2.1. Содержание модулей 2 – 5</w:t>
      </w:r>
    </w:p>
    <w:bookmarkEnd w:id="2984"/>
    <w:bookmarkStart w:name="z9381" w:id="2985"/>
    <w:p>
      <w:pPr>
        <w:spacing w:after="0"/>
        <w:ind w:left="0"/>
        <w:jc w:val="both"/>
      </w:pPr>
      <w:r>
        <w:rPr>
          <w:rFonts w:ascii="Times New Roman"/>
          <w:b w:val="false"/>
          <w:i w:val="false"/>
          <w:color w:val="000000"/>
          <w:sz w:val="28"/>
        </w:rPr>
        <w:t>
      2.2. Введение в ОТД</w:t>
      </w:r>
    </w:p>
    <w:bookmarkEnd w:id="2985"/>
    <w:bookmarkStart w:name="z9382" w:id="2986"/>
    <w:p>
      <w:pPr>
        <w:spacing w:after="0"/>
        <w:ind w:left="0"/>
        <w:jc w:val="both"/>
      </w:pPr>
      <w:r>
        <w:rPr>
          <w:rFonts w:ascii="Times New Roman"/>
          <w:b w:val="false"/>
          <w:i w:val="false"/>
          <w:color w:val="000000"/>
          <w:sz w:val="28"/>
        </w:rPr>
        <w:t>
      2.3. Общее резюме по качеству</w:t>
      </w:r>
    </w:p>
    <w:bookmarkEnd w:id="2986"/>
    <w:bookmarkStart w:name="z9383" w:id="2987"/>
    <w:p>
      <w:pPr>
        <w:spacing w:after="0"/>
        <w:ind w:left="0"/>
        <w:jc w:val="both"/>
      </w:pPr>
      <w:r>
        <w:rPr>
          <w:rFonts w:ascii="Times New Roman"/>
          <w:b w:val="false"/>
          <w:i w:val="false"/>
          <w:color w:val="000000"/>
          <w:sz w:val="28"/>
        </w:rPr>
        <w:t>
      2.4. Обзор доклинических данных</w:t>
      </w:r>
    </w:p>
    <w:bookmarkEnd w:id="2987"/>
    <w:bookmarkStart w:name="z9384" w:id="2988"/>
    <w:p>
      <w:pPr>
        <w:spacing w:after="0"/>
        <w:ind w:left="0"/>
        <w:jc w:val="both"/>
      </w:pPr>
      <w:r>
        <w:rPr>
          <w:rFonts w:ascii="Times New Roman"/>
          <w:b w:val="false"/>
          <w:i w:val="false"/>
          <w:color w:val="000000"/>
          <w:sz w:val="28"/>
        </w:rPr>
        <w:t>
      2.5. Обзор клинических данных</w:t>
      </w:r>
    </w:p>
    <w:bookmarkEnd w:id="2988"/>
    <w:bookmarkStart w:name="z9385" w:id="2989"/>
    <w:p>
      <w:pPr>
        <w:spacing w:after="0"/>
        <w:ind w:left="0"/>
        <w:jc w:val="both"/>
      </w:pPr>
      <w:r>
        <w:rPr>
          <w:rFonts w:ascii="Times New Roman"/>
          <w:b w:val="false"/>
          <w:i w:val="false"/>
          <w:color w:val="000000"/>
          <w:sz w:val="28"/>
        </w:rPr>
        <w:t>
      2.6. Резюме доклинических исследований</w:t>
      </w:r>
    </w:p>
    <w:bookmarkEnd w:id="2989"/>
    <w:bookmarkStart w:name="z9386" w:id="2990"/>
    <w:p>
      <w:pPr>
        <w:spacing w:after="0"/>
        <w:ind w:left="0"/>
        <w:jc w:val="both"/>
      </w:pPr>
      <w:r>
        <w:rPr>
          <w:rFonts w:ascii="Times New Roman"/>
          <w:b w:val="false"/>
          <w:i w:val="false"/>
          <w:color w:val="000000"/>
          <w:sz w:val="28"/>
        </w:rPr>
        <w:t xml:space="preserve">
      Резюме фармакологических исследований </w:t>
      </w:r>
    </w:p>
    <w:bookmarkEnd w:id="2990"/>
    <w:bookmarkStart w:name="z9387" w:id="2991"/>
    <w:p>
      <w:pPr>
        <w:spacing w:after="0"/>
        <w:ind w:left="0"/>
        <w:jc w:val="both"/>
      </w:pPr>
      <w:r>
        <w:rPr>
          <w:rFonts w:ascii="Times New Roman"/>
          <w:b w:val="false"/>
          <w:i w:val="false"/>
          <w:color w:val="000000"/>
          <w:sz w:val="28"/>
        </w:rPr>
        <w:t>
      Резюме фармакокинетических исследований</w:t>
      </w:r>
    </w:p>
    <w:bookmarkEnd w:id="2991"/>
    <w:bookmarkStart w:name="z9388" w:id="2992"/>
    <w:p>
      <w:pPr>
        <w:spacing w:after="0"/>
        <w:ind w:left="0"/>
        <w:jc w:val="both"/>
      </w:pPr>
      <w:r>
        <w:rPr>
          <w:rFonts w:ascii="Times New Roman"/>
          <w:b w:val="false"/>
          <w:i w:val="false"/>
          <w:color w:val="000000"/>
          <w:sz w:val="28"/>
        </w:rPr>
        <w:t>
      Резюме токсикологических исследований</w:t>
      </w:r>
    </w:p>
    <w:bookmarkEnd w:id="2992"/>
    <w:bookmarkStart w:name="z9389" w:id="2993"/>
    <w:p>
      <w:pPr>
        <w:spacing w:after="0"/>
        <w:ind w:left="0"/>
        <w:jc w:val="both"/>
      </w:pPr>
      <w:r>
        <w:rPr>
          <w:rFonts w:ascii="Times New Roman"/>
          <w:b w:val="false"/>
          <w:i w:val="false"/>
          <w:color w:val="000000"/>
          <w:sz w:val="28"/>
        </w:rPr>
        <w:t>
      2.7. Резюме клинических исследований</w:t>
      </w:r>
    </w:p>
    <w:bookmarkEnd w:id="2993"/>
    <w:bookmarkStart w:name="z9390" w:id="2994"/>
    <w:p>
      <w:pPr>
        <w:spacing w:after="0"/>
        <w:ind w:left="0"/>
        <w:jc w:val="both"/>
      </w:pPr>
      <w:r>
        <w:rPr>
          <w:rFonts w:ascii="Times New Roman"/>
          <w:b w:val="false"/>
          <w:i w:val="false"/>
          <w:color w:val="000000"/>
          <w:sz w:val="28"/>
        </w:rPr>
        <w:t>
      Резюме биофармацевтических исследований и связанных с ними аналитических методов</w:t>
      </w:r>
    </w:p>
    <w:bookmarkEnd w:id="2994"/>
    <w:bookmarkStart w:name="z9391" w:id="2995"/>
    <w:p>
      <w:pPr>
        <w:spacing w:after="0"/>
        <w:ind w:left="0"/>
        <w:jc w:val="both"/>
      </w:pPr>
      <w:r>
        <w:rPr>
          <w:rFonts w:ascii="Times New Roman"/>
          <w:b w:val="false"/>
          <w:i w:val="false"/>
          <w:color w:val="000000"/>
          <w:sz w:val="28"/>
        </w:rPr>
        <w:t>
      Резюме исследований по клинической фармакологии</w:t>
      </w:r>
    </w:p>
    <w:bookmarkEnd w:id="2995"/>
    <w:bookmarkStart w:name="z9392" w:id="2996"/>
    <w:p>
      <w:pPr>
        <w:spacing w:after="0"/>
        <w:ind w:left="0"/>
        <w:jc w:val="both"/>
      </w:pPr>
      <w:r>
        <w:rPr>
          <w:rFonts w:ascii="Times New Roman"/>
          <w:b w:val="false"/>
          <w:i w:val="false"/>
          <w:color w:val="000000"/>
          <w:sz w:val="28"/>
        </w:rPr>
        <w:t>
      Резюме по клинической эффективности</w:t>
      </w:r>
    </w:p>
    <w:bookmarkEnd w:id="2996"/>
    <w:bookmarkStart w:name="z9393" w:id="2997"/>
    <w:p>
      <w:pPr>
        <w:spacing w:after="0"/>
        <w:ind w:left="0"/>
        <w:jc w:val="both"/>
      </w:pPr>
      <w:r>
        <w:rPr>
          <w:rFonts w:ascii="Times New Roman"/>
          <w:b w:val="false"/>
          <w:i w:val="false"/>
          <w:color w:val="000000"/>
          <w:sz w:val="28"/>
        </w:rPr>
        <w:t>
      Резюме по клинической безопасности</w:t>
      </w:r>
    </w:p>
    <w:bookmarkEnd w:id="2997"/>
    <w:bookmarkStart w:name="z9394" w:id="2998"/>
    <w:p>
      <w:pPr>
        <w:spacing w:after="0"/>
        <w:ind w:left="0"/>
        <w:jc w:val="both"/>
      </w:pPr>
      <w:r>
        <w:rPr>
          <w:rFonts w:ascii="Times New Roman"/>
          <w:b w:val="false"/>
          <w:i w:val="false"/>
          <w:color w:val="000000"/>
          <w:sz w:val="28"/>
        </w:rPr>
        <w:t>
      Копии использованных литературных источников</w:t>
      </w:r>
    </w:p>
    <w:bookmarkEnd w:id="2998"/>
    <w:bookmarkStart w:name="z9395" w:id="2999"/>
    <w:p>
      <w:pPr>
        <w:spacing w:after="0"/>
        <w:ind w:left="0"/>
        <w:jc w:val="both"/>
      </w:pPr>
      <w:r>
        <w:rPr>
          <w:rFonts w:ascii="Times New Roman"/>
          <w:b w:val="false"/>
          <w:i w:val="false"/>
          <w:color w:val="000000"/>
          <w:sz w:val="28"/>
        </w:rPr>
        <w:t>
      Краткий обзор индивидуальных исследований</w:t>
      </w:r>
    </w:p>
    <w:bookmarkEnd w:id="2999"/>
    <w:bookmarkStart w:name="z9396" w:id="3000"/>
    <w:p>
      <w:pPr>
        <w:spacing w:after="0"/>
        <w:ind w:left="0"/>
        <w:jc w:val="both"/>
      </w:pPr>
      <w:r>
        <w:rPr>
          <w:rFonts w:ascii="Times New Roman"/>
          <w:b w:val="false"/>
          <w:i w:val="false"/>
          <w:color w:val="000000"/>
          <w:sz w:val="28"/>
        </w:rPr>
        <w:t>
      Модуль 3. Качество</w:t>
      </w:r>
    </w:p>
    <w:bookmarkEnd w:id="3000"/>
    <w:bookmarkStart w:name="z9397" w:id="3001"/>
    <w:p>
      <w:pPr>
        <w:spacing w:after="0"/>
        <w:ind w:left="0"/>
        <w:jc w:val="both"/>
      </w:pPr>
      <w:r>
        <w:rPr>
          <w:rFonts w:ascii="Times New Roman"/>
          <w:b w:val="false"/>
          <w:i w:val="false"/>
          <w:color w:val="000000"/>
          <w:sz w:val="28"/>
        </w:rPr>
        <w:t>
      3.1. Содержание модуля 3</w:t>
      </w:r>
    </w:p>
    <w:bookmarkEnd w:id="3001"/>
    <w:bookmarkStart w:name="z9398" w:id="3002"/>
    <w:p>
      <w:pPr>
        <w:spacing w:after="0"/>
        <w:ind w:left="0"/>
        <w:jc w:val="both"/>
      </w:pPr>
      <w:r>
        <w:rPr>
          <w:rFonts w:ascii="Times New Roman"/>
          <w:b w:val="false"/>
          <w:i w:val="false"/>
          <w:color w:val="000000"/>
          <w:sz w:val="28"/>
        </w:rPr>
        <w:t>
      3.2. Основные сведения</w:t>
      </w:r>
    </w:p>
    <w:bookmarkEnd w:id="3002"/>
    <w:bookmarkStart w:name="z9399" w:id="3003"/>
    <w:p>
      <w:pPr>
        <w:spacing w:after="0"/>
        <w:ind w:left="0"/>
        <w:jc w:val="both"/>
      </w:pPr>
      <w:r>
        <w:rPr>
          <w:rFonts w:ascii="Times New Roman"/>
          <w:b w:val="false"/>
          <w:i w:val="false"/>
          <w:color w:val="000000"/>
          <w:sz w:val="28"/>
        </w:rPr>
        <w:t>
      3.3. Копии использованных литературных источников</w:t>
      </w:r>
    </w:p>
    <w:bookmarkEnd w:id="3003"/>
    <w:bookmarkStart w:name="z9400" w:id="3004"/>
    <w:p>
      <w:pPr>
        <w:spacing w:after="0"/>
        <w:ind w:left="0"/>
        <w:jc w:val="both"/>
      </w:pPr>
      <w:r>
        <w:rPr>
          <w:rFonts w:ascii="Times New Roman"/>
          <w:b w:val="false"/>
          <w:i w:val="false"/>
          <w:color w:val="000000"/>
          <w:sz w:val="28"/>
        </w:rPr>
        <w:t>
      Модуль 4. Отчеты о доклинических (неклинических) исследованиях</w:t>
      </w:r>
    </w:p>
    <w:bookmarkEnd w:id="3004"/>
    <w:bookmarkStart w:name="z9401" w:id="3005"/>
    <w:p>
      <w:pPr>
        <w:spacing w:after="0"/>
        <w:ind w:left="0"/>
        <w:jc w:val="both"/>
      </w:pPr>
      <w:r>
        <w:rPr>
          <w:rFonts w:ascii="Times New Roman"/>
          <w:b w:val="false"/>
          <w:i w:val="false"/>
          <w:color w:val="000000"/>
          <w:sz w:val="28"/>
        </w:rPr>
        <w:t>
      4.1. Содержание модуля 4</w:t>
      </w:r>
    </w:p>
    <w:bookmarkEnd w:id="3005"/>
    <w:bookmarkStart w:name="z9402" w:id="3006"/>
    <w:p>
      <w:pPr>
        <w:spacing w:after="0"/>
        <w:ind w:left="0"/>
        <w:jc w:val="both"/>
      </w:pPr>
      <w:r>
        <w:rPr>
          <w:rFonts w:ascii="Times New Roman"/>
          <w:b w:val="false"/>
          <w:i w:val="false"/>
          <w:color w:val="000000"/>
          <w:sz w:val="28"/>
        </w:rPr>
        <w:t xml:space="preserve">
      4.2. Отчеты об исследованиях </w:t>
      </w:r>
    </w:p>
    <w:bookmarkEnd w:id="3006"/>
    <w:bookmarkStart w:name="z9403" w:id="3007"/>
    <w:p>
      <w:pPr>
        <w:spacing w:after="0"/>
        <w:ind w:left="0"/>
        <w:jc w:val="both"/>
      </w:pPr>
      <w:r>
        <w:rPr>
          <w:rFonts w:ascii="Times New Roman"/>
          <w:b w:val="false"/>
          <w:i w:val="false"/>
          <w:color w:val="000000"/>
          <w:sz w:val="28"/>
        </w:rPr>
        <w:t>
      4.3. Копии использованных литературных источников</w:t>
      </w:r>
    </w:p>
    <w:bookmarkEnd w:id="3007"/>
    <w:bookmarkStart w:name="z9404" w:id="3008"/>
    <w:p>
      <w:pPr>
        <w:spacing w:after="0"/>
        <w:ind w:left="0"/>
        <w:jc w:val="both"/>
      </w:pPr>
      <w:r>
        <w:rPr>
          <w:rFonts w:ascii="Times New Roman"/>
          <w:b w:val="false"/>
          <w:i w:val="false"/>
          <w:color w:val="000000"/>
          <w:sz w:val="28"/>
        </w:rPr>
        <w:t>
      Модуль 5. Отчеты о клинических исследованиях</w:t>
      </w:r>
    </w:p>
    <w:bookmarkEnd w:id="3008"/>
    <w:bookmarkStart w:name="z9405" w:id="3009"/>
    <w:p>
      <w:pPr>
        <w:spacing w:after="0"/>
        <w:ind w:left="0"/>
        <w:jc w:val="both"/>
      </w:pPr>
      <w:r>
        <w:rPr>
          <w:rFonts w:ascii="Times New Roman"/>
          <w:b w:val="false"/>
          <w:i w:val="false"/>
          <w:color w:val="000000"/>
          <w:sz w:val="28"/>
        </w:rPr>
        <w:t>
      5.1. Содержание модуля 5</w:t>
      </w:r>
    </w:p>
    <w:bookmarkEnd w:id="3009"/>
    <w:bookmarkStart w:name="z9406" w:id="3010"/>
    <w:p>
      <w:pPr>
        <w:spacing w:after="0"/>
        <w:ind w:left="0"/>
        <w:jc w:val="both"/>
      </w:pPr>
      <w:r>
        <w:rPr>
          <w:rFonts w:ascii="Times New Roman"/>
          <w:b w:val="false"/>
          <w:i w:val="false"/>
          <w:color w:val="000000"/>
          <w:sz w:val="28"/>
        </w:rPr>
        <w:t>
      5.2. Перечень всех клинических исследований (испытаний) в виде таблиц</w:t>
      </w:r>
    </w:p>
    <w:bookmarkEnd w:id="3010"/>
    <w:bookmarkStart w:name="z9407" w:id="3011"/>
    <w:p>
      <w:pPr>
        <w:spacing w:after="0"/>
        <w:ind w:left="0"/>
        <w:jc w:val="both"/>
      </w:pPr>
      <w:r>
        <w:rPr>
          <w:rFonts w:ascii="Times New Roman"/>
          <w:b w:val="false"/>
          <w:i w:val="false"/>
          <w:color w:val="000000"/>
          <w:sz w:val="28"/>
        </w:rPr>
        <w:t>
      5.3. Отчеты о клинических исследованиях (испытаниях)</w:t>
      </w:r>
    </w:p>
    <w:bookmarkEnd w:id="3011"/>
    <w:bookmarkStart w:name="z9408" w:id="3012"/>
    <w:p>
      <w:pPr>
        <w:spacing w:after="0"/>
        <w:ind w:left="0"/>
        <w:jc w:val="both"/>
      </w:pPr>
      <w:r>
        <w:rPr>
          <w:rFonts w:ascii="Times New Roman"/>
          <w:b w:val="false"/>
          <w:i w:val="false"/>
          <w:color w:val="000000"/>
          <w:sz w:val="28"/>
        </w:rPr>
        <w:t>
      5.4. Копии использованных литературных источников</w:t>
      </w:r>
    </w:p>
    <w:bookmarkEnd w:id="3012"/>
    <w:bookmarkStart w:name="z2929" w:id="3013"/>
    <w:p>
      <w:pPr>
        <w:spacing w:after="0"/>
        <w:ind w:left="0"/>
        <w:jc w:val="left"/>
      </w:pPr>
      <w:r>
        <w:rPr>
          <w:rFonts w:ascii="Times New Roman"/>
          <w:b/>
          <w:i w:val="false"/>
          <w:color w:val="000000"/>
        </w:rPr>
        <w:t xml:space="preserve"> VII. Разъяснение по расположению документов регистрационного досье </w:t>
      </w:r>
    </w:p>
    <w:bookmarkEnd w:id="3013"/>
    <w:bookmarkStart w:name="z2930" w:id="3014"/>
    <w:p>
      <w:pPr>
        <w:spacing w:after="0"/>
        <w:ind w:left="0"/>
        <w:jc w:val="left"/>
      </w:pPr>
      <w:r>
        <w:rPr>
          <w:rFonts w:ascii="Times New Roman"/>
          <w:b/>
          <w:i w:val="false"/>
          <w:color w:val="000000"/>
        </w:rPr>
        <w:t xml:space="preserve"> 1. Определение документа </w:t>
      </w:r>
    </w:p>
    <w:bookmarkEnd w:id="3014"/>
    <w:bookmarkStart w:name="z2931" w:id="3015"/>
    <w:p>
      <w:pPr>
        <w:spacing w:after="0"/>
        <w:ind w:left="0"/>
        <w:jc w:val="both"/>
      </w:pPr>
      <w:r>
        <w:rPr>
          <w:rFonts w:ascii="Times New Roman"/>
          <w:b w:val="false"/>
          <w:i w:val="false"/>
          <w:color w:val="000000"/>
          <w:sz w:val="28"/>
        </w:rPr>
        <w:t>
      При представлении документов на бумажном носителе под документом понимается множество страниц, последовательно пронумерованных и отделенных от других документов разделителем (см. раздел "Нумерация и разделение документов" в приложении № 4 к Правилам). Документ можно приравнять к файлу при представлении на электронном носителе. Детализация при представлении документов на бумажном и (или) электронном носителях должна быть одинаковой, однако при обновлении бумажного досье до электронного могут потребоваться определенные изменения в детализации в связи с непрерывным управлением жизненным циклом. При представлении документов на электронном носителе новый файл должен начинаться в том же месте, в котором документы отделены разделителями в бумажном досье.</w:t>
      </w:r>
    </w:p>
    <w:bookmarkEnd w:id="3015"/>
    <w:bookmarkStart w:name="z2932" w:id="3016"/>
    <w:p>
      <w:pPr>
        <w:spacing w:after="0"/>
        <w:ind w:left="0"/>
        <w:jc w:val="both"/>
      </w:pPr>
      <w:r>
        <w:rPr>
          <w:rFonts w:ascii="Times New Roman"/>
          <w:b w:val="false"/>
          <w:i w:val="false"/>
          <w:color w:val="000000"/>
          <w:sz w:val="28"/>
        </w:rPr>
        <w:t>
      При определении уместности одного или нескольких документов либо файлов необходимо учитывать, что при выборе какого-либо из подходов его необходимо придерживаться на протяжении всего жизненного цикла досье, поскольку при изменении сведений документы (файлы) необходимо заменять целиком.</w:t>
      </w:r>
    </w:p>
    <w:bookmarkEnd w:id="3016"/>
    <w:bookmarkStart w:name="z2933" w:id="3017"/>
    <w:p>
      <w:pPr>
        <w:spacing w:after="0"/>
        <w:ind w:left="0"/>
        <w:jc w:val="both"/>
      </w:pPr>
      <w:r>
        <w:rPr>
          <w:rFonts w:ascii="Times New Roman"/>
          <w:b w:val="false"/>
          <w:i w:val="false"/>
          <w:color w:val="000000"/>
          <w:sz w:val="28"/>
        </w:rPr>
        <w:t>
      Представленные ниже таблицы описывают уровни иерархии ОТД и (или) эОТД, на которых следует располагать документы (файлы), а также необходимость одного или нескольких документов в каждом месте. Описаны все разделы ОТД и (или) эОТД, однако для отдельных досье могут быть применимы не все разделы.</w:t>
      </w:r>
    </w:p>
    <w:bookmarkEnd w:id="3017"/>
    <w:bookmarkStart w:name="z2934" w:id="3018"/>
    <w:p>
      <w:pPr>
        <w:spacing w:after="0"/>
        <w:ind w:left="0"/>
        <w:jc w:val="both"/>
      </w:pPr>
      <w:r>
        <w:rPr>
          <w:rFonts w:ascii="Times New Roman"/>
          <w:b w:val="false"/>
          <w:i w:val="false"/>
          <w:color w:val="000000"/>
          <w:sz w:val="28"/>
        </w:rPr>
        <w:t>
       </w:t>
      </w:r>
    </w:p>
    <w:bookmarkEnd w:id="3018"/>
    <w:bookmarkStart w:name="z2935" w:id="3019"/>
    <w:p>
      <w:pPr>
        <w:spacing w:after="0"/>
        <w:ind w:left="0"/>
        <w:jc w:val="both"/>
      </w:pPr>
      <w:r>
        <w:rPr>
          <w:rFonts w:ascii="Times New Roman"/>
          <w:b w:val="false"/>
          <w:i w:val="false"/>
          <w:color w:val="000000"/>
          <w:sz w:val="28"/>
        </w:rPr>
        <w:t>
      2. Модуль 2</w:t>
      </w:r>
    </w:p>
    <w:bookmarkEnd w:id="3019"/>
    <w:bookmarkStart w:name="z2936" w:id="3020"/>
    <w:p>
      <w:pPr>
        <w:spacing w:after="0"/>
        <w:ind w:left="0"/>
        <w:jc w:val="both"/>
      </w:pPr>
      <w:r>
        <w:rPr>
          <w:rFonts w:ascii="Times New Roman"/>
          <w:b w:val="false"/>
          <w:i w:val="false"/>
          <w:color w:val="000000"/>
          <w:sz w:val="28"/>
        </w:rPr>
        <w:t>
       </w:t>
      </w:r>
    </w:p>
    <w:bookmarkEnd w:id="3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3021"/>
          <w:p>
            <w:pPr>
              <w:spacing w:after="20"/>
              <w:ind w:left="20"/>
              <w:jc w:val="both"/>
            </w:pPr>
            <w:r>
              <w:rPr>
                <w:rFonts w:ascii="Times New Roman"/>
                <w:b w:val="false"/>
                <w:i w:val="false"/>
                <w:color w:val="000000"/>
                <w:sz w:val="20"/>
              </w:rPr>
              <w:t xml:space="preserve">
Модуль 2 </w:t>
            </w:r>
          </w:p>
          <w:bookmarkEnd w:id="30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r>
              <w:rPr>
                <w:rFonts w:ascii="Times New Roman"/>
                <w:b w:val="false"/>
                <w:i w:val="false"/>
                <w:color w:val="000000"/>
                <w:vertAlign w:val="superscript"/>
              </w:rPr>
              <w:t>1</w:t>
            </w:r>
            <w:r>
              <w:rPr>
                <w:rFonts w:ascii="Times New Roman"/>
                <w:b w:val="false"/>
                <w:i w:val="false"/>
                <w:color w:val="000000"/>
                <w:sz w:val="20"/>
              </w:rPr>
              <w:t xml:space="preserv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2.3.S </w:t>
            </w:r>
            <w:r>
              <w:rPr>
                <w:rFonts w:ascii="Times New Roman"/>
                <w:b w:val="false"/>
                <w:i w:val="false"/>
                <w:color w:val="000000"/>
                <w:vertAlign w:val="superscript"/>
              </w:rPr>
              <w:t>2</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2.3.S.1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2.3.S.2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2.3.S.3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2.3.S.4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2.3.S.5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2.3.S.6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2.3.S.7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2.3.P </w:t>
            </w:r>
            <w:r>
              <w:rPr>
                <w:rFonts w:ascii="Times New Roman"/>
                <w:b w:val="false"/>
                <w:i w:val="false"/>
                <w:color w:val="000000"/>
                <w:vertAlign w:val="superscript"/>
              </w:rPr>
              <w:t>3</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2.3.P.1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2.3.P.2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2.3.P.3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2.3.P.4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2.3.P.5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2.3.P.6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2.3.P.7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2.3.P.8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2.3.A.1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2.3.A.2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2.3.A.3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r>
              <w:rPr>
                <w:rFonts w:ascii="Times New Roman"/>
                <w:b w:val="false"/>
                <w:i w:val="false"/>
                <w:color w:val="000000"/>
                <w:vertAlign w:val="superscript"/>
              </w:rPr>
              <w:t>4</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3" w:id="3022"/>
    <w:p>
      <w:pPr>
        <w:spacing w:after="0"/>
        <w:ind w:left="0"/>
        <w:jc w:val="both"/>
      </w:pPr>
      <w:r>
        <w:rPr>
          <w:rFonts w:ascii="Times New Roman"/>
          <w:b w:val="false"/>
          <w:i w:val="false"/>
          <w:color w:val="000000"/>
          <w:sz w:val="28"/>
        </w:rPr>
        <w:t xml:space="preserve">
      Условные обозначения </w:t>
      </w:r>
    </w:p>
    <w:bookmarkEnd w:id="3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3023"/>
          <w:p>
            <w:pPr>
              <w:spacing w:after="20"/>
              <w:ind w:left="20"/>
              <w:jc w:val="both"/>
            </w:pPr>
            <w:r>
              <w:rPr>
                <w:rFonts w:ascii="Times New Roman"/>
                <w:b w:val="false"/>
                <w:i w:val="false"/>
                <w:color w:val="000000"/>
                <w:sz w:val="20"/>
              </w:rPr>
              <w:t xml:space="preserve">
Представлять документы на этом уровне не допускается. </w:t>
            </w:r>
          </w:p>
          <w:bookmarkEnd w:id="302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3024"/>
          <w:p>
            <w:pPr>
              <w:spacing w:after="20"/>
              <w:ind w:left="20"/>
              <w:jc w:val="both"/>
            </w:pPr>
            <w:r>
              <w:rPr>
                <w:rFonts w:ascii="Times New Roman"/>
                <w:b w:val="false"/>
                <w:i w:val="false"/>
                <w:color w:val="000000"/>
                <w:sz w:val="20"/>
              </w:rPr>
              <w:t xml:space="preserve">
Содержание требуется лишь для бумажной версии ОТД, в эОТД оно не предусмотрено. </w:t>
            </w:r>
          </w:p>
          <w:bookmarkEnd w:id="302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3025"/>
          <w:p>
            <w:pPr>
              <w:spacing w:after="20"/>
              <w:ind w:left="20"/>
              <w:jc w:val="both"/>
            </w:pPr>
            <w:r>
              <w:rPr>
                <w:rFonts w:ascii="Times New Roman"/>
                <w:b w:val="false"/>
                <w:i w:val="false"/>
                <w:color w:val="000000"/>
                <w:sz w:val="20"/>
              </w:rPr>
              <w:t xml:space="preserve">
На этом уровне допускается представить один документ. </w:t>
            </w:r>
          </w:p>
          <w:bookmarkEnd w:id="3025"/>
        </w:tc>
      </w:tr>
    </w:tbl>
    <w:bookmarkStart w:name="z2977" w:id="3026"/>
    <w:p>
      <w:pPr>
        <w:spacing w:after="0"/>
        <w:ind w:left="0"/>
        <w:jc w:val="both"/>
      </w:pPr>
      <w:r>
        <w:rPr>
          <w:rFonts w:ascii="Times New Roman"/>
          <w:b w:val="false"/>
          <w:i w:val="false"/>
          <w:color w:val="000000"/>
          <w:sz w:val="28"/>
        </w:rPr>
        <w:t>
      --------------------------------</w:t>
      </w:r>
    </w:p>
    <w:bookmarkEnd w:id="3026"/>
    <w:bookmarkStart w:name="z2978" w:id="30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Факультативность детализации сводного резюме по качеству предусмотрена с целью адаптации под различную степень сложности препаратов. Заявитель вправе выбрать уровень составления сводного резюме по качеству.</w:t>
      </w:r>
    </w:p>
    <w:bookmarkEnd w:id="3027"/>
    <w:bookmarkStart w:name="z2979" w:id="30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каждой фармацевтической субстанции необходимо представить отдельный документ.</w:t>
      </w:r>
    </w:p>
    <w:bookmarkEnd w:id="3028"/>
    <w:bookmarkStart w:name="z2980" w:id="30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Если лекарственный препарат поставляется вместе с растворителями для восстановления, сведения о растворителях необходимо представить в отдельной части документа "P".</w:t>
      </w:r>
    </w:p>
    <w:bookmarkEnd w:id="3029"/>
    <w:bookmarkStart w:name="z2981" w:id="30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По каждому показанию к применению необходимо представить отдельный документ, однако близкие показания к применению допускается представить в одном документе.</w:t>
      </w:r>
    </w:p>
    <w:bookmarkEnd w:id="3030"/>
    <w:bookmarkStart w:name="z2982" w:id="3031"/>
    <w:p>
      <w:pPr>
        <w:spacing w:after="0"/>
        <w:ind w:left="0"/>
        <w:jc w:val="both"/>
      </w:pPr>
      <w:r>
        <w:rPr>
          <w:rFonts w:ascii="Times New Roman"/>
          <w:b w:val="false"/>
          <w:i w:val="false"/>
          <w:color w:val="000000"/>
          <w:sz w:val="28"/>
        </w:rPr>
        <w:t>
      3. Модуль 3</w:t>
      </w:r>
    </w:p>
    <w:bookmarkEnd w:id="3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3032"/>
          <w:p>
            <w:pPr>
              <w:spacing w:after="20"/>
              <w:ind w:left="20"/>
              <w:jc w:val="both"/>
            </w:pPr>
            <w:r>
              <w:rPr>
                <w:rFonts w:ascii="Times New Roman"/>
                <w:b w:val="false"/>
                <w:i w:val="false"/>
                <w:color w:val="000000"/>
                <w:sz w:val="20"/>
              </w:rPr>
              <w:t xml:space="preserve">
Модуль 3 </w:t>
            </w:r>
            <w:r>
              <w:rPr>
                <w:rFonts w:ascii="Times New Roman"/>
                <w:b w:val="false"/>
                <w:i w:val="false"/>
                <w:color w:val="000000"/>
                <w:vertAlign w:val="superscript"/>
              </w:rPr>
              <w:t xml:space="preserve">1 </w:t>
            </w:r>
          </w:p>
          <w:bookmarkEnd w:id="30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 </w:t>
            </w:r>
            <w:r>
              <w:rPr>
                <w:rFonts w:ascii="Times New Roman"/>
                <w:b w:val="false"/>
                <w:i w:val="false"/>
                <w:color w:val="000000"/>
                <w:vertAlign w:val="superscript"/>
              </w:rPr>
              <w:t>2</w:t>
            </w:r>
            <w:r>
              <w:rPr>
                <w:rFonts w:ascii="Times New Roman"/>
                <w:b w:val="false"/>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3.2.S.1.1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3.2.S.2.2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 </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3.2.P.2.1 </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3.2.P.2.2 </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3.2.P.3.3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3.2.P.4.3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3.2.P.4.4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3.2.P.4.6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3.2.P.5.3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3.2.P.5.4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3033"/>
          <w:p>
            <w:pPr>
              <w:spacing w:after="20"/>
              <w:ind w:left="20"/>
              <w:jc w:val="both"/>
            </w:pPr>
          </w:p>
          <w:bookmarkEnd w:id="30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3034"/>
          <w:p>
            <w:pPr>
              <w:spacing w:after="20"/>
              <w:ind w:left="20"/>
              <w:jc w:val="both"/>
            </w:pPr>
          </w:p>
          <w:bookmarkEnd w:id="303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3.2.P.8.1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3.2.P.8.2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3.2.P.8.3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3.2.A.2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лекарственных препаратов относительно наличия посторонних агентов (в рамках процедуры приведения в соответствие с требованиями Союза представление сведений не является обязательным (за исключением биологических лекарственных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3.2.А.3.8</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3.2.А.3.9</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17.03.2022 </w:t>
            </w:r>
            <w:r>
              <w:rPr>
                <w:rFonts w:ascii="Times New Roman"/>
                <w:b w:val="false"/>
                <w:i w:val="false"/>
                <w:color w:val="ff0000"/>
                <w:sz w:val="20"/>
              </w:rPr>
              <w:t>№ 36</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17.03.2022 </w:t>
            </w:r>
            <w:r>
              <w:rPr>
                <w:rFonts w:ascii="Times New Roman"/>
                <w:b w:val="false"/>
                <w:i w:val="false"/>
                <w:color w:val="ff0000"/>
                <w:sz w:val="20"/>
              </w:rPr>
              <w:t>№ 36</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17.03.2022 </w:t>
            </w:r>
            <w:r>
              <w:rPr>
                <w:rFonts w:ascii="Times New Roman"/>
                <w:b w:val="false"/>
                <w:i w:val="false"/>
                <w:color w:val="ff0000"/>
                <w:sz w:val="20"/>
              </w:rPr>
              <w:t>№ 36</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17.03.2022 </w:t>
            </w:r>
            <w:r>
              <w:rPr>
                <w:rFonts w:ascii="Times New Roman"/>
                <w:b w:val="false"/>
                <w:i w:val="false"/>
                <w:color w:val="ff0000"/>
                <w:sz w:val="20"/>
              </w:rPr>
              <w:t>№ 36</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одному файлу на источник </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9" w:id="3035"/>
    <w:p>
      <w:pPr>
        <w:spacing w:after="0"/>
        <w:ind w:left="0"/>
        <w:jc w:val="both"/>
      </w:pPr>
      <w:r>
        <w:rPr>
          <w:rFonts w:ascii="Times New Roman"/>
          <w:b w:val="false"/>
          <w:i w:val="false"/>
          <w:color w:val="000000"/>
          <w:sz w:val="28"/>
        </w:rPr>
        <w:t xml:space="preserve">
      Условные обозначения </w:t>
      </w:r>
    </w:p>
    <w:bookmarkEnd w:id="3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3036"/>
          <w:p>
            <w:pPr>
              <w:spacing w:after="20"/>
              <w:ind w:left="20"/>
              <w:jc w:val="both"/>
            </w:pPr>
            <w:r>
              <w:rPr>
                <w:rFonts w:ascii="Times New Roman"/>
                <w:b w:val="false"/>
                <w:i w:val="false"/>
                <w:color w:val="000000"/>
                <w:sz w:val="20"/>
              </w:rPr>
              <w:t xml:space="preserve">
Представлять документы на этом уровне не допускается. </w:t>
            </w:r>
          </w:p>
          <w:bookmarkEnd w:id="303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3037"/>
          <w:p>
            <w:pPr>
              <w:spacing w:after="20"/>
              <w:ind w:left="20"/>
              <w:jc w:val="both"/>
            </w:pPr>
            <w:r>
              <w:rPr>
                <w:rFonts w:ascii="Times New Roman"/>
                <w:b w:val="false"/>
                <w:i w:val="false"/>
                <w:color w:val="000000"/>
                <w:sz w:val="20"/>
              </w:rPr>
              <w:t xml:space="preserve">
Содержание требуется лишь для бумажной версии ОТД, в эОТД оно не предусмотрено. </w:t>
            </w:r>
          </w:p>
          <w:bookmarkEnd w:id="30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3038"/>
          <w:p>
            <w:pPr>
              <w:spacing w:after="20"/>
              <w:ind w:left="20"/>
              <w:jc w:val="both"/>
            </w:pPr>
            <w:r>
              <w:rPr>
                <w:rFonts w:ascii="Times New Roman"/>
                <w:b w:val="false"/>
                <w:i w:val="false"/>
                <w:color w:val="000000"/>
                <w:sz w:val="20"/>
              </w:rPr>
              <w:t xml:space="preserve">
На этом уровне допускается представить один или несколько документов. </w:t>
            </w:r>
          </w:p>
          <w:bookmarkEnd w:id="3038"/>
        </w:tc>
      </w:tr>
    </w:tbl>
    <w:bookmarkStart w:name="z3043" w:id="3039"/>
    <w:p>
      <w:pPr>
        <w:spacing w:after="0"/>
        <w:ind w:left="0"/>
        <w:jc w:val="both"/>
      </w:pPr>
      <w:r>
        <w:rPr>
          <w:rFonts w:ascii="Times New Roman"/>
          <w:b w:val="false"/>
          <w:i w:val="false"/>
          <w:color w:val="000000"/>
          <w:sz w:val="28"/>
        </w:rPr>
        <w:t>
      --------------------------------</w:t>
      </w:r>
    </w:p>
    <w:bookmarkEnd w:id="3039"/>
    <w:bookmarkStart w:name="z3044" w:id="30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 выборе степени детализации в данном модуле заявителю следует учесть, что при изменении релевантных сведений в любой момент жизненного цикла препарата требуется замена документов (файлов) в ОТД и эОТД целиком.</w:t>
      </w:r>
    </w:p>
    <w:bookmarkEnd w:id="3040"/>
    <w:bookmarkStart w:name="z3045" w:id="30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Если лекарственный препарат содержит несколько фармацевтических субстанций, то сведения, требуемые для раздела "S", следует представить в полном объеме для каждой фармацевтической субстанции.</w:t>
      </w:r>
    </w:p>
    <w:bookmarkEnd w:id="3041"/>
    <w:bookmarkStart w:name="z3046" w:id="30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Если лекарственный препарат поставляется вместе с растворителем(ями) для восстановления, сведения о растворителях необходимо представлять в отдельном разделе "P" сообразно обстоятельствам.</w:t>
      </w:r>
    </w:p>
    <w:bookmarkEnd w:id="3042"/>
    <w:bookmarkStart w:name="z3047" w:id="30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Маловероятно, чтобы нижний уровень заголовков, включенных в раздел ОТД по качеству в этом месте, будет представлен отдельными документами или файлами.</w:t>
      </w:r>
    </w:p>
    <w:bookmarkEnd w:id="3043"/>
    <w:bookmarkStart w:name="z3048" w:id="30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Список литературы необходимо включить в содержание.</w:t>
      </w:r>
    </w:p>
    <w:bookmarkEnd w:id="3044"/>
    <w:bookmarkStart w:name="z3049" w:id="3045"/>
    <w:p>
      <w:pPr>
        <w:spacing w:after="0"/>
        <w:ind w:left="0"/>
        <w:jc w:val="both"/>
      </w:pPr>
      <w:r>
        <w:rPr>
          <w:rFonts w:ascii="Times New Roman"/>
          <w:b w:val="false"/>
          <w:i w:val="false"/>
          <w:color w:val="000000"/>
          <w:sz w:val="28"/>
        </w:rPr>
        <w:t>
      4. Модуль 4</w:t>
      </w:r>
    </w:p>
    <w:bookmarkEnd w:id="3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3046"/>
          <w:p>
            <w:pPr>
              <w:spacing w:after="20"/>
              <w:ind w:left="20"/>
              <w:jc w:val="both"/>
            </w:pPr>
            <w:r>
              <w:rPr>
                <w:rFonts w:ascii="Times New Roman"/>
                <w:b w:val="false"/>
                <w:i w:val="false"/>
                <w:color w:val="000000"/>
                <w:sz w:val="20"/>
              </w:rPr>
              <w:t xml:space="preserve">
Модуль 4 </w:t>
            </w:r>
          </w:p>
          <w:bookmarkEnd w:id="30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r>
              <w:rPr>
                <w:rFonts w:ascii="Times New Roman"/>
                <w:b w:val="false"/>
                <w:i w:val="false"/>
                <w:color w:val="000000"/>
                <w:vertAlign w:val="superscript"/>
              </w:rPr>
              <w:t xml:space="preserve"> 1</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3047"/>
          <w:p>
            <w:pPr>
              <w:spacing w:after="20"/>
              <w:ind w:left="20"/>
              <w:jc w:val="both"/>
            </w:pPr>
          </w:p>
          <w:bookmarkEnd w:id="30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одному файлу на источник </w:t>
            </w:r>
            <w:r>
              <w:rPr>
                <w:rFonts w:ascii="Times New Roman"/>
                <w:b w:val="false"/>
                <w:i w:val="false"/>
                <w:color w:val="000000"/>
                <w:vertAlign w:val="superscript"/>
              </w:rPr>
              <w:t>2</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2" w:id="3048"/>
    <w:p>
      <w:pPr>
        <w:spacing w:after="0"/>
        <w:ind w:left="0"/>
        <w:jc w:val="both"/>
      </w:pPr>
      <w:r>
        <w:rPr>
          <w:rFonts w:ascii="Times New Roman"/>
          <w:b w:val="false"/>
          <w:i w:val="false"/>
          <w:color w:val="000000"/>
          <w:sz w:val="28"/>
        </w:rPr>
        <w:t xml:space="preserve">
      Условные обозначения </w:t>
      </w:r>
    </w:p>
    <w:bookmarkEnd w:id="3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3049"/>
          <w:p>
            <w:pPr>
              <w:spacing w:after="20"/>
              <w:ind w:left="20"/>
              <w:jc w:val="both"/>
            </w:pPr>
            <w:r>
              <w:rPr>
                <w:rFonts w:ascii="Times New Roman"/>
                <w:b w:val="false"/>
                <w:i w:val="false"/>
                <w:color w:val="000000"/>
                <w:sz w:val="20"/>
              </w:rPr>
              <w:t xml:space="preserve">
Представлять документы на этом уровне не допускается. </w:t>
            </w:r>
          </w:p>
          <w:bookmarkEnd w:id="30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3050"/>
          <w:p>
            <w:pPr>
              <w:spacing w:after="20"/>
              <w:ind w:left="20"/>
              <w:jc w:val="both"/>
            </w:pPr>
            <w:r>
              <w:rPr>
                <w:rFonts w:ascii="Times New Roman"/>
                <w:b w:val="false"/>
                <w:i w:val="false"/>
                <w:color w:val="000000"/>
                <w:sz w:val="20"/>
              </w:rPr>
              <w:t xml:space="preserve">
Содержание требуется лишь для бумажной версии ОТД, в эОТД оно не предусмотрено. </w:t>
            </w:r>
          </w:p>
          <w:bookmarkEnd w:id="30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3051"/>
          <w:p>
            <w:pPr>
              <w:spacing w:after="20"/>
              <w:ind w:left="20"/>
              <w:jc w:val="both"/>
            </w:pPr>
            <w:r>
              <w:rPr>
                <w:rFonts w:ascii="Times New Roman"/>
                <w:b w:val="false"/>
                <w:i w:val="false"/>
                <w:color w:val="000000"/>
                <w:sz w:val="20"/>
              </w:rPr>
              <w:t xml:space="preserve">
На этом уровне допускается представить один или несколько документов. </w:t>
            </w:r>
          </w:p>
          <w:bookmarkEnd w:id="3051"/>
        </w:tc>
      </w:tr>
    </w:tbl>
    <w:bookmarkStart w:name="z3086" w:id="3052"/>
    <w:p>
      <w:pPr>
        <w:spacing w:after="0"/>
        <w:ind w:left="0"/>
        <w:jc w:val="both"/>
      </w:pPr>
      <w:r>
        <w:rPr>
          <w:rFonts w:ascii="Times New Roman"/>
          <w:b w:val="false"/>
          <w:i w:val="false"/>
          <w:color w:val="000000"/>
          <w:sz w:val="28"/>
        </w:rPr>
        <w:t>
      --------------------------------</w:t>
      </w:r>
    </w:p>
    <w:bookmarkEnd w:id="3052"/>
    <w:bookmarkStart w:name="z3087" w:id="30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каждого отчета, включенного в модуль 4, как правило, необходимо представить один документ. Однако если отчет об исследовании большой (например, исследование канцерогенности), заявитель вправе подать отчет в виде нескольких документов. В этом случае повествовательная часть отчета должна быть представлена одним документом, а приложения - одним или несколькими документами. При выборе степени детализации этих отчетов заявителю следует учесть, что при изменении релевантных сведений в любой момент жизненного цикла лекарственного препарата требуется замена документов (файлов) целиком.</w:t>
      </w:r>
    </w:p>
    <w:bookmarkEnd w:id="3053"/>
    <w:bookmarkStart w:name="z3088" w:id="30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Список литературы необходимо включить в содержание.</w:t>
      </w:r>
    </w:p>
    <w:bookmarkEnd w:id="3054"/>
    <w:bookmarkStart w:name="z3089" w:id="3055"/>
    <w:p>
      <w:pPr>
        <w:spacing w:after="0"/>
        <w:ind w:left="0"/>
        <w:jc w:val="both"/>
      </w:pPr>
      <w:r>
        <w:rPr>
          <w:rFonts w:ascii="Times New Roman"/>
          <w:b w:val="false"/>
          <w:i w:val="false"/>
          <w:color w:val="000000"/>
          <w:sz w:val="28"/>
        </w:rPr>
        <w:t>
      5. Модуль 5</w:t>
      </w:r>
    </w:p>
    <w:bookmarkEnd w:id="3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3056"/>
          <w:p>
            <w:pPr>
              <w:spacing w:after="20"/>
              <w:ind w:left="20"/>
              <w:jc w:val="both"/>
            </w:pPr>
            <w:r>
              <w:rPr>
                <w:rFonts w:ascii="Times New Roman"/>
                <w:b w:val="false"/>
                <w:i w:val="false"/>
                <w:color w:val="000000"/>
                <w:sz w:val="20"/>
              </w:rPr>
              <w:t xml:space="preserve">
Модуль 5 </w:t>
            </w:r>
          </w:p>
          <w:bookmarkEnd w:id="30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3057"/>
          <w:p>
            <w:pPr>
              <w:spacing w:after="20"/>
              <w:ind w:left="20"/>
              <w:jc w:val="both"/>
            </w:pPr>
          </w:p>
          <w:bookmarkEnd w:id="30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3058"/>
          <w:p>
            <w:pPr>
              <w:spacing w:after="20"/>
              <w:ind w:left="20"/>
              <w:jc w:val="both"/>
            </w:pPr>
          </w:p>
          <w:bookmarkEnd w:id="30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3059"/>
          <w:p>
            <w:pPr>
              <w:spacing w:after="20"/>
              <w:ind w:left="20"/>
              <w:jc w:val="both"/>
            </w:pPr>
          </w:p>
          <w:bookmarkEnd w:id="30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3060"/>
          <w:p>
            <w:pPr>
              <w:spacing w:after="20"/>
              <w:ind w:left="20"/>
              <w:jc w:val="both"/>
            </w:pPr>
          </w:p>
          <w:bookmarkEnd w:id="30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3061"/>
          <w:p>
            <w:pPr>
              <w:spacing w:after="20"/>
              <w:ind w:left="20"/>
              <w:jc w:val="both"/>
            </w:pPr>
          </w:p>
          <w:bookmarkEnd w:id="30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3062"/>
          <w:p>
            <w:pPr>
              <w:spacing w:after="20"/>
              <w:ind w:left="20"/>
              <w:jc w:val="both"/>
            </w:pPr>
          </w:p>
          <w:bookmarkEnd w:id="30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3063"/>
          <w:p>
            <w:pPr>
              <w:spacing w:after="20"/>
              <w:ind w:left="20"/>
              <w:jc w:val="both"/>
            </w:pPr>
          </w:p>
          <w:bookmarkEnd w:id="30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3064"/>
          <w:p>
            <w:pPr>
              <w:spacing w:after="20"/>
              <w:ind w:left="20"/>
              <w:jc w:val="both"/>
            </w:pPr>
          </w:p>
          <w:bookmarkEnd w:id="30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3065"/>
          <w:p>
            <w:pPr>
              <w:spacing w:after="20"/>
              <w:ind w:left="20"/>
              <w:jc w:val="both"/>
            </w:pPr>
          </w:p>
          <w:bookmarkEnd w:id="30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3066"/>
          <w:p>
            <w:pPr>
              <w:spacing w:after="20"/>
              <w:ind w:left="20"/>
              <w:jc w:val="both"/>
            </w:pPr>
          </w:p>
          <w:bookmarkEnd w:id="30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3067"/>
          <w:p>
            <w:pPr>
              <w:spacing w:after="20"/>
              <w:ind w:left="20"/>
              <w:jc w:val="both"/>
            </w:pPr>
          </w:p>
          <w:bookmarkEnd w:id="30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068"/>
          <w:p>
            <w:pPr>
              <w:spacing w:after="20"/>
              <w:ind w:left="20"/>
              <w:jc w:val="both"/>
            </w:pPr>
          </w:p>
          <w:bookmarkEnd w:id="30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3069"/>
          <w:p>
            <w:pPr>
              <w:spacing w:after="20"/>
              <w:ind w:left="20"/>
              <w:jc w:val="both"/>
            </w:pPr>
          </w:p>
          <w:bookmarkEnd w:id="3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3070"/>
          <w:p>
            <w:pPr>
              <w:spacing w:after="20"/>
              <w:ind w:left="20"/>
              <w:jc w:val="both"/>
            </w:pPr>
          </w:p>
          <w:bookmarkEnd w:id="30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3071"/>
          <w:p>
            <w:pPr>
              <w:spacing w:after="20"/>
              <w:ind w:left="20"/>
              <w:jc w:val="both"/>
            </w:pPr>
          </w:p>
          <w:bookmarkEnd w:id="30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3072"/>
          <w:p>
            <w:pPr>
              <w:spacing w:after="20"/>
              <w:ind w:left="20"/>
              <w:jc w:val="both"/>
            </w:pPr>
          </w:p>
          <w:bookmarkEnd w:id="30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r>
              <w:rPr>
                <w:rFonts w:ascii="Times New Roman"/>
                <w:b w:val="false"/>
                <w:i w:val="false"/>
                <w:color w:val="000000"/>
                <w:vertAlign w:val="superscript"/>
              </w:rPr>
              <w:t>2</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3073"/>
          <w:p>
            <w:pPr>
              <w:spacing w:after="20"/>
              <w:ind w:left="20"/>
              <w:jc w:val="both"/>
            </w:pPr>
          </w:p>
          <w:bookmarkEnd w:id="30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3074"/>
          <w:p>
            <w:pPr>
              <w:spacing w:after="20"/>
              <w:ind w:left="20"/>
              <w:jc w:val="both"/>
            </w:pPr>
          </w:p>
          <w:bookmarkEnd w:id="30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3075"/>
          <w:p>
            <w:pPr>
              <w:spacing w:after="20"/>
              <w:ind w:left="20"/>
              <w:jc w:val="both"/>
            </w:pPr>
          </w:p>
          <w:bookmarkEnd w:id="30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3076"/>
          <w:p>
            <w:pPr>
              <w:spacing w:after="20"/>
              <w:ind w:left="20"/>
              <w:jc w:val="both"/>
            </w:pPr>
          </w:p>
          <w:bookmarkEnd w:id="30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3077"/>
          <w:p>
            <w:pPr>
              <w:spacing w:after="20"/>
              <w:ind w:left="20"/>
              <w:jc w:val="both"/>
            </w:pPr>
          </w:p>
          <w:bookmarkEnd w:id="30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r>
              <w:rPr>
                <w:rFonts w:ascii="Times New Roman"/>
                <w:b w:val="false"/>
                <w:i w:val="false"/>
                <w:color w:val="000000"/>
                <w:vertAlign w:val="superscript"/>
              </w:rPr>
              <w:t>1</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3078"/>
          <w:p>
            <w:pPr>
              <w:spacing w:after="20"/>
              <w:ind w:left="20"/>
              <w:jc w:val="both"/>
            </w:pPr>
          </w:p>
          <w:bookmarkEnd w:id="30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одному файлу на источник </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3" w:id="3079"/>
    <w:p>
      <w:pPr>
        <w:spacing w:after="0"/>
        <w:ind w:left="0"/>
        <w:jc w:val="both"/>
      </w:pPr>
      <w:r>
        <w:rPr>
          <w:rFonts w:ascii="Times New Roman"/>
          <w:b w:val="false"/>
          <w:i w:val="false"/>
          <w:color w:val="000000"/>
          <w:sz w:val="28"/>
        </w:rPr>
        <w:t xml:space="preserve">
      Условные обозначения </w:t>
      </w:r>
    </w:p>
    <w:bookmarkEnd w:id="3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3080"/>
          <w:p>
            <w:pPr>
              <w:spacing w:after="20"/>
              <w:ind w:left="20"/>
              <w:jc w:val="both"/>
            </w:pPr>
            <w:r>
              <w:rPr>
                <w:rFonts w:ascii="Times New Roman"/>
                <w:b w:val="false"/>
                <w:i w:val="false"/>
                <w:color w:val="000000"/>
                <w:sz w:val="20"/>
              </w:rPr>
              <w:t xml:space="preserve">
Представлять документы на этом уровне не допускается. </w:t>
            </w:r>
          </w:p>
          <w:bookmarkEnd w:id="30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3081"/>
          <w:p>
            <w:pPr>
              <w:spacing w:after="20"/>
              <w:ind w:left="20"/>
              <w:jc w:val="both"/>
            </w:pPr>
            <w:r>
              <w:rPr>
                <w:rFonts w:ascii="Times New Roman"/>
                <w:b w:val="false"/>
                <w:i w:val="false"/>
                <w:color w:val="000000"/>
                <w:sz w:val="20"/>
              </w:rPr>
              <w:t xml:space="preserve">
Оглавление требуется только для ОТД на бумажном носителе; для еОТД этот элемент не нужен. </w:t>
            </w:r>
          </w:p>
          <w:bookmarkEnd w:id="30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3082"/>
          <w:p>
            <w:pPr>
              <w:spacing w:after="20"/>
              <w:ind w:left="20"/>
              <w:jc w:val="both"/>
            </w:pPr>
            <w:r>
              <w:rPr>
                <w:rFonts w:ascii="Times New Roman"/>
                <w:b w:val="false"/>
                <w:i w:val="false"/>
                <w:color w:val="000000"/>
                <w:sz w:val="20"/>
              </w:rPr>
              <w:t xml:space="preserve">
На этом уровне допускается представить один документ. </w:t>
            </w:r>
          </w:p>
          <w:bookmarkEnd w:id="30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3083"/>
          <w:p>
            <w:pPr>
              <w:spacing w:after="20"/>
              <w:ind w:left="20"/>
              <w:jc w:val="both"/>
            </w:pPr>
            <w:r>
              <w:rPr>
                <w:rFonts w:ascii="Times New Roman"/>
                <w:b w:val="false"/>
                <w:i w:val="false"/>
                <w:color w:val="000000"/>
                <w:sz w:val="20"/>
              </w:rPr>
              <w:t xml:space="preserve">
На этом уровне допускается представить один или несколько документов. </w:t>
            </w:r>
          </w:p>
          <w:bookmarkEnd w:id="3083"/>
        </w:tc>
      </w:tr>
    </w:tbl>
    <w:bookmarkStart w:name="z3118" w:id="3084"/>
    <w:p>
      <w:pPr>
        <w:spacing w:after="0"/>
        <w:ind w:left="0"/>
        <w:jc w:val="both"/>
      </w:pPr>
      <w:r>
        <w:rPr>
          <w:rFonts w:ascii="Times New Roman"/>
          <w:b w:val="false"/>
          <w:i w:val="false"/>
          <w:color w:val="000000"/>
          <w:sz w:val="28"/>
        </w:rPr>
        <w:t>
      --------------------------------</w:t>
      </w:r>
    </w:p>
    <w:bookmarkEnd w:id="3084"/>
    <w:bookmarkStart w:name="z3119" w:id="30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Заявители должны, как правило, представлять отчеты об исследованиях в виде нескольких документов (синопсис, основное тело отчета об исследовании и необходимые приложения). Приложения необходимо организовать в соответствии с приложением № 1 к Правилам надлежащей клинической практики Евразийского экономического союза, в котором описываются содержание и формат отчета о клиническом исследовании. При выборе степени детализации этих отчетов заявителю следует учесть, что при изменении релевантных сведений в любой момент жизненного цикла препарата требуется замена документов (файлов) целиком.</w:t>
      </w:r>
    </w:p>
    <w:bookmarkEnd w:id="3085"/>
    <w:bookmarkStart w:name="z3120" w:id="30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Если в регистрационное досье включено несколько показаний к применению, данный раздел дублируют для каждого показания.</w:t>
      </w:r>
    </w:p>
    <w:bookmarkEnd w:id="3086"/>
    <w:bookmarkStart w:name="z3121" w:id="30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Список литературы необходимо включить в содержание.</w:t>
      </w:r>
    </w:p>
    <w:bookmarkEnd w:id="3087"/>
    <w:bookmarkStart w:name="z3122" w:id="3088"/>
    <w:p>
      <w:pPr>
        <w:spacing w:after="0"/>
        <w:ind w:left="0"/>
        <w:jc w:val="left"/>
      </w:pPr>
      <w:r>
        <w:rPr>
          <w:rFonts w:ascii="Times New Roman"/>
          <w:b/>
          <w:i w:val="false"/>
          <w:color w:val="000000"/>
        </w:rPr>
        <w:t xml:space="preserve"> VIII. Нумерация и разделение документа </w:t>
      </w:r>
    </w:p>
    <w:bookmarkEnd w:id="3088"/>
    <w:bookmarkStart w:name="z3123" w:id="3089"/>
    <w:p>
      <w:pPr>
        <w:spacing w:after="0"/>
        <w:ind w:left="0"/>
        <w:jc w:val="left"/>
      </w:pPr>
      <w:r>
        <w:rPr>
          <w:rFonts w:ascii="Times New Roman"/>
          <w:b/>
          <w:i w:val="false"/>
          <w:color w:val="000000"/>
        </w:rPr>
        <w:t xml:space="preserve"> 1. Общие требования </w:t>
      </w:r>
    </w:p>
    <w:bookmarkEnd w:id="3089"/>
    <w:bookmarkStart w:name="z3124" w:id="3090"/>
    <w:p>
      <w:pPr>
        <w:spacing w:after="0"/>
        <w:ind w:left="0"/>
        <w:jc w:val="both"/>
      </w:pPr>
      <w:r>
        <w:rPr>
          <w:rFonts w:ascii="Times New Roman"/>
          <w:b w:val="false"/>
          <w:i w:val="false"/>
          <w:color w:val="000000"/>
          <w:sz w:val="28"/>
        </w:rPr>
        <w:t>
      Каждый документ следует пронумеровать (начиная с первой страницы) за исключением отдельных литературных ссылок, для которых достаточна фактическая нумерация страниц в журнале. Заявители не обязаны указывать номера страниц в виде "1 из n", где n - общее количество страниц.</w:t>
      </w:r>
    </w:p>
    <w:bookmarkEnd w:id="3090"/>
    <w:bookmarkStart w:name="z3125" w:id="3091"/>
    <w:p>
      <w:pPr>
        <w:spacing w:after="0"/>
        <w:ind w:left="0"/>
        <w:jc w:val="both"/>
      </w:pPr>
      <w:r>
        <w:rPr>
          <w:rFonts w:ascii="Times New Roman"/>
          <w:b w:val="false"/>
          <w:i w:val="false"/>
          <w:color w:val="000000"/>
          <w:sz w:val="28"/>
        </w:rPr>
        <w:t>
      Кроме того, все страницы документа должны включать уникальный верхний или нижний колонтитул, кратко отражающий содержимое документа. При подаче документов на бумажном носителе на разделителе следует указывать тот же идентификатор, который предшествует документу, чтобы облегчить его нахождение в досье. Допускается использовать сокращение полного номера раздела и наименования документа.</w:t>
      </w:r>
    </w:p>
    <w:bookmarkEnd w:id="3091"/>
    <w:bookmarkStart w:name="z3126" w:id="3092"/>
    <w:p>
      <w:pPr>
        <w:spacing w:after="0"/>
        <w:ind w:left="0"/>
        <w:jc w:val="both"/>
      </w:pPr>
      <w:r>
        <w:rPr>
          <w:rFonts w:ascii="Times New Roman"/>
          <w:b w:val="false"/>
          <w:i w:val="false"/>
          <w:color w:val="000000"/>
          <w:sz w:val="28"/>
        </w:rPr>
        <w:t>
      Если раздел содержит несколько документов, для такого раздела допускается предусмотреть отдельное содержание (с целью указания хронологии и наименований документов, которые в нем содержаться), например:</w:t>
      </w:r>
    </w:p>
    <w:bookmarkEnd w:id="3092"/>
    <w:bookmarkStart w:name="z3127" w:id="3093"/>
    <w:p>
      <w:pPr>
        <w:spacing w:after="0"/>
        <w:ind w:left="0"/>
        <w:jc w:val="both"/>
      </w:pPr>
      <w:r>
        <w:rPr>
          <w:rFonts w:ascii="Times New Roman"/>
          <w:b w:val="false"/>
          <w:i w:val="false"/>
          <w:color w:val="000000"/>
          <w:sz w:val="28"/>
        </w:rPr>
        <w:t>
      разделитель с "3.2.S.4.2. Аналитические методики";</w:t>
      </w:r>
    </w:p>
    <w:bookmarkEnd w:id="3093"/>
    <w:bookmarkStart w:name="z3128" w:id="3094"/>
    <w:p>
      <w:pPr>
        <w:spacing w:after="0"/>
        <w:ind w:left="0"/>
        <w:jc w:val="both"/>
      </w:pPr>
      <w:r>
        <w:rPr>
          <w:rFonts w:ascii="Times New Roman"/>
          <w:b w:val="false"/>
          <w:i w:val="false"/>
          <w:color w:val="000000"/>
          <w:sz w:val="28"/>
        </w:rPr>
        <w:t>
      содержание: наименование методики A, методики B, методики C;</w:t>
      </w:r>
    </w:p>
    <w:bookmarkEnd w:id="3094"/>
    <w:bookmarkStart w:name="z3129" w:id="3095"/>
    <w:p>
      <w:pPr>
        <w:spacing w:after="0"/>
        <w:ind w:left="0"/>
        <w:jc w:val="both"/>
      </w:pPr>
      <w:r>
        <w:rPr>
          <w:rFonts w:ascii="Times New Roman"/>
          <w:b w:val="false"/>
          <w:i w:val="false"/>
          <w:color w:val="000000"/>
          <w:sz w:val="28"/>
        </w:rPr>
        <w:t>
      разделитель с "3.2.S.4.2. "Методика A";</w:t>
      </w:r>
    </w:p>
    <w:bookmarkEnd w:id="3095"/>
    <w:bookmarkStart w:name="z3130" w:id="3096"/>
    <w:p>
      <w:pPr>
        <w:spacing w:after="0"/>
        <w:ind w:left="0"/>
        <w:jc w:val="both"/>
      </w:pPr>
      <w:r>
        <w:rPr>
          <w:rFonts w:ascii="Times New Roman"/>
          <w:b w:val="false"/>
          <w:i w:val="false"/>
          <w:color w:val="000000"/>
          <w:sz w:val="28"/>
        </w:rPr>
        <w:t>
      методика A (т.е. документ, страниц 1 - n);</w:t>
      </w:r>
    </w:p>
    <w:bookmarkEnd w:id="3096"/>
    <w:bookmarkStart w:name="z3131" w:id="3097"/>
    <w:p>
      <w:pPr>
        <w:spacing w:after="0"/>
        <w:ind w:left="0"/>
        <w:jc w:val="both"/>
      </w:pPr>
      <w:r>
        <w:rPr>
          <w:rFonts w:ascii="Times New Roman"/>
          <w:b w:val="false"/>
          <w:i w:val="false"/>
          <w:color w:val="000000"/>
          <w:sz w:val="28"/>
        </w:rPr>
        <w:t>
      разделитель с "3.2.S.4.2. "Методика B";</w:t>
      </w:r>
    </w:p>
    <w:bookmarkEnd w:id="3097"/>
    <w:bookmarkStart w:name="z3132" w:id="3098"/>
    <w:p>
      <w:pPr>
        <w:spacing w:after="0"/>
        <w:ind w:left="0"/>
        <w:jc w:val="both"/>
      </w:pPr>
      <w:r>
        <w:rPr>
          <w:rFonts w:ascii="Times New Roman"/>
          <w:b w:val="false"/>
          <w:i w:val="false"/>
          <w:color w:val="000000"/>
          <w:sz w:val="28"/>
        </w:rPr>
        <w:t>
      методика B (т.е. документ, страниц 1 - n);</w:t>
      </w:r>
    </w:p>
    <w:bookmarkEnd w:id="3098"/>
    <w:bookmarkStart w:name="z3133" w:id="3099"/>
    <w:p>
      <w:pPr>
        <w:spacing w:after="0"/>
        <w:ind w:left="0"/>
        <w:jc w:val="both"/>
      </w:pPr>
      <w:r>
        <w:rPr>
          <w:rFonts w:ascii="Times New Roman"/>
          <w:b w:val="false"/>
          <w:i w:val="false"/>
          <w:color w:val="000000"/>
          <w:sz w:val="28"/>
        </w:rPr>
        <w:t>
      разделитель с "3.2.S.4.2. "Методика C";</w:t>
      </w:r>
    </w:p>
    <w:bookmarkEnd w:id="3099"/>
    <w:bookmarkStart w:name="z3134" w:id="3100"/>
    <w:p>
      <w:pPr>
        <w:spacing w:after="0"/>
        <w:ind w:left="0"/>
        <w:jc w:val="both"/>
      </w:pPr>
      <w:r>
        <w:rPr>
          <w:rFonts w:ascii="Times New Roman"/>
          <w:b w:val="false"/>
          <w:i w:val="false"/>
          <w:color w:val="000000"/>
          <w:sz w:val="28"/>
        </w:rPr>
        <w:t>
      методика C (т.е. документ, страниц 1 - n).</w:t>
      </w:r>
    </w:p>
    <w:bookmarkEnd w:id="3100"/>
    <w:bookmarkStart w:name="z3135" w:id="3101"/>
    <w:p>
      <w:pPr>
        <w:spacing w:after="0"/>
        <w:ind w:left="0"/>
        <w:jc w:val="both"/>
      </w:pPr>
      <w:r>
        <w:rPr>
          <w:rFonts w:ascii="Times New Roman"/>
          <w:b w:val="false"/>
          <w:i w:val="false"/>
          <w:color w:val="000000"/>
          <w:sz w:val="28"/>
        </w:rPr>
        <w:t>
      Если раздел содержит лишь один документ (например, "3.2.S.1.1. Номенклатура"), документу должен предшествовать только разделитель "3.2.S.1.1. Номенклатура".</w:t>
      </w:r>
    </w:p>
    <w:bookmarkEnd w:id="3101"/>
    <w:bookmarkStart w:name="z3136" w:id="3102"/>
    <w:p>
      <w:pPr>
        <w:spacing w:after="0"/>
        <w:ind w:left="0"/>
        <w:jc w:val="left"/>
      </w:pPr>
      <w:r>
        <w:rPr>
          <w:rFonts w:ascii="Times New Roman"/>
          <w:b/>
          <w:i w:val="false"/>
          <w:color w:val="000000"/>
        </w:rPr>
        <w:t xml:space="preserve"> 2. Нумерация разделов в документе </w:t>
      </w:r>
    </w:p>
    <w:bookmarkEnd w:id="3102"/>
    <w:bookmarkStart w:name="z3137" w:id="3103"/>
    <w:p>
      <w:pPr>
        <w:spacing w:after="0"/>
        <w:ind w:left="0"/>
        <w:jc w:val="both"/>
      </w:pPr>
      <w:r>
        <w:rPr>
          <w:rFonts w:ascii="Times New Roman"/>
          <w:b w:val="false"/>
          <w:i w:val="false"/>
          <w:color w:val="000000"/>
          <w:sz w:val="28"/>
        </w:rPr>
        <w:t>
      Во избежание подзаголовков 5-го, 6-го и т.д. уровня (например, 2.6.6.3.2.1) в документе заявитель может воспользоваться сокращенным номером. В этом случае в верхнем или нижнем колонтитуле документа необходимо указать номер и наименование документа (например, 2.6.6. Повествовательное резюме по токсикологии) с последующим указанием номера раздела внутри документа (например, 1, 1.1, 2, 3, 3.1, 3.2 и т.д.). Также допустимо использовать полный номер (например, 2.6.6.3.2.1).</w:t>
      </w:r>
    </w:p>
    <w:bookmarkEnd w:id="3103"/>
    <w:bookmarkStart w:name="z3138" w:id="3104"/>
    <w:p>
      <w:pPr>
        <w:spacing w:after="0"/>
        <w:ind w:left="0"/>
        <w:jc w:val="left"/>
      </w:pPr>
      <w:r>
        <w:rPr>
          <w:rFonts w:ascii="Times New Roman"/>
          <w:b/>
          <w:i w:val="false"/>
          <w:color w:val="000000"/>
        </w:rPr>
        <w:t xml:space="preserve"> 3. Форматирование содержания </w:t>
      </w:r>
    </w:p>
    <w:bookmarkEnd w:id="3104"/>
    <w:bookmarkStart w:name="z3139" w:id="3105"/>
    <w:p>
      <w:pPr>
        <w:spacing w:after="0"/>
        <w:ind w:left="0"/>
        <w:jc w:val="both"/>
      </w:pPr>
      <w:r>
        <w:rPr>
          <w:rFonts w:ascii="Times New Roman"/>
          <w:b w:val="false"/>
          <w:i w:val="false"/>
          <w:color w:val="000000"/>
          <w:sz w:val="28"/>
        </w:rPr>
        <w:t>
      3.1. Модуль 2.</w:t>
      </w:r>
    </w:p>
    <w:bookmarkEnd w:id="3105"/>
    <w:bookmarkStart w:name="z3140" w:id="3106"/>
    <w:p>
      <w:pPr>
        <w:spacing w:after="0"/>
        <w:ind w:left="0"/>
        <w:jc w:val="both"/>
      </w:pPr>
      <w:r>
        <w:rPr>
          <w:rFonts w:ascii="Times New Roman"/>
          <w:b w:val="false"/>
          <w:i w:val="false"/>
          <w:color w:val="000000"/>
          <w:sz w:val="28"/>
        </w:rPr>
        <w:t>
      Содержание раздела 2.1 ОТД необходимо детализировать до 3-го (например, 2.3.S) или 4-го (например, 2.3.S.1) уровня в зависимости от того, какой документ включен в сводное резюме по качеству (см. определение документа в модуле 2).</w:t>
      </w:r>
    </w:p>
    <w:bookmarkEnd w:id="3106"/>
    <w:bookmarkStart w:name="z3141" w:id="3107"/>
    <w:p>
      <w:pPr>
        <w:spacing w:after="0"/>
        <w:ind w:left="0"/>
        <w:jc w:val="both"/>
      </w:pPr>
      <w:r>
        <w:rPr>
          <w:rFonts w:ascii="Times New Roman"/>
          <w:b w:val="false"/>
          <w:i w:val="false"/>
          <w:color w:val="000000"/>
          <w:sz w:val="28"/>
        </w:rPr>
        <w:t>
      3.2. Модуль 3.</w:t>
      </w:r>
    </w:p>
    <w:bookmarkEnd w:id="3107"/>
    <w:bookmarkStart w:name="z3142" w:id="3108"/>
    <w:p>
      <w:pPr>
        <w:spacing w:after="0"/>
        <w:ind w:left="0"/>
        <w:jc w:val="both"/>
      </w:pPr>
      <w:r>
        <w:rPr>
          <w:rFonts w:ascii="Times New Roman"/>
          <w:b w:val="false"/>
          <w:i w:val="false"/>
          <w:color w:val="000000"/>
          <w:sz w:val="28"/>
        </w:rPr>
        <w:t>
      Содержание раздела 3.1 ОТД должно включать номера разделов верхнего порядка, соответствующие им заголовки разделов и номер тома в порядке их следования в досье. Это содержание будет использоваться для указания содержания модуля 3 в соответствии с приложением № 1 к Правилам. Его следует детализировать лишь до 5-го уровня (например, 3.2.P.2.1). Следует отметить, что приложением № 1 к настоящим Правилам предусмотрены дополнительные подразделы и подзаголовки ниже этого уровня (например, 3.2.P.2), поэтому этот формат следует использовать во всем досье, даже несмотря на невключение в раздел 3.1. "Содержание". Содержание нижнего уровня, описанное в разделе "Нумерация и разделение документа", включать в раздел 3.1. "Содержание" не следует.</w:t>
      </w:r>
    </w:p>
    <w:bookmarkEnd w:id="3108"/>
    <w:bookmarkStart w:name="z3143" w:id="3109"/>
    <w:p>
      <w:pPr>
        <w:spacing w:after="0"/>
        <w:ind w:left="0"/>
        <w:jc w:val="both"/>
      </w:pPr>
      <w:r>
        <w:rPr>
          <w:rFonts w:ascii="Times New Roman"/>
          <w:b w:val="false"/>
          <w:i w:val="false"/>
          <w:color w:val="000000"/>
          <w:sz w:val="28"/>
        </w:rPr>
        <w:t>
      По усмотрению заявителя в целях указания хронологии и нумерации, сверх обозначенных в приложении № 1 к Правилам, для определенного раздела, содержащего множество документов, можно составить содержание. Его следует приводить лишь в пределах документа, а не в виде отдельного документа или нового подзаголовка. В этом случае для такого документа можно предусмотреть отдельное содержание для указания хронологии и наименования подразделов, которые он содержит. Включать эти документы и подразделы в раздел 3.1. "Содержание" не следует.</w:t>
      </w:r>
    </w:p>
    <w:bookmarkEnd w:id="3109"/>
    <w:bookmarkStart w:name="z3144" w:id="3110"/>
    <w:p>
      <w:pPr>
        <w:spacing w:after="0"/>
        <w:ind w:left="0"/>
        <w:jc w:val="both"/>
      </w:pPr>
      <w:r>
        <w:rPr>
          <w:rFonts w:ascii="Times New Roman"/>
          <w:b w:val="false"/>
          <w:i w:val="false"/>
          <w:color w:val="000000"/>
          <w:sz w:val="28"/>
        </w:rPr>
        <w:t>
      В этот формат не следует включать дополнительные вложения или приложения, однако они допустимы в виде отдельного документа в разделе, допускающем представление нескольких документов. В этом случае следует дать ссылку на соответствующий раздел приобщаемого или прикладываемого документа. При желании приобщить или приложить дополнительные сведения к разделу, которые состоят лишь из одного документа, такие сведения следует включить в этот документ.</w:t>
      </w:r>
    </w:p>
    <w:bookmarkEnd w:id="3110"/>
    <w:bookmarkStart w:name="z3145" w:id="3111"/>
    <w:p>
      <w:pPr>
        <w:spacing w:after="0"/>
        <w:ind w:left="0"/>
        <w:jc w:val="both"/>
      </w:pPr>
      <w:r>
        <w:rPr>
          <w:rFonts w:ascii="Times New Roman"/>
          <w:b w:val="false"/>
          <w:i w:val="false"/>
          <w:color w:val="000000"/>
          <w:sz w:val="28"/>
        </w:rPr>
        <w:t>
      Все наименования вхождений содержания должны соответствовать наименованиям заголовков и номерам разделов согласно приложению № 1 к Правилам или идентификаторам разделителей (только при подаче досье на бумажном носителе), предпочтительно по их полному наименованию, которые должны позволять с легкостью идентифицировать любые сокращенные наименования, которые могут использоваться в соответствующем разделителе. В содержании не следует указывать номера страниц.</w:t>
      </w:r>
    </w:p>
    <w:bookmarkEnd w:id="3111"/>
    <w:bookmarkStart w:name="z3146" w:id="3112"/>
    <w:p>
      <w:pPr>
        <w:spacing w:after="0"/>
        <w:ind w:left="0"/>
        <w:jc w:val="both"/>
      </w:pPr>
      <w:r>
        <w:rPr>
          <w:rFonts w:ascii="Times New Roman"/>
          <w:b w:val="false"/>
          <w:i w:val="false"/>
          <w:color w:val="000000"/>
          <w:sz w:val="28"/>
        </w:rPr>
        <w:t>
      Литературные ссылки в содержании должны относиться лишь к этому разделу.</w:t>
      </w:r>
    </w:p>
    <w:bookmarkEnd w:id="3112"/>
    <w:bookmarkStart w:name="z3147" w:id="3113"/>
    <w:p>
      <w:pPr>
        <w:spacing w:after="0"/>
        <w:ind w:left="0"/>
        <w:jc w:val="both"/>
      </w:pPr>
      <w:r>
        <w:rPr>
          <w:rFonts w:ascii="Times New Roman"/>
          <w:b w:val="false"/>
          <w:i w:val="false"/>
          <w:color w:val="000000"/>
          <w:sz w:val="28"/>
        </w:rPr>
        <w:t>
      3.3. Модуль 4</w:t>
      </w:r>
    </w:p>
    <w:bookmarkEnd w:id="3113"/>
    <w:bookmarkStart w:name="z3148" w:id="3114"/>
    <w:p>
      <w:pPr>
        <w:spacing w:after="0"/>
        <w:ind w:left="0"/>
        <w:jc w:val="both"/>
      </w:pPr>
      <w:r>
        <w:rPr>
          <w:rFonts w:ascii="Times New Roman"/>
          <w:b w:val="false"/>
          <w:i w:val="false"/>
          <w:color w:val="000000"/>
          <w:sz w:val="28"/>
        </w:rPr>
        <w:t>
      В целях идентификации всех важных компонентов досье (например, 4.2.3.5.1. "Фертильность и раннее эмбриональное развитие") содержание модуля 4 должно включать все числовые элементы, перечисленные в приложении № 1 к Правилам, его необходимо детализировать по меньшей мере до уровня отчета об исследовании. Таким образом, в содержании необходимо отразить каждый отчет об исследовании. Разделы отчета об исследовании допускается указывать в содержании модуля 4 досье или только в содержании отдельного отчета об исследовании.</w:t>
      </w:r>
    </w:p>
    <w:bookmarkEnd w:id="3114"/>
    <w:bookmarkStart w:name="z3149" w:id="3115"/>
    <w:p>
      <w:pPr>
        <w:spacing w:after="0"/>
        <w:ind w:left="0"/>
        <w:jc w:val="both"/>
      </w:pPr>
      <w:r>
        <w:rPr>
          <w:rFonts w:ascii="Times New Roman"/>
          <w:b w:val="false"/>
          <w:i w:val="false"/>
          <w:color w:val="000000"/>
          <w:sz w:val="28"/>
        </w:rPr>
        <w:t>
      Иллюстрация части содержания модуля 4.</w:t>
      </w:r>
    </w:p>
    <w:bookmarkEnd w:id="3115"/>
    <w:bookmarkStart w:name="z3150" w:id="3116"/>
    <w:p>
      <w:pPr>
        <w:spacing w:after="0"/>
        <w:ind w:left="0"/>
        <w:jc w:val="both"/>
      </w:pPr>
      <w:r>
        <w:rPr>
          <w:rFonts w:ascii="Times New Roman"/>
          <w:b w:val="false"/>
          <w:i w:val="false"/>
          <w:color w:val="000000"/>
          <w:sz w:val="28"/>
        </w:rPr>
        <w:t>
      4.2.3.2. Токсичность при многократном введении.</w:t>
      </w:r>
    </w:p>
    <w:bookmarkEnd w:id="3116"/>
    <w:bookmarkStart w:name="z3151" w:id="3117"/>
    <w:p>
      <w:pPr>
        <w:spacing w:after="0"/>
        <w:ind w:left="0"/>
        <w:jc w:val="both"/>
      </w:pPr>
      <w:r>
        <w:rPr>
          <w:rFonts w:ascii="Times New Roman"/>
          <w:b w:val="false"/>
          <w:i w:val="false"/>
          <w:color w:val="000000"/>
          <w:sz w:val="28"/>
        </w:rPr>
        <w:t>
      Исследование aa-aaa: 30-дневное исследование токсичности при многократном введении препарата C крысам.</w:t>
      </w:r>
    </w:p>
    <w:bookmarkEnd w:id="3117"/>
    <w:bookmarkStart w:name="z3152" w:id="3118"/>
    <w:p>
      <w:pPr>
        <w:spacing w:after="0"/>
        <w:ind w:left="0"/>
        <w:jc w:val="both"/>
      </w:pPr>
      <w:r>
        <w:rPr>
          <w:rFonts w:ascii="Times New Roman"/>
          <w:b w:val="false"/>
          <w:i w:val="false"/>
          <w:color w:val="000000"/>
          <w:sz w:val="28"/>
        </w:rPr>
        <w:t>
      Исследование bb-bbb: 6-месячное исследование токсичности при многократном введении препарата C крысам.</w:t>
      </w:r>
    </w:p>
    <w:bookmarkEnd w:id="3118"/>
    <w:bookmarkStart w:name="z3153" w:id="3119"/>
    <w:p>
      <w:pPr>
        <w:spacing w:after="0"/>
        <w:ind w:left="0"/>
        <w:jc w:val="both"/>
      </w:pPr>
      <w:r>
        <w:rPr>
          <w:rFonts w:ascii="Times New Roman"/>
          <w:b w:val="false"/>
          <w:i w:val="false"/>
          <w:color w:val="000000"/>
          <w:sz w:val="28"/>
        </w:rPr>
        <w:t>
      Исследование cc-ccc: 30-дневное исследование токсичности при многократном введении препарата C собакам.</w:t>
      </w:r>
    </w:p>
    <w:bookmarkEnd w:id="3119"/>
    <w:bookmarkStart w:name="z3154" w:id="3120"/>
    <w:p>
      <w:pPr>
        <w:spacing w:after="0"/>
        <w:ind w:left="0"/>
        <w:jc w:val="both"/>
      </w:pPr>
      <w:r>
        <w:rPr>
          <w:rFonts w:ascii="Times New Roman"/>
          <w:b w:val="false"/>
          <w:i w:val="false"/>
          <w:color w:val="000000"/>
          <w:sz w:val="28"/>
        </w:rPr>
        <w:t>
      Исследование dd-ddd: 6-месячное исследование токсичности при многократном введении препарата C собакам.</w:t>
      </w:r>
    </w:p>
    <w:bookmarkEnd w:id="3120"/>
    <w:bookmarkStart w:name="z3155" w:id="3121"/>
    <w:p>
      <w:pPr>
        <w:spacing w:after="0"/>
        <w:ind w:left="0"/>
        <w:jc w:val="both"/>
      </w:pPr>
      <w:r>
        <w:rPr>
          <w:rFonts w:ascii="Times New Roman"/>
          <w:b w:val="false"/>
          <w:i w:val="false"/>
          <w:color w:val="000000"/>
          <w:sz w:val="28"/>
        </w:rPr>
        <w:t>
      4.2.3.3. Генотоксичность.</w:t>
      </w:r>
    </w:p>
    <w:bookmarkEnd w:id="3121"/>
    <w:bookmarkStart w:name="z3156" w:id="3122"/>
    <w:p>
      <w:pPr>
        <w:spacing w:after="0"/>
        <w:ind w:left="0"/>
        <w:jc w:val="both"/>
      </w:pPr>
      <w:r>
        <w:rPr>
          <w:rFonts w:ascii="Times New Roman"/>
          <w:b w:val="false"/>
          <w:i w:val="false"/>
          <w:color w:val="000000"/>
          <w:sz w:val="28"/>
        </w:rPr>
        <w:t>
      4.2.3.3.1. In vitro.</w:t>
      </w:r>
    </w:p>
    <w:bookmarkEnd w:id="3122"/>
    <w:bookmarkStart w:name="z3157" w:id="3123"/>
    <w:p>
      <w:pPr>
        <w:spacing w:after="0"/>
        <w:ind w:left="0"/>
        <w:jc w:val="both"/>
      </w:pPr>
      <w:r>
        <w:rPr>
          <w:rFonts w:ascii="Times New Roman"/>
          <w:b w:val="false"/>
          <w:i w:val="false"/>
          <w:color w:val="000000"/>
          <w:sz w:val="28"/>
        </w:rPr>
        <w:t>
      Исследование ee-eee: тест Эймса с препаратом C.</w:t>
      </w:r>
    </w:p>
    <w:bookmarkEnd w:id="3123"/>
    <w:bookmarkStart w:name="z3158" w:id="3124"/>
    <w:p>
      <w:pPr>
        <w:spacing w:after="0"/>
        <w:ind w:left="0"/>
        <w:jc w:val="both"/>
      </w:pPr>
      <w:r>
        <w:rPr>
          <w:rFonts w:ascii="Times New Roman"/>
          <w:b w:val="false"/>
          <w:i w:val="false"/>
          <w:color w:val="000000"/>
          <w:sz w:val="28"/>
        </w:rPr>
        <w:t>
      и т.д.</w:t>
      </w:r>
    </w:p>
    <w:bookmarkEnd w:id="3124"/>
    <w:bookmarkStart w:name="z3159" w:id="3125"/>
    <w:p>
      <w:pPr>
        <w:spacing w:after="0"/>
        <w:ind w:left="0"/>
        <w:jc w:val="both"/>
      </w:pPr>
      <w:r>
        <w:rPr>
          <w:rFonts w:ascii="Times New Roman"/>
          <w:b w:val="false"/>
          <w:i w:val="false"/>
          <w:color w:val="000000"/>
          <w:sz w:val="28"/>
        </w:rPr>
        <w:t>
      3.4. Модуль 5.</w:t>
      </w:r>
    </w:p>
    <w:bookmarkEnd w:id="3125"/>
    <w:bookmarkStart w:name="z3160" w:id="3126"/>
    <w:p>
      <w:pPr>
        <w:spacing w:after="0"/>
        <w:ind w:left="0"/>
        <w:jc w:val="both"/>
      </w:pPr>
      <w:r>
        <w:rPr>
          <w:rFonts w:ascii="Times New Roman"/>
          <w:b w:val="false"/>
          <w:i w:val="false"/>
          <w:color w:val="000000"/>
          <w:sz w:val="28"/>
        </w:rPr>
        <w:t>
      В целях идентификации важных компонентов досье (например, 5.3.5.1.1. "Плацебо-контролируемые исследования") содержание модуля 5 должно включать все числовые элементы, перечисленные в приложении № 1 к Правилам, его необходимо детализировать по меньшей мере до уровня отчета о клиническом исследовании. Таким образом, в содержании необходимо отразить каждый отчет о клиническом исследовании. Разделы отчета о клиническом исследовании (см. приложение № 1 к Правилам надлежащей клинической практики Евразийского экономического союза) допускается указывать в содержании модуля 5 досье или только в содержании отдельного отчета о клиническом исследовании.</w:t>
      </w:r>
    </w:p>
    <w:bookmarkEnd w:id="3126"/>
    <w:bookmarkStart w:name="z3161" w:id="3127"/>
    <w:p>
      <w:pPr>
        <w:spacing w:after="0"/>
        <w:ind w:left="0"/>
        <w:jc w:val="both"/>
      </w:pPr>
      <w:r>
        <w:rPr>
          <w:rFonts w:ascii="Times New Roman"/>
          <w:b w:val="false"/>
          <w:i w:val="false"/>
          <w:color w:val="000000"/>
          <w:sz w:val="28"/>
        </w:rPr>
        <w:t>
      Иллюстрация части содержания модуля 5.</w:t>
      </w:r>
    </w:p>
    <w:bookmarkEnd w:id="3127"/>
    <w:bookmarkStart w:name="z3162" w:id="3128"/>
    <w:p>
      <w:pPr>
        <w:spacing w:after="0"/>
        <w:ind w:left="0"/>
        <w:jc w:val="both"/>
      </w:pPr>
      <w:r>
        <w:rPr>
          <w:rFonts w:ascii="Times New Roman"/>
          <w:b w:val="false"/>
          <w:i w:val="false"/>
          <w:color w:val="000000"/>
          <w:sz w:val="28"/>
        </w:rPr>
        <w:t>
      5.3.5 Показание Z - отчеты об исследования эффективности и безопасности.</w:t>
      </w:r>
    </w:p>
    <w:bookmarkEnd w:id="3128"/>
    <w:bookmarkStart w:name="z3163" w:id="3129"/>
    <w:p>
      <w:pPr>
        <w:spacing w:after="0"/>
        <w:ind w:left="0"/>
        <w:jc w:val="both"/>
      </w:pPr>
      <w:r>
        <w:rPr>
          <w:rFonts w:ascii="Times New Roman"/>
          <w:b w:val="false"/>
          <w:i w:val="false"/>
          <w:color w:val="000000"/>
          <w:sz w:val="28"/>
        </w:rPr>
        <w:t>
      5.3.5.1 Показание Z - отчеты о контролируемых клинических исследованиях, относящихся к заявленному показанию к применению.</w:t>
      </w:r>
    </w:p>
    <w:bookmarkEnd w:id="3129"/>
    <w:bookmarkStart w:name="z3164" w:id="3130"/>
    <w:p>
      <w:pPr>
        <w:spacing w:after="0"/>
        <w:ind w:left="0"/>
        <w:jc w:val="both"/>
      </w:pPr>
      <w:r>
        <w:rPr>
          <w:rFonts w:ascii="Times New Roman"/>
          <w:b w:val="false"/>
          <w:i w:val="false"/>
          <w:color w:val="000000"/>
          <w:sz w:val="28"/>
        </w:rPr>
        <w:t>
      5.3.5.1.1 Показание Z - плацебо-контролируемые исследования.</w:t>
      </w:r>
    </w:p>
    <w:bookmarkEnd w:id="3130"/>
    <w:bookmarkStart w:name="z3165" w:id="3131"/>
    <w:p>
      <w:pPr>
        <w:spacing w:after="0"/>
        <w:ind w:left="0"/>
        <w:jc w:val="both"/>
      </w:pPr>
      <w:r>
        <w:rPr>
          <w:rFonts w:ascii="Times New Roman"/>
          <w:b w:val="false"/>
          <w:i w:val="false"/>
          <w:color w:val="000000"/>
          <w:sz w:val="28"/>
        </w:rPr>
        <w:t>
      Исследование xx-xxx: двойное слепое, плацебо-контролируемое исследование препарата A при показании Z.</w:t>
      </w:r>
    </w:p>
    <w:bookmarkEnd w:id="3131"/>
    <w:bookmarkStart w:name="z3166" w:id="3132"/>
    <w:p>
      <w:pPr>
        <w:spacing w:after="0"/>
        <w:ind w:left="0"/>
        <w:jc w:val="both"/>
      </w:pPr>
      <w:r>
        <w:rPr>
          <w:rFonts w:ascii="Times New Roman"/>
          <w:b w:val="false"/>
          <w:i w:val="false"/>
          <w:color w:val="000000"/>
          <w:sz w:val="28"/>
        </w:rPr>
        <w:t>
      Исследование yy-yyy: двойное слепое.</w:t>
      </w:r>
    </w:p>
    <w:bookmarkEnd w:id="3132"/>
    <w:bookmarkStart w:name="z3167" w:id="3133"/>
    <w:p>
      <w:pPr>
        <w:spacing w:after="0"/>
        <w:ind w:left="0"/>
        <w:jc w:val="both"/>
      </w:pPr>
      <w:r>
        <w:rPr>
          <w:rFonts w:ascii="Times New Roman"/>
          <w:b w:val="false"/>
          <w:i w:val="false"/>
          <w:color w:val="000000"/>
          <w:sz w:val="28"/>
        </w:rPr>
        <w:t>
      5.3.5.1.2 Показание Z - исследования с активным контролем.</w:t>
      </w:r>
    </w:p>
    <w:bookmarkEnd w:id="3133"/>
    <w:bookmarkStart w:name="z3168" w:id="3134"/>
    <w:p>
      <w:pPr>
        <w:spacing w:after="0"/>
        <w:ind w:left="0"/>
        <w:jc w:val="both"/>
      </w:pPr>
      <w:r>
        <w:rPr>
          <w:rFonts w:ascii="Times New Roman"/>
          <w:b w:val="false"/>
          <w:i w:val="false"/>
          <w:color w:val="000000"/>
          <w:sz w:val="28"/>
        </w:rPr>
        <w:t>
      Исследование zz-zzz: двойное слепое, активно-контролируемое исследование препарата A в сравнении с препаратом C при показании Z.</w:t>
      </w:r>
    </w:p>
    <w:bookmarkEnd w:id="3134"/>
    <w:bookmarkStart w:name="z3169" w:id="3135"/>
    <w:p>
      <w:pPr>
        <w:spacing w:after="0"/>
        <w:ind w:left="0"/>
        <w:jc w:val="both"/>
      </w:pPr>
      <w:r>
        <w:rPr>
          <w:rFonts w:ascii="Times New Roman"/>
          <w:b w:val="false"/>
          <w:i w:val="false"/>
          <w:color w:val="000000"/>
          <w:sz w:val="28"/>
        </w:rPr>
        <w:t>
      5.3.5 Показание Q - отчеты об исследования эффективности и безопасности.</w:t>
      </w:r>
    </w:p>
    <w:bookmarkEnd w:id="3135"/>
    <w:bookmarkStart w:name="z3170" w:id="3136"/>
    <w:p>
      <w:pPr>
        <w:spacing w:after="0"/>
        <w:ind w:left="0"/>
        <w:jc w:val="both"/>
      </w:pPr>
      <w:r>
        <w:rPr>
          <w:rFonts w:ascii="Times New Roman"/>
          <w:b w:val="false"/>
          <w:i w:val="false"/>
          <w:color w:val="000000"/>
          <w:sz w:val="28"/>
        </w:rPr>
        <w:t>
      5.3.5.1 Показание Q - отчеты о контролируемых клинических исследованиях, относящихся к заявленному показанию к применению.</w:t>
      </w:r>
    </w:p>
    <w:bookmarkEnd w:id="3136"/>
    <w:bookmarkStart w:name="z3171" w:id="3137"/>
    <w:p>
      <w:pPr>
        <w:spacing w:after="0"/>
        <w:ind w:left="0"/>
        <w:jc w:val="both"/>
      </w:pPr>
      <w:r>
        <w:rPr>
          <w:rFonts w:ascii="Times New Roman"/>
          <w:b w:val="false"/>
          <w:i w:val="false"/>
          <w:color w:val="000000"/>
          <w:sz w:val="28"/>
        </w:rPr>
        <w:t>
      и т.д.</w:t>
      </w:r>
    </w:p>
    <w:bookmarkEnd w:id="3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3173" w:id="3138"/>
    <w:p>
      <w:pPr>
        <w:spacing w:after="0"/>
        <w:ind w:left="0"/>
        <w:jc w:val="left"/>
      </w:pPr>
      <w:r>
        <w:rPr>
          <w:rFonts w:ascii="Times New Roman"/>
          <w:b/>
          <w:i w:val="false"/>
          <w:color w:val="000000"/>
        </w:rPr>
        <w:t xml:space="preserve"> ФОРМА ЭКСПЕРТНОГО ОТЧЕТА ПО ОЦЕНКЕ РЕЗУЛЬТАТОВ ДОКЛИНИЧЕСКИХ (НЕКЛИНИЧЕСКИХ) ИССЛЕДОВАНИЙ </w:t>
      </w:r>
    </w:p>
    <w:bookmarkEnd w:id="3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175" w:id="3139"/>
    <w:p>
      <w:pPr>
        <w:spacing w:after="0"/>
        <w:ind w:left="0"/>
        <w:jc w:val="left"/>
      </w:pPr>
      <w:r>
        <w:rPr>
          <w:rFonts w:ascii="Times New Roman"/>
          <w:b/>
          <w:i w:val="false"/>
          <w:color w:val="000000"/>
        </w:rPr>
        <w:t xml:space="preserve"> ЭКСПЕРТНЫЙ ОТЧЕТ</w:t>
      </w:r>
      <w:r>
        <w:br/>
      </w:r>
      <w:r>
        <w:rPr>
          <w:rFonts w:ascii="Times New Roman"/>
          <w:b/>
          <w:i w:val="false"/>
          <w:color w:val="000000"/>
        </w:rPr>
        <w:t xml:space="preserve"> по оценке результатов доклинических (неклинических) исследований ____________________________________________</w:t>
      </w:r>
      <w:r>
        <w:br/>
      </w:r>
      <w:r>
        <w:rPr>
          <w:rFonts w:ascii="Times New Roman"/>
          <w:b/>
          <w:i w:val="false"/>
          <w:color w:val="000000"/>
        </w:rPr>
        <w:t>(наименование лекарственного препарата, его лекарственная форма, дозировки)</w:t>
      </w:r>
    </w:p>
    <w:bookmarkEnd w:id="3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3140"/>
          <w:p>
            <w:pPr>
              <w:spacing w:after="20"/>
              <w:ind w:left="20"/>
              <w:jc w:val="both"/>
            </w:pPr>
            <w:r>
              <w:rPr>
                <w:rFonts w:ascii="Times New Roman"/>
                <w:b w:val="false"/>
                <w:i w:val="false"/>
                <w:color w:val="000000"/>
                <w:sz w:val="20"/>
              </w:rPr>
              <w:t xml:space="preserve">
Эксперт: </w:t>
            </w:r>
          </w:p>
          <w:bookmarkEnd w:id="3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3141"/>
          <w:p>
            <w:pPr>
              <w:spacing w:after="20"/>
              <w:ind w:left="20"/>
              <w:jc w:val="both"/>
            </w:pPr>
            <w:r>
              <w:rPr>
                <w:rFonts w:ascii="Times New Roman"/>
                <w:b w:val="false"/>
                <w:i w:val="false"/>
                <w:color w:val="000000"/>
                <w:sz w:val="20"/>
              </w:rPr>
              <w:t xml:space="preserve">
Начало процедуры: </w:t>
            </w:r>
          </w:p>
          <w:bookmarkEnd w:id="3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3142"/>
          <w:p>
            <w:pPr>
              <w:spacing w:after="20"/>
              <w:ind w:left="20"/>
              <w:jc w:val="both"/>
            </w:pPr>
            <w:r>
              <w:rPr>
                <w:rFonts w:ascii="Times New Roman"/>
                <w:b w:val="false"/>
                <w:i w:val="false"/>
                <w:color w:val="000000"/>
                <w:sz w:val="20"/>
              </w:rPr>
              <w:t xml:space="preserve">
Дата настоящего отчета: </w:t>
            </w:r>
          </w:p>
          <w:bookmarkEnd w:id="3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3143"/>
          <w:p>
            <w:pPr>
              <w:spacing w:after="20"/>
              <w:ind w:left="20"/>
              <w:jc w:val="both"/>
            </w:pPr>
            <w:r>
              <w:rPr>
                <w:rFonts w:ascii="Times New Roman"/>
                <w:b w:val="false"/>
                <w:i w:val="false"/>
                <w:color w:val="000000"/>
                <w:sz w:val="20"/>
              </w:rPr>
              <w:t xml:space="preserve">
Окончательный срок для комментариев: </w:t>
            </w:r>
          </w:p>
          <w:bookmarkEnd w:id="3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0" w:id="3144"/>
    <w:p>
      <w:pPr>
        <w:spacing w:after="0"/>
        <w:ind w:left="0"/>
        <w:jc w:val="both"/>
      </w:pPr>
      <w:r>
        <w:rPr>
          <w:rFonts w:ascii="Times New Roman"/>
          <w:b w:val="false"/>
          <w:i w:val="false"/>
          <w:color w:val="000000"/>
          <w:sz w:val="28"/>
        </w:rPr>
        <w:t>
       АДМИНИСТРАТИВНАЯ ИНФОРМАЦИЯ</w:t>
      </w:r>
    </w:p>
    <w:bookmarkEnd w:id="3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3145"/>
          <w:p>
            <w:pPr>
              <w:spacing w:after="20"/>
              <w:ind w:left="20"/>
              <w:jc w:val="both"/>
            </w:pPr>
            <w:r>
              <w:rPr>
                <w:rFonts w:ascii="Times New Roman"/>
                <w:b w:val="false"/>
                <w:i w:val="false"/>
                <w:color w:val="000000"/>
                <w:sz w:val="20"/>
              </w:rPr>
              <w:t xml:space="preserve">
Идентификационный номер заявления на регистрацию: </w:t>
            </w:r>
          </w:p>
          <w:bookmarkEnd w:id="3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3146"/>
          <w:p>
            <w:pPr>
              <w:spacing w:after="20"/>
              <w:ind w:left="20"/>
              <w:jc w:val="both"/>
            </w:pPr>
            <w:r>
              <w:rPr>
                <w:rFonts w:ascii="Times New Roman"/>
                <w:b w:val="false"/>
                <w:i w:val="false"/>
                <w:color w:val="000000"/>
                <w:sz w:val="20"/>
              </w:rPr>
              <w:t xml:space="preserve">
Торговое наименование лекарственного средства: </w:t>
            </w:r>
          </w:p>
          <w:bookmarkEnd w:id="3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3147"/>
          <w:p>
            <w:pPr>
              <w:spacing w:after="20"/>
              <w:ind w:left="20"/>
              <w:jc w:val="both"/>
            </w:pPr>
            <w:r>
              <w:rPr>
                <w:rFonts w:ascii="Times New Roman"/>
                <w:b w:val="false"/>
                <w:i w:val="false"/>
                <w:color w:val="000000"/>
                <w:sz w:val="20"/>
              </w:rPr>
              <w:t xml:space="preserve">
Международное непатентованное наименование (МНН) или общепринятое наименование действующего вещества (веществ): </w:t>
            </w:r>
          </w:p>
          <w:bookmarkEnd w:id="3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3148"/>
          <w:p>
            <w:pPr>
              <w:spacing w:after="20"/>
              <w:ind w:left="20"/>
              <w:jc w:val="both"/>
            </w:pPr>
            <w:r>
              <w:rPr>
                <w:rFonts w:ascii="Times New Roman"/>
                <w:b w:val="false"/>
                <w:i w:val="false"/>
                <w:color w:val="000000"/>
                <w:sz w:val="20"/>
              </w:rPr>
              <w:t xml:space="preserve">
Заявитель: </w:t>
            </w:r>
          </w:p>
          <w:bookmarkEnd w:id="3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3149"/>
          <w:p>
            <w:pPr>
              <w:spacing w:after="20"/>
              <w:ind w:left="20"/>
              <w:jc w:val="both"/>
            </w:pPr>
            <w:r>
              <w:rPr>
                <w:rFonts w:ascii="Times New Roman"/>
                <w:b w:val="false"/>
                <w:i w:val="false"/>
                <w:color w:val="000000"/>
                <w:sz w:val="20"/>
              </w:rPr>
              <w:t xml:space="preserve">
Заявленные показания к применению: </w:t>
            </w:r>
          </w:p>
          <w:bookmarkEnd w:id="3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3150"/>
          <w:p>
            <w:pPr>
              <w:spacing w:after="20"/>
              <w:ind w:left="20"/>
              <w:jc w:val="both"/>
            </w:pPr>
            <w:r>
              <w:rPr>
                <w:rFonts w:ascii="Times New Roman"/>
                <w:b w:val="false"/>
                <w:i w:val="false"/>
                <w:color w:val="000000"/>
                <w:sz w:val="20"/>
              </w:rPr>
              <w:t xml:space="preserve">
Фармакотерапевтическая группа (ATX-код): </w:t>
            </w:r>
          </w:p>
          <w:bookmarkEnd w:id="3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3151"/>
          <w:p>
            <w:pPr>
              <w:spacing w:after="20"/>
              <w:ind w:left="20"/>
              <w:jc w:val="both"/>
            </w:pPr>
            <w:r>
              <w:rPr>
                <w:rFonts w:ascii="Times New Roman"/>
                <w:b w:val="false"/>
                <w:i w:val="false"/>
                <w:color w:val="000000"/>
                <w:sz w:val="20"/>
              </w:rPr>
              <w:t xml:space="preserve">
Лекарственная форма и дозировка(-и): </w:t>
            </w:r>
          </w:p>
          <w:bookmarkEnd w:id="3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3152"/>
          <w:p>
            <w:pPr>
              <w:spacing w:after="20"/>
              <w:ind w:left="20"/>
              <w:jc w:val="both"/>
            </w:pPr>
            <w:r>
              <w:rPr>
                <w:rFonts w:ascii="Times New Roman"/>
                <w:b w:val="false"/>
                <w:i w:val="false"/>
                <w:color w:val="000000"/>
                <w:sz w:val="20"/>
              </w:rPr>
              <w:t xml:space="preserve">
Имена экспертов докладчика (внутренний эксперт и независимый эксперт): </w:t>
            </w:r>
          </w:p>
          <w:bookmarkEnd w:id="3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Доклинический:</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Адрес электронной почты: </w:t>
            </w:r>
          </w:p>
        </w:tc>
      </w:tr>
    </w:tbl>
    <w:bookmarkStart w:name="z3191" w:id="3153"/>
    <w:p>
      <w:pPr>
        <w:spacing w:after="0"/>
        <w:ind w:left="0"/>
        <w:jc w:val="both"/>
      </w:pPr>
      <w:r>
        <w:rPr>
          <w:rFonts w:ascii="Times New Roman"/>
          <w:b w:val="false"/>
          <w:i w:val="false"/>
          <w:color w:val="000000"/>
          <w:sz w:val="28"/>
        </w:rPr>
        <w:t>
      Список сокращений.</w:t>
      </w:r>
    </w:p>
    <w:bookmarkEnd w:id="3153"/>
    <w:bookmarkStart w:name="z3192" w:id="3154"/>
    <w:p>
      <w:pPr>
        <w:spacing w:after="0"/>
        <w:ind w:left="0"/>
        <w:jc w:val="both"/>
      </w:pPr>
      <w:r>
        <w:rPr>
          <w:rFonts w:ascii="Times New Roman"/>
          <w:b w:val="false"/>
          <w:i w:val="false"/>
          <w:color w:val="000000"/>
          <w:sz w:val="28"/>
        </w:rPr>
        <w:t>
      ЭКСПЕРТИЗА ДОКЛИНИЧЕСКИХ (НЕКЛИНИЧЕСКИХ) АСПЕКТОВ</w:t>
      </w:r>
    </w:p>
    <w:bookmarkEnd w:id="3154"/>
    <w:bookmarkStart w:name="z3193" w:id="3155"/>
    <w:p>
      <w:pPr>
        <w:spacing w:after="0"/>
        <w:ind w:left="0"/>
        <w:jc w:val="both"/>
      </w:pPr>
      <w:r>
        <w:rPr>
          <w:rFonts w:ascii="Times New Roman"/>
          <w:b w:val="false"/>
          <w:i w:val="false"/>
          <w:color w:val="000000"/>
          <w:sz w:val="28"/>
        </w:rPr>
        <w:t>
      1. Введение.</w:t>
      </w:r>
    </w:p>
    <w:bookmarkEnd w:id="3155"/>
    <w:bookmarkStart w:name="z3194" w:id="3156"/>
    <w:p>
      <w:pPr>
        <w:spacing w:after="0"/>
        <w:ind w:left="0"/>
        <w:jc w:val="both"/>
      </w:pPr>
      <w:r>
        <w:rPr>
          <w:rFonts w:ascii="Times New Roman"/>
          <w:b w:val="false"/>
          <w:i w:val="false"/>
          <w:color w:val="000000"/>
          <w:sz w:val="28"/>
        </w:rPr>
        <w:t>
      1.1. Тип заявления и аспекты разработки.</w:t>
      </w:r>
    </w:p>
    <w:bookmarkEnd w:id="3156"/>
    <w:bookmarkStart w:name="z3195" w:id="3157"/>
    <w:p>
      <w:pPr>
        <w:spacing w:after="0"/>
        <w:ind w:left="0"/>
        <w:jc w:val="both"/>
      </w:pPr>
      <w:r>
        <w:rPr>
          <w:rFonts w:ascii="Times New Roman"/>
          <w:b w:val="false"/>
          <w:i w:val="false"/>
          <w:color w:val="000000"/>
          <w:sz w:val="28"/>
        </w:rPr>
        <w:t>
      1.2. Аспекты надлежащей лабораторной практики.</w:t>
      </w:r>
    </w:p>
    <w:bookmarkEnd w:id="3157"/>
    <w:bookmarkStart w:name="z3196" w:id="3158"/>
    <w:p>
      <w:pPr>
        <w:spacing w:after="0"/>
        <w:ind w:left="0"/>
        <w:jc w:val="both"/>
      </w:pPr>
      <w:r>
        <w:rPr>
          <w:rFonts w:ascii="Times New Roman"/>
          <w:b w:val="false"/>
          <w:i w:val="false"/>
          <w:color w:val="000000"/>
          <w:sz w:val="28"/>
        </w:rPr>
        <w:t>
      2. Фармакология (модули 2.6.2 и 4.2.1).</w:t>
      </w:r>
    </w:p>
    <w:bookmarkEnd w:id="3158"/>
    <w:bookmarkStart w:name="z3197" w:id="3159"/>
    <w:p>
      <w:pPr>
        <w:spacing w:after="0"/>
        <w:ind w:left="0"/>
        <w:jc w:val="both"/>
      </w:pPr>
      <w:r>
        <w:rPr>
          <w:rFonts w:ascii="Times New Roman"/>
          <w:b w:val="false"/>
          <w:i w:val="false"/>
          <w:color w:val="000000"/>
          <w:sz w:val="28"/>
        </w:rPr>
        <w:t>
      Краткое описание.</w:t>
      </w:r>
    </w:p>
    <w:bookmarkEnd w:id="3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3160"/>
          <w:p>
            <w:pPr>
              <w:spacing w:after="20"/>
              <w:ind w:left="20"/>
              <w:jc w:val="both"/>
            </w:pPr>
            <w:r>
              <w:rPr>
                <w:rFonts w:ascii="Times New Roman"/>
                <w:b w:val="false"/>
                <w:i w:val="false"/>
                <w:color w:val="000000"/>
                <w:sz w:val="20"/>
              </w:rPr>
              <w:t xml:space="preserve">
Комментарий эксперта </w:t>
            </w:r>
          </w:p>
          <w:bookmarkEnd w:id="3160"/>
        </w:tc>
      </w:tr>
    </w:tbl>
    <w:bookmarkStart w:name="z3199" w:id="3161"/>
    <w:p>
      <w:pPr>
        <w:spacing w:after="0"/>
        <w:ind w:left="0"/>
        <w:jc w:val="both"/>
      </w:pPr>
      <w:r>
        <w:rPr>
          <w:rFonts w:ascii="Times New Roman"/>
          <w:b w:val="false"/>
          <w:i w:val="false"/>
          <w:color w:val="000000"/>
          <w:sz w:val="28"/>
        </w:rPr>
        <w:t>
      Физическо-химические свойства.</w:t>
      </w:r>
    </w:p>
    <w:bookmarkEnd w:id="3161"/>
    <w:bookmarkStart w:name="z3200" w:id="3162"/>
    <w:p>
      <w:pPr>
        <w:spacing w:after="0"/>
        <w:ind w:left="0"/>
        <w:jc w:val="both"/>
      </w:pPr>
      <w:r>
        <w:rPr>
          <w:rFonts w:ascii="Times New Roman"/>
          <w:b w:val="false"/>
          <w:i w:val="false"/>
          <w:color w:val="000000"/>
          <w:sz w:val="28"/>
        </w:rPr>
        <w:t>
      Структура действующего вещества</w:t>
      </w:r>
    </w:p>
    <w:bookmarkEnd w:id="3162"/>
    <w:bookmarkStart w:name="z3201" w:id="3163"/>
    <w:p>
      <w:pPr>
        <w:spacing w:after="0"/>
        <w:ind w:left="0"/>
        <w:jc w:val="both"/>
      </w:pPr>
      <w:r>
        <w:rPr>
          <w:rFonts w:ascii="Times New Roman"/>
          <w:b w:val="false"/>
          <w:i w:val="false"/>
          <w:color w:val="000000"/>
          <w:sz w:val="28"/>
        </w:rPr>
        <w:t>
      (вставить структуру)</w:t>
      </w:r>
    </w:p>
    <w:bookmarkEnd w:id="3163"/>
    <w:bookmarkStart w:name="z3202" w:id="3164"/>
    <w:p>
      <w:pPr>
        <w:spacing w:after="0"/>
        <w:ind w:left="0"/>
        <w:jc w:val="both"/>
      </w:pPr>
      <w:r>
        <w:rPr>
          <w:rFonts w:ascii="Times New Roman"/>
          <w:b w:val="false"/>
          <w:i w:val="false"/>
          <w:color w:val="000000"/>
          <w:sz w:val="28"/>
        </w:rPr>
        <w:t>
      Положение радиоактивной метки</w:t>
      </w:r>
    </w:p>
    <w:bookmarkEnd w:id="3164"/>
    <w:bookmarkStart w:name="z3203" w:id="3165"/>
    <w:p>
      <w:pPr>
        <w:spacing w:after="0"/>
        <w:ind w:left="0"/>
        <w:jc w:val="both"/>
      </w:pPr>
      <w:r>
        <w:rPr>
          <w:rFonts w:ascii="Times New Roman"/>
          <w:b w:val="false"/>
          <w:i w:val="false"/>
          <w:color w:val="000000"/>
          <w:sz w:val="28"/>
        </w:rPr>
        <w:t>
      (смотрите структуру)</w:t>
      </w:r>
    </w:p>
    <w:bookmarkEnd w:id="3165"/>
    <w:bookmarkStart w:name="z3204" w:id="3166"/>
    <w:p>
      <w:pPr>
        <w:spacing w:after="0"/>
        <w:ind w:left="0"/>
        <w:jc w:val="both"/>
      </w:pPr>
      <w:r>
        <w:rPr>
          <w:rFonts w:ascii="Times New Roman"/>
          <w:b w:val="false"/>
          <w:i w:val="false"/>
          <w:color w:val="000000"/>
          <w:sz w:val="28"/>
        </w:rPr>
        <w:t>
      Изомерия</w:t>
      </w:r>
    </w:p>
    <w:bookmarkEnd w:id="3166"/>
    <w:bookmarkStart w:name="z3205" w:id="3167"/>
    <w:p>
      <w:pPr>
        <w:spacing w:after="0"/>
        <w:ind w:left="0"/>
        <w:jc w:val="both"/>
      </w:pPr>
      <w:r>
        <w:rPr>
          <w:rFonts w:ascii="Times New Roman"/>
          <w:b w:val="false"/>
          <w:i w:val="false"/>
          <w:color w:val="000000"/>
          <w:sz w:val="28"/>
        </w:rPr>
        <w:t>
      Относительная молекулярная масса</w:t>
      </w:r>
    </w:p>
    <w:bookmarkEnd w:id="3167"/>
    <w:bookmarkStart w:name="z3206" w:id="3168"/>
    <w:p>
      <w:pPr>
        <w:spacing w:after="0"/>
        <w:ind w:left="0"/>
        <w:jc w:val="both"/>
      </w:pPr>
      <w:r>
        <w:rPr>
          <w:rFonts w:ascii="Times New Roman"/>
          <w:b w:val="false"/>
          <w:i w:val="false"/>
          <w:color w:val="000000"/>
          <w:sz w:val="28"/>
        </w:rPr>
        <w:t>
      Растворимость в воде</w:t>
      </w:r>
    </w:p>
    <w:bookmarkEnd w:id="3168"/>
    <w:bookmarkStart w:name="z3207" w:id="3169"/>
    <w:p>
      <w:pPr>
        <w:spacing w:after="0"/>
        <w:ind w:left="0"/>
        <w:jc w:val="both"/>
      </w:pPr>
      <w:r>
        <w:rPr>
          <w:rFonts w:ascii="Times New Roman"/>
          <w:b w:val="false"/>
          <w:i w:val="false"/>
          <w:color w:val="000000"/>
          <w:sz w:val="28"/>
        </w:rPr>
        <w:t>
      Показатель константы ионизации (pKa)</w:t>
      </w:r>
    </w:p>
    <w:bookmarkEnd w:id="3169"/>
    <w:bookmarkStart w:name="z3208" w:id="3170"/>
    <w:p>
      <w:pPr>
        <w:spacing w:after="0"/>
        <w:ind w:left="0"/>
        <w:jc w:val="both"/>
      </w:pPr>
      <w:r>
        <w:rPr>
          <w:rFonts w:ascii="Times New Roman"/>
          <w:b w:val="false"/>
          <w:i w:val="false"/>
          <w:color w:val="000000"/>
          <w:sz w:val="28"/>
        </w:rPr>
        <w:t>
      Коэффициент распределения</w:t>
      </w:r>
    </w:p>
    <w:bookmarkEnd w:id="3170"/>
    <w:bookmarkStart w:name="z3209" w:id="3171"/>
    <w:p>
      <w:pPr>
        <w:spacing w:after="0"/>
        <w:ind w:left="0"/>
        <w:jc w:val="both"/>
      </w:pPr>
      <w:r>
        <w:rPr>
          <w:rFonts w:ascii="Times New Roman"/>
          <w:b w:val="false"/>
          <w:i w:val="false"/>
          <w:color w:val="000000"/>
          <w:sz w:val="28"/>
        </w:rPr>
        <w:t>
      Растворимость в органических растворителях</w:t>
      </w:r>
    </w:p>
    <w:bookmarkEnd w:id="3171"/>
    <w:bookmarkStart w:name="z3210" w:id="3172"/>
    <w:p>
      <w:pPr>
        <w:spacing w:after="0"/>
        <w:ind w:left="0"/>
        <w:jc w:val="both"/>
      </w:pPr>
      <w:r>
        <w:rPr>
          <w:rFonts w:ascii="Times New Roman"/>
          <w:b w:val="false"/>
          <w:i w:val="false"/>
          <w:color w:val="000000"/>
          <w:sz w:val="28"/>
        </w:rPr>
        <w:t>
      Стабильность</w:t>
      </w:r>
    </w:p>
    <w:bookmarkEnd w:id="3172"/>
    <w:bookmarkStart w:name="z3211" w:id="3173"/>
    <w:p>
      <w:pPr>
        <w:spacing w:after="0"/>
        <w:ind w:left="0"/>
        <w:jc w:val="both"/>
      </w:pPr>
      <w:r>
        <w:rPr>
          <w:rFonts w:ascii="Times New Roman"/>
          <w:b w:val="false"/>
          <w:i w:val="false"/>
          <w:color w:val="000000"/>
          <w:sz w:val="28"/>
        </w:rPr>
        <w:t xml:space="preserve">
      Предполагаемая хиральность и ее эффекты </w:t>
      </w:r>
    </w:p>
    <w:bookmarkEnd w:id="3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3174"/>
          <w:p>
            <w:pPr>
              <w:spacing w:after="20"/>
              <w:ind w:left="20"/>
              <w:jc w:val="both"/>
            </w:pPr>
            <w:r>
              <w:rPr>
                <w:rFonts w:ascii="Times New Roman"/>
                <w:b w:val="false"/>
                <w:i w:val="false"/>
                <w:color w:val="000000"/>
                <w:sz w:val="20"/>
              </w:rPr>
              <w:t xml:space="preserve">
Комментарий эксперта </w:t>
            </w:r>
          </w:p>
          <w:bookmarkEnd w:id="3174"/>
        </w:tc>
      </w:tr>
    </w:tbl>
    <w:bookmarkStart w:name="z3213" w:id="3175"/>
    <w:p>
      <w:pPr>
        <w:spacing w:after="0"/>
        <w:ind w:left="0"/>
        <w:jc w:val="both"/>
      </w:pPr>
      <w:r>
        <w:rPr>
          <w:rFonts w:ascii="Times New Roman"/>
          <w:b w:val="false"/>
          <w:i w:val="false"/>
          <w:color w:val="000000"/>
          <w:sz w:val="28"/>
        </w:rPr>
        <w:t>
      2.1. Первичная фармакодинамика.</w:t>
      </w:r>
    </w:p>
    <w:bookmarkEnd w:id="3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3176"/>
          <w:p>
            <w:pPr>
              <w:spacing w:after="20"/>
              <w:ind w:left="20"/>
              <w:jc w:val="both"/>
            </w:pPr>
            <w:r>
              <w:rPr>
                <w:rFonts w:ascii="Times New Roman"/>
                <w:b w:val="false"/>
                <w:i w:val="false"/>
                <w:color w:val="000000"/>
                <w:sz w:val="20"/>
              </w:rPr>
              <w:t xml:space="preserve">
Комментарий эксперта </w:t>
            </w:r>
          </w:p>
          <w:bookmarkEnd w:id="3176"/>
        </w:tc>
      </w:tr>
    </w:tbl>
    <w:bookmarkStart w:name="z3215" w:id="3177"/>
    <w:p>
      <w:pPr>
        <w:spacing w:after="0"/>
        <w:ind w:left="0"/>
        <w:jc w:val="both"/>
      </w:pPr>
      <w:r>
        <w:rPr>
          <w:rFonts w:ascii="Times New Roman"/>
          <w:b w:val="false"/>
          <w:i w:val="false"/>
          <w:color w:val="000000"/>
          <w:sz w:val="28"/>
        </w:rPr>
        <w:t>
      2.2. Вторичная фармакодинамика.</w:t>
      </w:r>
    </w:p>
    <w:bookmarkEnd w:id="3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3178"/>
          <w:p>
            <w:pPr>
              <w:spacing w:after="20"/>
              <w:ind w:left="20"/>
              <w:jc w:val="both"/>
            </w:pPr>
            <w:r>
              <w:rPr>
                <w:rFonts w:ascii="Times New Roman"/>
                <w:b w:val="false"/>
                <w:i w:val="false"/>
                <w:color w:val="000000"/>
                <w:sz w:val="20"/>
              </w:rPr>
              <w:t xml:space="preserve">
Комментарий эксперта </w:t>
            </w:r>
          </w:p>
          <w:bookmarkEnd w:id="3178"/>
        </w:tc>
      </w:tr>
    </w:tbl>
    <w:bookmarkStart w:name="z3217" w:id="3179"/>
    <w:p>
      <w:pPr>
        <w:spacing w:after="0"/>
        <w:ind w:left="0"/>
        <w:jc w:val="both"/>
      </w:pPr>
      <w:r>
        <w:rPr>
          <w:rFonts w:ascii="Times New Roman"/>
          <w:b w:val="false"/>
          <w:i w:val="false"/>
          <w:color w:val="000000"/>
          <w:sz w:val="28"/>
        </w:rPr>
        <w:t>
      2.3. Фармакологическая безопасность.</w:t>
      </w:r>
    </w:p>
    <w:bookmarkEnd w:id="3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3180"/>
          <w:p>
            <w:pPr>
              <w:spacing w:after="20"/>
              <w:ind w:left="20"/>
              <w:jc w:val="both"/>
            </w:pPr>
            <w:r>
              <w:rPr>
                <w:rFonts w:ascii="Times New Roman"/>
                <w:b w:val="false"/>
                <w:i w:val="false"/>
                <w:color w:val="000000"/>
                <w:sz w:val="20"/>
              </w:rPr>
              <w:t xml:space="preserve">
Комментарий эксперта </w:t>
            </w:r>
          </w:p>
          <w:bookmarkEnd w:id="3180"/>
        </w:tc>
      </w:tr>
    </w:tbl>
    <w:bookmarkStart w:name="z3219" w:id="3181"/>
    <w:p>
      <w:pPr>
        <w:spacing w:after="0"/>
        <w:ind w:left="0"/>
        <w:jc w:val="both"/>
      </w:pPr>
      <w:r>
        <w:rPr>
          <w:rFonts w:ascii="Times New Roman"/>
          <w:b w:val="false"/>
          <w:i w:val="false"/>
          <w:color w:val="000000"/>
          <w:sz w:val="28"/>
        </w:rPr>
        <w:t>
      2.4. Фармакодинамические лекарственные взаимодействия.</w:t>
      </w:r>
    </w:p>
    <w:bookmarkEnd w:id="3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3182"/>
          <w:p>
            <w:pPr>
              <w:spacing w:after="20"/>
              <w:ind w:left="20"/>
              <w:jc w:val="both"/>
            </w:pPr>
            <w:r>
              <w:rPr>
                <w:rFonts w:ascii="Times New Roman"/>
                <w:b w:val="false"/>
                <w:i w:val="false"/>
                <w:color w:val="000000"/>
                <w:sz w:val="20"/>
              </w:rPr>
              <w:t xml:space="preserve">
Комментарий эксперта </w:t>
            </w:r>
          </w:p>
          <w:bookmarkEnd w:id="3182"/>
        </w:tc>
      </w:tr>
    </w:tbl>
    <w:bookmarkStart w:name="z3221" w:id="3183"/>
    <w:p>
      <w:pPr>
        <w:spacing w:after="0"/>
        <w:ind w:left="0"/>
        <w:jc w:val="both"/>
      </w:pPr>
      <w:r>
        <w:rPr>
          <w:rFonts w:ascii="Times New Roman"/>
          <w:b w:val="false"/>
          <w:i w:val="false"/>
          <w:color w:val="000000"/>
          <w:sz w:val="28"/>
        </w:rPr>
        <w:t>
      2.5. Общее заключение эксперта по фармакологии.</w:t>
      </w:r>
    </w:p>
    <w:bookmarkEnd w:id="3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184"/>
          <w:p>
            <w:pPr>
              <w:spacing w:after="20"/>
              <w:ind w:left="20"/>
              <w:jc w:val="both"/>
            </w:pPr>
            <w:r>
              <w:rPr>
                <w:rFonts w:ascii="Times New Roman"/>
                <w:b w:val="false"/>
                <w:i w:val="false"/>
                <w:color w:val="000000"/>
                <w:sz w:val="20"/>
              </w:rPr>
              <w:t xml:space="preserve">
Комментарий эксперта </w:t>
            </w:r>
          </w:p>
          <w:bookmarkEnd w:id="3184"/>
        </w:tc>
      </w:tr>
    </w:tbl>
    <w:bookmarkStart w:name="z3223" w:id="3185"/>
    <w:p>
      <w:pPr>
        <w:spacing w:after="0"/>
        <w:ind w:left="0"/>
        <w:jc w:val="both"/>
      </w:pPr>
      <w:r>
        <w:rPr>
          <w:rFonts w:ascii="Times New Roman"/>
          <w:b w:val="false"/>
          <w:i w:val="false"/>
          <w:color w:val="000000"/>
          <w:sz w:val="28"/>
        </w:rPr>
        <w:t>
      3. Фармакокинетика (модули 2.6.4 и 4.2.2).</w:t>
      </w:r>
    </w:p>
    <w:bookmarkEnd w:id="3185"/>
    <w:bookmarkStart w:name="z3224" w:id="3186"/>
    <w:p>
      <w:pPr>
        <w:spacing w:after="0"/>
        <w:ind w:left="0"/>
        <w:jc w:val="both"/>
      </w:pPr>
      <w:r>
        <w:rPr>
          <w:rFonts w:ascii="Times New Roman"/>
          <w:b w:val="false"/>
          <w:i w:val="false"/>
          <w:color w:val="000000"/>
          <w:sz w:val="28"/>
        </w:rPr>
        <w:t>
      Фармакокинетические исследования.</w:t>
      </w:r>
    </w:p>
    <w:bookmarkEnd w:id="3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3187"/>
          <w:p>
            <w:pPr>
              <w:spacing w:after="20"/>
              <w:ind w:left="20"/>
              <w:jc w:val="both"/>
            </w:pPr>
            <w:r>
              <w:rPr>
                <w:rFonts w:ascii="Times New Roman"/>
                <w:b w:val="false"/>
                <w:i w:val="false"/>
                <w:color w:val="000000"/>
                <w:sz w:val="20"/>
              </w:rPr>
              <w:t xml:space="preserve">
Комментарий эксперта </w:t>
            </w:r>
          </w:p>
          <w:bookmarkEnd w:id="3187"/>
        </w:tc>
      </w:tr>
    </w:tbl>
    <w:bookmarkStart w:name="z3226" w:id="3188"/>
    <w:p>
      <w:pPr>
        <w:spacing w:after="0"/>
        <w:ind w:left="0"/>
        <w:jc w:val="both"/>
      </w:pPr>
      <w:r>
        <w:rPr>
          <w:rFonts w:ascii="Times New Roman"/>
          <w:b w:val="false"/>
          <w:i w:val="false"/>
          <w:color w:val="000000"/>
          <w:sz w:val="28"/>
        </w:rPr>
        <w:t>
      3.1. Методы исследований.</w:t>
      </w:r>
    </w:p>
    <w:bookmarkEnd w:id="3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3189"/>
          <w:p>
            <w:pPr>
              <w:spacing w:after="20"/>
              <w:ind w:left="20"/>
              <w:jc w:val="both"/>
            </w:pPr>
            <w:r>
              <w:rPr>
                <w:rFonts w:ascii="Times New Roman"/>
                <w:b w:val="false"/>
                <w:i w:val="false"/>
                <w:color w:val="000000"/>
                <w:sz w:val="20"/>
              </w:rPr>
              <w:t xml:space="preserve">
Комментарий эксперта </w:t>
            </w:r>
          </w:p>
          <w:bookmarkEnd w:id="3189"/>
        </w:tc>
      </w:tr>
    </w:tbl>
    <w:bookmarkStart w:name="z3228" w:id="3190"/>
    <w:p>
      <w:pPr>
        <w:spacing w:after="0"/>
        <w:ind w:left="0"/>
        <w:jc w:val="both"/>
      </w:pPr>
      <w:r>
        <w:rPr>
          <w:rFonts w:ascii="Times New Roman"/>
          <w:b w:val="false"/>
          <w:i w:val="false"/>
          <w:color w:val="000000"/>
          <w:sz w:val="28"/>
        </w:rPr>
        <w:t>
      3.2. Абсорбция.</w:t>
      </w:r>
    </w:p>
    <w:bookmarkEnd w:id="3190"/>
    <w:bookmarkStart w:name="z3229" w:id="3191"/>
    <w:p>
      <w:pPr>
        <w:spacing w:after="0"/>
        <w:ind w:left="0"/>
        <w:jc w:val="both"/>
      </w:pPr>
      <w:r>
        <w:rPr>
          <w:rFonts w:ascii="Times New Roman"/>
          <w:b w:val="false"/>
          <w:i w:val="false"/>
          <w:color w:val="000000"/>
          <w:sz w:val="28"/>
        </w:rPr>
        <w:t xml:space="preserve">
      Примерные образцы таблиц для внесения данных по абсорбции: </w:t>
      </w:r>
    </w:p>
    <w:bookmarkEnd w:id="3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3192"/>
          <w:p>
            <w:pPr>
              <w:spacing w:after="20"/>
              <w:ind w:left="20"/>
              <w:jc w:val="both"/>
            </w:pPr>
            <w:r>
              <w:rPr>
                <w:rFonts w:ascii="Times New Roman"/>
                <w:b w:val="false"/>
                <w:i w:val="false"/>
                <w:color w:val="000000"/>
                <w:sz w:val="20"/>
              </w:rPr>
              <w:t xml:space="preserve">
Идентификационный номер исследования </w:t>
            </w:r>
          </w:p>
          <w:bookmarkEnd w:id="31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(мг/кг)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Путь введения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анализа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AUC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3193"/>
          <w:p>
            <w:pPr>
              <w:spacing w:after="20"/>
              <w:ind w:left="20"/>
              <w:jc w:val="both"/>
            </w:pPr>
            <w:r>
              <w:rPr>
                <w:rFonts w:ascii="Times New Roman"/>
                <w:b w:val="false"/>
                <w:i w:val="false"/>
                <w:color w:val="000000"/>
                <w:sz w:val="20"/>
              </w:rPr>
              <w:t xml:space="preserve">
A </w:t>
            </w:r>
          </w:p>
          <w:bookmarkEnd w:id="319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3194"/>
          <w:p>
            <w:pPr>
              <w:spacing w:after="20"/>
              <w:ind w:left="20"/>
              <w:jc w:val="both"/>
            </w:pPr>
            <w:r>
              <w:rPr>
                <w:rFonts w:ascii="Times New Roman"/>
                <w:b w:val="false"/>
                <w:i w:val="false"/>
                <w:color w:val="000000"/>
                <w:sz w:val="20"/>
              </w:rPr>
              <w:t xml:space="preserve">
B </w:t>
            </w:r>
          </w:p>
          <w:bookmarkEnd w:id="319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3195"/>
          <w:p>
            <w:pPr>
              <w:spacing w:after="20"/>
              <w:ind w:left="20"/>
              <w:jc w:val="both"/>
            </w:pPr>
            <w:r>
              <w:rPr>
                <w:rFonts w:ascii="Times New Roman"/>
                <w:b w:val="false"/>
                <w:i w:val="false"/>
                <w:color w:val="000000"/>
                <w:sz w:val="20"/>
              </w:rPr>
              <w:t xml:space="preserve">
Идентификационный номер исследования </w:t>
            </w:r>
          </w:p>
          <w:bookmarkEnd w:id="31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(мг/кг)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Путь введения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анализа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el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d</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t</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3196"/>
          <w:p>
            <w:pPr>
              <w:spacing w:after="20"/>
              <w:ind w:left="20"/>
              <w:jc w:val="both"/>
            </w:pPr>
            <w:r>
              <w:rPr>
                <w:rFonts w:ascii="Times New Roman"/>
                <w:b w:val="false"/>
                <w:i w:val="false"/>
                <w:color w:val="000000"/>
                <w:sz w:val="20"/>
              </w:rPr>
              <w:t xml:space="preserve">
A </w:t>
            </w:r>
          </w:p>
          <w:bookmarkEnd w:id="3196"/>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3197"/>
          <w:p>
            <w:pPr>
              <w:spacing w:after="20"/>
              <w:ind w:left="20"/>
              <w:jc w:val="both"/>
            </w:pPr>
            <w:r>
              <w:rPr>
                <w:rFonts w:ascii="Times New Roman"/>
                <w:b w:val="false"/>
                <w:i w:val="false"/>
                <w:color w:val="000000"/>
                <w:sz w:val="20"/>
              </w:rPr>
              <w:t xml:space="preserve">
B </w:t>
            </w:r>
          </w:p>
          <w:bookmarkEnd w:id="319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3198"/>
          <w:p>
            <w:pPr>
              <w:spacing w:after="20"/>
              <w:ind w:left="20"/>
              <w:jc w:val="both"/>
            </w:pPr>
            <w:r>
              <w:rPr>
                <w:rFonts w:ascii="Times New Roman"/>
                <w:b w:val="false"/>
                <w:i w:val="false"/>
                <w:color w:val="000000"/>
                <w:sz w:val="20"/>
              </w:rPr>
              <w:t xml:space="preserve">
Примечания а) </w:t>
            </w:r>
          </w:p>
          <w:bookmarkEnd w:id="319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3199"/>
          <w:p>
            <w:pPr>
              <w:spacing w:after="20"/>
              <w:ind w:left="20"/>
              <w:jc w:val="both"/>
            </w:pPr>
            <w:r>
              <w:rPr>
                <w:rFonts w:ascii="Times New Roman"/>
                <w:b w:val="false"/>
                <w:i w:val="false"/>
                <w:color w:val="000000"/>
                <w:sz w:val="20"/>
              </w:rPr>
              <w:t xml:space="preserve">
б) </w:t>
            </w:r>
          </w:p>
          <w:bookmarkEnd w:id="319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3200"/>
          <w:p>
            <w:pPr>
              <w:spacing w:after="20"/>
              <w:ind w:left="20"/>
              <w:jc w:val="both"/>
            </w:pPr>
            <w:r>
              <w:rPr>
                <w:rFonts w:ascii="Times New Roman"/>
                <w:b w:val="false"/>
                <w:i w:val="false"/>
                <w:color w:val="000000"/>
                <w:sz w:val="20"/>
              </w:rPr>
              <w:t xml:space="preserve">
Комментарий эксперта </w:t>
            </w:r>
          </w:p>
          <w:bookmarkEnd w:id="3200"/>
        </w:tc>
      </w:tr>
    </w:tbl>
    <w:bookmarkStart w:name="z3239" w:id="3201"/>
    <w:p>
      <w:pPr>
        <w:spacing w:after="0"/>
        <w:ind w:left="0"/>
        <w:jc w:val="both"/>
      </w:pPr>
      <w:r>
        <w:rPr>
          <w:rFonts w:ascii="Times New Roman"/>
          <w:b w:val="false"/>
          <w:i w:val="false"/>
          <w:color w:val="000000"/>
          <w:sz w:val="28"/>
        </w:rPr>
        <w:t>
      3.3. Распределение.</w:t>
      </w:r>
    </w:p>
    <w:bookmarkEnd w:id="3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202"/>
          <w:p>
            <w:pPr>
              <w:spacing w:after="20"/>
              <w:ind w:left="20"/>
              <w:jc w:val="both"/>
            </w:pPr>
            <w:r>
              <w:rPr>
                <w:rFonts w:ascii="Times New Roman"/>
                <w:b w:val="false"/>
                <w:i w:val="false"/>
                <w:color w:val="000000"/>
                <w:sz w:val="20"/>
              </w:rPr>
              <w:t xml:space="preserve">
 Комментарий эксперта </w:t>
            </w:r>
          </w:p>
          <w:bookmarkEnd w:id="3202"/>
        </w:tc>
      </w:tr>
    </w:tbl>
    <w:bookmarkStart w:name="z3241" w:id="3203"/>
    <w:p>
      <w:pPr>
        <w:spacing w:after="0"/>
        <w:ind w:left="0"/>
        <w:jc w:val="both"/>
      </w:pPr>
      <w:r>
        <w:rPr>
          <w:rFonts w:ascii="Times New Roman"/>
          <w:b w:val="false"/>
          <w:i w:val="false"/>
          <w:color w:val="000000"/>
          <w:sz w:val="28"/>
        </w:rPr>
        <w:t>
      3.4. Метаболизм.</w:t>
      </w:r>
    </w:p>
    <w:bookmarkEnd w:id="3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3204"/>
          <w:p>
            <w:pPr>
              <w:spacing w:after="20"/>
              <w:ind w:left="20"/>
              <w:jc w:val="both"/>
            </w:pPr>
            <w:r>
              <w:rPr>
                <w:rFonts w:ascii="Times New Roman"/>
                <w:b w:val="false"/>
                <w:i w:val="false"/>
                <w:color w:val="000000"/>
                <w:sz w:val="20"/>
              </w:rPr>
              <w:t xml:space="preserve">
Комментарий эксперта </w:t>
            </w:r>
          </w:p>
          <w:bookmarkEnd w:id="3204"/>
        </w:tc>
      </w:tr>
    </w:tbl>
    <w:bookmarkStart w:name="z3243" w:id="3205"/>
    <w:p>
      <w:pPr>
        <w:spacing w:after="0"/>
        <w:ind w:left="0"/>
        <w:jc w:val="both"/>
      </w:pPr>
      <w:r>
        <w:rPr>
          <w:rFonts w:ascii="Times New Roman"/>
          <w:b w:val="false"/>
          <w:i w:val="false"/>
          <w:color w:val="000000"/>
          <w:sz w:val="28"/>
        </w:rPr>
        <w:t>
      3.5. Выведение.</w:t>
      </w:r>
    </w:p>
    <w:bookmarkEnd w:id="3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206"/>
          <w:p>
            <w:pPr>
              <w:spacing w:after="20"/>
              <w:ind w:left="20"/>
              <w:jc w:val="both"/>
            </w:pPr>
            <w:r>
              <w:rPr>
                <w:rFonts w:ascii="Times New Roman"/>
                <w:b w:val="false"/>
                <w:i w:val="false"/>
                <w:color w:val="000000"/>
                <w:sz w:val="20"/>
              </w:rPr>
              <w:t xml:space="preserve">
Виды </w:t>
            </w:r>
          </w:p>
          <w:bookmarkEnd w:id="32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(мг/кг)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анализа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Моча (% доза)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 (% доза)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Желчь (% доза)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Неизмененное ЛС (% доза)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(час)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207"/>
          <w:p>
            <w:pPr>
              <w:spacing w:after="20"/>
              <w:ind w:left="20"/>
              <w:jc w:val="both"/>
            </w:pPr>
          </w:p>
          <w:bookmarkEnd w:id="32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3208"/>
          <w:p>
            <w:pPr>
              <w:spacing w:after="20"/>
              <w:ind w:left="20"/>
              <w:jc w:val="both"/>
            </w:pPr>
          </w:p>
          <w:bookmarkEnd w:id="32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3209"/>
          <w:p>
            <w:pPr>
              <w:spacing w:after="20"/>
              <w:ind w:left="20"/>
              <w:jc w:val="both"/>
            </w:pPr>
            <w:r>
              <w:rPr>
                <w:rFonts w:ascii="Times New Roman"/>
                <w:b w:val="false"/>
                <w:i w:val="false"/>
                <w:color w:val="000000"/>
                <w:sz w:val="20"/>
              </w:rPr>
              <w:t xml:space="preserve">
Комментарий эксперта </w:t>
            </w:r>
          </w:p>
          <w:bookmarkEnd w:id="3209"/>
        </w:tc>
      </w:tr>
    </w:tbl>
    <w:bookmarkStart w:name="z3248" w:id="3210"/>
    <w:p>
      <w:pPr>
        <w:spacing w:after="0"/>
        <w:ind w:left="0"/>
        <w:jc w:val="both"/>
      </w:pPr>
      <w:r>
        <w:rPr>
          <w:rFonts w:ascii="Times New Roman"/>
          <w:b w:val="false"/>
          <w:i w:val="false"/>
          <w:color w:val="000000"/>
          <w:sz w:val="28"/>
        </w:rPr>
        <w:t>
      3.6. Фармакокинетические лекарственные взаимодействия.</w:t>
      </w:r>
    </w:p>
    <w:bookmarkEnd w:id="3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3211"/>
          <w:p>
            <w:pPr>
              <w:spacing w:after="20"/>
              <w:ind w:left="20"/>
              <w:jc w:val="both"/>
            </w:pPr>
            <w:r>
              <w:rPr>
                <w:rFonts w:ascii="Times New Roman"/>
                <w:b w:val="false"/>
                <w:i w:val="false"/>
                <w:color w:val="000000"/>
                <w:sz w:val="20"/>
              </w:rPr>
              <w:t xml:space="preserve">
Комментарий эксперта </w:t>
            </w:r>
          </w:p>
          <w:bookmarkEnd w:id="3211"/>
        </w:tc>
      </w:tr>
    </w:tbl>
    <w:bookmarkStart w:name="z3250" w:id="3212"/>
    <w:p>
      <w:pPr>
        <w:spacing w:after="0"/>
        <w:ind w:left="0"/>
        <w:jc w:val="both"/>
      </w:pPr>
      <w:r>
        <w:rPr>
          <w:rFonts w:ascii="Times New Roman"/>
          <w:b w:val="false"/>
          <w:i w:val="false"/>
          <w:color w:val="000000"/>
          <w:sz w:val="28"/>
        </w:rPr>
        <w:t>
      3.7. Другие фармакокинетические исследования.</w:t>
      </w:r>
    </w:p>
    <w:bookmarkEnd w:id="3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213"/>
          <w:p>
            <w:pPr>
              <w:spacing w:after="20"/>
              <w:ind w:left="20"/>
              <w:jc w:val="both"/>
            </w:pPr>
            <w:r>
              <w:rPr>
                <w:rFonts w:ascii="Times New Roman"/>
                <w:b w:val="false"/>
                <w:i w:val="false"/>
                <w:color w:val="000000"/>
                <w:sz w:val="20"/>
              </w:rPr>
              <w:t xml:space="preserve">
Комментарий эксперта </w:t>
            </w:r>
          </w:p>
          <w:bookmarkEnd w:id="3213"/>
        </w:tc>
      </w:tr>
    </w:tbl>
    <w:bookmarkStart w:name="z3252" w:id="3214"/>
    <w:p>
      <w:pPr>
        <w:spacing w:after="0"/>
        <w:ind w:left="0"/>
        <w:jc w:val="both"/>
      </w:pPr>
      <w:r>
        <w:rPr>
          <w:rFonts w:ascii="Times New Roman"/>
          <w:b w:val="false"/>
          <w:i w:val="false"/>
          <w:color w:val="000000"/>
          <w:sz w:val="28"/>
        </w:rPr>
        <w:t>
      3.8. Общее заключение эксперта по фармакокинетике.</w:t>
      </w:r>
    </w:p>
    <w:bookmarkEnd w:id="3214"/>
    <w:bookmarkStart w:name="z3253" w:id="3215"/>
    <w:p>
      <w:pPr>
        <w:spacing w:after="0"/>
        <w:ind w:left="0"/>
        <w:jc w:val="both"/>
      </w:pPr>
      <w:r>
        <w:rPr>
          <w:rFonts w:ascii="Times New Roman"/>
          <w:b w:val="false"/>
          <w:i w:val="false"/>
          <w:color w:val="000000"/>
          <w:sz w:val="28"/>
        </w:rPr>
        <w:t>
      4. Токсикология (модули 2.6.6 и 4.3.3).</w:t>
      </w:r>
    </w:p>
    <w:bookmarkEnd w:id="3215"/>
    <w:bookmarkStart w:name="z3254" w:id="3216"/>
    <w:p>
      <w:pPr>
        <w:spacing w:after="0"/>
        <w:ind w:left="0"/>
        <w:jc w:val="both"/>
      </w:pPr>
      <w:r>
        <w:rPr>
          <w:rFonts w:ascii="Times New Roman"/>
          <w:b w:val="false"/>
          <w:i w:val="false"/>
          <w:color w:val="000000"/>
          <w:sz w:val="28"/>
        </w:rPr>
        <w:t>
      4.1. Токсичность при однократном введении.</w:t>
      </w:r>
    </w:p>
    <w:bookmarkEnd w:id="3216"/>
    <w:bookmarkStart w:name="z3255" w:id="3217"/>
    <w:p>
      <w:pPr>
        <w:spacing w:after="0"/>
        <w:ind w:left="0"/>
        <w:jc w:val="both"/>
      </w:pPr>
      <w:r>
        <w:rPr>
          <w:rFonts w:ascii="Times New Roman"/>
          <w:b w:val="false"/>
          <w:i w:val="false"/>
          <w:color w:val="000000"/>
          <w:sz w:val="28"/>
        </w:rPr>
        <w:t>
      Пример таблицы для исследований токсичности при однократном введении:</w:t>
      </w:r>
    </w:p>
    <w:bookmarkEnd w:id="3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3218"/>
          <w:p>
            <w:pPr>
              <w:spacing w:after="20"/>
              <w:ind w:left="20"/>
              <w:jc w:val="both"/>
            </w:pPr>
            <w:r>
              <w:rPr>
                <w:rFonts w:ascii="Times New Roman"/>
                <w:b w:val="false"/>
                <w:i w:val="false"/>
                <w:color w:val="000000"/>
                <w:sz w:val="20"/>
              </w:rPr>
              <w:t xml:space="preserve">
Идентификационный номер исследования </w:t>
            </w:r>
          </w:p>
          <w:bookmarkEnd w:id="3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Виды/пол/количество/группа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Доза/путь введения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Расчетная смертельная доза (наблюдаемая максимальная несмертельная доза)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результаты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219"/>
          <w:p>
            <w:pPr>
              <w:spacing w:after="20"/>
              <w:ind w:left="20"/>
              <w:jc w:val="both"/>
            </w:pPr>
          </w:p>
          <w:bookmarkEnd w:id="3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3220"/>
          <w:p>
            <w:pPr>
              <w:spacing w:after="20"/>
              <w:ind w:left="20"/>
              <w:jc w:val="both"/>
            </w:pPr>
            <w:r>
              <w:rPr>
                <w:rFonts w:ascii="Times New Roman"/>
                <w:b w:val="false"/>
                <w:i w:val="false"/>
                <w:color w:val="000000"/>
                <w:sz w:val="20"/>
              </w:rPr>
              <w:t xml:space="preserve">
Комментарий эксперта </w:t>
            </w:r>
          </w:p>
          <w:bookmarkEnd w:id="3220"/>
        </w:tc>
      </w:tr>
    </w:tbl>
    <w:bookmarkStart w:name="z3259" w:id="3221"/>
    <w:p>
      <w:pPr>
        <w:spacing w:after="0"/>
        <w:ind w:left="0"/>
        <w:jc w:val="both"/>
      </w:pPr>
      <w:r>
        <w:rPr>
          <w:rFonts w:ascii="Times New Roman"/>
          <w:b w:val="false"/>
          <w:i w:val="false"/>
          <w:color w:val="000000"/>
          <w:sz w:val="28"/>
        </w:rPr>
        <w:t>
      4.2. Токсичность при многократном введении.</w:t>
      </w:r>
    </w:p>
    <w:bookmarkEnd w:id="3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Пример таблицы для исследований токсичности при многократном введении: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222"/>
          <w:p>
            <w:pPr>
              <w:spacing w:after="20"/>
              <w:ind w:left="20"/>
              <w:jc w:val="both"/>
            </w:pPr>
            <w:r>
              <w:rPr>
                <w:rFonts w:ascii="Times New Roman"/>
                <w:b w:val="false"/>
                <w:i w:val="false"/>
                <w:color w:val="000000"/>
                <w:sz w:val="20"/>
              </w:rPr>
              <w:t xml:space="preserve">
Идентификационный номер исследования </w:t>
            </w:r>
          </w:p>
          <w:bookmarkEnd w:id="3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Виды/пол/количество/группа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Доза/путь введения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NOEL/NOAEL (мг/кг/день)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результаты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223"/>
          <w:p>
            <w:pPr>
              <w:spacing w:after="20"/>
              <w:ind w:left="20"/>
              <w:jc w:val="both"/>
            </w:pPr>
            <w:r>
              <w:rPr>
                <w:rFonts w:ascii="Times New Roman"/>
                <w:b w:val="false"/>
                <w:i w:val="false"/>
                <w:color w:val="000000"/>
                <w:sz w:val="20"/>
              </w:rPr>
              <w:t xml:space="preserve">
Комментарий эксперта </w:t>
            </w:r>
          </w:p>
          <w:bookmarkEnd w:id="3223"/>
        </w:tc>
      </w:tr>
    </w:tbl>
    <w:bookmarkStart w:name="z3263" w:id="3224"/>
    <w:p>
      <w:pPr>
        <w:spacing w:after="0"/>
        <w:ind w:left="0"/>
        <w:jc w:val="both"/>
      </w:pPr>
      <w:r>
        <w:rPr>
          <w:rFonts w:ascii="Times New Roman"/>
          <w:b w:val="false"/>
          <w:i w:val="false"/>
          <w:color w:val="000000"/>
          <w:sz w:val="28"/>
        </w:rPr>
        <w:t>
      Токсикокинетика.</w:t>
      </w:r>
    </w:p>
    <w:bookmarkEnd w:id="3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Пример таблицы с данными токсикокинетических исследований: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3225"/>
          <w:p>
            <w:pPr>
              <w:spacing w:after="20"/>
              <w:ind w:left="20"/>
              <w:jc w:val="both"/>
            </w:pPr>
            <w:r>
              <w:rPr>
                <w:rFonts w:ascii="Times New Roman"/>
                <w:b w:val="false"/>
                <w:i w:val="false"/>
                <w:color w:val="000000"/>
                <w:sz w:val="20"/>
              </w:rPr>
              <w:t xml:space="preserve">
Идентификационный номер исследования </w:t>
            </w:r>
          </w:p>
          <w:bookmarkEnd w:id="3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Суточная доза (xx/xx)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 у животных (нг x ч/мл)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Человек</w:t>
            </w:r>
          </w:p>
          <w:p>
            <w:pPr>
              <w:spacing w:after="20"/>
              <w:ind w:left="20"/>
              <w:jc w:val="both"/>
            </w:pPr>
            <w:r>
              <w:rPr>
                <w:rFonts w:ascii="Times New Roman"/>
                <w:b w:val="false"/>
                <w:i w:val="false"/>
                <w:color w:val="000000"/>
                <w:sz w:val="20"/>
              </w:rPr>
              <w:t>XXX</w:t>
            </w:r>
          </w:p>
          <w:p>
            <w:pPr>
              <w:spacing w:after="20"/>
              <w:ind w:left="20"/>
              <w:jc w:val="both"/>
            </w:pPr>
            <w:r>
              <w:rPr>
                <w:rFonts w:ascii="Times New Roman"/>
                <w:b w:val="false"/>
                <w:i w:val="false"/>
                <w:color w:val="000000"/>
                <w:sz w:val="20"/>
              </w:rPr>
              <w:t xml:space="preserve">Повторная экспозиция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3226"/>
          <w:p>
            <w:pPr>
              <w:spacing w:after="20"/>
              <w:ind w:left="20"/>
              <w:jc w:val="both"/>
            </w:pPr>
          </w:p>
          <w:bookmarkEnd w:id="3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p>
        </w:tc>
      </w:tr>
    </w:tbl>
    <w:bookmarkStart w:name="z3267" w:id="3227"/>
    <w:p>
      <w:pPr>
        <w:spacing w:after="0"/>
        <w:ind w:left="0"/>
        <w:jc w:val="both"/>
      </w:pPr>
      <w:r>
        <w:rPr>
          <w:rFonts w:ascii="Times New Roman"/>
          <w:b w:val="false"/>
          <w:i w:val="false"/>
          <w:color w:val="000000"/>
          <w:sz w:val="28"/>
        </w:rPr>
        <w:t>
      Примечание: * Для сравнения желательно использовать значения AUC для несвязываемой доли препарата.</w:t>
      </w:r>
    </w:p>
    <w:bookmarkEnd w:id="3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228"/>
          <w:p>
            <w:pPr>
              <w:spacing w:after="20"/>
              <w:ind w:left="20"/>
              <w:jc w:val="both"/>
            </w:pPr>
            <w:r>
              <w:rPr>
                <w:rFonts w:ascii="Times New Roman"/>
                <w:b w:val="false"/>
                <w:i w:val="false"/>
                <w:color w:val="000000"/>
                <w:sz w:val="20"/>
              </w:rPr>
              <w:t xml:space="preserve">
Комментарий эксперта </w:t>
            </w:r>
          </w:p>
          <w:bookmarkEnd w:id="3228"/>
        </w:tc>
      </w:tr>
    </w:tbl>
    <w:bookmarkStart w:name="z3269" w:id="3229"/>
    <w:p>
      <w:pPr>
        <w:spacing w:after="0"/>
        <w:ind w:left="0"/>
        <w:jc w:val="both"/>
      </w:pPr>
      <w:r>
        <w:rPr>
          <w:rFonts w:ascii="Times New Roman"/>
          <w:b w:val="false"/>
          <w:i w:val="false"/>
          <w:color w:val="000000"/>
          <w:sz w:val="28"/>
        </w:rPr>
        <w:t>
      Межвидовое сравнение.</w:t>
      </w:r>
    </w:p>
    <w:bookmarkEnd w:id="3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Пример таблицы для сравнения экспозиции в исследованиях на животных с экспозицией в клинических исследованиях: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3230"/>
          <w:p>
            <w:pPr>
              <w:spacing w:after="20"/>
              <w:ind w:left="20"/>
              <w:jc w:val="both"/>
            </w:pPr>
            <w:r>
              <w:rPr>
                <w:rFonts w:ascii="Times New Roman"/>
                <w:b w:val="false"/>
                <w:i w:val="false"/>
                <w:color w:val="000000"/>
                <w:sz w:val="20"/>
              </w:rPr>
              <w:t xml:space="preserve">
 Идентификационный номер исследования </w:t>
            </w:r>
          </w:p>
          <w:bookmarkEnd w:id="3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Суточная доза (xx/xx)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AUC у животных (нг x ч/мл)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3231"/>
          <w:p>
            <w:pPr>
              <w:spacing w:after="20"/>
              <w:ind w:left="20"/>
              <w:jc w:val="both"/>
            </w:pPr>
          </w:p>
          <w:bookmarkEnd w:id="3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3232"/>
          <w:p>
            <w:pPr>
              <w:spacing w:after="20"/>
              <w:ind w:left="20"/>
              <w:jc w:val="both"/>
            </w:pPr>
            <w:r>
              <w:rPr>
                <w:rFonts w:ascii="Times New Roman"/>
                <w:b w:val="false"/>
                <w:i w:val="false"/>
                <w:color w:val="000000"/>
                <w:sz w:val="20"/>
              </w:rPr>
              <w:t xml:space="preserve">
Комментарий эксперта </w:t>
            </w:r>
          </w:p>
          <w:bookmarkEnd w:id="3232"/>
        </w:tc>
      </w:tr>
    </w:tbl>
    <w:bookmarkStart w:name="z3274" w:id="3233"/>
    <w:p>
      <w:pPr>
        <w:spacing w:after="0"/>
        <w:ind w:left="0"/>
        <w:jc w:val="both"/>
      </w:pPr>
      <w:r>
        <w:rPr>
          <w:rFonts w:ascii="Times New Roman"/>
          <w:b w:val="false"/>
          <w:i w:val="false"/>
          <w:color w:val="000000"/>
          <w:sz w:val="28"/>
        </w:rPr>
        <w:t>
      4.3. Генотоксичность.</w:t>
      </w:r>
    </w:p>
    <w:bookmarkEnd w:id="3233"/>
    <w:bookmarkStart w:name="z3275" w:id="3234"/>
    <w:p>
      <w:pPr>
        <w:spacing w:after="0"/>
        <w:ind w:left="0"/>
        <w:jc w:val="both"/>
      </w:pPr>
      <w:r>
        <w:rPr>
          <w:rFonts w:ascii="Times New Roman"/>
          <w:b w:val="false"/>
          <w:i w:val="false"/>
          <w:color w:val="000000"/>
          <w:sz w:val="28"/>
        </w:rPr>
        <w:t>
      Пример таблицы обзора исследований генотоксичности:</w:t>
      </w:r>
    </w:p>
    <w:bookmarkEnd w:id="3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3235"/>
          <w:p>
            <w:pPr>
              <w:spacing w:after="20"/>
              <w:ind w:left="20"/>
              <w:jc w:val="both"/>
            </w:pPr>
            <w:r>
              <w:rPr>
                <w:rFonts w:ascii="Times New Roman"/>
                <w:b w:val="false"/>
                <w:i w:val="false"/>
                <w:color w:val="000000"/>
                <w:sz w:val="20"/>
              </w:rPr>
              <w:t>
Вид исследований/ идентификационный номер/соответствие надлежащей лабораторной практике</w:t>
            </w:r>
          </w:p>
          <w:bookmarkEnd w:id="3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Концентрации/диапазон концентраций/система метаболизма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положительные/отрицательные/неоднозначные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3236"/>
          <w:p>
            <w:pPr>
              <w:spacing w:after="20"/>
              <w:ind w:left="20"/>
              <w:jc w:val="both"/>
            </w:pPr>
            <w:r>
              <w:rPr>
                <w:rFonts w:ascii="Times New Roman"/>
                <w:b w:val="false"/>
                <w:i w:val="false"/>
                <w:color w:val="000000"/>
                <w:sz w:val="20"/>
              </w:rPr>
              <w:t xml:space="preserve">
Генные мутации в бактериях </w:t>
            </w:r>
          </w:p>
          <w:bookmarkEnd w:id="3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штаммы сальмонеллы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3237"/>
          <w:p>
            <w:pPr>
              <w:spacing w:after="20"/>
              <w:ind w:left="20"/>
              <w:jc w:val="both"/>
            </w:pPr>
            <w:r>
              <w:rPr>
                <w:rFonts w:ascii="Times New Roman"/>
                <w:b w:val="false"/>
                <w:i w:val="false"/>
                <w:color w:val="000000"/>
                <w:sz w:val="20"/>
              </w:rPr>
              <w:t xml:space="preserve">
Генные мутации в клетках млекопитающих </w:t>
            </w:r>
          </w:p>
          <w:bookmarkEnd w:id="3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клетки яичника китайского хомячка (CHO-клетки), HGPRT-локус, лимфоциты человека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238"/>
          <w:p>
            <w:pPr>
              <w:spacing w:after="20"/>
              <w:ind w:left="20"/>
              <w:jc w:val="both"/>
            </w:pPr>
            <w:r>
              <w:rPr>
                <w:rFonts w:ascii="Times New Roman"/>
                <w:b w:val="false"/>
                <w:i w:val="false"/>
                <w:color w:val="000000"/>
                <w:sz w:val="20"/>
              </w:rPr>
              <w:t xml:space="preserve">
Хромосомные аберрации in vivo </w:t>
            </w:r>
          </w:p>
          <w:bookmarkEnd w:id="3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мыши, микроядерный тест в костном мозге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3239"/>
          <w:p>
            <w:pPr>
              <w:spacing w:after="20"/>
              <w:ind w:left="20"/>
              <w:jc w:val="both"/>
            </w:pPr>
            <w:r>
              <w:rPr>
                <w:rFonts w:ascii="Times New Roman"/>
                <w:b w:val="false"/>
                <w:i w:val="false"/>
                <w:color w:val="000000"/>
                <w:sz w:val="20"/>
              </w:rPr>
              <w:t xml:space="preserve">
Комментарий эксперта </w:t>
            </w:r>
          </w:p>
          <w:bookmarkEnd w:id="3239"/>
        </w:tc>
      </w:tr>
    </w:tbl>
    <w:bookmarkStart w:name="z3281" w:id="3240"/>
    <w:p>
      <w:pPr>
        <w:spacing w:after="0"/>
        <w:ind w:left="0"/>
        <w:jc w:val="both"/>
      </w:pPr>
      <w:r>
        <w:rPr>
          <w:rFonts w:ascii="Times New Roman"/>
          <w:b w:val="false"/>
          <w:i w:val="false"/>
          <w:color w:val="000000"/>
          <w:sz w:val="28"/>
        </w:rPr>
        <w:t>
      4.4. Канцерогенность.</w:t>
      </w:r>
    </w:p>
    <w:bookmarkEnd w:id="3240"/>
    <w:bookmarkStart w:name="z3282" w:id="3241"/>
    <w:p>
      <w:pPr>
        <w:spacing w:after="0"/>
        <w:ind w:left="0"/>
        <w:jc w:val="both"/>
      </w:pPr>
      <w:r>
        <w:rPr>
          <w:rFonts w:ascii="Times New Roman"/>
          <w:b w:val="false"/>
          <w:i w:val="false"/>
          <w:color w:val="000000"/>
          <w:sz w:val="28"/>
        </w:rPr>
        <w:t>
      4.4.1. Долгосрочные исследования.</w:t>
      </w:r>
    </w:p>
    <w:bookmarkEnd w:id="3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Пример таблицы с описанием проведенных исследований канцерогенного действия: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3242"/>
          <w:p>
            <w:pPr>
              <w:spacing w:after="20"/>
              <w:ind w:left="20"/>
              <w:jc w:val="both"/>
            </w:pPr>
            <w:r>
              <w:rPr>
                <w:rFonts w:ascii="Times New Roman"/>
                <w:b w:val="false"/>
                <w:i w:val="false"/>
                <w:color w:val="000000"/>
                <w:sz w:val="20"/>
              </w:rPr>
              <w:t>
Идентификационный номер/соответствие надлежащей лабораторной практике</w:t>
            </w:r>
          </w:p>
          <w:bookmarkEnd w:id="3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Доза/путь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(AUC)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Виды/Число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результаты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Пример таблицы с данными о развитии опухолей в ходе "Исследования XX":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243"/>
          <w:p>
            <w:pPr>
              <w:spacing w:after="20"/>
              <w:ind w:left="20"/>
              <w:jc w:val="both"/>
            </w:pPr>
            <w:r>
              <w:rPr>
                <w:rFonts w:ascii="Times New Roman"/>
                <w:b w:val="false"/>
                <w:i w:val="false"/>
                <w:color w:val="000000"/>
                <w:sz w:val="20"/>
              </w:rPr>
              <w:t xml:space="preserve">
Данные по опухолям </w:t>
            </w:r>
          </w:p>
          <w:bookmarkEnd w:id="3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Низкая доза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доза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доза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3244"/>
          <w:p>
            <w:pPr>
              <w:spacing w:after="20"/>
              <w:ind w:left="20"/>
              <w:jc w:val="both"/>
            </w:pPr>
          </w:p>
          <w:bookmarkEnd w:id="3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245"/>
          <w:p>
            <w:pPr>
              <w:spacing w:after="20"/>
              <w:ind w:left="20"/>
              <w:jc w:val="both"/>
            </w:pPr>
          </w:p>
          <w:bookmarkEnd w:id="3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3246"/>
          <w:p>
            <w:pPr>
              <w:spacing w:after="20"/>
              <w:ind w:left="20"/>
              <w:jc w:val="both"/>
            </w:pPr>
            <w:r>
              <w:rPr>
                <w:rFonts w:ascii="Times New Roman"/>
                <w:b w:val="false"/>
                <w:i w:val="false"/>
                <w:color w:val="000000"/>
                <w:sz w:val="20"/>
              </w:rPr>
              <w:t xml:space="preserve">
Комментарий эксперта </w:t>
            </w:r>
          </w:p>
          <w:bookmarkEnd w:id="3246"/>
        </w:tc>
      </w:tr>
    </w:tbl>
    <w:bookmarkStart w:name="z3290" w:id="3247"/>
    <w:p>
      <w:pPr>
        <w:spacing w:after="0"/>
        <w:ind w:left="0"/>
        <w:jc w:val="both"/>
      </w:pPr>
      <w:r>
        <w:rPr>
          <w:rFonts w:ascii="Times New Roman"/>
          <w:b w:val="false"/>
          <w:i w:val="false"/>
          <w:color w:val="000000"/>
          <w:sz w:val="28"/>
        </w:rPr>
        <w:t>
      4.4.2. Краткосрочные и среднесрочные исследования.</w:t>
      </w:r>
    </w:p>
    <w:bookmarkEnd w:id="3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248"/>
          <w:p>
            <w:pPr>
              <w:spacing w:after="20"/>
              <w:ind w:left="20"/>
              <w:jc w:val="both"/>
            </w:pPr>
            <w:r>
              <w:rPr>
                <w:rFonts w:ascii="Times New Roman"/>
                <w:b w:val="false"/>
                <w:i w:val="false"/>
                <w:color w:val="000000"/>
                <w:sz w:val="20"/>
              </w:rPr>
              <w:t xml:space="preserve">
Комментарий эксперта </w:t>
            </w:r>
          </w:p>
          <w:bookmarkEnd w:id="3248"/>
        </w:tc>
      </w:tr>
    </w:tbl>
    <w:bookmarkStart w:name="z3292" w:id="3249"/>
    <w:p>
      <w:pPr>
        <w:spacing w:after="0"/>
        <w:ind w:left="0"/>
        <w:jc w:val="both"/>
      </w:pPr>
      <w:r>
        <w:rPr>
          <w:rFonts w:ascii="Times New Roman"/>
          <w:b w:val="false"/>
          <w:i w:val="false"/>
          <w:color w:val="000000"/>
          <w:sz w:val="28"/>
        </w:rPr>
        <w:t>
      4.4.3. Другие исследования.</w:t>
      </w:r>
    </w:p>
    <w:bookmarkEnd w:id="3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250"/>
          <w:p>
            <w:pPr>
              <w:spacing w:after="20"/>
              <w:ind w:left="20"/>
              <w:jc w:val="both"/>
            </w:pPr>
            <w:r>
              <w:rPr>
                <w:rFonts w:ascii="Times New Roman"/>
                <w:b w:val="false"/>
                <w:i w:val="false"/>
                <w:color w:val="000000"/>
                <w:sz w:val="20"/>
              </w:rPr>
              <w:t xml:space="preserve">
Комментарий эксперта </w:t>
            </w:r>
          </w:p>
          <w:bookmarkEnd w:id="3250"/>
        </w:tc>
      </w:tr>
    </w:tbl>
    <w:bookmarkStart w:name="z3294" w:id="3251"/>
    <w:p>
      <w:pPr>
        <w:spacing w:after="0"/>
        <w:ind w:left="0"/>
        <w:jc w:val="both"/>
      </w:pPr>
      <w:r>
        <w:rPr>
          <w:rFonts w:ascii="Times New Roman"/>
          <w:b w:val="false"/>
          <w:i w:val="false"/>
          <w:color w:val="000000"/>
          <w:sz w:val="28"/>
        </w:rPr>
        <w:t>
      4.5. Репродуктивная и онтогенетическая токсичность.</w:t>
      </w:r>
    </w:p>
    <w:bookmarkEnd w:id="3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Пример таблицы с данными о проведенных исследованиях: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252"/>
          <w:p>
            <w:pPr>
              <w:spacing w:after="20"/>
              <w:ind w:left="20"/>
              <w:jc w:val="both"/>
            </w:pPr>
            <w:r>
              <w:rPr>
                <w:rFonts w:ascii="Times New Roman"/>
                <w:b w:val="false"/>
                <w:i w:val="false"/>
                <w:color w:val="000000"/>
                <w:sz w:val="20"/>
              </w:rPr>
              <w:t xml:space="preserve">
Вид исследования/Идентификационный номер/соответствие надлежащей лабораторной практике </w:t>
            </w:r>
          </w:p>
          <w:bookmarkEnd w:id="3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количество самок/группа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Путь введения и доза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введения и доза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результаты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NOAEL (мг/кг) и AUC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253"/>
          <w:p>
            <w:pPr>
              <w:spacing w:after="20"/>
              <w:ind w:left="20"/>
              <w:jc w:val="both"/>
            </w:pPr>
            <w:r>
              <w:rPr>
                <w:rFonts w:ascii="Times New Roman"/>
                <w:b w:val="false"/>
                <w:i w:val="false"/>
                <w:color w:val="000000"/>
                <w:sz w:val="20"/>
              </w:rPr>
              <w:t xml:space="preserve">
Фертильность самцов </w:t>
            </w:r>
          </w:p>
          <w:bookmarkEnd w:id="3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254"/>
          <w:p>
            <w:pPr>
              <w:spacing w:after="20"/>
              <w:ind w:left="20"/>
              <w:jc w:val="both"/>
            </w:pPr>
            <w:r>
              <w:rPr>
                <w:rFonts w:ascii="Times New Roman"/>
                <w:b w:val="false"/>
                <w:i w:val="false"/>
                <w:color w:val="000000"/>
                <w:sz w:val="20"/>
              </w:rPr>
              <w:t xml:space="preserve">
Фертильность самок </w:t>
            </w:r>
          </w:p>
          <w:bookmarkEnd w:id="3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255"/>
          <w:p>
            <w:pPr>
              <w:spacing w:after="20"/>
              <w:ind w:left="20"/>
              <w:jc w:val="both"/>
            </w:pPr>
            <w:r>
              <w:rPr>
                <w:rFonts w:ascii="Times New Roman"/>
                <w:b w:val="false"/>
                <w:i w:val="false"/>
                <w:color w:val="000000"/>
                <w:sz w:val="20"/>
              </w:rPr>
              <w:t xml:space="preserve">
Эмбриофетальное развитие </w:t>
            </w:r>
          </w:p>
          <w:bookmarkEnd w:id="3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0</w:t>
            </w:r>
          </w:p>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256"/>
          <w:p>
            <w:pPr>
              <w:spacing w:after="20"/>
              <w:ind w:left="20"/>
              <w:jc w:val="both"/>
            </w:pPr>
            <w:r>
              <w:rPr>
                <w:rFonts w:ascii="Times New Roman"/>
                <w:b w:val="false"/>
                <w:i w:val="false"/>
                <w:color w:val="000000"/>
                <w:sz w:val="20"/>
              </w:rPr>
              <w:t xml:space="preserve">
Перинатальное и постнатальное </w:t>
            </w:r>
          </w:p>
          <w:bookmarkEnd w:id="3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257"/>
          <w:p>
            <w:pPr>
              <w:spacing w:after="20"/>
              <w:ind w:left="20"/>
              <w:jc w:val="both"/>
            </w:pPr>
            <w:r>
              <w:rPr>
                <w:rFonts w:ascii="Times New Roman"/>
                <w:b w:val="false"/>
                <w:i w:val="false"/>
                <w:color w:val="000000"/>
                <w:sz w:val="20"/>
              </w:rPr>
              <w:t xml:space="preserve">
Комментарий эксперта </w:t>
            </w:r>
          </w:p>
          <w:bookmarkEnd w:id="3257"/>
        </w:tc>
      </w:tr>
    </w:tbl>
    <w:bookmarkStart w:name="z3302" w:id="3258"/>
    <w:p>
      <w:pPr>
        <w:spacing w:after="0"/>
        <w:ind w:left="0"/>
        <w:jc w:val="both"/>
      </w:pPr>
      <w:r>
        <w:rPr>
          <w:rFonts w:ascii="Times New Roman"/>
          <w:b w:val="false"/>
          <w:i w:val="false"/>
          <w:color w:val="000000"/>
          <w:sz w:val="28"/>
        </w:rPr>
        <w:t>
      4.5.1. Фертильность и раннее эмбриональное развитие.</w:t>
      </w:r>
    </w:p>
    <w:bookmarkEnd w:id="3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259"/>
          <w:p>
            <w:pPr>
              <w:spacing w:after="20"/>
              <w:ind w:left="20"/>
              <w:jc w:val="both"/>
            </w:pPr>
            <w:r>
              <w:rPr>
                <w:rFonts w:ascii="Times New Roman"/>
                <w:b w:val="false"/>
                <w:i w:val="false"/>
                <w:color w:val="000000"/>
                <w:sz w:val="20"/>
              </w:rPr>
              <w:t xml:space="preserve">
Комментарий эксперта </w:t>
            </w:r>
          </w:p>
          <w:bookmarkEnd w:id="3259"/>
        </w:tc>
      </w:tr>
    </w:tbl>
    <w:bookmarkStart w:name="z3304" w:id="3260"/>
    <w:p>
      <w:pPr>
        <w:spacing w:after="0"/>
        <w:ind w:left="0"/>
        <w:jc w:val="both"/>
      </w:pPr>
      <w:r>
        <w:rPr>
          <w:rFonts w:ascii="Times New Roman"/>
          <w:b w:val="false"/>
          <w:i w:val="false"/>
          <w:color w:val="000000"/>
          <w:sz w:val="28"/>
        </w:rPr>
        <w:t>
      4.5.2. Эмбриофетальное развитие.</w:t>
      </w:r>
    </w:p>
    <w:bookmarkEnd w:id="3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261"/>
          <w:p>
            <w:pPr>
              <w:spacing w:after="20"/>
              <w:ind w:left="20"/>
              <w:jc w:val="both"/>
            </w:pPr>
            <w:r>
              <w:rPr>
                <w:rFonts w:ascii="Times New Roman"/>
                <w:b w:val="false"/>
                <w:i w:val="false"/>
                <w:color w:val="000000"/>
                <w:sz w:val="20"/>
              </w:rPr>
              <w:t xml:space="preserve">
Комментарий эксперта </w:t>
            </w:r>
          </w:p>
          <w:bookmarkEnd w:id="3261"/>
        </w:tc>
      </w:tr>
    </w:tbl>
    <w:bookmarkStart w:name="z3306" w:id="3262"/>
    <w:p>
      <w:pPr>
        <w:spacing w:after="0"/>
        <w:ind w:left="0"/>
        <w:jc w:val="both"/>
      </w:pPr>
      <w:r>
        <w:rPr>
          <w:rFonts w:ascii="Times New Roman"/>
          <w:b w:val="false"/>
          <w:i w:val="false"/>
          <w:color w:val="000000"/>
          <w:sz w:val="28"/>
        </w:rPr>
        <w:t>
      4.5.3. Пренатальное и постнатальное развитие, включая материнскую функцию.</w:t>
      </w:r>
    </w:p>
    <w:bookmarkEnd w:id="3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263"/>
          <w:p>
            <w:pPr>
              <w:spacing w:after="20"/>
              <w:ind w:left="20"/>
              <w:jc w:val="both"/>
            </w:pPr>
            <w:r>
              <w:rPr>
                <w:rFonts w:ascii="Times New Roman"/>
                <w:b w:val="false"/>
                <w:i w:val="false"/>
                <w:color w:val="000000"/>
                <w:sz w:val="20"/>
              </w:rPr>
              <w:t xml:space="preserve">
Комментарий эксперта </w:t>
            </w:r>
          </w:p>
          <w:bookmarkEnd w:id="3263"/>
        </w:tc>
      </w:tr>
    </w:tbl>
    <w:bookmarkStart w:name="z3308" w:id="3264"/>
    <w:p>
      <w:pPr>
        <w:spacing w:after="0"/>
        <w:ind w:left="0"/>
        <w:jc w:val="both"/>
      </w:pPr>
      <w:r>
        <w:rPr>
          <w:rFonts w:ascii="Times New Roman"/>
          <w:b w:val="false"/>
          <w:i w:val="false"/>
          <w:color w:val="000000"/>
          <w:sz w:val="28"/>
        </w:rPr>
        <w:t>
      4.5.4. Исследования, в которых препарат вводится неполовозрелым особям и (или) проводится дальнейшая оценка его развития.</w:t>
      </w:r>
    </w:p>
    <w:bookmarkEnd w:id="3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265"/>
          <w:p>
            <w:pPr>
              <w:spacing w:after="20"/>
              <w:ind w:left="20"/>
              <w:jc w:val="both"/>
            </w:pPr>
            <w:r>
              <w:rPr>
                <w:rFonts w:ascii="Times New Roman"/>
                <w:b w:val="false"/>
                <w:i w:val="false"/>
                <w:color w:val="000000"/>
                <w:sz w:val="20"/>
              </w:rPr>
              <w:t xml:space="preserve">
Комментарий эксперта </w:t>
            </w:r>
          </w:p>
          <w:bookmarkEnd w:id="32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266"/>
          <w:p>
            <w:pPr>
              <w:spacing w:after="20"/>
              <w:ind w:left="20"/>
              <w:jc w:val="both"/>
            </w:pPr>
            <w:r>
              <w:rPr>
                <w:rFonts w:ascii="Times New Roman"/>
                <w:b w:val="false"/>
                <w:i w:val="false"/>
                <w:color w:val="000000"/>
                <w:sz w:val="20"/>
              </w:rPr>
              <w:t xml:space="preserve">
Выводы в отношении репродуктивной токсичности. </w:t>
            </w:r>
          </w:p>
          <w:bookmarkEnd w:id="3266"/>
        </w:tc>
      </w:tr>
    </w:tbl>
    <w:bookmarkStart w:name="z3311" w:id="3267"/>
    <w:p>
      <w:pPr>
        <w:spacing w:after="0"/>
        <w:ind w:left="0"/>
        <w:jc w:val="both"/>
      </w:pPr>
      <w:r>
        <w:rPr>
          <w:rFonts w:ascii="Times New Roman"/>
          <w:b w:val="false"/>
          <w:i w:val="false"/>
          <w:color w:val="000000"/>
          <w:sz w:val="28"/>
        </w:rPr>
        <w:t>
      4.6. Местная переносимость.</w:t>
      </w:r>
    </w:p>
    <w:bookmarkEnd w:id="3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268"/>
          <w:p>
            <w:pPr>
              <w:spacing w:after="20"/>
              <w:ind w:left="20"/>
              <w:jc w:val="both"/>
            </w:pPr>
            <w:r>
              <w:rPr>
                <w:rFonts w:ascii="Times New Roman"/>
                <w:b w:val="false"/>
                <w:i w:val="false"/>
                <w:color w:val="000000"/>
                <w:sz w:val="20"/>
              </w:rPr>
              <w:t xml:space="preserve">
Комментарий эксперта </w:t>
            </w:r>
          </w:p>
          <w:bookmarkEnd w:id="3268"/>
        </w:tc>
      </w:tr>
    </w:tbl>
    <w:bookmarkStart w:name="z3313" w:id="3269"/>
    <w:p>
      <w:pPr>
        <w:spacing w:after="0"/>
        <w:ind w:left="0"/>
        <w:jc w:val="both"/>
      </w:pPr>
      <w:r>
        <w:rPr>
          <w:rFonts w:ascii="Times New Roman"/>
          <w:b w:val="false"/>
          <w:i w:val="false"/>
          <w:color w:val="000000"/>
          <w:sz w:val="28"/>
        </w:rPr>
        <w:t>
      4.7. Другие исследования токсичности.</w:t>
      </w:r>
    </w:p>
    <w:bookmarkEnd w:id="3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270"/>
          <w:p>
            <w:pPr>
              <w:spacing w:after="20"/>
              <w:ind w:left="20"/>
              <w:jc w:val="both"/>
            </w:pPr>
            <w:r>
              <w:rPr>
                <w:rFonts w:ascii="Times New Roman"/>
                <w:b w:val="false"/>
                <w:i w:val="false"/>
                <w:color w:val="000000"/>
                <w:sz w:val="20"/>
              </w:rPr>
              <w:t xml:space="preserve">
Комментарий эксперта </w:t>
            </w:r>
          </w:p>
          <w:bookmarkEnd w:id="3270"/>
        </w:tc>
      </w:tr>
    </w:tbl>
    <w:bookmarkStart w:name="z3315" w:id="3271"/>
    <w:p>
      <w:pPr>
        <w:spacing w:after="0"/>
        <w:ind w:left="0"/>
        <w:jc w:val="both"/>
      </w:pPr>
      <w:r>
        <w:rPr>
          <w:rFonts w:ascii="Times New Roman"/>
          <w:b w:val="false"/>
          <w:i w:val="false"/>
          <w:color w:val="000000"/>
          <w:sz w:val="28"/>
        </w:rPr>
        <w:t>
      4.7.1. Антигенность.</w:t>
      </w:r>
    </w:p>
    <w:bookmarkEnd w:id="3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272"/>
          <w:p>
            <w:pPr>
              <w:spacing w:after="20"/>
              <w:ind w:left="20"/>
              <w:jc w:val="both"/>
            </w:pPr>
            <w:r>
              <w:rPr>
                <w:rFonts w:ascii="Times New Roman"/>
                <w:b w:val="false"/>
                <w:i w:val="false"/>
                <w:color w:val="000000"/>
                <w:sz w:val="20"/>
              </w:rPr>
              <w:t xml:space="preserve">
Комментарий эксперта </w:t>
            </w:r>
          </w:p>
          <w:bookmarkEnd w:id="3272"/>
        </w:tc>
      </w:tr>
    </w:tbl>
    <w:bookmarkStart w:name="z3317" w:id="3273"/>
    <w:p>
      <w:pPr>
        <w:spacing w:after="0"/>
        <w:ind w:left="0"/>
        <w:jc w:val="both"/>
      </w:pPr>
      <w:r>
        <w:rPr>
          <w:rFonts w:ascii="Times New Roman"/>
          <w:b w:val="false"/>
          <w:i w:val="false"/>
          <w:color w:val="000000"/>
          <w:sz w:val="28"/>
        </w:rPr>
        <w:t>
      4.7.2. Иммунотоксичность.</w:t>
      </w:r>
    </w:p>
    <w:bookmarkEnd w:id="3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274"/>
          <w:p>
            <w:pPr>
              <w:spacing w:after="20"/>
              <w:ind w:left="20"/>
              <w:jc w:val="both"/>
            </w:pPr>
            <w:r>
              <w:rPr>
                <w:rFonts w:ascii="Times New Roman"/>
                <w:b w:val="false"/>
                <w:i w:val="false"/>
                <w:color w:val="000000"/>
                <w:sz w:val="20"/>
              </w:rPr>
              <w:t xml:space="preserve">
Комментарий эксперта </w:t>
            </w:r>
          </w:p>
          <w:bookmarkEnd w:id="3274"/>
        </w:tc>
      </w:tr>
    </w:tbl>
    <w:bookmarkStart w:name="z3319" w:id="3275"/>
    <w:p>
      <w:pPr>
        <w:spacing w:after="0"/>
        <w:ind w:left="0"/>
        <w:jc w:val="both"/>
      </w:pPr>
      <w:r>
        <w:rPr>
          <w:rFonts w:ascii="Times New Roman"/>
          <w:b w:val="false"/>
          <w:i w:val="false"/>
          <w:color w:val="000000"/>
          <w:sz w:val="28"/>
        </w:rPr>
        <w:t>
      4.7.3. Зависимость.</w:t>
      </w:r>
    </w:p>
    <w:bookmarkEnd w:id="3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276"/>
          <w:p>
            <w:pPr>
              <w:spacing w:after="20"/>
              <w:ind w:left="20"/>
              <w:jc w:val="both"/>
            </w:pPr>
            <w:r>
              <w:rPr>
                <w:rFonts w:ascii="Times New Roman"/>
                <w:b w:val="false"/>
                <w:i w:val="false"/>
                <w:color w:val="000000"/>
                <w:sz w:val="20"/>
              </w:rPr>
              <w:t xml:space="preserve">
Комментарий эксперта </w:t>
            </w:r>
          </w:p>
          <w:bookmarkEnd w:id="3276"/>
        </w:tc>
      </w:tr>
    </w:tbl>
    <w:bookmarkStart w:name="z3321" w:id="3277"/>
    <w:p>
      <w:pPr>
        <w:spacing w:after="0"/>
        <w:ind w:left="0"/>
        <w:jc w:val="both"/>
      </w:pPr>
      <w:r>
        <w:rPr>
          <w:rFonts w:ascii="Times New Roman"/>
          <w:b w:val="false"/>
          <w:i w:val="false"/>
          <w:color w:val="000000"/>
          <w:sz w:val="28"/>
        </w:rPr>
        <w:t>
      4.7.4. Метаболиты.</w:t>
      </w:r>
    </w:p>
    <w:bookmarkEnd w:id="3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278"/>
          <w:p>
            <w:pPr>
              <w:spacing w:after="20"/>
              <w:ind w:left="20"/>
              <w:jc w:val="both"/>
            </w:pPr>
            <w:r>
              <w:rPr>
                <w:rFonts w:ascii="Times New Roman"/>
                <w:b w:val="false"/>
                <w:i w:val="false"/>
                <w:color w:val="000000"/>
                <w:sz w:val="20"/>
              </w:rPr>
              <w:t xml:space="preserve">
Комментарий эксперта </w:t>
            </w:r>
          </w:p>
          <w:bookmarkEnd w:id="3278"/>
        </w:tc>
      </w:tr>
    </w:tbl>
    <w:bookmarkStart w:name="z3323" w:id="3279"/>
    <w:p>
      <w:pPr>
        <w:spacing w:after="0"/>
        <w:ind w:left="0"/>
        <w:jc w:val="both"/>
      </w:pPr>
      <w:r>
        <w:rPr>
          <w:rFonts w:ascii="Times New Roman"/>
          <w:b w:val="false"/>
          <w:i w:val="false"/>
          <w:color w:val="000000"/>
          <w:sz w:val="28"/>
        </w:rPr>
        <w:t>
      4.7.5. Исследования примесей.</w:t>
      </w:r>
    </w:p>
    <w:bookmarkEnd w:id="3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280"/>
          <w:p>
            <w:pPr>
              <w:spacing w:after="20"/>
              <w:ind w:left="20"/>
              <w:jc w:val="both"/>
            </w:pPr>
            <w:r>
              <w:rPr>
                <w:rFonts w:ascii="Times New Roman"/>
                <w:b w:val="false"/>
                <w:i w:val="false"/>
                <w:color w:val="000000"/>
                <w:sz w:val="20"/>
              </w:rPr>
              <w:t xml:space="preserve">
Комментарий эксперта </w:t>
            </w:r>
          </w:p>
          <w:bookmarkEnd w:id="3280"/>
        </w:tc>
      </w:tr>
    </w:tbl>
    <w:bookmarkStart w:name="z3325" w:id="3281"/>
    <w:p>
      <w:pPr>
        <w:spacing w:after="0"/>
        <w:ind w:left="0"/>
        <w:jc w:val="both"/>
      </w:pPr>
      <w:r>
        <w:rPr>
          <w:rFonts w:ascii="Times New Roman"/>
          <w:b w:val="false"/>
          <w:i w:val="false"/>
          <w:color w:val="000000"/>
          <w:sz w:val="28"/>
        </w:rPr>
        <w:t>
      4.7.6. Другие исследования.</w:t>
      </w:r>
    </w:p>
    <w:bookmarkEnd w:id="3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282"/>
          <w:p>
            <w:pPr>
              <w:spacing w:after="20"/>
              <w:ind w:left="20"/>
              <w:jc w:val="both"/>
            </w:pPr>
            <w:r>
              <w:rPr>
                <w:rFonts w:ascii="Times New Roman"/>
                <w:b w:val="false"/>
                <w:i w:val="false"/>
                <w:color w:val="000000"/>
                <w:sz w:val="20"/>
              </w:rPr>
              <w:t xml:space="preserve">
Комментарий эксперта </w:t>
            </w:r>
          </w:p>
          <w:bookmarkEnd w:id="3282"/>
        </w:tc>
      </w:tr>
    </w:tbl>
    <w:bookmarkStart w:name="z3327" w:id="3283"/>
    <w:p>
      <w:pPr>
        <w:spacing w:after="0"/>
        <w:ind w:left="0"/>
        <w:jc w:val="both"/>
      </w:pPr>
      <w:r>
        <w:rPr>
          <w:rFonts w:ascii="Times New Roman"/>
          <w:b w:val="false"/>
          <w:i w:val="false"/>
          <w:color w:val="000000"/>
          <w:sz w:val="28"/>
        </w:rPr>
        <w:t>
      4.8. Общее заключение по токсикологии эксперта по оценке.</w:t>
      </w:r>
    </w:p>
    <w:bookmarkEnd w:id="3283"/>
    <w:bookmarkStart w:name="z3328" w:id="3284"/>
    <w:p>
      <w:pPr>
        <w:spacing w:after="0"/>
        <w:ind w:left="0"/>
        <w:jc w:val="left"/>
      </w:pPr>
      <w:r>
        <w:rPr>
          <w:rFonts w:ascii="Times New Roman"/>
          <w:b/>
          <w:i w:val="false"/>
          <w:color w:val="000000"/>
        </w:rPr>
        <w:t xml:space="preserve"> 5. Список литературы.</w:t>
      </w:r>
    </w:p>
    <w:bookmarkEnd w:id="3284"/>
    <w:bookmarkStart w:name="z3329" w:id="3285"/>
    <w:p>
      <w:pPr>
        <w:spacing w:after="0"/>
        <w:ind w:left="0"/>
        <w:jc w:val="left"/>
      </w:pPr>
      <w:r>
        <w:rPr>
          <w:rFonts w:ascii="Times New Roman"/>
          <w:b/>
          <w:i w:val="false"/>
          <w:color w:val="000000"/>
        </w:rPr>
        <w:t xml:space="preserve"> 6. Перечень замечаний, выдвигаемых экспертом в рамках проведенной экспертизы.</w:t>
      </w:r>
    </w:p>
    <w:bookmarkEnd w:id="3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286"/>
          <w:p>
            <w:pPr>
              <w:spacing w:after="20"/>
              <w:ind w:left="20"/>
              <w:jc w:val="both"/>
            </w:pPr>
            <w:r>
              <w:rPr>
                <w:rFonts w:ascii="Times New Roman"/>
                <w:b w:val="false"/>
                <w:i w:val="false"/>
                <w:color w:val="000000"/>
                <w:sz w:val="20"/>
              </w:rPr>
              <w:t xml:space="preserve">
КРИТИЧЕСКИЕ ЗАМЕЧАНИЯ </w:t>
            </w:r>
          </w:p>
          <w:bookmarkEnd w:id="3286"/>
        </w:tc>
      </w:tr>
    </w:tbl>
    <w:bookmarkStart w:name="z3331" w:id="3287"/>
    <w:p>
      <w:pPr>
        <w:spacing w:after="0"/>
        <w:ind w:left="0"/>
        <w:jc w:val="both"/>
      </w:pPr>
      <w:r>
        <w:rPr>
          <w:rFonts w:ascii="Times New Roman"/>
          <w:b w:val="false"/>
          <w:i w:val="false"/>
          <w:color w:val="000000"/>
          <w:sz w:val="28"/>
        </w:rPr>
        <w:t>
      Фармакология.</w:t>
      </w:r>
    </w:p>
    <w:bookmarkEnd w:id="3287"/>
    <w:bookmarkStart w:name="z3332" w:id="3288"/>
    <w:p>
      <w:pPr>
        <w:spacing w:after="0"/>
        <w:ind w:left="0"/>
        <w:jc w:val="both"/>
      </w:pPr>
      <w:r>
        <w:rPr>
          <w:rFonts w:ascii="Times New Roman"/>
          <w:b w:val="false"/>
          <w:i w:val="false"/>
          <w:color w:val="000000"/>
          <w:sz w:val="28"/>
        </w:rPr>
        <w:t>
      Фармакокинетика.</w:t>
      </w:r>
    </w:p>
    <w:bookmarkEnd w:id="3288"/>
    <w:bookmarkStart w:name="z3333" w:id="3289"/>
    <w:p>
      <w:pPr>
        <w:spacing w:after="0"/>
        <w:ind w:left="0"/>
        <w:jc w:val="both"/>
      </w:pPr>
      <w:r>
        <w:rPr>
          <w:rFonts w:ascii="Times New Roman"/>
          <w:b w:val="false"/>
          <w:i w:val="false"/>
          <w:color w:val="000000"/>
          <w:sz w:val="28"/>
        </w:rPr>
        <w:t>
      Токсикология.</w:t>
      </w:r>
    </w:p>
    <w:bookmarkEnd w:id="3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290"/>
          <w:p>
            <w:pPr>
              <w:spacing w:after="20"/>
              <w:ind w:left="20"/>
              <w:jc w:val="both"/>
            </w:pPr>
            <w:r>
              <w:rPr>
                <w:rFonts w:ascii="Times New Roman"/>
                <w:b w:val="false"/>
                <w:i w:val="false"/>
                <w:color w:val="000000"/>
                <w:sz w:val="20"/>
              </w:rPr>
              <w:t xml:space="preserve">
ПРОЧИЕ ЗАМЕЧАНИЯ </w:t>
            </w:r>
          </w:p>
          <w:bookmarkEnd w:id="3290"/>
        </w:tc>
      </w:tr>
    </w:tbl>
    <w:bookmarkStart w:name="z3335" w:id="3291"/>
    <w:p>
      <w:pPr>
        <w:spacing w:after="0"/>
        <w:ind w:left="0"/>
        <w:jc w:val="both"/>
      </w:pPr>
      <w:r>
        <w:rPr>
          <w:rFonts w:ascii="Times New Roman"/>
          <w:b w:val="false"/>
          <w:i w:val="false"/>
          <w:color w:val="000000"/>
          <w:sz w:val="28"/>
        </w:rPr>
        <w:t>
      Фармакология.</w:t>
      </w:r>
    </w:p>
    <w:bookmarkEnd w:id="3291"/>
    <w:bookmarkStart w:name="z3336" w:id="3292"/>
    <w:p>
      <w:pPr>
        <w:spacing w:after="0"/>
        <w:ind w:left="0"/>
        <w:jc w:val="both"/>
      </w:pPr>
      <w:r>
        <w:rPr>
          <w:rFonts w:ascii="Times New Roman"/>
          <w:b w:val="false"/>
          <w:i w:val="false"/>
          <w:color w:val="000000"/>
          <w:sz w:val="28"/>
        </w:rPr>
        <w:t>
      Фармакокинетика.</w:t>
      </w:r>
    </w:p>
    <w:bookmarkEnd w:id="3292"/>
    <w:bookmarkStart w:name="z3337" w:id="3293"/>
    <w:p>
      <w:pPr>
        <w:spacing w:after="0"/>
        <w:ind w:left="0"/>
        <w:jc w:val="both"/>
      </w:pPr>
      <w:r>
        <w:rPr>
          <w:rFonts w:ascii="Times New Roman"/>
          <w:b w:val="false"/>
          <w:i w:val="false"/>
          <w:color w:val="000000"/>
          <w:sz w:val="28"/>
        </w:rPr>
        <w:t>
      Токсикология.</w:t>
      </w:r>
    </w:p>
    <w:bookmarkEnd w:id="3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294"/>
          <w:p>
            <w:pPr>
              <w:spacing w:after="20"/>
              <w:ind w:left="20"/>
              <w:jc w:val="both"/>
            </w:pPr>
            <w:r>
              <w:rPr>
                <w:rFonts w:ascii="Times New Roman"/>
                <w:b w:val="false"/>
                <w:i w:val="false"/>
                <w:color w:val="000000"/>
                <w:sz w:val="20"/>
              </w:rPr>
              <w:t xml:space="preserve">
РЕКОМЕНДАЦИИ </w:t>
            </w:r>
          </w:p>
          <w:bookmarkEnd w:id="3294"/>
        </w:tc>
      </w:tr>
    </w:tbl>
    <w:bookmarkStart w:name="z3339" w:id="3295"/>
    <w:p>
      <w:pPr>
        <w:spacing w:after="0"/>
        <w:ind w:left="0"/>
        <w:jc w:val="both"/>
      </w:pPr>
      <w:r>
        <w:rPr>
          <w:rFonts w:ascii="Times New Roman"/>
          <w:b w:val="false"/>
          <w:i w:val="false"/>
          <w:color w:val="000000"/>
          <w:sz w:val="28"/>
        </w:rPr>
        <w:t>
      7. Рекомендуемые экспертом условия, выполнение которых необходимо после получения заявителем регистрационного удостоверения и утверждения общей характеристики лекарственного препарата, инструкции по медицинскому применению (листка-вкладыша) и дизайна упаковки лекарственного препарата.</w:t>
      </w:r>
    </w:p>
    <w:bookmarkEnd w:id="3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3341" w:id="3296"/>
    <w:p>
      <w:pPr>
        <w:spacing w:after="0"/>
        <w:ind w:left="0"/>
        <w:jc w:val="left"/>
      </w:pPr>
      <w:r>
        <w:rPr>
          <w:rFonts w:ascii="Times New Roman"/>
          <w:b/>
          <w:i w:val="false"/>
          <w:color w:val="000000"/>
        </w:rPr>
        <w:t xml:space="preserve"> ФОРМА ОТЧЕТА ЭКСПЕРТА ПО ОЦЕНКЕ КЛИНИЧЕСКИХ ИССЛЕДОВАНИЙ </w:t>
      </w:r>
    </w:p>
    <w:bookmarkEnd w:id="3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43" w:id="3297"/>
    <w:p>
      <w:pPr>
        <w:spacing w:after="0"/>
        <w:ind w:left="0"/>
        <w:jc w:val="left"/>
      </w:pPr>
      <w:r>
        <w:rPr>
          <w:rFonts w:ascii="Times New Roman"/>
          <w:b/>
          <w:i w:val="false"/>
          <w:color w:val="000000"/>
        </w:rPr>
        <w:t xml:space="preserve"> ОТЧЕТ</w:t>
      </w:r>
      <w:r>
        <w:br/>
      </w:r>
      <w:r>
        <w:rPr>
          <w:rFonts w:ascii="Times New Roman"/>
          <w:b/>
          <w:i w:val="false"/>
          <w:color w:val="000000"/>
        </w:rPr>
        <w:t xml:space="preserve">эксперта по оценке клинических исследований </w:t>
      </w:r>
    </w:p>
    <w:bookmarkEnd w:id="3297"/>
    <w:bookmarkStart w:name="z3344" w:id="3298"/>
    <w:p>
      <w:pPr>
        <w:spacing w:after="0"/>
        <w:ind w:left="0"/>
        <w:jc w:val="both"/>
      </w:pPr>
      <w:r>
        <w:rPr>
          <w:rFonts w:ascii="Times New Roman"/>
          <w:b w:val="false"/>
          <w:i w:val="false"/>
          <w:color w:val="000000"/>
          <w:sz w:val="28"/>
        </w:rPr>
        <w:t>
      Административная информация</w:t>
      </w:r>
    </w:p>
    <w:bookmarkEnd w:id="3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299"/>
          <w:p>
            <w:pPr>
              <w:spacing w:after="20"/>
              <w:ind w:left="20"/>
              <w:jc w:val="both"/>
            </w:pPr>
            <w:r>
              <w:rPr>
                <w:rFonts w:ascii="Times New Roman"/>
                <w:b w:val="false"/>
                <w:i w:val="false"/>
                <w:color w:val="000000"/>
                <w:sz w:val="20"/>
              </w:rPr>
              <w:t xml:space="preserve">
Торговое наименование лекарственного средства: </w:t>
            </w:r>
          </w:p>
          <w:bookmarkEnd w:id="3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300"/>
          <w:p>
            <w:pPr>
              <w:spacing w:after="20"/>
              <w:ind w:left="20"/>
              <w:jc w:val="both"/>
            </w:pPr>
            <w:r>
              <w:rPr>
                <w:rFonts w:ascii="Times New Roman"/>
                <w:b w:val="false"/>
                <w:i w:val="false"/>
                <w:color w:val="000000"/>
                <w:sz w:val="20"/>
              </w:rPr>
              <w:t xml:space="preserve">
Международное непатентованное наименование (МНН) или общее наименование действующего вещества (веществ): </w:t>
            </w:r>
          </w:p>
          <w:bookmarkEnd w:id="3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301"/>
          <w:p>
            <w:pPr>
              <w:spacing w:after="20"/>
              <w:ind w:left="20"/>
              <w:jc w:val="both"/>
            </w:pPr>
            <w:r>
              <w:rPr>
                <w:rFonts w:ascii="Times New Roman"/>
                <w:b w:val="false"/>
                <w:i w:val="false"/>
                <w:color w:val="000000"/>
                <w:sz w:val="20"/>
              </w:rPr>
              <w:t xml:space="preserve">
Заявитель: </w:t>
            </w:r>
          </w:p>
          <w:bookmarkEnd w:id="3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302"/>
          <w:p>
            <w:pPr>
              <w:spacing w:after="20"/>
              <w:ind w:left="20"/>
              <w:jc w:val="both"/>
            </w:pPr>
            <w:r>
              <w:rPr>
                <w:rFonts w:ascii="Times New Roman"/>
                <w:b w:val="false"/>
                <w:i w:val="false"/>
                <w:color w:val="000000"/>
                <w:sz w:val="20"/>
              </w:rPr>
              <w:t xml:space="preserve">
Заявленные показания к применению: </w:t>
            </w:r>
          </w:p>
          <w:bookmarkEnd w:id="3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303"/>
          <w:p>
            <w:pPr>
              <w:spacing w:after="20"/>
              <w:ind w:left="20"/>
              <w:jc w:val="both"/>
            </w:pPr>
            <w:r>
              <w:rPr>
                <w:rFonts w:ascii="Times New Roman"/>
                <w:b w:val="false"/>
                <w:i w:val="false"/>
                <w:color w:val="000000"/>
                <w:sz w:val="20"/>
              </w:rPr>
              <w:t xml:space="preserve">
Фармакотерапевтическая группа (АТХ-код): </w:t>
            </w:r>
          </w:p>
          <w:bookmarkEnd w:id="3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304"/>
          <w:p>
            <w:pPr>
              <w:spacing w:after="20"/>
              <w:ind w:left="20"/>
              <w:jc w:val="both"/>
            </w:pPr>
            <w:r>
              <w:rPr>
                <w:rFonts w:ascii="Times New Roman"/>
                <w:b w:val="false"/>
                <w:i w:val="false"/>
                <w:color w:val="000000"/>
                <w:sz w:val="20"/>
              </w:rPr>
              <w:t xml:space="preserve">
Лекарственная форма (формы) и дозировка (дозировки): </w:t>
            </w:r>
          </w:p>
          <w:bookmarkEnd w:id="3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305"/>
          <w:p>
            <w:pPr>
              <w:spacing w:after="20"/>
              <w:ind w:left="20"/>
              <w:jc w:val="both"/>
            </w:pPr>
            <w:r>
              <w:rPr>
                <w:rFonts w:ascii="Times New Roman"/>
                <w:b w:val="false"/>
                <w:i w:val="false"/>
                <w:color w:val="000000"/>
                <w:sz w:val="20"/>
              </w:rPr>
              <w:t xml:space="preserve">
Данные контактного лица экспертов: </w:t>
            </w:r>
          </w:p>
          <w:bookmarkEnd w:id="3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e-mail: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306"/>
          <w:p>
            <w:pPr>
              <w:spacing w:after="20"/>
              <w:ind w:left="20"/>
              <w:jc w:val="both"/>
            </w:pPr>
            <w:r>
              <w:rPr>
                <w:rFonts w:ascii="Times New Roman"/>
                <w:b w:val="false"/>
                <w:i w:val="false"/>
                <w:color w:val="000000"/>
                <w:sz w:val="20"/>
              </w:rPr>
              <w:t xml:space="preserve">
Данные экспертов (внутренний и независимый): </w:t>
            </w:r>
          </w:p>
          <w:bookmarkEnd w:id="3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e-mail: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Доклинический:</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e-mail: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e-mail: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307"/>
          <w:p>
            <w:pPr>
              <w:spacing w:after="20"/>
              <w:ind w:left="20"/>
              <w:jc w:val="both"/>
            </w:pPr>
            <w:r>
              <w:rPr>
                <w:rFonts w:ascii="Times New Roman"/>
                <w:b w:val="false"/>
                <w:i w:val="false"/>
                <w:color w:val="000000"/>
                <w:sz w:val="20"/>
              </w:rPr>
              <w:t xml:space="preserve">
Данные экспертов (внутренний и независимый): </w:t>
            </w:r>
          </w:p>
          <w:bookmarkEnd w:id="3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e-mail: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Доклинический:</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e-mail: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xml:space="preserve">e-mail: </w:t>
            </w:r>
          </w:p>
        </w:tc>
      </w:tr>
    </w:tbl>
    <w:bookmarkStart w:name="z3358" w:id="3308"/>
    <w:p>
      <w:pPr>
        <w:spacing w:after="0"/>
        <w:ind w:left="0"/>
        <w:jc w:val="both"/>
      </w:pPr>
      <w:r>
        <w:rPr>
          <w:rFonts w:ascii="Times New Roman"/>
          <w:b w:val="false"/>
          <w:i w:val="false"/>
          <w:color w:val="000000"/>
          <w:sz w:val="28"/>
        </w:rPr>
        <w:t>
      Список сокращений:</w:t>
      </w:r>
    </w:p>
    <w:bookmarkEnd w:id="3308"/>
    <w:bookmarkStart w:name="z3359" w:id="3309"/>
    <w:p>
      <w:pPr>
        <w:spacing w:after="0"/>
        <w:ind w:left="0"/>
        <w:jc w:val="both"/>
      </w:pPr>
      <w:r>
        <w:rPr>
          <w:rFonts w:ascii="Times New Roman"/>
          <w:b w:val="false"/>
          <w:i w:val="false"/>
          <w:color w:val="000000"/>
          <w:sz w:val="28"/>
        </w:rPr>
        <w:t>
      ___________________________________________________________________________</w:t>
      </w:r>
    </w:p>
    <w:bookmarkEnd w:id="3309"/>
    <w:bookmarkStart w:name="z3360" w:id="3310"/>
    <w:p>
      <w:pPr>
        <w:spacing w:after="0"/>
        <w:ind w:left="0"/>
        <w:jc w:val="both"/>
      </w:pPr>
      <w:r>
        <w:rPr>
          <w:rFonts w:ascii="Times New Roman"/>
          <w:b w:val="false"/>
          <w:i w:val="false"/>
          <w:color w:val="000000"/>
          <w:sz w:val="28"/>
        </w:rPr>
        <w:t>
      ___________________________________________________________________________</w:t>
      </w:r>
    </w:p>
    <w:bookmarkEnd w:id="3310"/>
    <w:bookmarkStart w:name="z3361" w:id="3311"/>
    <w:p>
      <w:pPr>
        <w:spacing w:after="0"/>
        <w:ind w:left="0"/>
        <w:jc w:val="both"/>
      </w:pPr>
      <w:r>
        <w:rPr>
          <w:rFonts w:ascii="Times New Roman"/>
          <w:b w:val="false"/>
          <w:i w:val="false"/>
          <w:color w:val="000000"/>
          <w:sz w:val="28"/>
        </w:rPr>
        <w:t>
      ___________________________________________________________________________</w:t>
      </w:r>
    </w:p>
    <w:bookmarkEnd w:id="3311"/>
    <w:bookmarkStart w:name="z3362" w:id="3312"/>
    <w:p>
      <w:pPr>
        <w:spacing w:after="0"/>
        <w:ind w:left="0"/>
        <w:jc w:val="both"/>
      </w:pPr>
      <w:r>
        <w:rPr>
          <w:rFonts w:ascii="Times New Roman"/>
          <w:b w:val="false"/>
          <w:i w:val="false"/>
          <w:color w:val="000000"/>
          <w:sz w:val="28"/>
        </w:rPr>
        <w:t>
       </w:t>
      </w:r>
    </w:p>
    <w:bookmarkEnd w:id="3312"/>
    <w:bookmarkStart w:name="z3363" w:id="3313"/>
    <w:p>
      <w:pPr>
        <w:spacing w:after="0"/>
        <w:ind w:left="0"/>
        <w:jc w:val="left"/>
      </w:pPr>
      <w:r>
        <w:rPr>
          <w:rFonts w:ascii="Times New Roman"/>
          <w:b/>
          <w:i w:val="false"/>
          <w:color w:val="000000"/>
        </w:rPr>
        <w:t xml:space="preserve"> Клиническая оценка</w:t>
      </w:r>
    </w:p>
    <w:bookmarkEnd w:id="3313"/>
    <w:bookmarkStart w:name="z3364" w:id="3314"/>
    <w:p>
      <w:pPr>
        <w:spacing w:after="0"/>
        <w:ind w:left="0"/>
        <w:jc w:val="left"/>
      </w:pPr>
      <w:r>
        <w:rPr>
          <w:rFonts w:ascii="Times New Roman"/>
          <w:b/>
          <w:i w:val="false"/>
          <w:color w:val="000000"/>
        </w:rPr>
        <w:t xml:space="preserve"> 1. Введение </w:t>
      </w:r>
    </w:p>
    <w:bookmarkEnd w:id="3314"/>
    <w:bookmarkStart w:name="z3365" w:id="3315"/>
    <w:p>
      <w:pPr>
        <w:spacing w:after="0"/>
        <w:ind w:left="0"/>
        <w:jc w:val="both"/>
      </w:pPr>
      <w:r>
        <w:rPr>
          <w:rFonts w:ascii="Times New Roman"/>
          <w:b w:val="false"/>
          <w:i w:val="false"/>
          <w:color w:val="000000"/>
          <w:sz w:val="28"/>
        </w:rPr>
        <w:t>
      1.1. Тип заявления и аспекты разработки:</w:t>
      </w:r>
    </w:p>
    <w:bookmarkEnd w:id="3315"/>
    <w:bookmarkStart w:name="z3366" w:id="3316"/>
    <w:p>
      <w:pPr>
        <w:spacing w:after="0"/>
        <w:ind w:left="0"/>
        <w:jc w:val="both"/>
      </w:pPr>
      <w:r>
        <w:rPr>
          <w:rFonts w:ascii="Times New Roman"/>
          <w:b w:val="false"/>
          <w:i w:val="false"/>
          <w:color w:val="000000"/>
          <w:sz w:val="28"/>
        </w:rPr>
        <w:t>
      вид нормативно-правовой процедуры регистрации;</w:t>
      </w:r>
    </w:p>
    <w:bookmarkEnd w:id="3316"/>
    <w:bookmarkStart w:name="z3367" w:id="3317"/>
    <w:p>
      <w:pPr>
        <w:spacing w:after="0"/>
        <w:ind w:left="0"/>
        <w:jc w:val="both"/>
      </w:pPr>
      <w:r>
        <w:rPr>
          <w:rFonts w:ascii="Times New Roman"/>
          <w:b w:val="false"/>
          <w:i w:val="false"/>
          <w:color w:val="000000"/>
          <w:sz w:val="28"/>
        </w:rPr>
        <w:t>
      возможность применения особых оснований для регистрационной процедуры;</w:t>
      </w:r>
    </w:p>
    <w:bookmarkEnd w:id="3317"/>
    <w:bookmarkStart w:name="z3368" w:id="3318"/>
    <w:p>
      <w:pPr>
        <w:spacing w:after="0"/>
        <w:ind w:left="0"/>
        <w:jc w:val="both"/>
      </w:pPr>
      <w:r>
        <w:rPr>
          <w:rFonts w:ascii="Times New Roman"/>
          <w:b w:val="false"/>
          <w:i w:val="false"/>
          <w:color w:val="000000"/>
          <w:sz w:val="28"/>
        </w:rPr>
        <w:t>
      применение концепции биоаналога;</w:t>
      </w:r>
    </w:p>
    <w:bookmarkEnd w:id="3318"/>
    <w:bookmarkStart w:name="z3369" w:id="3319"/>
    <w:p>
      <w:pPr>
        <w:spacing w:after="0"/>
        <w:ind w:left="0"/>
        <w:jc w:val="both"/>
      </w:pPr>
      <w:r>
        <w:rPr>
          <w:rFonts w:ascii="Times New Roman"/>
          <w:b w:val="false"/>
          <w:i w:val="false"/>
          <w:color w:val="000000"/>
          <w:sz w:val="28"/>
        </w:rPr>
        <w:t>
      соответствие руководствам по разработке лекарственных препаратов (наличие научной консультации);</w:t>
      </w:r>
    </w:p>
    <w:bookmarkEnd w:id="3319"/>
    <w:bookmarkStart w:name="z3370" w:id="3320"/>
    <w:p>
      <w:pPr>
        <w:spacing w:after="0"/>
        <w:ind w:left="0"/>
        <w:jc w:val="both"/>
      </w:pPr>
      <w:r>
        <w:rPr>
          <w:rFonts w:ascii="Times New Roman"/>
          <w:b w:val="false"/>
          <w:i w:val="false"/>
          <w:color w:val="000000"/>
          <w:sz w:val="28"/>
        </w:rPr>
        <w:t>
      значимость педиатрических исследований.</w:t>
      </w:r>
    </w:p>
    <w:bookmarkEnd w:id="3320"/>
    <w:bookmarkStart w:name="z3371" w:id="3321"/>
    <w:p>
      <w:pPr>
        <w:spacing w:after="0"/>
        <w:ind w:left="0"/>
        <w:jc w:val="both"/>
      </w:pPr>
      <w:r>
        <w:rPr>
          <w:rFonts w:ascii="Times New Roman"/>
          <w:b w:val="false"/>
          <w:i w:val="false"/>
          <w:color w:val="000000"/>
          <w:sz w:val="28"/>
        </w:rPr>
        <w:t>
      1.2. Соблюдение принципов Надлежащей клинической практики (GCP).</w:t>
      </w:r>
    </w:p>
    <w:bookmarkEnd w:id="3321"/>
    <w:bookmarkStart w:name="z3372" w:id="3322"/>
    <w:p>
      <w:pPr>
        <w:spacing w:after="0"/>
        <w:ind w:left="0"/>
        <w:jc w:val="both"/>
      </w:pPr>
      <w:r>
        <w:rPr>
          <w:rFonts w:ascii="Times New Roman"/>
          <w:b w:val="false"/>
          <w:i w:val="false"/>
          <w:color w:val="000000"/>
          <w:sz w:val="28"/>
        </w:rPr>
        <w:t>
      1.3. Данные по принадлежности к классу орфанных лекарственных препаратов.</w:t>
      </w:r>
    </w:p>
    <w:bookmarkEnd w:id="3322"/>
    <w:bookmarkStart w:name="z3373" w:id="3323"/>
    <w:p>
      <w:pPr>
        <w:spacing w:after="0"/>
        <w:ind w:left="0"/>
        <w:jc w:val="both"/>
      </w:pPr>
      <w:r>
        <w:rPr>
          <w:rFonts w:ascii="Times New Roman"/>
          <w:b w:val="false"/>
          <w:i w:val="false"/>
          <w:color w:val="000000"/>
          <w:sz w:val="28"/>
        </w:rPr>
        <w:t>
      В соответствии с заключением уполномоченных органов в сфере здравоохранения (заключение от 00/00/00) частота случаев заболевания (указать наименование нозологии) составляет (XX) на 10000 человек на территориях государств - членов Евразийского экономического союза (нет данных).</w:t>
      </w:r>
    </w:p>
    <w:bookmarkEnd w:id="3323"/>
    <w:bookmarkStart w:name="z3374" w:id="3324"/>
    <w:p>
      <w:pPr>
        <w:spacing w:after="0"/>
        <w:ind w:left="0"/>
        <w:jc w:val="left"/>
      </w:pPr>
      <w:r>
        <w:rPr>
          <w:rFonts w:ascii="Times New Roman"/>
          <w:b/>
          <w:i w:val="false"/>
          <w:color w:val="000000"/>
        </w:rPr>
        <w:t xml:space="preserve"> 2. Клиническая фармакология </w:t>
      </w:r>
    </w:p>
    <w:bookmarkEnd w:id="3324"/>
    <w:bookmarkStart w:name="z3375" w:id="3325"/>
    <w:p>
      <w:pPr>
        <w:spacing w:after="0"/>
        <w:ind w:left="0"/>
        <w:jc w:val="both"/>
      </w:pPr>
      <w:r>
        <w:rPr>
          <w:rFonts w:ascii="Times New Roman"/>
          <w:b w:val="false"/>
          <w:i w:val="false"/>
          <w:color w:val="000000"/>
          <w:sz w:val="28"/>
        </w:rPr>
        <w:t>
      2.1. Фамакокинетика.</w:t>
      </w:r>
    </w:p>
    <w:bookmarkEnd w:id="3325"/>
    <w:bookmarkStart w:name="z3376" w:id="3326"/>
    <w:p>
      <w:pPr>
        <w:spacing w:after="0"/>
        <w:ind w:left="0"/>
        <w:jc w:val="both"/>
      </w:pPr>
      <w:r>
        <w:rPr>
          <w:rFonts w:ascii="Times New Roman"/>
          <w:b w:val="false"/>
          <w:i w:val="false"/>
          <w:color w:val="000000"/>
          <w:sz w:val="28"/>
        </w:rPr>
        <w:t>
      2.1.1. Введение.</w:t>
      </w:r>
    </w:p>
    <w:bookmarkEnd w:id="3326"/>
    <w:bookmarkStart w:name="z3377" w:id="3327"/>
    <w:p>
      <w:pPr>
        <w:spacing w:after="0"/>
        <w:ind w:left="0"/>
        <w:jc w:val="both"/>
      </w:pPr>
      <w:r>
        <w:rPr>
          <w:rFonts w:ascii="Times New Roman"/>
          <w:b w:val="false"/>
          <w:i w:val="false"/>
          <w:color w:val="000000"/>
          <w:sz w:val="28"/>
        </w:rPr>
        <w:t>
      2.1.2. Методы.</w:t>
      </w:r>
    </w:p>
    <w:bookmarkEnd w:id="3327"/>
    <w:bookmarkStart w:name="z3378" w:id="3328"/>
    <w:p>
      <w:pPr>
        <w:spacing w:after="0"/>
        <w:ind w:left="0"/>
        <w:jc w:val="both"/>
      </w:pPr>
      <w:r>
        <w:rPr>
          <w:rFonts w:ascii="Times New Roman"/>
          <w:b w:val="false"/>
          <w:i w:val="false"/>
          <w:color w:val="000000"/>
          <w:sz w:val="28"/>
        </w:rPr>
        <w:t>
      Аналитические методы и методики</w:t>
      </w:r>
    </w:p>
    <w:bookmarkEnd w:id="3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329"/>
          <w:p>
            <w:pPr>
              <w:spacing w:after="20"/>
              <w:ind w:left="20"/>
              <w:jc w:val="both"/>
            </w:pPr>
            <w:r>
              <w:rPr>
                <w:rFonts w:ascii="Times New Roman"/>
                <w:b w:val="false"/>
                <w:i w:val="false"/>
                <w:color w:val="000000"/>
                <w:sz w:val="20"/>
              </w:rPr>
              <w:t xml:space="preserve">
Комментарий эксперта </w:t>
            </w:r>
          </w:p>
          <w:bookmarkEnd w:id="3329"/>
        </w:tc>
      </w:tr>
    </w:tbl>
    <w:bookmarkStart w:name="z3380" w:id="3330"/>
    <w:p>
      <w:pPr>
        <w:spacing w:after="0"/>
        <w:ind w:left="0"/>
        <w:jc w:val="both"/>
      </w:pPr>
      <w:r>
        <w:rPr>
          <w:rFonts w:ascii="Times New Roman"/>
          <w:b w:val="false"/>
          <w:i w:val="false"/>
          <w:color w:val="000000"/>
          <w:sz w:val="28"/>
        </w:rPr>
        <w:t>
      Анализ фармакокинетических данных</w:t>
      </w:r>
    </w:p>
    <w:bookmarkEnd w:id="3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3331"/>
          <w:p>
            <w:pPr>
              <w:spacing w:after="20"/>
              <w:ind w:left="20"/>
              <w:jc w:val="both"/>
            </w:pPr>
            <w:r>
              <w:rPr>
                <w:rFonts w:ascii="Times New Roman"/>
                <w:b w:val="false"/>
                <w:i w:val="false"/>
                <w:color w:val="000000"/>
                <w:sz w:val="20"/>
              </w:rPr>
              <w:t xml:space="preserve">
Комментарий эксперта </w:t>
            </w:r>
          </w:p>
          <w:bookmarkEnd w:id="3331"/>
        </w:tc>
      </w:tr>
    </w:tbl>
    <w:bookmarkStart w:name="z3382" w:id="3332"/>
    <w:p>
      <w:pPr>
        <w:spacing w:after="0"/>
        <w:ind w:left="0"/>
        <w:jc w:val="both"/>
      </w:pPr>
      <w:r>
        <w:rPr>
          <w:rFonts w:ascii="Times New Roman"/>
          <w:b w:val="false"/>
          <w:i w:val="false"/>
          <w:color w:val="000000"/>
          <w:sz w:val="28"/>
        </w:rPr>
        <w:t>
      Статистический анализ</w:t>
      </w:r>
    </w:p>
    <w:bookmarkEnd w:id="3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333"/>
          <w:p>
            <w:pPr>
              <w:spacing w:after="20"/>
              <w:ind w:left="20"/>
              <w:jc w:val="both"/>
            </w:pPr>
            <w:r>
              <w:rPr>
                <w:rFonts w:ascii="Times New Roman"/>
                <w:b w:val="false"/>
                <w:i w:val="false"/>
                <w:color w:val="000000"/>
                <w:sz w:val="20"/>
              </w:rPr>
              <w:t xml:space="preserve">
Комментарий эксперта </w:t>
            </w:r>
          </w:p>
          <w:bookmarkEnd w:id="3333"/>
        </w:tc>
      </w:tr>
    </w:tbl>
    <w:bookmarkStart w:name="z3384" w:id="3334"/>
    <w:p>
      <w:pPr>
        <w:spacing w:after="0"/>
        <w:ind w:left="0"/>
        <w:jc w:val="both"/>
      </w:pPr>
      <w:r>
        <w:rPr>
          <w:rFonts w:ascii="Times New Roman"/>
          <w:b w:val="false"/>
          <w:i w:val="false"/>
          <w:color w:val="000000"/>
          <w:sz w:val="28"/>
        </w:rPr>
        <w:t>
      2.1.3. Абсорбция.</w:t>
      </w:r>
    </w:p>
    <w:bookmarkEnd w:id="3334"/>
    <w:bookmarkStart w:name="z3385" w:id="3335"/>
    <w:p>
      <w:pPr>
        <w:spacing w:after="0"/>
        <w:ind w:left="0"/>
        <w:jc w:val="both"/>
      </w:pPr>
      <w:r>
        <w:rPr>
          <w:rFonts w:ascii="Times New Roman"/>
          <w:b w:val="false"/>
          <w:i w:val="false"/>
          <w:color w:val="000000"/>
          <w:sz w:val="28"/>
        </w:rPr>
        <w:t>
      Биодоступность</w:t>
      </w:r>
    </w:p>
    <w:bookmarkEnd w:id="3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3336"/>
          <w:p>
            <w:pPr>
              <w:spacing w:after="20"/>
              <w:ind w:left="20"/>
              <w:jc w:val="both"/>
            </w:pPr>
            <w:r>
              <w:rPr>
                <w:rFonts w:ascii="Times New Roman"/>
                <w:b w:val="false"/>
                <w:i w:val="false"/>
                <w:color w:val="000000"/>
                <w:sz w:val="20"/>
              </w:rPr>
              <w:t xml:space="preserve">
Комментарий эксперта </w:t>
            </w:r>
          </w:p>
          <w:bookmarkEnd w:id="3336"/>
        </w:tc>
      </w:tr>
    </w:tbl>
    <w:bookmarkStart w:name="z3387" w:id="3337"/>
    <w:p>
      <w:pPr>
        <w:spacing w:after="0"/>
        <w:ind w:left="0"/>
        <w:jc w:val="both"/>
      </w:pPr>
      <w:r>
        <w:rPr>
          <w:rFonts w:ascii="Times New Roman"/>
          <w:b w:val="false"/>
          <w:i w:val="false"/>
          <w:color w:val="000000"/>
          <w:sz w:val="28"/>
        </w:rPr>
        <w:t>
      Биоэквивалентность</w:t>
      </w:r>
    </w:p>
    <w:bookmarkEnd w:id="3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3338"/>
          <w:p>
            <w:pPr>
              <w:spacing w:after="20"/>
              <w:ind w:left="20"/>
              <w:jc w:val="both"/>
            </w:pPr>
            <w:r>
              <w:rPr>
                <w:rFonts w:ascii="Times New Roman"/>
                <w:b w:val="false"/>
                <w:i w:val="false"/>
                <w:color w:val="000000"/>
                <w:sz w:val="20"/>
              </w:rPr>
              <w:t xml:space="preserve">
Комментарий эксперта </w:t>
            </w:r>
          </w:p>
          <w:bookmarkEnd w:id="3338"/>
        </w:tc>
      </w:tr>
    </w:tbl>
    <w:bookmarkStart w:name="z3389" w:id="3339"/>
    <w:p>
      <w:pPr>
        <w:spacing w:after="0"/>
        <w:ind w:left="0"/>
        <w:jc w:val="both"/>
      </w:pPr>
      <w:r>
        <w:rPr>
          <w:rFonts w:ascii="Times New Roman"/>
          <w:b w:val="false"/>
          <w:i w:val="false"/>
          <w:color w:val="000000"/>
          <w:sz w:val="28"/>
        </w:rPr>
        <w:t>
       </w:t>
      </w:r>
    </w:p>
    <w:bookmarkEnd w:id="3339"/>
    <w:bookmarkStart w:name="z3390" w:id="3340"/>
    <w:p>
      <w:pPr>
        <w:spacing w:after="0"/>
        <w:ind w:left="0"/>
        <w:jc w:val="both"/>
      </w:pPr>
      <w:r>
        <w:rPr>
          <w:rFonts w:ascii="Times New Roman"/>
          <w:b w:val="false"/>
          <w:i w:val="false"/>
          <w:color w:val="000000"/>
          <w:sz w:val="28"/>
        </w:rPr>
        <w:t>
      Влияние пищи</w:t>
      </w:r>
    </w:p>
    <w:bookmarkEnd w:id="3340"/>
    <w:bookmarkStart w:name="z3391" w:id="3341"/>
    <w:p>
      <w:pPr>
        <w:spacing w:after="0"/>
        <w:ind w:left="0"/>
        <w:jc w:val="both"/>
      </w:pPr>
      <w:r>
        <w:rPr>
          <w:rFonts w:ascii="Times New Roman"/>
          <w:b w:val="false"/>
          <w:i w:val="false"/>
          <w:color w:val="000000"/>
          <w:sz w:val="28"/>
        </w:rPr>
        <w:t>
       </w:t>
      </w:r>
    </w:p>
    <w:bookmarkEnd w:id="3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342"/>
          <w:p>
            <w:pPr>
              <w:spacing w:after="20"/>
              <w:ind w:left="20"/>
              <w:jc w:val="both"/>
            </w:pPr>
            <w:r>
              <w:rPr>
                <w:rFonts w:ascii="Times New Roman"/>
                <w:b w:val="false"/>
                <w:i w:val="false"/>
                <w:color w:val="000000"/>
                <w:sz w:val="20"/>
              </w:rPr>
              <w:t xml:space="preserve">
Комментарий эксперта </w:t>
            </w:r>
          </w:p>
          <w:bookmarkEnd w:id="3342"/>
        </w:tc>
      </w:tr>
    </w:tbl>
    <w:bookmarkStart w:name="z3393" w:id="3343"/>
    <w:p>
      <w:pPr>
        <w:spacing w:after="0"/>
        <w:ind w:left="0"/>
        <w:jc w:val="both"/>
      </w:pPr>
      <w:r>
        <w:rPr>
          <w:rFonts w:ascii="Times New Roman"/>
          <w:b w:val="false"/>
          <w:i w:val="false"/>
          <w:color w:val="000000"/>
          <w:sz w:val="28"/>
        </w:rPr>
        <w:t>
       </w:t>
      </w:r>
    </w:p>
    <w:bookmarkEnd w:id="3343"/>
    <w:bookmarkStart w:name="z3394" w:id="3344"/>
    <w:p>
      <w:pPr>
        <w:spacing w:after="0"/>
        <w:ind w:left="0"/>
        <w:jc w:val="both"/>
      </w:pPr>
      <w:r>
        <w:rPr>
          <w:rFonts w:ascii="Times New Roman"/>
          <w:b w:val="false"/>
          <w:i w:val="false"/>
          <w:color w:val="000000"/>
          <w:sz w:val="28"/>
        </w:rPr>
        <w:t>
      2.1.4. Распределение.</w:t>
      </w:r>
    </w:p>
    <w:bookmarkEnd w:id="3344"/>
    <w:bookmarkStart w:name="z3395" w:id="3345"/>
    <w:p>
      <w:pPr>
        <w:spacing w:after="0"/>
        <w:ind w:left="0"/>
        <w:jc w:val="both"/>
      </w:pPr>
      <w:r>
        <w:rPr>
          <w:rFonts w:ascii="Times New Roman"/>
          <w:b w:val="false"/>
          <w:i w:val="false"/>
          <w:color w:val="000000"/>
          <w:sz w:val="28"/>
        </w:rPr>
        <w:t>
       </w:t>
      </w:r>
    </w:p>
    <w:bookmarkEnd w:id="3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346"/>
          <w:p>
            <w:pPr>
              <w:spacing w:after="20"/>
              <w:ind w:left="20"/>
              <w:jc w:val="both"/>
            </w:pPr>
            <w:r>
              <w:rPr>
                <w:rFonts w:ascii="Times New Roman"/>
                <w:b w:val="false"/>
                <w:i w:val="false"/>
                <w:color w:val="000000"/>
                <w:sz w:val="20"/>
              </w:rPr>
              <w:t xml:space="preserve">
Комментарий эксперта </w:t>
            </w:r>
          </w:p>
          <w:bookmarkEnd w:id="3346"/>
        </w:tc>
      </w:tr>
    </w:tbl>
    <w:bookmarkStart w:name="z3397" w:id="3347"/>
    <w:p>
      <w:pPr>
        <w:spacing w:after="0"/>
        <w:ind w:left="0"/>
        <w:jc w:val="both"/>
      </w:pPr>
      <w:r>
        <w:rPr>
          <w:rFonts w:ascii="Times New Roman"/>
          <w:b w:val="false"/>
          <w:i w:val="false"/>
          <w:color w:val="000000"/>
          <w:sz w:val="28"/>
        </w:rPr>
        <w:t>
       </w:t>
      </w:r>
    </w:p>
    <w:bookmarkEnd w:id="3347"/>
    <w:bookmarkStart w:name="z3398" w:id="3348"/>
    <w:p>
      <w:pPr>
        <w:spacing w:after="0"/>
        <w:ind w:left="0"/>
        <w:jc w:val="both"/>
      </w:pPr>
      <w:r>
        <w:rPr>
          <w:rFonts w:ascii="Times New Roman"/>
          <w:b w:val="false"/>
          <w:i w:val="false"/>
          <w:color w:val="000000"/>
          <w:sz w:val="28"/>
        </w:rPr>
        <w:t>
      2.1.5. Элиминация.</w:t>
      </w:r>
    </w:p>
    <w:bookmarkEnd w:id="3348"/>
    <w:bookmarkStart w:name="z3399" w:id="3349"/>
    <w:p>
      <w:pPr>
        <w:spacing w:after="0"/>
        <w:ind w:left="0"/>
        <w:jc w:val="both"/>
      </w:pPr>
      <w:r>
        <w:rPr>
          <w:rFonts w:ascii="Times New Roman"/>
          <w:b w:val="false"/>
          <w:i w:val="false"/>
          <w:color w:val="000000"/>
          <w:sz w:val="28"/>
        </w:rPr>
        <w:t>
      Выведение</w:t>
      </w:r>
    </w:p>
    <w:bookmarkEnd w:id="3349"/>
    <w:bookmarkStart w:name="z3400" w:id="3350"/>
    <w:p>
      <w:pPr>
        <w:spacing w:after="0"/>
        <w:ind w:left="0"/>
        <w:jc w:val="both"/>
      </w:pPr>
      <w:r>
        <w:rPr>
          <w:rFonts w:ascii="Times New Roman"/>
          <w:b w:val="false"/>
          <w:i w:val="false"/>
          <w:color w:val="000000"/>
          <w:sz w:val="28"/>
        </w:rPr>
        <w:t>
       </w:t>
      </w:r>
    </w:p>
    <w:bookmarkEnd w:id="3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3351"/>
          <w:p>
            <w:pPr>
              <w:spacing w:after="20"/>
              <w:ind w:left="20"/>
              <w:jc w:val="both"/>
            </w:pPr>
            <w:r>
              <w:rPr>
                <w:rFonts w:ascii="Times New Roman"/>
                <w:b w:val="false"/>
                <w:i w:val="false"/>
                <w:color w:val="000000"/>
                <w:sz w:val="20"/>
              </w:rPr>
              <w:t xml:space="preserve">
Комментарий эксперта </w:t>
            </w:r>
          </w:p>
          <w:bookmarkEnd w:id="3351"/>
        </w:tc>
      </w:tr>
    </w:tbl>
    <w:bookmarkStart w:name="z3402" w:id="3352"/>
    <w:p>
      <w:pPr>
        <w:spacing w:after="0"/>
        <w:ind w:left="0"/>
        <w:jc w:val="both"/>
      </w:pPr>
      <w:r>
        <w:rPr>
          <w:rFonts w:ascii="Times New Roman"/>
          <w:b w:val="false"/>
          <w:i w:val="false"/>
          <w:color w:val="000000"/>
          <w:sz w:val="28"/>
        </w:rPr>
        <w:t>
       </w:t>
      </w:r>
    </w:p>
    <w:bookmarkEnd w:id="3352"/>
    <w:bookmarkStart w:name="z3403" w:id="3353"/>
    <w:p>
      <w:pPr>
        <w:spacing w:after="0"/>
        <w:ind w:left="0"/>
        <w:jc w:val="both"/>
      </w:pPr>
      <w:r>
        <w:rPr>
          <w:rFonts w:ascii="Times New Roman"/>
          <w:b w:val="false"/>
          <w:i w:val="false"/>
          <w:color w:val="000000"/>
          <w:sz w:val="28"/>
        </w:rPr>
        <w:t>
      Метаболизм</w:t>
      </w:r>
    </w:p>
    <w:bookmarkEnd w:id="3353"/>
    <w:bookmarkStart w:name="z3404" w:id="3354"/>
    <w:p>
      <w:pPr>
        <w:spacing w:after="0"/>
        <w:ind w:left="0"/>
        <w:jc w:val="both"/>
      </w:pPr>
      <w:r>
        <w:rPr>
          <w:rFonts w:ascii="Times New Roman"/>
          <w:b w:val="false"/>
          <w:i w:val="false"/>
          <w:color w:val="000000"/>
          <w:sz w:val="28"/>
        </w:rPr>
        <w:t>
       </w:t>
      </w:r>
    </w:p>
    <w:bookmarkEnd w:id="3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3355"/>
          <w:p>
            <w:pPr>
              <w:spacing w:after="20"/>
              <w:ind w:left="20"/>
              <w:jc w:val="both"/>
            </w:pPr>
            <w:r>
              <w:rPr>
                <w:rFonts w:ascii="Times New Roman"/>
                <w:b w:val="false"/>
                <w:i w:val="false"/>
                <w:color w:val="000000"/>
                <w:sz w:val="20"/>
              </w:rPr>
              <w:t xml:space="preserve">
Комментарий эксперта </w:t>
            </w:r>
          </w:p>
          <w:bookmarkEnd w:id="3355"/>
        </w:tc>
      </w:tr>
    </w:tbl>
    <w:bookmarkStart w:name="z3406" w:id="3356"/>
    <w:p>
      <w:pPr>
        <w:spacing w:after="0"/>
        <w:ind w:left="0"/>
        <w:jc w:val="both"/>
      </w:pPr>
      <w:r>
        <w:rPr>
          <w:rFonts w:ascii="Times New Roman"/>
          <w:b w:val="false"/>
          <w:i w:val="false"/>
          <w:color w:val="000000"/>
          <w:sz w:val="28"/>
        </w:rPr>
        <w:t>
       </w:t>
      </w:r>
    </w:p>
    <w:bookmarkEnd w:id="3356"/>
    <w:bookmarkStart w:name="z3407" w:id="3357"/>
    <w:p>
      <w:pPr>
        <w:spacing w:after="0"/>
        <w:ind w:left="0"/>
        <w:jc w:val="both"/>
      </w:pPr>
      <w:r>
        <w:rPr>
          <w:rFonts w:ascii="Times New Roman"/>
          <w:b w:val="false"/>
          <w:i w:val="false"/>
          <w:color w:val="000000"/>
          <w:sz w:val="28"/>
        </w:rPr>
        <w:t>
      Взаимное превращение</w:t>
      </w:r>
    </w:p>
    <w:bookmarkEnd w:id="3357"/>
    <w:bookmarkStart w:name="z3408" w:id="3358"/>
    <w:p>
      <w:pPr>
        <w:spacing w:after="0"/>
        <w:ind w:left="0"/>
        <w:jc w:val="both"/>
      </w:pPr>
      <w:r>
        <w:rPr>
          <w:rFonts w:ascii="Times New Roman"/>
          <w:b w:val="false"/>
          <w:i w:val="false"/>
          <w:color w:val="000000"/>
          <w:sz w:val="28"/>
        </w:rPr>
        <w:t>
       </w:t>
      </w:r>
    </w:p>
    <w:bookmarkEnd w:id="3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3359"/>
          <w:p>
            <w:pPr>
              <w:spacing w:after="20"/>
              <w:ind w:left="20"/>
              <w:jc w:val="both"/>
            </w:pPr>
            <w:r>
              <w:rPr>
                <w:rFonts w:ascii="Times New Roman"/>
                <w:b w:val="false"/>
                <w:i w:val="false"/>
                <w:color w:val="000000"/>
                <w:sz w:val="20"/>
              </w:rPr>
              <w:t xml:space="preserve">
Комментарий эксперта </w:t>
            </w:r>
          </w:p>
          <w:bookmarkEnd w:id="3359"/>
        </w:tc>
      </w:tr>
    </w:tbl>
    <w:bookmarkStart w:name="z3410" w:id="3360"/>
    <w:p>
      <w:pPr>
        <w:spacing w:after="0"/>
        <w:ind w:left="0"/>
        <w:jc w:val="both"/>
      </w:pPr>
      <w:r>
        <w:rPr>
          <w:rFonts w:ascii="Times New Roman"/>
          <w:b w:val="false"/>
          <w:i w:val="false"/>
          <w:color w:val="000000"/>
          <w:sz w:val="28"/>
        </w:rPr>
        <w:t>
       </w:t>
      </w:r>
    </w:p>
    <w:bookmarkEnd w:id="3360"/>
    <w:bookmarkStart w:name="z3411" w:id="3361"/>
    <w:p>
      <w:pPr>
        <w:spacing w:after="0"/>
        <w:ind w:left="0"/>
        <w:jc w:val="both"/>
      </w:pPr>
      <w:r>
        <w:rPr>
          <w:rFonts w:ascii="Times New Roman"/>
          <w:b w:val="false"/>
          <w:i w:val="false"/>
          <w:color w:val="000000"/>
          <w:sz w:val="28"/>
        </w:rPr>
        <w:t>
      Фармакокинетика метаболитов</w:t>
      </w:r>
    </w:p>
    <w:bookmarkEnd w:id="3361"/>
    <w:bookmarkStart w:name="z3412" w:id="3362"/>
    <w:p>
      <w:pPr>
        <w:spacing w:after="0"/>
        <w:ind w:left="0"/>
        <w:jc w:val="both"/>
      </w:pPr>
      <w:r>
        <w:rPr>
          <w:rFonts w:ascii="Times New Roman"/>
          <w:b w:val="false"/>
          <w:i w:val="false"/>
          <w:color w:val="000000"/>
          <w:sz w:val="28"/>
        </w:rPr>
        <w:t>
       </w:t>
      </w:r>
    </w:p>
    <w:bookmarkEnd w:id="3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3363"/>
          <w:p>
            <w:pPr>
              <w:spacing w:after="20"/>
              <w:ind w:left="20"/>
              <w:jc w:val="both"/>
            </w:pPr>
            <w:r>
              <w:rPr>
                <w:rFonts w:ascii="Times New Roman"/>
                <w:b w:val="false"/>
                <w:i w:val="false"/>
                <w:color w:val="000000"/>
                <w:sz w:val="20"/>
              </w:rPr>
              <w:t xml:space="preserve">
Комментарий эксперта </w:t>
            </w:r>
          </w:p>
          <w:bookmarkEnd w:id="3363"/>
        </w:tc>
      </w:tr>
    </w:tbl>
    <w:bookmarkStart w:name="z3414" w:id="3364"/>
    <w:p>
      <w:pPr>
        <w:spacing w:after="0"/>
        <w:ind w:left="0"/>
        <w:jc w:val="both"/>
      </w:pPr>
      <w:r>
        <w:rPr>
          <w:rFonts w:ascii="Times New Roman"/>
          <w:b w:val="false"/>
          <w:i w:val="false"/>
          <w:color w:val="000000"/>
          <w:sz w:val="28"/>
        </w:rPr>
        <w:t>
       </w:t>
      </w:r>
    </w:p>
    <w:bookmarkEnd w:id="3364"/>
    <w:bookmarkStart w:name="z3415" w:id="3365"/>
    <w:p>
      <w:pPr>
        <w:spacing w:after="0"/>
        <w:ind w:left="0"/>
        <w:jc w:val="both"/>
      </w:pPr>
      <w:r>
        <w:rPr>
          <w:rFonts w:ascii="Times New Roman"/>
          <w:b w:val="false"/>
          <w:i w:val="false"/>
          <w:color w:val="000000"/>
          <w:sz w:val="28"/>
        </w:rPr>
        <w:t>
      Последствия возможного генетического полиморфизма</w:t>
      </w:r>
    </w:p>
    <w:bookmarkEnd w:id="3365"/>
    <w:bookmarkStart w:name="z3416" w:id="3366"/>
    <w:p>
      <w:pPr>
        <w:spacing w:after="0"/>
        <w:ind w:left="0"/>
        <w:jc w:val="both"/>
      </w:pPr>
      <w:r>
        <w:rPr>
          <w:rFonts w:ascii="Times New Roman"/>
          <w:b w:val="false"/>
          <w:i w:val="false"/>
          <w:color w:val="000000"/>
          <w:sz w:val="28"/>
        </w:rPr>
        <w:t>
       </w:t>
      </w:r>
    </w:p>
    <w:bookmarkEnd w:id="3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3367"/>
          <w:p>
            <w:pPr>
              <w:spacing w:after="20"/>
              <w:ind w:left="20"/>
              <w:jc w:val="both"/>
            </w:pPr>
            <w:r>
              <w:rPr>
                <w:rFonts w:ascii="Times New Roman"/>
                <w:b w:val="false"/>
                <w:i w:val="false"/>
                <w:color w:val="000000"/>
                <w:sz w:val="20"/>
              </w:rPr>
              <w:t xml:space="preserve">
Комментарий эксперта </w:t>
            </w:r>
          </w:p>
          <w:bookmarkEnd w:id="3367"/>
        </w:tc>
      </w:tr>
    </w:tbl>
    <w:bookmarkStart w:name="z3418" w:id="3368"/>
    <w:p>
      <w:pPr>
        <w:spacing w:after="0"/>
        <w:ind w:left="0"/>
        <w:jc w:val="both"/>
      </w:pPr>
      <w:r>
        <w:rPr>
          <w:rFonts w:ascii="Times New Roman"/>
          <w:b w:val="false"/>
          <w:i w:val="false"/>
          <w:color w:val="000000"/>
          <w:sz w:val="28"/>
        </w:rPr>
        <w:t>
       </w:t>
      </w:r>
    </w:p>
    <w:bookmarkEnd w:id="3368"/>
    <w:bookmarkStart w:name="z3419" w:id="3369"/>
    <w:p>
      <w:pPr>
        <w:spacing w:after="0"/>
        <w:ind w:left="0"/>
        <w:jc w:val="both"/>
      </w:pPr>
      <w:r>
        <w:rPr>
          <w:rFonts w:ascii="Times New Roman"/>
          <w:b w:val="false"/>
          <w:i w:val="false"/>
          <w:color w:val="000000"/>
          <w:sz w:val="28"/>
        </w:rPr>
        <w:t>
      2.1.6. Пропорциональность доз и временная зависимость.</w:t>
      </w:r>
    </w:p>
    <w:bookmarkEnd w:id="3369"/>
    <w:bookmarkStart w:name="z3420" w:id="3370"/>
    <w:p>
      <w:pPr>
        <w:spacing w:after="0"/>
        <w:ind w:left="0"/>
        <w:jc w:val="both"/>
      </w:pPr>
      <w:r>
        <w:rPr>
          <w:rFonts w:ascii="Times New Roman"/>
          <w:b w:val="false"/>
          <w:i w:val="false"/>
          <w:color w:val="000000"/>
          <w:sz w:val="28"/>
        </w:rPr>
        <w:t>
      Пропорциональность доз</w:t>
      </w:r>
    </w:p>
    <w:bookmarkEnd w:id="3370"/>
    <w:bookmarkStart w:name="z3421" w:id="3371"/>
    <w:p>
      <w:pPr>
        <w:spacing w:after="0"/>
        <w:ind w:left="0"/>
        <w:jc w:val="both"/>
      </w:pPr>
      <w:r>
        <w:rPr>
          <w:rFonts w:ascii="Times New Roman"/>
          <w:b w:val="false"/>
          <w:i w:val="false"/>
          <w:color w:val="000000"/>
          <w:sz w:val="28"/>
        </w:rPr>
        <w:t>
       </w:t>
      </w:r>
    </w:p>
    <w:bookmarkEnd w:id="3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3372"/>
          <w:p>
            <w:pPr>
              <w:spacing w:after="20"/>
              <w:ind w:left="20"/>
              <w:jc w:val="both"/>
            </w:pPr>
            <w:r>
              <w:rPr>
                <w:rFonts w:ascii="Times New Roman"/>
                <w:b w:val="false"/>
                <w:i w:val="false"/>
                <w:color w:val="000000"/>
                <w:sz w:val="20"/>
              </w:rPr>
              <w:t xml:space="preserve">
Комментарий эксперта </w:t>
            </w:r>
          </w:p>
          <w:bookmarkEnd w:id="3372"/>
        </w:tc>
      </w:tr>
    </w:tbl>
    <w:bookmarkStart w:name="z3423" w:id="3373"/>
    <w:p>
      <w:pPr>
        <w:spacing w:after="0"/>
        <w:ind w:left="0"/>
        <w:jc w:val="both"/>
      </w:pPr>
      <w:r>
        <w:rPr>
          <w:rFonts w:ascii="Times New Roman"/>
          <w:b w:val="false"/>
          <w:i w:val="false"/>
          <w:color w:val="000000"/>
          <w:sz w:val="28"/>
        </w:rPr>
        <w:t>
       </w:t>
      </w:r>
    </w:p>
    <w:bookmarkEnd w:id="3373"/>
    <w:bookmarkStart w:name="z3424" w:id="3374"/>
    <w:p>
      <w:pPr>
        <w:spacing w:after="0"/>
        <w:ind w:left="0"/>
        <w:jc w:val="both"/>
      </w:pPr>
      <w:r>
        <w:rPr>
          <w:rFonts w:ascii="Times New Roman"/>
          <w:b w:val="false"/>
          <w:i w:val="false"/>
          <w:color w:val="000000"/>
          <w:sz w:val="28"/>
        </w:rPr>
        <w:t>
      Временная зависимость</w:t>
      </w:r>
    </w:p>
    <w:bookmarkEnd w:id="3374"/>
    <w:bookmarkStart w:name="z3425" w:id="3375"/>
    <w:p>
      <w:pPr>
        <w:spacing w:after="0"/>
        <w:ind w:left="0"/>
        <w:jc w:val="both"/>
      </w:pPr>
      <w:r>
        <w:rPr>
          <w:rFonts w:ascii="Times New Roman"/>
          <w:b w:val="false"/>
          <w:i w:val="false"/>
          <w:color w:val="000000"/>
          <w:sz w:val="28"/>
        </w:rPr>
        <w:t>
       </w:t>
      </w:r>
    </w:p>
    <w:bookmarkEnd w:id="3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3376"/>
          <w:p>
            <w:pPr>
              <w:spacing w:after="20"/>
              <w:ind w:left="20"/>
              <w:jc w:val="both"/>
            </w:pPr>
            <w:r>
              <w:rPr>
                <w:rFonts w:ascii="Times New Roman"/>
                <w:b w:val="false"/>
                <w:i w:val="false"/>
                <w:color w:val="000000"/>
                <w:sz w:val="20"/>
              </w:rPr>
              <w:t xml:space="preserve">
Комментарий эксперта </w:t>
            </w:r>
          </w:p>
          <w:bookmarkEnd w:id="3376"/>
        </w:tc>
      </w:tr>
    </w:tbl>
    <w:bookmarkStart w:name="z3427" w:id="3377"/>
    <w:p>
      <w:pPr>
        <w:spacing w:after="0"/>
        <w:ind w:left="0"/>
        <w:jc w:val="both"/>
      </w:pPr>
      <w:r>
        <w:rPr>
          <w:rFonts w:ascii="Times New Roman"/>
          <w:b w:val="false"/>
          <w:i w:val="false"/>
          <w:color w:val="000000"/>
          <w:sz w:val="28"/>
        </w:rPr>
        <w:t>
       </w:t>
      </w:r>
    </w:p>
    <w:bookmarkEnd w:id="3377"/>
    <w:bookmarkStart w:name="z3428" w:id="3378"/>
    <w:p>
      <w:pPr>
        <w:spacing w:after="0"/>
        <w:ind w:left="0"/>
        <w:jc w:val="both"/>
      </w:pPr>
      <w:r>
        <w:rPr>
          <w:rFonts w:ascii="Times New Roman"/>
          <w:b w:val="false"/>
          <w:i w:val="false"/>
          <w:color w:val="000000"/>
          <w:sz w:val="28"/>
        </w:rPr>
        <w:t>
      2.1.7. Внутрииндивидуальная и межиндивидуальная вариабельность.</w:t>
      </w:r>
    </w:p>
    <w:bookmarkEnd w:id="3378"/>
    <w:bookmarkStart w:name="z3429" w:id="3379"/>
    <w:p>
      <w:pPr>
        <w:spacing w:after="0"/>
        <w:ind w:left="0"/>
        <w:jc w:val="both"/>
      </w:pPr>
      <w:r>
        <w:rPr>
          <w:rFonts w:ascii="Times New Roman"/>
          <w:b w:val="false"/>
          <w:i w:val="false"/>
          <w:color w:val="000000"/>
          <w:sz w:val="28"/>
        </w:rPr>
        <w:t>
       </w:t>
      </w:r>
    </w:p>
    <w:bookmarkEnd w:id="3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380"/>
          <w:p>
            <w:pPr>
              <w:spacing w:after="20"/>
              <w:ind w:left="20"/>
              <w:jc w:val="both"/>
            </w:pPr>
            <w:r>
              <w:rPr>
                <w:rFonts w:ascii="Times New Roman"/>
                <w:b w:val="false"/>
                <w:i w:val="false"/>
                <w:color w:val="000000"/>
                <w:sz w:val="20"/>
              </w:rPr>
              <w:t xml:space="preserve">
Комментарий эксперта </w:t>
            </w:r>
          </w:p>
          <w:bookmarkEnd w:id="3380"/>
        </w:tc>
      </w:tr>
    </w:tbl>
    <w:bookmarkStart w:name="z3431" w:id="3381"/>
    <w:p>
      <w:pPr>
        <w:spacing w:after="0"/>
        <w:ind w:left="0"/>
        <w:jc w:val="both"/>
      </w:pPr>
      <w:r>
        <w:rPr>
          <w:rFonts w:ascii="Times New Roman"/>
          <w:b w:val="false"/>
          <w:i w:val="false"/>
          <w:color w:val="000000"/>
          <w:sz w:val="28"/>
        </w:rPr>
        <w:t>
       </w:t>
      </w:r>
    </w:p>
    <w:bookmarkEnd w:id="3381"/>
    <w:bookmarkStart w:name="z3432" w:id="3382"/>
    <w:p>
      <w:pPr>
        <w:spacing w:after="0"/>
        <w:ind w:left="0"/>
        <w:jc w:val="both"/>
      </w:pPr>
      <w:r>
        <w:rPr>
          <w:rFonts w:ascii="Times New Roman"/>
          <w:b w:val="false"/>
          <w:i w:val="false"/>
          <w:color w:val="000000"/>
          <w:sz w:val="28"/>
        </w:rPr>
        <w:t>
      2.1.8. Фармакокинетика у целевой популяции.</w:t>
      </w:r>
    </w:p>
    <w:bookmarkEnd w:id="3382"/>
    <w:bookmarkStart w:name="z3433" w:id="3383"/>
    <w:p>
      <w:pPr>
        <w:spacing w:after="0"/>
        <w:ind w:left="0"/>
        <w:jc w:val="both"/>
      </w:pPr>
      <w:r>
        <w:rPr>
          <w:rFonts w:ascii="Times New Roman"/>
          <w:b w:val="false"/>
          <w:i w:val="false"/>
          <w:color w:val="000000"/>
          <w:sz w:val="28"/>
        </w:rPr>
        <w:t>
       </w:t>
      </w:r>
    </w:p>
    <w:bookmarkEnd w:id="3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384"/>
          <w:p>
            <w:pPr>
              <w:spacing w:after="20"/>
              <w:ind w:left="20"/>
              <w:jc w:val="both"/>
            </w:pPr>
            <w:r>
              <w:rPr>
                <w:rFonts w:ascii="Times New Roman"/>
                <w:b w:val="false"/>
                <w:i w:val="false"/>
                <w:color w:val="000000"/>
                <w:sz w:val="20"/>
              </w:rPr>
              <w:t xml:space="preserve">
Комментарий эксперта </w:t>
            </w:r>
          </w:p>
          <w:bookmarkEnd w:id="3384"/>
        </w:tc>
      </w:tr>
    </w:tbl>
    <w:bookmarkStart w:name="z3435" w:id="3385"/>
    <w:p>
      <w:pPr>
        <w:spacing w:after="0"/>
        <w:ind w:left="0"/>
        <w:jc w:val="both"/>
      </w:pPr>
      <w:r>
        <w:rPr>
          <w:rFonts w:ascii="Times New Roman"/>
          <w:b w:val="false"/>
          <w:i w:val="false"/>
          <w:color w:val="000000"/>
          <w:sz w:val="28"/>
        </w:rPr>
        <w:t>
       </w:t>
      </w:r>
    </w:p>
    <w:bookmarkEnd w:id="3385"/>
    <w:bookmarkStart w:name="z3436" w:id="3386"/>
    <w:p>
      <w:pPr>
        <w:spacing w:after="0"/>
        <w:ind w:left="0"/>
        <w:jc w:val="both"/>
      </w:pPr>
      <w:r>
        <w:rPr>
          <w:rFonts w:ascii="Times New Roman"/>
          <w:b w:val="false"/>
          <w:i w:val="false"/>
          <w:color w:val="000000"/>
          <w:sz w:val="28"/>
        </w:rPr>
        <w:t>
      2.1.9. Особые группы населения.</w:t>
      </w:r>
    </w:p>
    <w:bookmarkEnd w:id="3386"/>
    <w:bookmarkStart w:name="z3437" w:id="3387"/>
    <w:p>
      <w:pPr>
        <w:spacing w:after="0"/>
        <w:ind w:left="0"/>
        <w:jc w:val="both"/>
      </w:pPr>
      <w:r>
        <w:rPr>
          <w:rFonts w:ascii="Times New Roman"/>
          <w:b w:val="false"/>
          <w:i w:val="false"/>
          <w:color w:val="000000"/>
          <w:sz w:val="28"/>
        </w:rPr>
        <w:t>
      Нарушение функции почек</w:t>
      </w:r>
    </w:p>
    <w:bookmarkEnd w:id="3387"/>
    <w:bookmarkStart w:name="z3438" w:id="3388"/>
    <w:p>
      <w:pPr>
        <w:spacing w:after="0"/>
        <w:ind w:left="0"/>
        <w:jc w:val="both"/>
      </w:pPr>
      <w:r>
        <w:rPr>
          <w:rFonts w:ascii="Times New Roman"/>
          <w:b w:val="false"/>
          <w:i w:val="false"/>
          <w:color w:val="000000"/>
          <w:sz w:val="28"/>
        </w:rPr>
        <w:t>
       </w:t>
      </w:r>
    </w:p>
    <w:bookmarkEnd w:id="3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3389"/>
          <w:p>
            <w:pPr>
              <w:spacing w:after="20"/>
              <w:ind w:left="20"/>
              <w:jc w:val="both"/>
            </w:pPr>
            <w:r>
              <w:rPr>
                <w:rFonts w:ascii="Times New Roman"/>
                <w:b w:val="false"/>
                <w:i w:val="false"/>
                <w:color w:val="000000"/>
                <w:sz w:val="20"/>
              </w:rPr>
              <w:t xml:space="preserve">
Комментарий эксперта </w:t>
            </w:r>
          </w:p>
          <w:bookmarkEnd w:id="3389"/>
        </w:tc>
      </w:tr>
    </w:tbl>
    <w:bookmarkStart w:name="z3440" w:id="3390"/>
    <w:p>
      <w:pPr>
        <w:spacing w:after="0"/>
        <w:ind w:left="0"/>
        <w:jc w:val="both"/>
      </w:pPr>
      <w:r>
        <w:rPr>
          <w:rFonts w:ascii="Times New Roman"/>
          <w:b w:val="false"/>
          <w:i w:val="false"/>
          <w:color w:val="000000"/>
          <w:sz w:val="28"/>
        </w:rPr>
        <w:t>
       </w:t>
      </w:r>
    </w:p>
    <w:bookmarkEnd w:id="3390"/>
    <w:bookmarkStart w:name="z3441" w:id="3391"/>
    <w:p>
      <w:pPr>
        <w:spacing w:after="0"/>
        <w:ind w:left="0"/>
        <w:jc w:val="both"/>
      </w:pPr>
      <w:r>
        <w:rPr>
          <w:rFonts w:ascii="Times New Roman"/>
          <w:b w:val="false"/>
          <w:i w:val="false"/>
          <w:color w:val="000000"/>
          <w:sz w:val="28"/>
        </w:rPr>
        <w:t>
      Нарушение функции печени</w:t>
      </w:r>
    </w:p>
    <w:bookmarkEnd w:id="3391"/>
    <w:bookmarkStart w:name="z3442" w:id="3392"/>
    <w:p>
      <w:pPr>
        <w:spacing w:after="0"/>
        <w:ind w:left="0"/>
        <w:jc w:val="both"/>
      </w:pPr>
      <w:r>
        <w:rPr>
          <w:rFonts w:ascii="Times New Roman"/>
          <w:b w:val="false"/>
          <w:i w:val="false"/>
          <w:color w:val="000000"/>
          <w:sz w:val="28"/>
        </w:rPr>
        <w:t>
       </w:t>
      </w:r>
    </w:p>
    <w:bookmarkEnd w:id="3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3393"/>
          <w:p>
            <w:pPr>
              <w:spacing w:after="20"/>
              <w:ind w:left="20"/>
              <w:jc w:val="both"/>
            </w:pPr>
            <w:r>
              <w:rPr>
                <w:rFonts w:ascii="Times New Roman"/>
                <w:b w:val="false"/>
                <w:i w:val="false"/>
                <w:color w:val="000000"/>
                <w:sz w:val="20"/>
              </w:rPr>
              <w:t xml:space="preserve">
Комментарий эксперта </w:t>
            </w:r>
          </w:p>
          <w:bookmarkEnd w:id="3393"/>
        </w:tc>
      </w:tr>
    </w:tbl>
    <w:bookmarkStart w:name="z3444" w:id="3394"/>
    <w:p>
      <w:pPr>
        <w:spacing w:after="0"/>
        <w:ind w:left="0"/>
        <w:jc w:val="both"/>
      </w:pPr>
      <w:r>
        <w:rPr>
          <w:rFonts w:ascii="Times New Roman"/>
          <w:b w:val="false"/>
          <w:i w:val="false"/>
          <w:color w:val="000000"/>
          <w:sz w:val="28"/>
        </w:rPr>
        <w:t>
       </w:t>
      </w:r>
    </w:p>
    <w:bookmarkEnd w:id="3394"/>
    <w:bookmarkStart w:name="z3445" w:id="3395"/>
    <w:p>
      <w:pPr>
        <w:spacing w:after="0"/>
        <w:ind w:left="0"/>
        <w:jc w:val="both"/>
      </w:pPr>
      <w:r>
        <w:rPr>
          <w:rFonts w:ascii="Times New Roman"/>
          <w:b w:val="false"/>
          <w:i w:val="false"/>
          <w:color w:val="000000"/>
          <w:sz w:val="28"/>
        </w:rPr>
        <w:t>
      Пол</w:t>
      </w:r>
    </w:p>
    <w:bookmarkEnd w:id="3395"/>
    <w:bookmarkStart w:name="z3446" w:id="3396"/>
    <w:p>
      <w:pPr>
        <w:spacing w:after="0"/>
        <w:ind w:left="0"/>
        <w:jc w:val="both"/>
      </w:pPr>
      <w:r>
        <w:rPr>
          <w:rFonts w:ascii="Times New Roman"/>
          <w:b w:val="false"/>
          <w:i w:val="false"/>
          <w:color w:val="000000"/>
          <w:sz w:val="28"/>
        </w:rPr>
        <w:t>
       </w:t>
      </w:r>
    </w:p>
    <w:bookmarkEnd w:id="3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3397"/>
          <w:p>
            <w:pPr>
              <w:spacing w:after="20"/>
              <w:ind w:left="20"/>
              <w:jc w:val="both"/>
            </w:pPr>
            <w:r>
              <w:rPr>
                <w:rFonts w:ascii="Times New Roman"/>
                <w:b w:val="false"/>
                <w:i w:val="false"/>
                <w:color w:val="000000"/>
                <w:sz w:val="20"/>
              </w:rPr>
              <w:t xml:space="preserve">
Комментарий эксперта </w:t>
            </w:r>
          </w:p>
          <w:bookmarkEnd w:id="3397"/>
        </w:tc>
      </w:tr>
    </w:tbl>
    <w:bookmarkStart w:name="z3448" w:id="3398"/>
    <w:p>
      <w:pPr>
        <w:spacing w:after="0"/>
        <w:ind w:left="0"/>
        <w:jc w:val="both"/>
      </w:pPr>
      <w:r>
        <w:rPr>
          <w:rFonts w:ascii="Times New Roman"/>
          <w:b w:val="false"/>
          <w:i w:val="false"/>
          <w:color w:val="000000"/>
          <w:sz w:val="28"/>
        </w:rPr>
        <w:t>
       </w:t>
      </w:r>
    </w:p>
    <w:bookmarkEnd w:id="3398"/>
    <w:bookmarkStart w:name="z3449" w:id="3399"/>
    <w:p>
      <w:pPr>
        <w:spacing w:after="0"/>
        <w:ind w:left="0"/>
        <w:jc w:val="both"/>
      </w:pPr>
      <w:r>
        <w:rPr>
          <w:rFonts w:ascii="Times New Roman"/>
          <w:b w:val="false"/>
          <w:i w:val="false"/>
          <w:color w:val="000000"/>
          <w:sz w:val="28"/>
        </w:rPr>
        <w:t>
      Раса</w:t>
      </w:r>
    </w:p>
    <w:bookmarkEnd w:id="3399"/>
    <w:bookmarkStart w:name="z3450" w:id="3400"/>
    <w:p>
      <w:pPr>
        <w:spacing w:after="0"/>
        <w:ind w:left="0"/>
        <w:jc w:val="both"/>
      </w:pPr>
      <w:r>
        <w:rPr>
          <w:rFonts w:ascii="Times New Roman"/>
          <w:b w:val="false"/>
          <w:i w:val="false"/>
          <w:color w:val="000000"/>
          <w:sz w:val="28"/>
        </w:rPr>
        <w:t>
       </w:t>
      </w:r>
    </w:p>
    <w:bookmarkEnd w:id="3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3401"/>
          <w:p>
            <w:pPr>
              <w:spacing w:after="20"/>
              <w:ind w:left="20"/>
              <w:jc w:val="both"/>
            </w:pPr>
            <w:r>
              <w:rPr>
                <w:rFonts w:ascii="Times New Roman"/>
                <w:b w:val="false"/>
                <w:i w:val="false"/>
                <w:color w:val="000000"/>
                <w:sz w:val="20"/>
              </w:rPr>
              <w:t xml:space="preserve">
Комментарий эксперта </w:t>
            </w:r>
          </w:p>
          <w:bookmarkEnd w:id="3401"/>
        </w:tc>
      </w:tr>
    </w:tbl>
    <w:bookmarkStart w:name="z3452" w:id="3402"/>
    <w:p>
      <w:pPr>
        <w:spacing w:after="0"/>
        <w:ind w:left="0"/>
        <w:jc w:val="both"/>
      </w:pPr>
      <w:r>
        <w:rPr>
          <w:rFonts w:ascii="Times New Roman"/>
          <w:b w:val="false"/>
          <w:i w:val="false"/>
          <w:color w:val="000000"/>
          <w:sz w:val="28"/>
        </w:rPr>
        <w:t>
       </w:t>
      </w:r>
    </w:p>
    <w:bookmarkEnd w:id="3402"/>
    <w:bookmarkStart w:name="z3453" w:id="3403"/>
    <w:p>
      <w:pPr>
        <w:spacing w:after="0"/>
        <w:ind w:left="0"/>
        <w:jc w:val="both"/>
      </w:pPr>
      <w:r>
        <w:rPr>
          <w:rFonts w:ascii="Times New Roman"/>
          <w:b w:val="false"/>
          <w:i w:val="false"/>
          <w:color w:val="000000"/>
          <w:sz w:val="28"/>
        </w:rPr>
        <w:t>
      Вес</w:t>
      </w:r>
    </w:p>
    <w:bookmarkEnd w:id="3403"/>
    <w:bookmarkStart w:name="z3454" w:id="3404"/>
    <w:p>
      <w:pPr>
        <w:spacing w:after="0"/>
        <w:ind w:left="0"/>
        <w:jc w:val="both"/>
      </w:pPr>
      <w:r>
        <w:rPr>
          <w:rFonts w:ascii="Times New Roman"/>
          <w:b w:val="false"/>
          <w:i w:val="false"/>
          <w:color w:val="000000"/>
          <w:sz w:val="28"/>
        </w:rPr>
        <w:t>
       </w:t>
      </w:r>
    </w:p>
    <w:bookmarkEnd w:id="3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405"/>
          <w:p>
            <w:pPr>
              <w:spacing w:after="20"/>
              <w:ind w:left="20"/>
              <w:jc w:val="both"/>
            </w:pPr>
            <w:r>
              <w:rPr>
                <w:rFonts w:ascii="Times New Roman"/>
                <w:b w:val="false"/>
                <w:i w:val="false"/>
                <w:color w:val="000000"/>
                <w:sz w:val="20"/>
              </w:rPr>
              <w:t xml:space="preserve">
Комментарий эксперта </w:t>
            </w:r>
          </w:p>
          <w:bookmarkEnd w:id="3405"/>
        </w:tc>
      </w:tr>
    </w:tbl>
    <w:bookmarkStart w:name="z3456" w:id="3406"/>
    <w:p>
      <w:pPr>
        <w:spacing w:after="0"/>
        <w:ind w:left="0"/>
        <w:jc w:val="both"/>
      </w:pPr>
      <w:r>
        <w:rPr>
          <w:rFonts w:ascii="Times New Roman"/>
          <w:b w:val="false"/>
          <w:i w:val="false"/>
          <w:color w:val="000000"/>
          <w:sz w:val="28"/>
        </w:rPr>
        <w:t>
       </w:t>
      </w:r>
    </w:p>
    <w:bookmarkEnd w:id="3406"/>
    <w:bookmarkStart w:name="z3457" w:id="3407"/>
    <w:p>
      <w:pPr>
        <w:spacing w:after="0"/>
        <w:ind w:left="0"/>
        <w:jc w:val="both"/>
      </w:pPr>
      <w:r>
        <w:rPr>
          <w:rFonts w:ascii="Times New Roman"/>
          <w:b w:val="false"/>
          <w:i w:val="false"/>
          <w:color w:val="000000"/>
          <w:sz w:val="28"/>
        </w:rPr>
        <w:t>
      Пожилые люди</w:t>
      </w:r>
    </w:p>
    <w:bookmarkEnd w:id="3407"/>
    <w:bookmarkStart w:name="z3458" w:id="3408"/>
    <w:p>
      <w:pPr>
        <w:spacing w:after="0"/>
        <w:ind w:left="0"/>
        <w:jc w:val="both"/>
      </w:pPr>
      <w:r>
        <w:rPr>
          <w:rFonts w:ascii="Times New Roman"/>
          <w:b w:val="false"/>
          <w:i w:val="false"/>
          <w:color w:val="000000"/>
          <w:sz w:val="28"/>
        </w:rPr>
        <w:t>
       </w:t>
      </w:r>
    </w:p>
    <w:bookmarkEnd w:id="3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409"/>
          <w:p>
            <w:pPr>
              <w:spacing w:after="20"/>
              <w:ind w:left="20"/>
              <w:jc w:val="both"/>
            </w:pPr>
          </w:p>
          <w:bookmarkEnd w:id="3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3410"/>
          <w:p>
            <w:pPr>
              <w:spacing w:after="20"/>
              <w:ind w:left="20"/>
              <w:jc w:val="both"/>
            </w:pPr>
          </w:p>
          <w:bookmarkEnd w:id="3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411"/>
          <w:p>
            <w:pPr>
              <w:spacing w:after="20"/>
              <w:ind w:left="20"/>
              <w:jc w:val="both"/>
            </w:pPr>
          </w:p>
          <w:bookmarkEnd w:id="3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2" w:id="3412"/>
    <w:p>
      <w:pPr>
        <w:spacing w:after="0"/>
        <w:ind w:left="0"/>
        <w:jc w:val="both"/>
      </w:pPr>
      <w:r>
        <w:rPr>
          <w:rFonts w:ascii="Times New Roman"/>
          <w:b w:val="false"/>
          <w:i w:val="false"/>
          <w:color w:val="000000"/>
          <w:sz w:val="28"/>
        </w:rPr>
        <w:t>
       </w:t>
      </w:r>
    </w:p>
    <w:bookmarkEnd w:id="3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3413"/>
          <w:p>
            <w:pPr>
              <w:spacing w:after="20"/>
              <w:ind w:left="20"/>
              <w:jc w:val="both"/>
            </w:pPr>
          </w:p>
          <w:bookmarkEnd w:id="3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65 - 74 года (количество пожилых пациентов (общее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75 - 84 года (количество пожилых пациентов (общее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85+ лет (количество пожилых пациентов (общее количество))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3414"/>
          <w:p>
            <w:pPr>
              <w:spacing w:after="20"/>
              <w:ind w:left="20"/>
              <w:jc w:val="both"/>
            </w:pPr>
            <w:r>
              <w:rPr>
                <w:rFonts w:ascii="Times New Roman"/>
                <w:b w:val="false"/>
                <w:i w:val="false"/>
                <w:color w:val="000000"/>
                <w:sz w:val="20"/>
              </w:rPr>
              <w:t xml:space="preserve">
ФК исследования </w:t>
            </w:r>
          </w:p>
          <w:bookmarkEnd w:id="3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3415"/>
          <w:p>
            <w:pPr>
              <w:spacing w:after="20"/>
              <w:ind w:left="20"/>
              <w:jc w:val="both"/>
            </w:pPr>
            <w:r>
              <w:rPr>
                <w:rFonts w:ascii="Times New Roman"/>
                <w:b w:val="false"/>
                <w:i w:val="false"/>
                <w:color w:val="000000"/>
                <w:sz w:val="20"/>
              </w:rPr>
              <w:t xml:space="preserve">
Комментарий эксперта </w:t>
            </w:r>
          </w:p>
          <w:bookmarkEnd w:id="3415"/>
        </w:tc>
      </w:tr>
    </w:tbl>
    <w:bookmarkStart w:name="z3466" w:id="3416"/>
    <w:p>
      <w:pPr>
        <w:spacing w:after="0"/>
        <w:ind w:left="0"/>
        <w:jc w:val="both"/>
      </w:pPr>
      <w:r>
        <w:rPr>
          <w:rFonts w:ascii="Times New Roman"/>
          <w:b w:val="false"/>
          <w:i w:val="false"/>
          <w:color w:val="000000"/>
          <w:sz w:val="28"/>
        </w:rPr>
        <w:t>
       </w:t>
      </w:r>
    </w:p>
    <w:bookmarkEnd w:id="3416"/>
    <w:bookmarkStart w:name="z3467" w:id="3417"/>
    <w:p>
      <w:pPr>
        <w:spacing w:after="0"/>
        <w:ind w:left="0"/>
        <w:jc w:val="both"/>
      </w:pPr>
      <w:r>
        <w:rPr>
          <w:rFonts w:ascii="Times New Roman"/>
          <w:b w:val="false"/>
          <w:i w:val="false"/>
          <w:color w:val="000000"/>
          <w:sz w:val="28"/>
        </w:rPr>
        <w:t>
      Дети</w:t>
      </w:r>
    </w:p>
    <w:bookmarkEnd w:id="3417"/>
    <w:bookmarkStart w:name="z3468" w:id="3418"/>
    <w:p>
      <w:pPr>
        <w:spacing w:after="0"/>
        <w:ind w:left="0"/>
        <w:jc w:val="both"/>
      </w:pPr>
      <w:r>
        <w:rPr>
          <w:rFonts w:ascii="Times New Roman"/>
          <w:b w:val="false"/>
          <w:i w:val="false"/>
          <w:color w:val="000000"/>
          <w:sz w:val="28"/>
        </w:rPr>
        <w:t>
       </w:t>
      </w:r>
    </w:p>
    <w:bookmarkEnd w:id="3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3419"/>
          <w:p>
            <w:pPr>
              <w:spacing w:after="20"/>
              <w:ind w:left="20"/>
              <w:jc w:val="both"/>
            </w:pPr>
            <w:r>
              <w:rPr>
                <w:rFonts w:ascii="Times New Roman"/>
                <w:b w:val="false"/>
                <w:i w:val="false"/>
                <w:color w:val="000000"/>
                <w:sz w:val="20"/>
              </w:rPr>
              <w:t xml:space="preserve">
Комментарий эксперта </w:t>
            </w:r>
          </w:p>
          <w:bookmarkEnd w:id="3419"/>
        </w:tc>
      </w:tr>
    </w:tbl>
    <w:bookmarkStart w:name="z3470" w:id="3420"/>
    <w:p>
      <w:pPr>
        <w:spacing w:after="0"/>
        <w:ind w:left="0"/>
        <w:jc w:val="both"/>
      </w:pPr>
      <w:r>
        <w:rPr>
          <w:rFonts w:ascii="Times New Roman"/>
          <w:b w:val="false"/>
          <w:i w:val="false"/>
          <w:color w:val="000000"/>
          <w:sz w:val="28"/>
        </w:rPr>
        <w:t>
       </w:t>
      </w:r>
    </w:p>
    <w:bookmarkEnd w:id="3420"/>
    <w:bookmarkStart w:name="z3471" w:id="3421"/>
    <w:p>
      <w:pPr>
        <w:spacing w:after="0"/>
        <w:ind w:left="0"/>
        <w:jc w:val="both"/>
      </w:pPr>
      <w:r>
        <w:rPr>
          <w:rFonts w:ascii="Times New Roman"/>
          <w:b w:val="false"/>
          <w:i w:val="false"/>
          <w:color w:val="000000"/>
          <w:sz w:val="28"/>
        </w:rPr>
        <w:t>
      Общие замечания эксперта по фармакокинетике у особых групп населения</w:t>
      </w:r>
    </w:p>
    <w:bookmarkEnd w:id="3421"/>
    <w:bookmarkStart w:name="z3472" w:id="3422"/>
    <w:p>
      <w:pPr>
        <w:spacing w:after="0"/>
        <w:ind w:left="0"/>
        <w:jc w:val="both"/>
      </w:pPr>
      <w:r>
        <w:rPr>
          <w:rFonts w:ascii="Times New Roman"/>
          <w:b w:val="false"/>
          <w:i w:val="false"/>
          <w:color w:val="000000"/>
          <w:sz w:val="28"/>
        </w:rPr>
        <w:t>
      2.1.10. Взаимодействие.</w:t>
      </w:r>
    </w:p>
    <w:bookmarkEnd w:id="3422"/>
    <w:bookmarkStart w:name="z3473" w:id="3423"/>
    <w:p>
      <w:pPr>
        <w:spacing w:after="0"/>
        <w:ind w:left="0"/>
        <w:jc w:val="both"/>
      </w:pPr>
      <w:r>
        <w:rPr>
          <w:rFonts w:ascii="Times New Roman"/>
          <w:b w:val="false"/>
          <w:i w:val="false"/>
          <w:color w:val="000000"/>
          <w:sz w:val="28"/>
        </w:rPr>
        <w:t>
      In vitro</w:t>
      </w:r>
    </w:p>
    <w:bookmarkEnd w:id="3423"/>
    <w:bookmarkStart w:name="z3474" w:id="3424"/>
    <w:p>
      <w:pPr>
        <w:spacing w:after="0"/>
        <w:ind w:left="0"/>
        <w:jc w:val="both"/>
      </w:pPr>
      <w:r>
        <w:rPr>
          <w:rFonts w:ascii="Times New Roman"/>
          <w:b w:val="false"/>
          <w:i w:val="false"/>
          <w:color w:val="000000"/>
          <w:sz w:val="28"/>
        </w:rPr>
        <w:t>
       </w:t>
      </w:r>
    </w:p>
    <w:bookmarkEnd w:id="3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425"/>
          <w:p>
            <w:pPr>
              <w:spacing w:after="20"/>
              <w:ind w:left="20"/>
              <w:jc w:val="both"/>
            </w:pPr>
            <w:r>
              <w:rPr>
                <w:rFonts w:ascii="Times New Roman"/>
                <w:b w:val="false"/>
                <w:i w:val="false"/>
                <w:color w:val="000000"/>
                <w:sz w:val="20"/>
              </w:rPr>
              <w:t xml:space="preserve">
Комментарий эксперта </w:t>
            </w:r>
          </w:p>
          <w:bookmarkEnd w:id="3425"/>
        </w:tc>
      </w:tr>
    </w:tbl>
    <w:bookmarkStart w:name="z3476" w:id="3426"/>
    <w:p>
      <w:pPr>
        <w:spacing w:after="0"/>
        <w:ind w:left="0"/>
        <w:jc w:val="both"/>
      </w:pPr>
      <w:r>
        <w:rPr>
          <w:rFonts w:ascii="Times New Roman"/>
          <w:b w:val="false"/>
          <w:i w:val="false"/>
          <w:color w:val="000000"/>
          <w:sz w:val="28"/>
        </w:rPr>
        <w:t>
       </w:t>
      </w:r>
    </w:p>
    <w:bookmarkEnd w:id="3426"/>
    <w:bookmarkStart w:name="z3477" w:id="3427"/>
    <w:p>
      <w:pPr>
        <w:spacing w:after="0"/>
        <w:ind w:left="0"/>
        <w:jc w:val="both"/>
      </w:pPr>
      <w:r>
        <w:rPr>
          <w:rFonts w:ascii="Times New Roman"/>
          <w:b w:val="false"/>
          <w:i w:val="false"/>
          <w:color w:val="000000"/>
          <w:sz w:val="28"/>
        </w:rPr>
        <w:t>
      In vivo</w:t>
      </w:r>
    </w:p>
    <w:bookmarkEnd w:id="3427"/>
    <w:bookmarkStart w:name="z3478" w:id="3428"/>
    <w:p>
      <w:pPr>
        <w:spacing w:after="0"/>
        <w:ind w:left="0"/>
        <w:jc w:val="both"/>
      </w:pPr>
      <w:r>
        <w:rPr>
          <w:rFonts w:ascii="Times New Roman"/>
          <w:b w:val="false"/>
          <w:i w:val="false"/>
          <w:color w:val="000000"/>
          <w:sz w:val="28"/>
        </w:rPr>
        <w:t>
       </w:t>
      </w:r>
    </w:p>
    <w:bookmarkEnd w:id="3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3429"/>
          <w:p>
            <w:pPr>
              <w:spacing w:after="20"/>
              <w:ind w:left="20"/>
              <w:jc w:val="both"/>
            </w:pPr>
            <w:r>
              <w:rPr>
                <w:rFonts w:ascii="Times New Roman"/>
                <w:b w:val="false"/>
                <w:i w:val="false"/>
                <w:color w:val="000000"/>
                <w:sz w:val="20"/>
              </w:rPr>
              <w:t xml:space="preserve">
Комментарий эксперта </w:t>
            </w:r>
          </w:p>
          <w:bookmarkEnd w:id="3429"/>
        </w:tc>
      </w:tr>
    </w:tbl>
    <w:bookmarkStart w:name="z3480" w:id="3430"/>
    <w:p>
      <w:pPr>
        <w:spacing w:after="0"/>
        <w:ind w:left="0"/>
        <w:jc w:val="both"/>
      </w:pPr>
      <w:r>
        <w:rPr>
          <w:rFonts w:ascii="Times New Roman"/>
          <w:b w:val="false"/>
          <w:i w:val="false"/>
          <w:color w:val="000000"/>
          <w:sz w:val="28"/>
        </w:rPr>
        <w:t>
       </w:t>
      </w:r>
    </w:p>
    <w:bookmarkEnd w:id="3430"/>
    <w:bookmarkStart w:name="z3481" w:id="3431"/>
    <w:p>
      <w:pPr>
        <w:spacing w:after="0"/>
        <w:ind w:left="0"/>
        <w:jc w:val="both"/>
      </w:pPr>
      <w:r>
        <w:rPr>
          <w:rFonts w:ascii="Times New Roman"/>
          <w:b w:val="false"/>
          <w:i w:val="false"/>
          <w:color w:val="000000"/>
          <w:sz w:val="28"/>
        </w:rPr>
        <w:t>
      Общие замечания эксперта по взаимодействиям</w:t>
      </w:r>
    </w:p>
    <w:bookmarkEnd w:id="3431"/>
    <w:bookmarkStart w:name="z3482" w:id="3432"/>
    <w:p>
      <w:pPr>
        <w:spacing w:after="0"/>
        <w:ind w:left="0"/>
        <w:jc w:val="both"/>
      </w:pPr>
      <w:r>
        <w:rPr>
          <w:rFonts w:ascii="Times New Roman"/>
          <w:b w:val="false"/>
          <w:i w:val="false"/>
          <w:color w:val="000000"/>
          <w:sz w:val="28"/>
        </w:rPr>
        <w:t>
       </w:t>
      </w:r>
    </w:p>
    <w:bookmarkEnd w:id="3432"/>
    <w:bookmarkStart w:name="z3483" w:id="3433"/>
    <w:p>
      <w:pPr>
        <w:spacing w:after="0"/>
        <w:ind w:left="0"/>
        <w:jc w:val="both"/>
      </w:pPr>
      <w:r>
        <w:rPr>
          <w:rFonts w:ascii="Times New Roman"/>
          <w:b w:val="false"/>
          <w:i w:val="false"/>
          <w:color w:val="000000"/>
          <w:sz w:val="28"/>
        </w:rPr>
        <w:t>
      2.1.11. Воздействие, значимое для оценки безопасности.</w:t>
      </w:r>
    </w:p>
    <w:bookmarkEnd w:id="3433"/>
    <w:bookmarkStart w:name="z3484" w:id="3434"/>
    <w:p>
      <w:pPr>
        <w:spacing w:after="0"/>
        <w:ind w:left="0"/>
        <w:jc w:val="both"/>
      </w:pPr>
      <w:r>
        <w:rPr>
          <w:rFonts w:ascii="Times New Roman"/>
          <w:b w:val="false"/>
          <w:i w:val="false"/>
          <w:color w:val="000000"/>
          <w:sz w:val="28"/>
        </w:rPr>
        <w:t>
       </w:t>
      </w:r>
    </w:p>
    <w:bookmarkEnd w:id="3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3435"/>
          <w:p>
            <w:pPr>
              <w:spacing w:after="20"/>
              <w:ind w:left="20"/>
              <w:jc w:val="both"/>
            </w:pPr>
            <w:r>
              <w:rPr>
                <w:rFonts w:ascii="Times New Roman"/>
                <w:b w:val="false"/>
                <w:i w:val="false"/>
                <w:color w:val="000000"/>
                <w:sz w:val="20"/>
              </w:rPr>
              <w:t xml:space="preserve">
Комментарий эксперта </w:t>
            </w:r>
          </w:p>
          <w:bookmarkEnd w:id="3435"/>
        </w:tc>
      </w:tr>
    </w:tbl>
    <w:bookmarkStart w:name="z3486" w:id="3436"/>
    <w:p>
      <w:pPr>
        <w:spacing w:after="0"/>
        <w:ind w:left="0"/>
        <w:jc w:val="both"/>
      </w:pPr>
      <w:r>
        <w:rPr>
          <w:rFonts w:ascii="Times New Roman"/>
          <w:b w:val="false"/>
          <w:i w:val="false"/>
          <w:color w:val="000000"/>
          <w:sz w:val="28"/>
        </w:rPr>
        <w:t>
       </w:t>
      </w:r>
    </w:p>
    <w:bookmarkEnd w:id="3436"/>
    <w:bookmarkStart w:name="z3487" w:id="3437"/>
    <w:p>
      <w:pPr>
        <w:spacing w:after="0"/>
        <w:ind w:left="0"/>
        <w:jc w:val="both"/>
      </w:pPr>
      <w:r>
        <w:rPr>
          <w:rFonts w:ascii="Times New Roman"/>
          <w:b w:val="false"/>
          <w:i w:val="false"/>
          <w:color w:val="000000"/>
          <w:sz w:val="28"/>
        </w:rPr>
        <w:t>
      2.1.12. Общее заключение эксперта по фармакокинетике.</w:t>
      </w:r>
    </w:p>
    <w:bookmarkEnd w:id="3437"/>
    <w:bookmarkStart w:name="z3488" w:id="3438"/>
    <w:p>
      <w:pPr>
        <w:spacing w:after="0"/>
        <w:ind w:left="0"/>
        <w:jc w:val="both"/>
      </w:pPr>
      <w:r>
        <w:rPr>
          <w:rFonts w:ascii="Times New Roman"/>
          <w:b w:val="false"/>
          <w:i w:val="false"/>
          <w:color w:val="000000"/>
          <w:sz w:val="28"/>
        </w:rPr>
        <w:t>
      2.2. Фармакодинамика.</w:t>
      </w:r>
    </w:p>
    <w:bookmarkEnd w:id="3438"/>
    <w:bookmarkStart w:name="z3489" w:id="3439"/>
    <w:p>
      <w:pPr>
        <w:spacing w:after="0"/>
        <w:ind w:left="0"/>
        <w:jc w:val="both"/>
      </w:pPr>
      <w:r>
        <w:rPr>
          <w:rFonts w:ascii="Times New Roman"/>
          <w:b w:val="false"/>
          <w:i w:val="false"/>
          <w:color w:val="000000"/>
          <w:sz w:val="28"/>
        </w:rPr>
        <w:t>
      2.2.1. Введение.</w:t>
      </w:r>
    </w:p>
    <w:bookmarkEnd w:id="3439"/>
    <w:bookmarkStart w:name="z3490" w:id="3440"/>
    <w:p>
      <w:pPr>
        <w:spacing w:after="0"/>
        <w:ind w:left="0"/>
        <w:jc w:val="both"/>
      </w:pPr>
      <w:r>
        <w:rPr>
          <w:rFonts w:ascii="Times New Roman"/>
          <w:b w:val="false"/>
          <w:i w:val="false"/>
          <w:color w:val="000000"/>
          <w:sz w:val="28"/>
        </w:rPr>
        <w:t>
      2.2.2. Механизм действия.</w:t>
      </w:r>
    </w:p>
    <w:bookmarkEnd w:id="3440"/>
    <w:bookmarkStart w:name="z3491" w:id="3441"/>
    <w:p>
      <w:pPr>
        <w:spacing w:after="0"/>
        <w:ind w:left="0"/>
        <w:jc w:val="both"/>
      </w:pPr>
      <w:r>
        <w:rPr>
          <w:rFonts w:ascii="Times New Roman"/>
          <w:b w:val="false"/>
          <w:i w:val="false"/>
          <w:color w:val="000000"/>
          <w:sz w:val="28"/>
        </w:rPr>
        <w:t>
       </w:t>
      </w:r>
    </w:p>
    <w:bookmarkEnd w:id="3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442"/>
          <w:p>
            <w:pPr>
              <w:spacing w:after="20"/>
              <w:ind w:left="20"/>
              <w:jc w:val="both"/>
            </w:pPr>
            <w:r>
              <w:rPr>
                <w:rFonts w:ascii="Times New Roman"/>
                <w:b w:val="false"/>
                <w:i w:val="false"/>
                <w:color w:val="000000"/>
                <w:sz w:val="20"/>
              </w:rPr>
              <w:t xml:space="preserve">
Комментарий эксперта </w:t>
            </w:r>
          </w:p>
          <w:bookmarkEnd w:id="3442"/>
        </w:tc>
      </w:tr>
    </w:tbl>
    <w:bookmarkStart w:name="z3493" w:id="3443"/>
    <w:p>
      <w:pPr>
        <w:spacing w:after="0"/>
        <w:ind w:left="0"/>
        <w:jc w:val="both"/>
      </w:pPr>
      <w:r>
        <w:rPr>
          <w:rFonts w:ascii="Times New Roman"/>
          <w:b w:val="false"/>
          <w:i w:val="false"/>
          <w:color w:val="000000"/>
          <w:sz w:val="28"/>
        </w:rPr>
        <w:t>
       </w:t>
      </w:r>
    </w:p>
    <w:bookmarkEnd w:id="3443"/>
    <w:bookmarkStart w:name="z3494" w:id="3444"/>
    <w:p>
      <w:pPr>
        <w:spacing w:after="0"/>
        <w:ind w:left="0"/>
        <w:jc w:val="both"/>
      </w:pPr>
      <w:r>
        <w:rPr>
          <w:rFonts w:ascii="Times New Roman"/>
          <w:b w:val="false"/>
          <w:i w:val="false"/>
          <w:color w:val="000000"/>
          <w:sz w:val="28"/>
        </w:rPr>
        <w:t>
      2.2.3. Первичная фармакология.</w:t>
      </w:r>
    </w:p>
    <w:bookmarkEnd w:id="3444"/>
    <w:bookmarkStart w:name="z3495" w:id="3445"/>
    <w:p>
      <w:pPr>
        <w:spacing w:after="0"/>
        <w:ind w:left="0"/>
        <w:jc w:val="both"/>
      </w:pPr>
      <w:r>
        <w:rPr>
          <w:rFonts w:ascii="Times New Roman"/>
          <w:b w:val="false"/>
          <w:i w:val="false"/>
          <w:color w:val="000000"/>
          <w:sz w:val="28"/>
        </w:rPr>
        <w:t>
       </w:t>
      </w:r>
    </w:p>
    <w:bookmarkEnd w:id="3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3446"/>
          <w:p>
            <w:pPr>
              <w:spacing w:after="20"/>
              <w:ind w:left="20"/>
              <w:jc w:val="both"/>
            </w:pPr>
            <w:r>
              <w:rPr>
                <w:rFonts w:ascii="Times New Roman"/>
                <w:b w:val="false"/>
                <w:i w:val="false"/>
                <w:color w:val="000000"/>
                <w:sz w:val="20"/>
              </w:rPr>
              <w:t xml:space="preserve">
Комментарий эксперта </w:t>
            </w:r>
          </w:p>
          <w:bookmarkEnd w:id="3446"/>
        </w:tc>
      </w:tr>
    </w:tbl>
    <w:bookmarkStart w:name="z3497" w:id="3447"/>
    <w:p>
      <w:pPr>
        <w:spacing w:after="0"/>
        <w:ind w:left="0"/>
        <w:jc w:val="both"/>
      </w:pPr>
      <w:r>
        <w:rPr>
          <w:rFonts w:ascii="Times New Roman"/>
          <w:b w:val="false"/>
          <w:i w:val="false"/>
          <w:color w:val="000000"/>
          <w:sz w:val="28"/>
        </w:rPr>
        <w:t>
       </w:t>
      </w:r>
    </w:p>
    <w:bookmarkEnd w:id="3447"/>
    <w:bookmarkStart w:name="z3498" w:id="3448"/>
    <w:p>
      <w:pPr>
        <w:spacing w:after="0"/>
        <w:ind w:left="0"/>
        <w:jc w:val="both"/>
      </w:pPr>
      <w:r>
        <w:rPr>
          <w:rFonts w:ascii="Times New Roman"/>
          <w:b w:val="false"/>
          <w:i w:val="false"/>
          <w:color w:val="000000"/>
          <w:sz w:val="28"/>
        </w:rPr>
        <w:t>
      2.2.4. Вторичная фармакология.</w:t>
      </w:r>
    </w:p>
    <w:bookmarkEnd w:id="3448"/>
    <w:bookmarkStart w:name="z3499" w:id="3449"/>
    <w:p>
      <w:pPr>
        <w:spacing w:after="0"/>
        <w:ind w:left="0"/>
        <w:jc w:val="both"/>
      </w:pPr>
      <w:r>
        <w:rPr>
          <w:rFonts w:ascii="Times New Roman"/>
          <w:b w:val="false"/>
          <w:i w:val="false"/>
          <w:color w:val="000000"/>
          <w:sz w:val="28"/>
        </w:rPr>
        <w:t>
       </w:t>
      </w:r>
    </w:p>
    <w:bookmarkEnd w:id="3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3450"/>
          <w:p>
            <w:pPr>
              <w:spacing w:after="20"/>
              <w:ind w:left="20"/>
              <w:jc w:val="both"/>
            </w:pPr>
            <w:r>
              <w:rPr>
                <w:rFonts w:ascii="Times New Roman"/>
                <w:b w:val="false"/>
                <w:i w:val="false"/>
                <w:color w:val="000000"/>
                <w:sz w:val="20"/>
              </w:rPr>
              <w:t xml:space="preserve">
Комментарий эксперта </w:t>
            </w:r>
          </w:p>
          <w:bookmarkEnd w:id="3450"/>
        </w:tc>
      </w:tr>
    </w:tbl>
    <w:bookmarkStart w:name="z3501" w:id="3451"/>
    <w:p>
      <w:pPr>
        <w:spacing w:after="0"/>
        <w:ind w:left="0"/>
        <w:jc w:val="both"/>
      </w:pPr>
      <w:r>
        <w:rPr>
          <w:rFonts w:ascii="Times New Roman"/>
          <w:b w:val="false"/>
          <w:i w:val="false"/>
          <w:color w:val="000000"/>
          <w:sz w:val="28"/>
        </w:rPr>
        <w:t>
       </w:t>
      </w:r>
    </w:p>
    <w:bookmarkEnd w:id="3451"/>
    <w:bookmarkStart w:name="z3502" w:id="3452"/>
    <w:p>
      <w:pPr>
        <w:spacing w:after="0"/>
        <w:ind w:left="0"/>
        <w:jc w:val="both"/>
      </w:pPr>
      <w:r>
        <w:rPr>
          <w:rFonts w:ascii="Times New Roman"/>
          <w:b w:val="false"/>
          <w:i w:val="false"/>
          <w:color w:val="000000"/>
          <w:sz w:val="28"/>
        </w:rPr>
        <w:t>
      2.2.5. Взаимосвязь между концентрацией в плазме и эффектом.</w:t>
      </w:r>
    </w:p>
    <w:bookmarkEnd w:id="3452"/>
    <w:bookmarkStart w:name="z3503" w:id="3453"/>
    <w:p>
      <w:pPr>
        <w:spacing w:after="0"/>
        <w:ind w:left="0"/>
        <w:jc w:val="both"/>
      </w:pPr>
      <w:r>
        <w:rPr>
          <w:rFonts w:ascii="Times New Roman"/>
          <w:b w:val="false"/>
          <w:i w:val="false"/>
          <w:color w:val="000000"/>
          <w:sz w:val="28"/>
        </w:rPr>
        <w:t>
       </w:t>
      </w:r>
    </w:p>
    <w:bookmarkEnd w:id="3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3454"/>
          <w:p>
            <w:pPr>
              <w:spacing w:after="20"/>
              <w:ind w:left="20"/>
              <w:jc w:val="both"/>
            </w:pPr>
            <w:r>
              <w:rPr>
                <w:rFonts w:ascii="Times New Roman"/>
                <w:b w:val="false"/>
                <w:i w:val="false"/>
                <w:color w:val="000000"/>
                <w:sz w:val="20"/>
              </w:rPr>
              <w:t xml:space="preserve">
Комментарий эксперта </w:t>
            </w:r>
          </w:p>
          <w:bookmarkEnd w:id="3454"/>
        </w:tc>
      </w:tr>
    </w:tbl>
    <w:bookmarkStart w:name="z3505" w:id="3455"/>
    <w:p>
      <w:pPr>
        <w:spacing w:after="0"/>
        <w:ind w:left="0"/>
        <w:jc w:val="both"/>
      </w:pPr>
      <w:r>
        <w:rPr>
          <w:rFonts w:ascii="Times New Roman"/>
          <w:b w:val="false"/>
          <w:i w:val="false"/>
          <w:color w:val="000000"/>
          <w:sz w:val="28"/>
        </w:rPr>
        <w:t>
       </w:t>
      </w:r>
    </w:p>
    <w:bookmarkEnd w:id="3455"/>
    <w:bookmarkStart w:name="z3506" w:id="3456"/>
    <w:p>
      <w:pPr>
        <w:spacing w:after="0"/>
        <w:ind w:left="0"/>
        <w:jc w:val="both"/>
      </w:pPr>
      <w:r>
        <w:rPr>
          <w:rFonts w:ascii="Times New Roman"/>
          <w:b w:val="false"/>
          <w:i w:val="false"/>
          <w:color w:val="000000"/>
          <w:sz w:val="28"/>
        </w:rPr>
        <w:t>
      2.2.6. Фармакодинамические взаимодействия с другими лекарственными средствами или субстанциями.</w:t>
      </w:r>
    </w:p>
    <w:bookmarkEnd w:id="3456"/>
    <w:bookmarkStart w:name="z3507" w:id="3457"/>
    <w:p>
      <w:pPr>
        <w:spacing w:after="0"/>
        <w:ind w:left="0"/>
        <w:jc w:val="both"/>
      </w:pPr>
      <w:r>
        <w:rPr>
          <w:rFonts w:ascii="Times New Roman"/>
          <w:b w:val="false"/>
          <w:i w:val="false"/>
          <w:color w:val="000000"/>
          <w:sz w:val="28"/>
        </w:rPr>
        <w:t>
       </w:t>
      </w:r>
    </w:p>
    <w:bookmarkEnd w:id="3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3458"/>
          <w:p>
            <w:pPr>
              <w:spacing w:after="20"/>
              <w:ind w:left="20"/>
              <w:jc w:val="both"/>
            </w:pPr>
            <w:r>
              <w:rPr>
                <w:rFonts w:ascii="Times New Roman"/>
                <w:b w:val="false"/>
                <w:i w:val="false"/>
                <w:color w:val="000000"/>
                <w:sz w:val="20"/>
              </w:rPr>
              <w:t xml:space="preserve">
Комментарий эксперта </w:t>
            </w:r>
          </w:p>
          <w:bookmarkEnd w:id="3458"/>
        </w:tc>
      </w:tr>
    </w:tbl>
    <w:bookmarkStart w:name="z3509" w:id="3459"/>
    <w:p>
      <w:pPr>
        <w:spacing w:after="0"/>
        <w:ind w:left="0"/>
        <w:jc w:val="both"/>
      </w:pPr>
      <w:r>
        <w:rPr>
          <w:rFonts w:ascii="Times New Roman"/>
          <w:b w:val="false"/>
          <w:i w:val="false"/>
          <w:color w:val="000000"/>
          <w:sz w:val="28"/>
        </w:rPr>
        <w:t>
       </w:t>
      </w:r>
    </w:p>
    <w:bookmarkEnd w:id="3459"/>
    <w:bookmarkStart w:name="z3510" w:id="3460"/>
    <w:p>
      <w:pPr>
        <w:spacing w:after="0"/>
        <w:ind w:left="0"/>
        <w:jc w:val="both"/>
      </w:pPr>
      <w:r>
        <w:rPr>
          <w:rFonts w:ascii="Times New Roman"/>
          <w:b w:val="false"/>
          <w:i w:val="false"/>
          <w:color w:val="000000"/>
          <w:sz w:val="28"/>
        </w:rPr>
        <w:t>
      2.2.7. Генетические различия в фармакодинамическом ответе.</w:t>
      </w:r>
    </w:p>
    <w:bookmarkEnd w:id="3460"/>
    <w:bookmarkStart w:name="z3511" w:id="3461"/>
    <w:p>
      <w:pPr>
        <w:spacing w:after="0"/>
        <w:ind w:left="0"/>
        <w:jc w:val="both"/>
      </w:pPr>
      <w:r>
        <w:rPr>
          <w:rFonts w:ascii="Times New Roman"/>
          <w:b w:val="false"/>
          <w:i w:val="false"/>
          <w:color w:val="000000"/>
          <w:sz w:val="28"/>
        </w:rPr>
        <w:t>
       </w:t>
      </w:r>
    </w:p>
    <w:bookmarkEnd w:id="3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3462"/>
          <w:p>
            <w:pPr>
              <w:spacing w:after="20"/>
              <w:ind w:left="20"/>
              <w:jc w:val="both"/>
            </w:pPr>
            <w:r>
              <w:rPr>
                <w:rFonts w:ascii="Times New Roman"/>
                <w:b w:val="false"/>
                <w:i w:val="false"/>
                <w:color w:val="000000"/>
                <w:sz w:val="20"/>
              </w:rPr>
              <w:t xml:space="preserve">
Комментарий эксперта </w:t>
            </w:r>
          </w:p>
          <w:bookmarkEnd w:id="3462"/>
        </w:tc>
      </w:tr>
    </w:tbl>
    <w:bookmarkStart w:name="z3513" w:id="3463"/>
    <w:p>
      <w:pPr>
        <w:spacing w:after="0"/>
        <w:ind w:left="0"/>
        <w:jc w:val="both"/>
      </w:pPr>
      <w:r>
        <w:rPr>
          <w:rFonts w:ascii="Times New Roman"/>
          <w:b w:val="false"/>
          <w:i w:val="false"/>
          <w:color w:val="000000"/>
          <w:sz w:val="28"/>
        </w:rPr>
        <w:t>
       </w:t>
      </w:r>
    </w:p>
    <w:bookmarkEnd w:id="3463"/>
    <w:bookmarkStart w:name="z3514" w:id="3464"/>
    <w:p>
      <w:pPr>
        <w:spacing w:after="0"/>
        <w:ind w:left="0"/>
        <w:jc w:val="both"/>
      </w:pPr>
      <w:r>
        <w:rPr>
          <w:rFonts w:ascii="Times New Roman"/>
          <w:b w:val="false"/>
          <w:i w:val="false"/>
          <w:color w:val="000000"/>
          <w:sz w:val="28"/>
        </w:rPr>
        <w:t>
      2.2.8. Общее заключение эксперта по фармакодинамике.</w:t>
      </w:r>
    </w:p>
    <w:bookmarkEnd w:id="3464"/>
    <w:bookmarkStart w:name="z3515" w:id="3465"/>
    <w:p>
      <w:pPr>
        <w:spacing w:after="0"/>
        <w:ind w:left="0"/>
        <w:jc w:val="both"/>
      </w:pPr>
      <w:r>
        <w:rPr>
          <w:rFonts w:ascii="Times New Roman"/>
          <w:b w:val="false"/>
          <w:i w:val="false"/>
          <w:color w:val="000000"/>
          <w:sz w:val="28"/>
        </w:rPr>
        <w:t>
      _______________________________________________________________________</w:t>
      </w:r>
    </w:p>
    <w:bookmarkEnd w:id="3465"/>
    <w:bookmarkStart w:name="z3516" w:id="3466"/>
    <w:p>
      <w:pPr>
        <w:spacing w:after="0"/>
        <w:ind w:left="0"/>
        <w:jc w:val="both"/>
      </w:pPr>
      <w:r>
        <w:rPr>
          <w:rFonts w:ascii="Times New Roman"/>
          <w:b w:val="false"/>
          <w:i w:val="false"/>
          <w:color w:val="000000"/>
          <w:sz w:val="28"/>
        </w:rPr>
        <w:t>
      _______________________________________________________________________</w:t>
      </w:r>
    </w:p>
    <w:bookmarkEnd w:id="3466"/>
    <w:bookmarkStart w:name="z3517" w:id="3467"/>
    <w:p>
      <w:pPr>
        <w:spacing w:after="0"/>
        <w:ind w:left="0"/>
        <w:jc w:val="both"/>
      </w:pPr>
      <w:r>
        <w:rPr>
          <w:rFonts w:ascii="Times New Roman"/>
          <w:b w:val="false"/>
          <w:i w:val="false"/>
          <w:color w:val="000000"/>
          <w:sz w:val="28"/>
        </w:rPr>
        <w:t>
      _______________________________________________________________________</w:t>
      </w:r>
    </w:p>
    <w:bookmarkEnd w:id="3467"/>
    <w:bookmarkStart w:name="z3518" w:id="3468"/>
    <w:p>
      <w:pPr>
        <w:spacing w:after="0"/>
        <w:ind w:left="0"/>
        <w:jc w:val="both"/>
      </w:pPr>
      <w:r>
        <w:rPr>
          <w:rFonts w:ascii="Times New Roman"/>
          <w:b w:val="false"/>
          <w:i w:val="false"/>
          <w:color w:val="000000"/>
          <w:sz w:val="28"/>
        </w:rPr>
        <w:t>
       </w:t>
      </w:r>
    </w:p>
    <w:bookmarkEnd w:id="3468"/>
    <w:bookmarkStart w:name="z3519" w:id="3469"/>
    <w:p>
      <w:pPr>
        <w:spacing w:after="0"/>
        <w:ind w:left="0"/>
        <w:jc w:val="left"/>
      </w:pPr>
      <w:r>
        <w:rPr>
          <w:rFonts w:ascii="Times New Roman"/>
          <w:b/>
          <w:i w:val="false"/>
          <w:color w:val="000000"/>
        </w:rPr>
        <w:t xml:space="preserve"> 3. Клиническая эффективность </w:t>
      </w:r>
    </w:p>
    <w:bookmarkEnd w:id="3469"/>
    <w:bookmarkStart w:name="z3520" w:id="3470"/>
    <w:p>
      <w:pPr>
        <w:spacing w:after="0"/>
        <w:ind w:left="0"/>
        <w:jc w:val="both"/>
      </w:pPr>
      <w:r>
        <w:rPr>
          <w:rFonts w:ascii="Times New Roman"/>
          <w:b w:val="false"/>
          <w:i w:val="false"/>
          <w:color w:val="000000"/>
          <w:sz w:val="28"/>
        </w:rPr>
        <w:t>
      3.1. Введение.</w:t>
      </w:r>
    </w:p>
    <w:bookmarkEnd w:id="3470"/>
    <w:bookmarkStart w:name="z3521" w:id="3471"/>
    <w:p>
      <w:pPr>
        <w:spacing w:after="0"/>
        <w:ind w:left="0"/>
        <w:jc w:val="both"/>
      </w:pPr>
      <w:r>
        <w:rPr>
          <w:rFonts w:ascii="Times New Roman"/>
          <w:b w:val="false"/>
          <w:i w:val="false"/>
          <w:color w:val="000000"/>
          <w:sz w:val="28"/>
        </w:rPr>
        <w:t>
      Образец таблицы для представления информации о деталях исследования</w:t>
      </w:r>
    </w:p>
    <w:bookmarkEnd w:id="3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3472"/>
          <w:p>
            <w:pPr>
              <w:spacing w:after="20"/>
              <w:ind w:left="20"/>
              <w:jc w:val="both"/>
            </w:pPr>
            <w:r>
              <w:rPr>
                <w:rFonts w:ascii="Times New Roman"/>
                <w:b w:val="false"/>
                <w:i w:val="false"/>
                <w:color w:val="000000"/>
                <w:sz w:val="20"/>
              </w:rPr>
              <w:t xml:space="preserve">
Идентификационный номер исследования </w:t>
            </w:r>
          </w:p>
          <w:bookmarkEnd w:id="34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исследовательских центров (места их расположения)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Исследуемая дозировка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исследования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Пациенты по группам (включенные (завершившие исследование))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(м или ж), медиана возраста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критерии включения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Первичные, конечные точки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3473"/>
          <w:p>
            <w:pPr>
              <w:spacing w:after="20"/>
              <w:ind w:left="20"/>
              <w:jc w:val="both"/>
            </w:pPr>
          </w:p>
          <w:bookmarkEnd w:id="34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3474"/>
          <w:p>
            <w:pPr>
              <w:spacing w:after="20"/>
              <w:ind w:left="20"/>
              <w:jc w:val="both"/>
            </w:pPr>
          </w:p>
          <w:bookmarkEnd w:id="34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5" w:id="3475"/>
    <w:p>
      <w:pPr>
        <w:spacing w:after="0"/>
        <w:ind w:left="0"/>
        <w:jc w:val="both"/>
      </w:pPr>
      <w:r>
        <w:rPr>
          <w:rFonts w:ascii="Times New Roman"/>
          <w:b w:val="false"/>
          <w:i w:val="false"/>
          <w:color w:val="000000"/>
          <w:sz w:val="28"/>
        </w:rPr>
        <w:t>
       </w:t>
      </w:r>
    </w:p>
    <w:bookmarkEnd w:id="3475"/>
    <w:bookmarkStart w:name="z3526" w:id="3476"/>
    <w:p>
      <w:pPr>
        <w:spacing w:after="0"/>
        <w:ind w:left="0"/>
        <w:jc w:val="both"/>
      </w:pPr>
      <w:r>
        <w:rPr>
          <w:rFonts w:ascii="Times New Roman"/>
          <w:b w:val="false"/>
          <w:i w:val="false"/>
          <w:color w:val="000000"/>
          <w:sz w:val="28"/>
        </w:rPr>
        <w:t>
      3.2. Исследования зависимости доза-эффект и основные клинические исследования.</w:t>
      </w:r>
    </w:p>
    <w:bookmarkEnd w:id="3476"/>
    <w:bookmarkStart w:name="z3527" w:id="3477"/>
    <w:p>
      <w:pPr>
        <w:spacing w:after="0"/>
        <w:ind w:left="0"/>
        <w:jc w:val="both"/>
      </w:pPr>
      <w:r>
        <w:rPr>
          <w:rFonts w:ascii="Times New Roman"/>
          <w:b w:val="false"/>
          <w:i w:val="false"/>
          <w:color w:val="000000"/>
          <w:sz w:val="28"/>
        </w:rPr>
        <w:t>
       </w:t>
      </w:r>
    </w:p>
    <w:bookmarkEnd w:id="3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3478"/>
          <w:p>
            <w:pPr>
              <w:spacing w:after="20"/>
              <w:ind w:left="20"/>
              <w:jc w:val="both"/>
            </w:pPr>
            <w:r>
              <w:rPr>
                <w:rFonts w:ascii="Times New Roman"/>
                <w:b w:val="false"/>
                <w:i w:val="false"/>
                <w:color w:val="000000"/>
                <w:sz w:val="20"/>
              </w:rPr>
              <w:t xml:space="preserve">
Комментарий эксперта </w:t>
            </w:r>
          </w:p>
          <w:bookmarkEnd w:id="3478"/>
        </w:tc>
      </w:tr>
    </w:tbl>
    <w:bookmarkStart w:name="z3529" w:id="3479"/>
    <w:p>
      <w:pPr>
        <w:spacing w:after="0"/>
        <w:ind w:left="0"/>
        <w:jc w:val="both"/>
      </w:pPr>
      <w:r>
        <w:rPr>
          <w:rFonts w:ascii="Times New Roman"/>
          <w:b w:val="false"/>
          <w:i w:val="false"/>
          <w:color w:val="000000"/>
          <w:sz w:val="28"/>
        </w:rPr>
        <w:t>
       </w:t>
      </w:r>
    </w:p>
    <w:bookmarkEnd w:id="3479"/>
    <w:bookmarkStart w:name="z3530" w:id="3480"/>
    <w:p>
      <w:pPr>
        <w:spacing w:after="0"/>
        <w:ind w:left="0"/>
        <w:jc w:val="both"/>
      </w:pPr>
      <w:r>
        <w:rPr>
          <w:rFonts w:ascii="Times New Roman"/>
          <w:b w:val="false"/>
          <w:i w:val="false"/>
          <w:color w:val="000000"/>
          <w:sz w:val="28"/>
        </w:rPr>
        <w:t>
      3.3. Исследование (исследования) зависимости доза-эффект.</w:t>
      </w:r>
    </w:p>
    <w:bookmarkEnd w:id="3480"/>
    <w:bookmarkStart w:name="z3531" w:id="3481"/>
    <w:p>
      <w:pPr>
        <w:spacing w:after="0"/>
        <w:ind w:left="0"/>
        <w:jc w:val="both"/>
      </w:pPr>
      <w:r>
        <w:rPr>
          <w:rFonts w:ascii="Times New Roman"/>
          <w:b w:val="false"/>
          <w:i w:val="false"/>
          <w:color w:val="000000"/>
          <w:sz w:val="28"/>
        </w:rPr>
        <w:t>
       </w:t>
      </w:r>
    </w:p>
    <w:bookmarkEnd w:id="3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3482"/>
          <w:p>
            <w:pPr>
              <w:spacing w:after="20"/>
              <w:ind w:left="20"/>
              <w:jc w:val="both"/>
            </w:pPr>
            <w:r>
              <w:rPr>
                <w:rFonts w:ascii="Times New Roman"/>
                <w:b w:val="false"/>
                <w:i w:val="false"/>
                <w:color w:val="000000"/>
                <w:sz w:val="20"/>
              </w:rPr>
              <w:t xml:space="preserve">
Комментарий эксперта </w:t>
            </w:r>
          </w:p>
          <w:bookmarkEnd w:id="3482"/>
        </w:tc>
      </w:tr>
    </w:tbl>
    <w:bookmarkStart w:name="z3533" w:id="3483"/>
    <w:p>
      <w:pPr>
        <w:spacing w:after="0"/>
        <w:ind w:left="0"/>
        <w:jc w:val="both"/>
      </w:pPr>
      <w:r>
        <w:rPr>
          <w:rFonts w:ascii="Times New Roman"/>
          <w:b w:val="false"/>
          <w:i w:val="false"/>
          <w:color w:val="000000"/>
          <w:sz w:val="28"/>
        </w:rPr>
        <w:t>
       </w:t>
      </w:r>
    </w:p>
    <w:bookmarkEnd w:id="3483"/>
    <w:bookmarkStart w:name="z3534" w:id="3484"/>
    <w:p>
      <w:pPr>
        <w:spacing w:after="0"/>
        <w:ind w:left="0"/>
        <w:jc w:val="both"/>
      </w:pPr>
      <w:r>
        <w:rPr>
          <w:rFonts w:ascii="Times New Roman"/>
          <w:b w:val="false"/>
          <w:i w:val="false"/>
          <w:color w:val="000000"/>
          <w:sz w:val="28"/>
        </w:rPr>
        <w:t>
      3.4. Основное исследование (основные исследования).</w:t>
      </w:r>
    </w:p>
    <w:bookmarkEnd w:id="3484"/>
    <w:bookmarkStart w:name="z3535" w:id="3485"/>
    <w:p>
      <w:pPr>
        <w:spacing w:after="0"/>
        <w:ind w:left="0"/>
        <w:jc w:val="both"/>
      </w:pPr>
      <w:r>
        <w:rPr>
          <w:rFonts w:ascii="Times New Roman"/>
          <w:b w:val="false"/>
          <w:i w:val="false"/>
          <w:color w:val="000000"/>
          <w:sz w:val="28"/>
        </w:rPr>
        <w:t>
       </w:t>
      </w:r>
    </w:p>
    <w:bookmarkEnd w:id="3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486"/>
          <w:p>
            <w:pPr>
              <w:spacing w:after="20"/>
              <w:ind w:left="20"/>
              <w:jc w:val="both"/>
            </w:pPr>
            <w:r>
              <w:rPr>
                <w:rFonts w:ascii="Times New Roman"/>
                <w:b w:val="false"/>
                <w:i w:val="false"/>
                <w:color w:val="000000"/>
                <w:sz w:val="20"/>
              </w:rPr>
              <w:t xml:space="preserve">
Комментарий эксперта </w:t>
            </w:r>
          </w:p>
          <w:bookmarkEnd w:id="3486"/>
        </w:tc>
      </w:tr>
    </w:tbl>
    <w:bookmarkStart w:name="z3537" w:id="3487"/>
    <w:p>
      <w:pPr>
        <w:spacing w:after="0"/>
        <w:ind w:left="0"/>
        <w:jc w:val="both"/>
      </w:pPr>
      <w:r>
        <w:rPr>
          <w:rFonts w:ascii="Times New Roman"/>
          <w:b w:val="false"/>
          <w:i w:val="false"/>
          <w:color w:val="000000"/>
          <w:sz w:val="28"/>
        </w:rPr>
        <w:t>
       </w:t>
      </w:r>
    </w:p>
    <w:bookmarkEnd w:id="3487"/>
    <w:bookmarkStart w:name="z3538" w:id="3488"/>
    <w:p>
      <w:pPr>
        <w:spacing w:after="0"/>
        <w:ind w:left="0"/>
        <w:jc w:val="both"/>
      </w:pPr>
      <w:r>
        <w:rPr>
          <w:rFonts w:ascii="Times New Roman"/>
          <w:b w:val="false"/>
          <w:i w:val="false"/>
          <w:color w:val="000000"/>
          <w:sz w:val="28"/>
        </w:rPr>
        <w:t>
      Методы</w:t>
      </w:r>
    </w:p>
    <w:bookmarkEnd w:id="3488"/>
    <w:bookmarkStart w:name="z3539" w:id="3489"/>
    <w:p>
      <w:pPr>
        <w:spacing w:after="0"/>
        <w:ind w:left="0"/>
        <w:jc w:val="both"/>
      </w:pPr>
      <w:r>
        <w:rPr>
          <w:rFonts w:ascii="Times New Roman"/>
          <w:b w:val="false"/>
          <w:i w:val="false"/>
          <w:color w:val="000000"/>
          <w:sz w:val="28"/>
        </w:rPr>
        <w:t>
      Участники исследования</w:t>
      </w:r>
    </w:p>
    <w:bookmarkEnd w:id="3489"/>
    <w:bookmarkStart w:name="z3540" w:id="3490"/>
    <w:p>
      <w:pPr>
        <w:spacing w:after="0"/>
        <w:ind w:left="0"/>
        <w:jc w:val="both"/>
      </w:pPr>
      <w:r>
        <w:rPr>
          <w:rFonts w:ascii="Times New Roman"/>
          <w:b w:val="false"/>
          <w:i w:val="false"/>
          <w:color w:val="000000"/>
          <w:sz w:val="28"/>
        </w:rPr>
        <w:t>
       </w:t>
      </w:r>
    </w:p>
    <w:bookmarkEnd w:id="3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3491"/>
          <w:p>
            <w:pPr>
              <w:spacing w:after="20"/>
              <w:ind w:left="20"/>
              <w:jc w:val="both"/>
            </w:pPr>
            <w:r>
              <w:rPr>
                <w:rFonts w:ascii="Times New Roman"/>
                <w:b w:val="false"/>
                <w:i w:val="false"/>
                <w:color w:val="000000"/>
                <w:sz w:val="20"/>
              </w:rPr>
              <w:t xml:space="preserve">
Комментарий эксперта </w:t>
            </w:r>
          </w:p>
          <w:bookmarkEnd w:id="3491"/>
        </w:tc>
      </w:tr>
    </w:tbl>
    <w:bookmarkStart w:name="z3542" w:id="3492"/>
    <w:p>
      <w:pPr>
        <w:spacing w:after="0"/>
        <w:ind w:left="0"/>
        <w:jc w:val="both"/>
      </w:pPr>
      <w:r>
        <w:rPr>
          <w:rFonts w:ascii="Times New Roman"/>
          <w:b w:val="false"/>
          <w:i w:val="false"/>
          <w:color w:val="000000"/>
          <w:sz w:val="28"/>
        </w:rPr>
        <w:t>
       </w:t>
      </w:r>
    </w:p>
    <w:bookmarkEnd w:id="3492"/>
    <w:bookmarkStart w:name="z3543" w:id="3493"/>
    <w:p>
      <w:pPr>
        <w:spacing w:after="0"/>
        <w:ind w:left="0"/>
        <w:jc w:val="both"/>
      </w:pPr>
      <w:r>
        <w:rPr>
          <w:rFonts w:ascii="Times New Roman"/>
          <w:b w:val="false"/>
          <w:i w:val="false"/>
          <w:color w:val="000000"/>
          <w:sz w:val="28"/>
        </w:rPr>
        <w:t>
      Виды лечения</w:t>
      </w:r>
    </w:p>
    <w:bookmarkEnd w:id="3493"/>
    <w:bookmarkStart w:name="z3544" w:id="3494"/>
    <w:p>
      <w:pPr>
        <w:spacing w:after="0"/>
        <w:ind w:left="0"/>
        <w:jc w:val="both"/>
      </w:pPr>
      <w:r>
        <w:rPr>
          <w:rFonts w:ascii="Times New Roman"/>
          <w:b w:val="false"/>
          <w:i w:val="false"/>
          <w:color w:val="000000"/>
          <w:sz w:val="28"/>
        </w:rPr>
        <w:t>
       </w:t>
      </w:r>
    </w:p>
    <w:bookmarkEnd w:id="3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3495"/>
          <w:p>
            <w:pPr>
              <w:spacing w:after="20"/>
              <w:ind w:left="20"/>
              <w:jc w:val="both"/>
            </w:pPr>
            <w:r>
              <w:rPr>
                <w:rFonts w:ascii="Times New Roman"/>
                <w:b w:val="false"/>
                <w:i w:val="false"/>
                <w:color w:val="000000"/>
                <w:sz w:val="20"/>
              </w:rPr>
              <w:t xml:space="preserve">
Комментарий эксперта </w:t>
            </w:r>
          </w:p>
          <w:bookmarkEnd w:id="3495"/>
        </w:tc>
      </w:tr>
    </w:tbl>
    <w:bookmarkStart w:name="z3546" w:id="3496"/>
    <w:p>
      <w:pPr>
        <w:spacing w:after="0"/>
        <w:ind w:left="0"/>
        <w:jc w:val="both"/>
      </w:pPr>
      <w:r>
        <w:rPr>
          <w:rFonts w:ascii="Times New Roman"/>
          <w:b w:val="false"/>
          <w:i w:val="false"/>
          <w:color w:val="000000"/>
          <w:sz w:val="28"/>
        </w:rPr>
        <w:t>
       </w:t>
      </w:r>
    </w:p>
    <w:bookmarkEnd w:id="3496"/>
    <w:bookmarkStart w:name="z3547" w:id="3497"/>
    <w:p>
      <w:pPr>
        <w:spacing w:after="0"/>
        <w:ind w:left="0"/>
        <w:jc w:val="both"/>
      </w:pPr>
      <w:r>
        <w:rPr>
          <w:rFonts w:ascii="Times New Roman"/>
          <w:b w:val="false"/>
          <w:i w:val="false"/>
          <w:color w:val="000000"/>
          <w:sz w:val="28"/>
        </w:rPr>
        <w:t>
      Цели</w:t>
      </w:r>
    </w:p>
    <w:bookmarkEnd w:id="3497"/>
    <w:bookmarkStart w:name="z3548" w:id="3498"/>
    <w:p>
      <w:pPr>
        <w:spacing w:after="0"/>
        <w:ind w:left="0"/>
        <w:jc w:val="both"/>
      </w:pPr>
      <w:r>
        <w:rPr>
          <w:rFonts w:ascii="Times New Roman"/>
          <w:b w:val="false"/>
          <w:i w:val="false"/>
          <w:color w:val="000000"/>
          <w:sz w:val="28"/>
        </w:rPr>
        <w:t>
       </w:t>
      </w:r>
    </w:p>
    <w:bookmarkEnd w:id="3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3499"/>
          <w:p>
            <w:pPr>
              <w:spacing w:after="20"/>
              <w:ind w:left="20"/>
              <w:jc w:val="both"/>
            </w:pPr>
            <w:r>
              <w:rPr>
                <w:rFonts w:ascii="Times New Roman"/>
                <w:b w:val="false"/>
                <w:i w:val="false"/>
                <w:color w:val="000000"/>
                <w:sz w:val="20"/>
              </w:rPr>
              <w:t xml:space="preserve">
Комментарий эксперта </w:t>
            </w:r>
          </w:p>
          <w:bookmarkEnd w:id="3499"/>
        </w:tc>
      </w:tr>
    </w:tbl>
    <w:bookmarkStart w:name="z3550" w:id="3500"/>
    <w:p>
      <w:pPr>
        <w:spacing w:after="0"/>
        <w:ind w:left="0"/>
        <w:jc w:val="both"/>
      </w:pPr>
      <w:r>
        <w:rPr>
          <w:rFonts w:ascii="Times New Roman"/>
          <w:b w:val="false"/>
          <w:i w:val="false"/>
          <w:color w:val="000000"/>
          <w:sz w:val="28"/>
        </w:rPr>
        <w:t>
       </w:t>
      </w:r>
    </w:p>
    <w:bookmarkEnd w:id="3500"/>
    <w:bookmarkStart w:name="z3551" w:id="3501"/>
    <w:p>
      <w:pPr>
        <w:spacing w:after="0"/>
        <w:ind w:left="0"/>
        <w:jc w:val="both"/>
      </w:pPr>
      <w:r>
        <w:rPr>
          <w:rFonts w:ascii="Times New Roman"/>
          <w:b w:val="false"/>
          <w:i w:val="false"/>
          <w:color w:val="000000"/>
          <w:sz w:val="28"/>
        </w:rPr>
        <w:t>
      Исходы (конечные точки)</w:t>
      </w:r>
    </w:p>
    <w:bookmarkEnd w:id="3501"/>
    <w:bookmarkStart w:name="z3552" w:id="3502"/>
    <w:p>
      <w:pPr>
        <w:spacing w:after="0"/>
        <w:ind w:left="0"/>
        <w:jc w:val="both"/>
      </w:pPr>
      <w:r>
        <w:rPr>
          <w:rFonts w:ascii="Times New Roman"/>
          <w:b w:val="false"/>
          <w:i w:val="false"/>
          <w:color w:val="000000"/>
          <w:sz w:val="28"/>
        </w:rPr>
        <w:t>
       </w:t>
      </w:r>
    </w:p>
    <w:bookmarkEnd w:id="3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3503"/>
          <w:p>
            <w:pPr>
              <w:spacing w:after="20"/>
              <w:ind w:left="20"/>
              <w:jc w:val="both"/>
            </w:pPr>
            <w:r>
              <w:rPr>
                <w:rFonts w:ascii="Times New Roman"/>
                <w:b w:val="false"/>
                <w:i w:val="false"/>
                <w:color w:val="000000"/>
                <w:sz w:val="20"/>
              </w:rPr>
              <w:t xml:space="preserve">
Комментарий эксперта </w:t>
            </w:r>
          </w:p>
          <w:bookmarkEnd w:id="3503"/>
        </w:tc>
      </w:tr>
    </w:tbl>
    <w:bookmarkStart w:name="z3554" w:id="3504"/>
    <w:p>
      <w:pPr>
        <w:spacing w:after="0"/>
        <w:ind w:left="0"/>
        <w:jc w:val="both"/>
      </w:pPr>
      <w:r>
        <w:rPr>
          <w:rFonts w:ascii="Times New Roman"/>
          <w:b w:val="false"/>
          <w:i w:val="false"/>
          <w:color w:val="000000"/>
          <w:sz w:val="28"/>
        </w:rPr>
        <w:t>
       </w:t>
      </w:r>
    </w:p>
    <w:bookmarkEnd w:id="3504"/>
    <w:bookmarkStart w:name="z3555" w:id="3505"/>
    <w:p>
      <w:pPr>
        <w:spacing w:after="0"/>
        <w:ind w:left="0"/>
        <w:jc w:val="both"/>
      </w:pPr>
      <w:r>
        <w:rPr>
          <w:rFonts w:ascii="Times New Roman"/>
          <w:b w:val="false"/>
          <w:i w:val="false"/>
          <w:color w:val="000000"/>
          <w:sz w:val="28"/>
        </w:rPr>
        <w:t>
      Объем выборки</w:t>
      </w:r>
    </w:p>
    <w:bookmarkEnd w:id="3505"/>
    <w:bookmarkStart w:name="z3556" w:id="3506"/>
    <w:p>
      <w:pPr>
        <w:spacing w:after="0"/>
        <w:ind w:left="0"/>
        <w:jc w:val="both"/>
      </w:pPr>
      <w:r>
        <w:rPr>
          <w:rFonts w:ascii="Times New Roman"/>
          <w:b w:val="false"/>
          <w:i w:val="false"/>
          <w:color w:val="000000"/>
          <w:sz w:val="28"/>
        </w:rPr>
        <w:t>
       </w:t>
      </w:r>
    </w:p>
    <w:bookmarkEnd w:id="3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3507"/>
          <w:p>
            <w:pPr>
              <w:spacing w:after="20"/>
              <w:ind w:left="20"/>
              <w:jc w:val="both"/>
            </w:pPr>
            <w:r>
              <w:rPr>
                <w:rFonts w:ascii="Times New Roman"/>
                <w:b w:val="false"/>
                <w:i w:val="false"/>
                <w:color w:val="000000"/>
                <w:sz w:val="20"/>
              </w:rPr>
              <w:t xml:space="preserve">
Комментарий эксперта </w:t>
            </w:r>
          </w:p>
          <w:bookmarkEnd w:id="3507"/>
        </w:tc>
      </w:tr>
    </w:tbl>
    <w:bookmarkStart w:name="z3558" w:id="3508"/>
    <w:p>
      <w:pPr>
        <w:spacing w:after="0"/>
        <w:ind w:left="0"/>
        <w:jc w:val="both"/>
      </w:pPr>
      <w:r>
        <w:rPr>
          <w:rFonts w:ascii="Times New Roman"/>
          <w:b w:val="false"/>
          <w:i w:val="false"/>
          <w:color w:val="000000"/>
          <w:sz w:val="28"/>
        </w:rPr>
        <w:t>
       </w:t>
      </w:r>
    </w:p>
    <w:bookmarkEnd w:id="3508"/>
    <w:bookmarkStart w:name="z3559" w:id="3509"/>
    <w:p>
      <w:pPr>
        <w:spacing w:after="0"/>
        <w:ind w:left="0"/>
        <w:jc w:val="both"/>
      </w:pPr>
      <w:r>
        <w:rPr>
          <w:rFonts w:ascii="Times New Roman"/>
          <w:b w:val="false"/>
          <w:i w:val="false"/>
          <w:color w:val="000000"/>
          <w:sz w:val="28"/>
        </w:rPr>
        <w:t>
      Рандомизация</w:t>
      </w:r>
    </w:p>
    <w:bookmarkEnd w:id="3509"/>
    <w:bookmarkStart w:name="z3560" w:id="3510"/>
    <w:p>
      <w:pPr>
        <w:spacing w:after="0"/>
        <w:ind w:left="0"/>
        <w:jc w:val="both"/>
      </w:pPr>
      <w:r>
        <w:rPr>
          <w:rFonts w:ascii="Times New Roman"/>
          <w:b w:val="false"/>
          <w:i w:val="false"/>
          <w:color w:val="000000"/>
          <w:sz w:val="28"/>
        </w:rPr>
        <w:t>
       </w:t>
      </w:r>
    </w:p>
    <w:bookmarkEnd w:id="3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3511"/>
          <w:p>
            <w:pPr>
              <w:spacing w:after="20"/>
              <w:ind w:left="20"/>
              <w:jc w:val="both"/>
            </w:pPr>
            <w:r>
              <w:rPr>
                <w:rFonts w:ascii="Times New Roman"/>
                <w:b w:val="false"/>
                <w:i w:val="false"/>
                <w:color w:val="000000"/>
                <w:sz w:val="20"/>
              </w:rPr>
              <w:t xml:space="preserve">
Комментарий эксперта </w:t>
            </w:r>
          </w:p>
          <w:bookmarkEnd w:id="3511"/>
        </w:tc>
      </w:tr>
    </w:tbl>
    <w:bookmarkStart w:name="z3562" w:id="3512"/>
    <w:p>
      <w:pPr>
        <w:spacing w:after="0"/>
        <w:ind w:left="0"/>
        <w:jc w:val="both"/>
      </w:pPr>
      <w:r>
        <w:rPr>
          <w:rFonts w:ascii="Times New Roman"/>
          <w:b w:val="false"/>
          <w:i w:val="false"/>
          <w:color w:val="000000"/>
          <w:sz w:val="28"/>
        </w:rPr>
        <w:t>
       </w:t>
      </w:r>
    </w:p>
    <w:bookmarkEnd w:id="3512"/>
    <w:bookmarkStart w:name="z3563" w:id="3513"/>
    <w:p>
      <w:pPr>
        <w:spacing w:after="0"/>
        <w:ind w:left="0"/>
        <w:jc w:val="both"/>
      </w:pPr>
      <w:r>
        <w:rPr>
          <w:rFonts w:ascii="Times New Roman"/>
          <w:b w:val="false"/>
          <w:i w:val="false"/>
          <w:color w:val="000000"/>
          <w:sz w:val="28"/>
        </w:rPr>
        <w:t>
      Слепой метод (маскирование)</w:t>
      </w:r>
    </w:p>
    <w:bookmarkEnd w:id="3513"/>
    <w:bookmarkStart w:name="z3564" w:id="3514"/>
    <w:p>
      <w:pPr>
        <w:spacing w:after="0"/>
        <w:ind w:left="0"/>
        <w:jc w:val="both"/>
      </w:pPr>
      <w:r>
        <w:rPr>
          <w:rFonts w:ascii="Times New Roman"/>
          <w:b w:val="false"/>
          <w:i w:val="false"/>
          <w:color w:val="000000"/>
          <w:sz w:val="28"/>
        </w:rPr>
        <w:t>
       </w:t>
      </w:r>
    </w:p>
    <w:bookmarkEnd w:id="3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515"/>
          <w:p>
            <w:pPr>
              <w:spacing w:after="20"/>
              <w:ind w:left="20"/>
              <w:jc w:val="both"/>
            </w:pPr>
            <w:r>
              <w:rPr>
                <w:rFonts w:ascii="Times New Roman"/>
                <w:b w:val="false"/>
                <w:i w:val="false"/>
                <w:color w:val="000000"/>
                <w:sz w:val="20"/>
              </w:rPr>
              <w:t xml:space="preserve">
Комментарий эксперта </w:t>
            </w:r>
          </w:p>
          <w:bookmarkEnd w:id="3515"/>
        </w:tc>
      </w:tr>
    </w:tbl>
    <w:bookmarkStart w:name="z3566" w:id="3516"/>
    <w:p>
      <w:pPr>
        <w:spacing w:after="0"/>
        <w:ind w:left="0"/>
        <w:jc w:val="both"/>
      </w:pPr>
      <w:r>
        <w:rPr>
          <w:rFonts w:ascii="Times New Roman"/>
          <w:b w:val="false"/>
          <w:i w:val="false"/>
          <w:color w:val="000000"/>
          <w:sz w:val="28"/>
        </w:rPr>
        <w:t>
       </w:t>
      </w:r>
    </w:p>
    <w:bookmarkEnd w:id="3516"/>
    <w:bookmarkStart w:name="z3567" w:id="3517"/>
    <w:p>
      <w:pPr>
        <w:spacing w:after="0"/>
        <w:ind w:left="0"/>
        <w:jc w:val="both"/>
      </w:pPr>
      <w:r>
        <w:rPr>
          <w:rFonts w:ascii="Times New Roman"/>
          <w:b w:val="false"/>
          <w:i w:val="false"/>
          <w:color w:val="000000"/>
          <w:sz w:val="28"/>
        </w:rPr>
        <w:t>
      Статистические методы</w:t>
      </w:r>
    </w:p>
    <w:bookmarkEnd w:id="3517"/>
    <w:bookmarkStart w:name="z3568" w:id="3518"/>
    <w:p>
      <w:pPr>
        <w:spacing w:after="0"/>
        <w:ind w:left="0"/>
        <w:jc w:val="both"/>
      </w:pPr>
      <w:r>
        <w:rPr>
          <w:rFonts w:ascii="Times New Roman"/>
          <w:b w:val="false"/>
          <w:i w:val="false"/>
          <w:color w:val="000000"/>
          <w:sz w:val="28"/>
        </w:rPr>
        <w:t>
      Результаты</w:t>
      </w:r>
    </w:p>
    <w:bookmarkEnd w:id="3518"/>
    <w:bookmarkStart w:name="z3569" w:id="3519"/>
    <w:p>
      <w:pPr>
        <w:spacing w:after="0"/>
        <w:ind w:left="0"/>
        <w:jc w:val="both"/>
      </w:pPr>
      <w:r>
        <w:rPr>
          <w:rFonts w:ascii="Times New Roman"/>
          <w:b w:val="false"/>
          <w:i w:val="false"/>
          <w:color w:val="000000"/>
          <w:sz w:val="28"/>
        </w:rPr>
        <w:t>
      Схема распределения участников (следует использовать данный формат, по мере необходимости допускается внесение в него изменений)</w:t>
      </w:r>
    </w:p>
    <w:bookmarkEnd w:id="3519"/>
    <w:bookmarkStart w:name="z3570" w:id="3520"/>
    <w:p>
      <w:pPr>
        <w:spacing w:after="0"/>
        <w:ind w:left="0"/>
        <w:jc w:val="both"/>
      </w:pPr>
      <w:r>
        <w:rPr>
          <w:rFonts w:ascii="Times New Roman"/>
          <w:b w:val="false"/>
          <w:i w:val="false"/>
          <w:color w:val="000000"/>
          <w:sz w:val="28"/>
        </w:rPr>
        <w:t xml:space="preserve">
      </w:t>
      </w:r>
    </w:p>
    <w:bookmarkEnd w:id="35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71" w:id="3521"/>
    <w:p>
      <w:pPr>
        <w:spacing w:after="0"/>
        <w:ind w:left="0"/>
        <w:jc w:val="both"/>
      </w:pPr>
      <w:r>
        <w:rPr>
          <w:rFonts w:ascii="Times New Roman"/>
          <w:b w:val="false"/>
          <w:i w:val="false"/>
          <w:color w:val="000000"/>
          <w:sz w:val="28"/>
        </w:rPr>
        <w:t>
      Набор для участия в исследовании</w:t>
      </w:r>
    </w:p>
    <w:bookmarkEnd w:id="3521"/>
    <w:bookmarkStart w:name="z3572" w:id="3522"/>
    <w:p>
      <w:pPr>
        <w:spacing w:after="0"/>
        <w:ind w:left="0"/>
        <w:jc w:val="both"/>
      </w:pPr>
      <w:r>
        <w:rPr>
          <w:rFonts w:ascii="Times New Roman"/>
          <w:b w:val="false"/>
          <w:i w:val="false"/>
          <w:color w:val="000000"/>
          <w:sz w:val="28"/>
        </w:rPr>
        <w:t>
       </w:t>
      </w:r>
    </w:p>
    <w:bookmarkEnd w:id="3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3523"/>
          <w:p>
            <w:pPr>
              <w:spacing w:after="20"/>
              <w:ind w:left="20"/>
              <w:jc w:val="both"/>
            </w:pPr>
            <w:r>
              <w:rPr>
                <w:rFonts w:ascii="Times New Roman"/>
                <w:b w:val="false"/>
                <w:i w:val="false"/>
                <w:color w:val="000000"/>
                <w:sz w:val="20"/>
              </w:rPr>
              <w:t xml:space="preserve">
Комментарий эксперта </w:t>
            </w:r>
          </w:p>
          <w:bookmarkEnd w:id="3523"/>
        </w:tc>
      </w:tr>
    </w:tbl>
    <w:bookmarkStart w:name="z3574" w:id="3524"/>
    <w:p>
      <w:pPr>
        <w:spacing w:after="0"/>
        <w:ind w:left="0"/>
        <w:jc w:val="both"/>
      </w:pPr>
      <w:r>
        <w:rPr>
          <w:rFonts w:ascii="Times New Roman"/>
          <w:b w:val="false"/>
          <w:i w:val="false"/>
          <w:color w:val="000000"/>
          <w:sz w:val="28"/>
        </w:rPr>
        <w:t>
       </w:t>
      </w:r>
    </w:p>
    <w:bookmarkEnd w:id="3524"/>
    <w:bookmarkStart w:name="z3575" w:id="3525"/>
    <w:p>
      <w:pPr>
        <w:spacing w:after="0"/>
        <w:ind w:left="0"/>
        <w:jc w:val="both"/>
      </w:pPr>
      <w:r>
        <w:rPr>
          <w:rFonts w:ascii="Times New Roman"/>
          <w:b w:val="false"/>
          <w:i w:val="false"/>
          <w:color w:val="000000"/>
          <w:sz w:val="28"/>
        </w:rPr>
        <w:t>
      Проведение исследования</w:t>
      </w:r>
    </w:p>
    <w:bookmarkEnd w:id="3525"/>
    <w:bookmarkStart w:name="z3576" w:id="3526"/>
    <w:p>
      <w:pPr>
        <w:spacing w:after="0"/>
        <w:ind w:left="0"/>
        <w:jc w:val="both"/>
      </w:pPr>
      <w:r>
        <w:rPr>
          <w:rFonts w:ascii="Times New Roman"/>
          <w:b w:val="false"/>
          <w:i w:val="false"/>
          <w:color w:val="000000"/>
          <w:sz w:val="28"/>
        </w:rPr>
        <w:t>
       </w:t>
      </w:r>
    </w:p>
    <w:bookmarkEnd w:id="3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527"/>
          <w:p>
            <w:pPr>
              <w:spacing w:after="20"/>
              <w:ind w:left="20"/>
              <w:jc w:val="both"/>
            </w:pPr>
            <w:r>
              <w:rPr>
                <w:rFonts w:ascii="Times New Roman"/>
                <w:b w:val="false"/>
                <w:i w:val="false"/>
                <w:color w:val="000000"/>
                <w:sz w:val="20"/>
              </w:rPr>
              <w:t xml:space="preserve">
Комментарий эксперта </w:t>
            </w:r>
          </w:p>
          <w:bookmarkEnd w:id="3527"/>
        </w:tc>
      </w:tr>
    </w:tbl>
    <w:bookmarkStart w:name="z3578" w:id="3528"/>
    <w:p>
      <w:pPr>
        <w:spacing w:after="0"/>
        <w:ind w:left="0"/>
        <w:jc w:val="both"/>
      </w:pPr>
      <w:r>
        <w:rPr>
          <w:rFonts w:ascii="Times New Roman"/>
          <w:b w:val="false"/>
          <w:i w:val="false"/>
          <w:color w:val="000000"/>
          <w:sz w:val="28"/>
        </w:rPr>
        <w:t>
       </w:t>
      </w:r>
    </w:p>
    <w:bookmarkEnd w:id="3528"/>
    <w:bookmarkStart w:name="z3579" w:id="3529"/>
    <w:p>
      <w:pPr>
        <w:spacing w:after="0"/>
        <w:ind w:left="0"/>
        <w:jc w:val="both"/>
      </w:pPr>
      <w:r>
        <w:rPr>
          <w:rFonts w:ascii="Times New Roman"/>
          <w:b w:val="false"/>
          <w:i w:val="false"/>
          <w:color w:val="000000"/>
          <w:sz w:val="28"/>
        </w:rPr>
        <w:t>
      Исходные данные</w:t>
      </w:r>
    </w:p>
    <w:bookmarkEnd w:id="3529"/>
    <w:bookmarkStart w:name="z3580" w:id="3530"/>
    <w:p>
      <w:pPr>
        <w:spacing w:after="0"/>
        <w:ind w:left="0"/>
        <w:jc w:val="both"/>
      </w:pPr>
      <w:r>
        <w:rPr>
          <w:rFonts w:ascii="Times New Roman"/>
          <w:b w:val="false"/>
          <w:i w:val="false"/>
          <w:color w:val="000000"/>
          <w:sz w:val="28"/>
        </w:rPr>
        <w:t>
       </w:t>
      </w:r>
    </w:p>
    <w:bookmarkEnd w:id="3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531"/>
          <w:p>
            <w:pPr>
              <w:spacing w:after="20"/>
              <w:ind w:left="20"/>
              <w:jc w:val="both"/>
            </w:pPr>
            <w:r>
              <w:rPr>
                <w:rFonts w:ascii="Times New Roman"/>
                <w:b w:val="false"/>
                <w:i w:val="false"/>
                <w:color w:val="000000"/>
                <w:sz w:val="20"/>
              </w:rPr>
              <w:t xml:space="preserve">
Комментарий эксперта </w:t>
            </w:r>
          </w:p>
          <w:bookmarkEnd w:id="3531"/>
        </w:tc>
      </w:tr>
    </w:tbl>
    <w:bookmarkStart w:name="z3582" w:id="3532"/>
    <w:p>
      <w:pPr>
        <w:spacing w:after="0"/>
        <w:ind w:left="0"/>
        <w:jc w:val="both"/>
      </w:pPr>
      <w:r>
        <w:rPr>
          <w:rFonts w:ascii="Times New Roman"/>
          <w:b w:val="false"/>
          <w:i w:val="false"/>
          <w:color w:val="000000"/>
          <w:sz w:val="28"/>
        </w:rPr>
        <w:t>
       </w:t>
      </w:r>
    </w:p>
    <w:bookmarkEnd w:id="3532"/>
    <w:bookmarkStart w:name="z3583" w:id="3533"/>
    <w:p>
      <w:pPr>
        <w:spacing w:after="0"/>
        <w:ind w:left="0"/>
        <w:jc w:val="both"/>
      </w:pPr>
      <w:r>
        <w:rPr>
          <w:rFonts w:ascii="Times New Roman"/>
          <w:b w:val="false"/>
          <w:i w:val="false"/>
          <w:color w:val="000000"/>
          <w:sz w:val="28"/>
        </w:rPr>
        <w:t>
      Проанализированная выборка</w:t>
      </w:r>
    </w:p>
    <w:bookmarkEnd w:id="3533"/>
    <w:bookmarkStart w:name="z3584" w:id="3534"/>
    <w:p>
      <w:pPr>
        <w:spacing w:after="0"/>
        <w:ind w:left="0"/>
        <w:jc w:val="both"/>
      </w:pPr>
      <w:r>
        <w:rPr>
          <w:rFonts w:ascii="Times New Roman"/>
          <w:b w:val="false"/>
          <w:i w:val="false"/>
          <w:color w:val="000000"/>
          <w:sz w:val="28"/>
        </w:rPr>
        <w:t>
       </w:t>
      </w:r>
    </w:p>
    <w:bookmarkEnd w:id="3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535"/>
          <w:p>
            <w:pPr>
              <w:spacing w:after="20"/>
              <w:ind w:left="20"/>
              <w:jc w:val="both"/>
            </w:pPr>
            <w:r>
              <w:rPr>
                <w:rFonts w:ascii="Times New Roman"/>
                <w:b w:val="false"/>
                <w:i w:val="false"/>
                <w:color w:val="000000"/>
                <w:sz w:val="20"/>
              </w:rPr>
              <w:t xml:space="preserve">
Комментарий эксперта </w:t>
            </w:r>
          </w:p>
          <w:bookmarkEnd w:id="3535"/>
        </w:tc>
      </w:tr>
    </w:tbl>
    <w:bookmarkStart w:name="z3586" w:id="3536"/>
    <w:p>
      <w:pPr>
        <w:spacing w:after="0"/>
        <w:ind w:left="0"/>
        <w:jc w:val="both"/>
      </w:pPr>
      <w:r>
        <w:rPr>
          <w:rFonts w:ascii="Times New Roman"/>
          <w:b w:val="false"/>
          <w:i w:val="false"/>
          <w:color w:val="000000"/>
          <w:sz w:val="28"/>
        </w:rPr>
        <w:t>
       </w:t>
      </w:r>
    </w:p>
    <w:bookmarkEnd w:id="3536"/>
    <w:bookmarkStart w:name="z3587" w:id="3537"/>
    <w:p>
      <w:pPr>
        <w:spacing w:after="0"/>
        <w:ind w:left="0"/>
        <w:jc w:val="both"/>
      </w:pPr>
      <w:r>
        <w:rPr>
          <w:rFonts w:ascii="Times New Roman"/>
          <w:b w:val="false"/>
          <w:i w:val="false"/>
          <w:color w:val="000000"/>
          <w:sz w:val="28"/>
        </w:rPr>
        <w:t>
      Исходы и их оценка</w:t>
      </w:r>
    </w:p>
    <w:bookmarkEnd w:id="3537"/>
    <w:bookmarkStart w:name="z3588" w:id="3538"/>
    <w:p>
      <w:pPr>
        <w:spacing w:after="0"/>
        <w:ind w:left="0"/>
        <w:jc w:val="both"/>
      </w:pPr>
      <w:r>
        <w:rPr>
          <w:rFonts w:ascii="Times New Roman"/>
          <w:b w:val="false"/>
          <w:i w:val="false"/>
          <w:color w:val="000000"/>
          <w:sz w:val="28"/>
        </w:rPr>
        <w:t>
       </w:t>
      </w:r>
    </w:p>
    <w:bookmarkEnd w:id="3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539"/>
          <w:p>
            <w:pPr>
              <w:spacing w:after="20"/>
              <w:ind w:left="20"/>
              <w:jc w:val="both"/>
            </w:pPr>
            <w:r>
              <w:rPr>
                <w:rFonts w:ascii="Times New Roman"/>
                <w:b w:val="false"/>
                <w:i w:val="false"/>
                <w:color w:val="000000"/>
                <w:sz w:val="20"/>
              </w:rPr>
              <w:t xml:space="preserve">
Комментарий эксперта </w:t>
            </w:r>
          </w:p>
          <w:bookmarkEnd w:id="3539"/>
        </w:tc>
      </w:tr>
    </w:tbl>
    <w:bookmarkStart w:name="z3590" w:id="3540"/>
    <w:p>
      <w:pPr>
        <w:spacing w:after="0"/>
        <w:ind w:left="0"/>
        <w:jc w:val="both"/>
      </w:pPr>
      <w:r>
        <w:rPr>
          <w:rFonts w:ascii="Times New Roman"/>
          <w:b w:val="false"/>
          <w:i w:val="false"/>
          <w:color w:val="000000"/>
          <w:sz w:val="28"/>
        </w:rPr>
        <w:t>
       </w:t>
      </w:r>
    </w:p>
    <w:bookmarkEnd w:id="3540"/>
    <w:bookmarkStart w:name="z3591" w:id="3541"/>
    <w:p>
      <w:pPr>
        <w:spacing w:after="0"/>
        <w:ind w:left="0"/>
        <w:jc w:val="both"/>
      </w:pPr>
      <w:r>
        <w:rPr>
          <w:rFonts w:ascii="Times New Roman"/>
          <w:b w:val="false"/>
          <w:i w:val="false"/>
          <w:color w:val="000000"/>
          <w:sz w:val="28"/>
        </w:rPr>
        <w:t>
      Дополнительные анализы</w:t>
      </w:r>
    </w:p>
    <w:bookmarkEnd w:id="3541"/>
    <w:bookmarkStart w:name="z3592" w:id="3542"/>
    <w:p>
      <w:pPr>
        <w:spacing w:after="0"/>
        <w:ind w:left="0"/>
        <w:jc w:val="both"/>
      </w:pPr>
      <w:r>
        <w:rPr>
          <w:rFonts w:ascii="Times New Roman"/>
          <w:b w:val="false"/>
          <w:i w:val="false"/>
          <w:color w:val="000000"/>
          <w:sz w:val="28"/>
        </w:rPr>
        <w:t>
       </w:t>
      </w:r>
    </w:p>
    <w:bookmarkEnd w:id="3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543"/>
          <w:p>
            <w:pPr>
              <w:spacing w:after="20"/>
              <w:ind w:left="20"/>
              <w:jc w:val="both"/>
            </w:pPr>
            <w:r>
              <w:rPr>
                <w:rFonts w:ascii="Times New Roman"/>
                <w:b w:val="false"/>
                <w:i w:val="false"/>
                <w:color w:val="000000"/>
                <w:sz w:val="20"/>
              </w:rPr>
              <w:t xml:space="preserve">
Комментарий эксперта </w:t>
            </w:r>
          </w:p>
          <w:bookmarkEnd w:id="3543"/>
        </w:tc>
      </w:tr>
    </w:tbl>
    <w:bookmarkStart w:name="z3594" w:id="3544"/>
    <w:p>
      <w:pPr>
        <w:spacing w:after="0"/>
        <w:ind w:left="0"/>
        <w:jc w:val="both"/>
      </w:pPr>
      <w:r>
        <w:rPr>
          <w:rFonts w:ascii="Times New Roman"/>
          <w:b w:val="false"/>
          <w:i w:val="false"/>
          <w:color w:val="000000"/>
          <w:sz w:val="28"/>
        </w:rPr>
        <w:t>
       </w:t>
      </w:r>
    </w:p>
    <w:bookmarkEnd w:id="3544"/>
    <w:bookmarkStart w:name="z3595" w:id="3545"/>
    <w:p>
      <w:pPr>
        <w:spacing w:after="0"/>
        <w:ind w:left="0"/>
        <w:jc w:val="both"/>
      </w:pPr>
      <w:r>
        <w:rPr>
          <w:rFonts w:ascii="Times New Roman"/>
          <w:b w:val="false"/>
          <w:i w:val="false"/>
          <w:color w:val="000000"/>
          <w:sz w:val="28"/>
        </w:rPr>
        <w:t>
      Краткий обзор основных результатов эффективности</w:t>
      </w:r>
    </w:p>
    <w:bookmarkEnd w:id="3545"/>
    <w:bookmarkStart w:name="z3596" w:id="3546"/>
    <w:p>
      <w:pPr>
        <w:spacing w:after="0"/>
        <w:ind w:left="0"/>
        <w:jc w:val="both"/>
      </w:pPr>
      <w:r>
        <w:rPr>
          <w:rFonts w:ascii="Times New Roman"/>
          <w:b w:val="false"/>
          <w:i w:val="false"/>
          <w:color w:val="000000"/>
          <w:sz w:val="28"/>
        </w:rPr>
        <w:t>
       </w:t>
      </w:r>
    </w:p>
    <w:bookmarkEnd w:id="3546"/>
    <w:bookmarkStart w:name="z3597" w:id="3547"/>
    <w:p>
      <w:pPr>
        <w:spacing w:after="0"/>
        <w:ind w:left="0"/>
        <w:jc w:val="both"/>
      </w:pPr>
      <w:r>
        <w:rPr>
          <w:rFonts w:ascii="Times New Roman"/>
          <w:b w:val="false"/>
          <w:i w:val="false"/>
          <w:color w:val="000000"/>
          <w:sz w:val="28"/>
        </w:rPr>
        <w:t>
      В следующих таблицах собраны результаты основных исследований эффективности, подтверждающих адекватность настоящей заявления. Данную сводную информацию следует рассматривать в сочетании с комментариями относительно клинической эффективности, а также обзором соотношения риск-польза (см. следующие разделы).</w:t>
      </w:r>
    </w:p>
    <w:bookmarkEnd w:id="3547"/>
    <w:bookmarkStart w:name="z3598" w:id="3548"/>
    <w:p>
      <w:pPr>
        <w:spacing w:after="0"/>
        <w:ind w:left="0"/>
        <w:jc w:val="left"/>
      </w:pPr>
      <w:r>
        <w:rPr>
          <w:rFonts w:ascii="Times New Roman"/>
          <w:b/>
          <w:i w:val="false"/>
          <w:color w:val="000000"/>
        </w:rPr>
        <w:t xml:space="preserve"> Краткая информация об основных результатах исследования (исследование эффективности) </w:t>
      </w:r>
    </w:p>
    <w:bookmarkEnd w:id="3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549"/>
          <w:p>
            <w:pPr>
              <w:spacing w:after="20"/>
              <w:ind w:left="20"/>
              <w:jc w:val="both"/>
            </w:pPr>
            <w:r>
              <w:rPr>
                <w:rFonts w:ascii="Times New Roman"/>
                <w:b w:val="false"/>
                <w:i w:val="false"/>
                <w:color w:val="000000"/>
                <w:sz w:val="20"/>
              </w:rPr>
              <w:t>
Наименование (как указано в отчете о проведении исследования)</w:t>
            </w:r>
          </w:p>
          <w:bookmarkEnd w:id="3549"/>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550"/>
          <w:p>
            <w:pPr>
              <w:spacing w:after="20"/>
              <w:ind w:left="20"/>
              <w:jc w:val="both"/>
            </w:pPr>
            <w:r>
              <w:rPr>
                <w:rFonts w:ascii="Times New Roman"/>
                <w:b w:val="false"/>
                <w:i w:val="false"/>
                <w:color w:val="000000"/>
                <w:sz w:val="20"/>
              </w:rPr>
              <w:t xml:space="preserve">
Идентификационный номер исследования </w:t>
            </w:r>
          </w:p>
          <w:bookmarkEnd w:id="35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всех кодов, начинающихся с номера протокола, за которыми следует (при наличии) номер Европейской базы данных клинических исследований, Международный стандартный номер рандомизированного клинического исследования, и прочие коды для перекрестной ссылки на публикации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3551"/>
          <w:p>
            <w:pPr>
              <w:spacing w:after="20"/>
              <w:ind w:left="20"/>
              <w:jc w:val="both"/>
            </w:pPr>
            <w:r>
              <w:rPr>
                <w:rFonts w:ascii="Times New Roman"/>
                <w:b w:val="false"/>
                <w:i w:val="false"/>
                <w:color w:val="000000"/>
                <w:sz w:val="20"/>
              </w:rPr>
              <w:t xml:space="preserve">
Дизайн исследования </w:t>
            </w:r>
          </w:p>
          <w:bookmarkEnd w:id="35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произвольный текст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опишите ключевые элементы дизайна исследования (перекрестный, параллельный, факторный, предусматривающий повышение дозы, с анализом эффекта фиксированной дозы), включая исследования с рандомизацией, "ослеплением", маскировкой распределения, одно- много-центровые исследования, и т.д.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основного этапа: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не применимо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подготовительной фазы: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не применимо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фазы дополнительного лечения: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552"/>
          <w:p>
            <w:pPr>
              <w:spacing w:after="20"/>
              <w:ind w:left="20"/>
              <w:jc w:val="both"/>
            </w:pPr>
            <w:r>
              <w:rPr>
                <w:rFonts w:ascii="Times New Roman"/>
                <w:b w:val="false"/>
                <w:i w:val="false"/>
                <w:color w:val="000000"/>
                <w:sz w:val="20"/>
              </w:rPr>
              <w:t xml:space="preserve">
Гипотеза </w:t>
            </w:r>
          </w:p>
          <w:bookmarkEnd w:id="35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преимуществ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аналогичность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неменьшая эффективность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обзорная: указать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553"/>
          <w:p>
            <w:pPr>
              <w:spacing w:after="20"/>
              <w:ind w:left="20"/>
              <w:jc w:val="both"/>
            </w:pPr>
            <w:r>
              <w:rPr>
                <w:rFonts w:ascii="Times New Roman"/>
                <w:b w:val="false"/>
                <w:i w:val="false"/>
                <w:color w:val="000000"/>
                <w:sz w:val="20"/>
              </w:rPr>
              <w:t xml:space="preserve">
Группы лечения (добавьте строки в количестве, необходимом для описания групп лечения) </w:t>
            </w:r>
          </w:p>
          <w:bookmarkEnd w:id="35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(укажите аббревиатуру для дальнейшего использования в таблице раздела с описанием результатов)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рандомизированных субъектов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рандомизированных субъектов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рандомизированных субъектов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554"/>
          <w:p>
            <w:pPr>
              <w:spacing w:after="20"/>
              <w:ind w:left="20"/>
              <w:jc w:val="both"/>
            </w:pPr>
            <w:r>
              <w:rPr>
                <w:rFonts w:ascii="Times New Roman"/>
                <w:b w:val="false"/>
                <w:i w:val="false"/>
                <w:color w:val="000000"/>
                <w:sz w:val="20"/>
              </w:rPr>
              <w:t>
Точки клинического исследования (добавьте строки в количестве, необходимом для описания точек клинического исследования;</w:t>
            </w:r>
          </w:p>
          <w:bookmarkEnd w:id="3554"/>
          <w:p>
            <w:pPr>
              <w:spacing w:after="20"/>
              <w:ind w:left="20"/>
              <w:jc w:val="both"/>
            </w:pPr>
            <w:r>
              <w:rPr>
                <w:rFonts w:ascii="Times New Roman"/>
                <w:b w:val="false"/>
                <w:i w:val="false"/>
                <w:color w:val="000000"/>
                <w:sz w:val="20"/>
              </w:rPr>
              <w:t xml:space="preserve">в качестве второстепенных клинических точек укажите наиболее актуальные точки, указанные в разделе с описанием результатов)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w:t>
            </w:r>
          </w:p>
          <w:p>
            <w:pPr>
              <w:spacing w:after="20"/>
              <w:ind w:left="20"/>
              <w:jc w:val="both"/>
            </w:pPr>
            <w:r>
              <w:rPr>
                <w:rFonts w:ascii="Times New Roman"/>
                <w:b w:val="false"/>
                <w:i w:val="false"/>
                <w:color w:val="000000"/>
                <w:sz w:val="20"/>
              </w:rPr>
              <w:t xml:space="preserve">первичная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условное обозначение (укажите аббревиатуру для дальнейшего использования в таблице раздела с описанием результатов)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произвольный текст (приведите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точка клинического исследования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второстепенная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условное обозначение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произвольный текст (приведите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xml:space="preserve">укажите точку клинического исследования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555"/>
          <w:p>
            <w:pPr>
              <w:spacing w:after="20"/>
              <w:ind w:left="20"/>
              <w:jc w:val="both"/>
            </w:pPr>
          </w:p>
          <w:bookmarkEnd w:id="3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Второстепенная</w:t>
            </w:r>
          </w:p>
          <w:p>
            <w:pPr>
              <w:spacing w:after="20"/>
              <w:ind w:left="20"/>
              <w:jc w:val="both"/>
            </w:pPr>
            <w:r>
              <w:rPr>
                <w:rFonts w:ascii="Times New Roman"/>
                <w:b w:val="false"/>
                <w:i w:val="false"/>
                <w:color w:val="000000"/>
                <w:sz w:val="20"/>
              </w:rPr>
              <w:t>прочее:</w:t>
            </w:r>
          </w:p>
          <w:p>
            <w:pPr>
              <w:spacing w:after="20"/>
              <w:ind w:left="20"/>
              <w:jc w:val="both"/>
            </w:pPr>
            <w:r>
              <w:rPr>
                <w:rFonts w:ascii="Times New Roman"/>
                <w:b w:val="false"/>
                <w:i w:val="false"/>
                <w:color w:val="000000"/>
                <w:sz w:val="20"/>
              </w:rPr>
              <w:t xml:space="preserve">
укажите точку клинического исследования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условное обозначение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произвольный текст (приведите краткое описание)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556"/>
          <w:p>
            <w:pPr>
              <w:spacing w:after="20"/>
              <w:ind w:left="20"/>
              <w:jc w:val="both"/>
            </w:pPr>
            <w:r>
              <w:rPr>
                <w:rFonts w:ascii="Times New Roman"/>
                <w:b w:val="false"/>
                <w:i w:val="false"/>
                <w:color w:val="000000"/>
                <w:sz w:val="20"/>
              </w:rPr>
              <w:t xml:space="preserve">
Закрытие базы данных </w:t>
            </w:r>
          </w:p>
          <w:bookmarkEnd w:id="35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557"/>
          <w:p>
            <w:pPr>
              <w:spacing w:after="20"/>
              <w:ind w:left="20"/>
              <w:jc w:val="both"/>
            </w:pPr>
            <w:r>
              <w:rPr>
                <w:rFonts w:ascii="Times New Roman"/>
                <w:b w:val="false"/>
                <w:i w:val="false"/>
                <w:color w:val="000000"/>
                <w:sz w:val="20"/>
              </w:rPr>
              <w:t xml:space="preserve">
Анализы и результаты (представьте отдельно по каждому анализу результат, сочтенный актуальным для включения в отчет об исследовании, в любом случае необходимо представить данные о заранее определенном первичном анализе) </w:t>
            </w:r>
          </w:p>
          <w:bookmarkEnd w:id="355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558"/>
          <w:p>
            <w:pPr>
              <w:spacing w:after="20"/>
              <w:ind w:left="20"/>
              <w:jc w:val="both"/>
            </w:pPr>
            <w:r>
              <w:rPr>
                <w:rFonts w:ascii="Times New Roman"/>
                <w:b w:val="false"/>
                <w:i w:val="false"/>
                <w:color w:val="000000"/>
                <w:sz w:val="20"/>
              </w:rPr>
              <w:t xml:space="preserve">
Описание анализа </w:t>
            </w:r>
          </w:p>
          <w:bookmarkEnd w:id="35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анализ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559"/>
          <w:p>
            <w:pPr>
              <w:spacing w:after="20"/>
              <w:ind w:left="20"/>
              <w:jc w:val="both"/>
            </w:pPr>
            <w:r>
              <w:rPr>
                <w:rFonts w:ascii="Times New Roman"/>
                <w:b w:val="false"/>
                <w:i w:val="false"/>
                <w:color w:val="000000"/>
                <w:sz w:val="20"/>
              </w:rPr>
              <w:t xml:space="preserve">
Анализируемая группа субъектов и описание временных точек </w:t>
            </w:r>
          </w:p>
          <w:bookmarkEnd w:id="35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выборочная совокупность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начавшие получать лечение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завершившие участие в исследовании в соответствии с протоколом</w:t>
            </w:r>
          </w:p>
          <w:p>
            <w:pPr>
              <w:spacing w:after="20"/>
              <w:ind w:left="20"/>
              <w:jc w:val="both"/>
            </w:pPr>
            <w:r>
              <w:rPr>
                <w:rFonts w:ascii="Times New Roman"/>
                <w:b w:val="false"/>
                <w:i w:val="false"/>
                <w:color w:val="000000"/>
                <w:sz w:val="20"/>
              </w:rPr>
              <w:t xml:space="preserve">прочее: указать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(может потребоваться включение краткого описания группы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временная точка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560"/>
          <w:p>
            <w:pPr>
              <w:spacing w:after="20"/>
              <w:ind w:left="20"/>
              <w:jc w:val="both"/>
            </w:pPr>
            <w:r>
              <w:rPr>
                <w:rFonts w:ascii="Times New Roman"/>
                <w:b w:val="false"/>
                <w:i w:val="false"/>
                <w:color w:val="000000"/>
                <w:sz w:val="20"/>
              </w:rPr>
              <w:t xml:space="preserve">
Описательная статистика и оценочная вариативность </w:t>
            </w:r>
          </w:p>
          <w:bookmarkEnd w:id="3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лечения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(согласно приведенной выше терминологии)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(согласно приведенной выше терминологии)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(согласно приведенной выше терминологии)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субъектов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точка клинического исследования (условное обозначение, как указано выше) статистика (например, среднее, медианное значение выборки, etc)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вариаций (например, стандартное отклонение, доверительный интервал и 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точка клинического исследования (статистика)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вариаций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точка клинического исследования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p>
            <w:pPr>
              <w:spacing w:after="20"/>
              <w:ind w:left="20"/>
              <w:jc w:val="both"/>
            </w:pPr>
            <w:r>
              <w:rPr>
                <w:rFonts w:ascii="Times New Roman"/>
                <w:b w:val="false"/>
                <w:i w:val="false"/>
                <w:color w:val="000000"/>
                <w:sz w:val="20"/>
              </w:rPr>
              <w:t xml:space="preserve">статистика вариаций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561"/>
          <w:p>
            <w:pPr>
              <w:spacing w:after="20"/>
              <w:ind w:left="20"/>
              <w:jc w:val="both"/>
            </w:pPr>
            <w:r>
              <w:rPr>
                <w:rFonts w:ascii="Times New Roman"/>
                <w:b w:val="false"/>
                <w:i w:val="false"/>
                <w:color w:val="000000"/>
                <w:sz w:val="20"/>
              </w:rPr>
              <w:t xml:space="preserve">
Оценка эффекта при сравнении (добавьте строки в количестве, необходимом для описания фактически выполненного статистического анализа) </w:t>
            </w:r>
          </w:p>
          <w:bookmarkEnd w:id="3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комбинированная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сравнения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(согласно приведенной выше терминологии)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p>
            <w:pPr>
              <w:spacing w:after="20"/>
              <w:ind w:left="20"/>
              <w:jc w:val="both"/>
            </w:pPr>
            <w:r>
              <w:rPr>
                <w:rFonts w:ascii="Times New Roman"/>
                <w:b w:val="false"/>
                <w:i w:val="false"/>
                <w:color w:val="000000"/>
                <w:sz w:val="20"/>
              </w:rPr>
              <w:t>точка клинического</w:t>
            </w:r>
          </w:p>
          <w:p>
            <w:pPr>
              <w:spacing w:after="20"/>
              <w:ind w:left="20"/>
              <w:jc w:val="both"/>
            </w:pPr>
            <w:r>
              <w:rPr>
                <w:rFonts w:ascii="Times New Roman"/>
                <w:b w:val="false"/>
                <w:i w:val="false"/>
                <w:color w:val="000000"/>
                <w:sz w:val="20"/>
              </w:rPr>
              <w:t xml:space="preserve">исследования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значимости (например, разница между группами)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вариаций (например, доверительный интервал и т.д.)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P (укажите использованный статистический метод, например, ANOVA)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P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комбинированная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сравнения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значимости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точечное оценивание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второстепенная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вариаций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вариативность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точку клинического исследования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точку клинического исследования, пользуясь терминологией, указанной выше в разделе "Точки клинического исследования и определения"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P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комбинированная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сравнения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кодированное обозначение группы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значимости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значимости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второстепенная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вариаций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вариаций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точку клинического исследования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P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562"/>
          <w:p>
            <w:pPr>
              <w:spacing w:after="20"/>
              <w:ind w:left="20"/>
              <w:jc w:val="both"/>
            </w:pPr>
            <w:r>
              <w:rPr>
                <w:rFonts w:ascii="Times New Roman"/>
                <w:b w:val="false"/>
                <w:i w:val="false"/>
                <w:color w:val="000000"/>
                <w:sz w:val="20"/>
              </w:rPr>
              <w:t xml:space="preserve">
Примечания </w:t>
            </w:r>
          </w:p>
          <w:bookmarkEnd w:id="35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произвольный текст</w:t>
            </w:r>
          </w:p>
          <w:p>
            <w:pPr>
              <w:spacing w:after="20"/>
              <w:ind w:left="20"/>
              <w:jc w:val="both"/>
            </w:pPr>
            <w:r>
              <w:rPr>
                <w:rFonts w:ascii="Times New Roman"/>
                <w:b w:val="false"/>
                <w:i w:val="false"/>
                <w:color w:val="000000"/>
                <w:sz w:val="20"/>
              </w:rPr>
              <w:t>(помимо прочего рассмотрите следующую информацию:</w:t>
            </w:r>
          </w:p>
          <w:p>
            <w:pPr>
              <w:spacing w:after="20"/>
              <w:ind w:left="20"/>
              <w:jc w:val="both"/>
            </w:pPr>
            <w:r>
              <w:rPr>
                <w:rFonts w:ascii="Times New Roman"/>
                <w:b w:val="false"/>
                <w:i w:val="false"/>
                <w:color w:val="000000"/>
                <w:sz w:val="20"/>
              </w:rPr>
              <w:t xml:space="preserve">причины выхода из исследования критически важные результаты анализа)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563"/>
          <w:p>
            <w:pPr>
              <w:spacing w:after="20"/>
              <w:ind w:left="20"/>
              <w:jc w:val="both"/>
            </w:pPr>
            <w:r>
              <w:rPr>
                <w:rFonts w:ascii="Times New Roman"/>
                <w:b w:val="false"/>
                <w:i w:val="false"/>
                <w:color w:val="000000"/>
                <w:sz w:val="20"/>
              </w:rPr>
              <w:t xml:space="preserve">
Описание анализа </w:t>
            </w:r>
          </w:p>
          <w:bookmarkEnd w:id="35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анализ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комбинированный первичный анализ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(также укажите, если проведение анализа было запланировано)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564"/>
          <w:p>
            <w:pPr>
              <w:spacing w:after="20"/>
              <w:ind w:left="20"/>
              <w:jc w:val="both"/>
            </w:pPr>
            <w:r>
              <w:rPr>
                <w:rFonts w:ascii="Times New Roman"/>
                <w:b w:val="false"/>
                <w:i w:val="false"/>
                <w:color w:val="000000"/>
                <w:sz w:val="20"/>
              </w:rPr>
              <w:t xml:space="preserve">
повторите вышеуказанные разделы в отношении каждого актуального анализа </w:t>
            </w:r>
          </w:p>
          <w:bookmarkEnd w:id="35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9" w:id="3565"/>
    <w:p>
      <w:pPr>
        <w:spacing w:after="0"/>
        <w:ind w:left="0"/>
        <w:jc w:val="both"/>
      </w:pPr>
      <w:r>
        <w:rPr>
          <w:rFonts w:ascii="Times New Roman"/>
          <w:b w:val="false"/>
          <w:i w:val="false"/>
          <w:color w:val="000000"/>
          <w:sz w:val="28"/>
        </w:rPr>
        <w:t>
      3.5. Клинические исследования у особых групп населения.</w:t>
      </w:r>
    </w:p>
    <w:bookmarkEnd w:id="3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566"/>
          <w:p>
            <w:pPr>
              <w:spacing w:after="20"/>
              <w:ind w:left="20"/>
              <w:jc w:val="both"/>
            </w:pPr>
          </w:p>
          <w:bookmarkEnd w:id="3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65 - 74 года (количество пожилых пациентов (общее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75 - 84 года (количество пожилых пациентов (общее количество))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85+ лет (количество пожилых пациентов (общее количество))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567"/>
          <w:p>
            <w:pPr>
              <w:spacing w:after="20"/>
              <w:ind w:left="20"/>
              <w:jc w:val="both"/>
            </w:pPr>
            <w:r>
              <w:rPr>
                <w:rFonts w:ascii="Times New Roman"/>
                <w:b w:val="false"/>
                <w:i w:val="false"/>
                <w:color w:val="000000"/>
                <w:sz w:val="20"/>
              </w:rPr>
              <w:t xml:space="preserve">
Контролируемые исследования </w:t>
            </w:r>
          </w:p>
          <w:bookmarkEnd w:id="3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568"/>
          <w:p>
            <w:pPr>
              <w:spacing w:after="20"/>
              <w:ind w:left="20"/>
              <w:jc w:val="both"/>
            </w:pPr>
            <w:r>
              <w:rPr>
                <w:rFonts w:ascii="Times New Roman"/>
                <w:b w:val="false"/>
                <w:i w:val="false"/>
                <w:color w:val="000000"/>
                <w:sz w:val="20"/>
              </w:rPr>
              <w:t xml:space="preserve">
Неконтролируемые исследования </w:t>
            </w:r>
          </w:p>
          <w:bookmarkEnd w:id="3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3" w:id="3569"/>
    <w:p>
      <w:pPr>
        <w:spacing w:after="0"/>
        <w:ind w:left="0"/>
        <w:jc w:val="both"/>
      </w:pPr>
      <w:r>
        <w:rPr>
          <w:rFonts w:ascii="Times New Roman"/>
          <w:b w:val="false"/>
          <w:i w:val="false"/>
          <w:color w:val="000000"/>
          <w:sz w:val="28"/>
        </w:rPr>
        <w:t>
       </w:t>
      </w:r>
    </w:p>
    <w:bookmarkEnd w:id="3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570"/>
          <w:p>
            <w:pPr>
              <w:spacing w:after="20"/>
              <w:ind w:left="20"/>
              <w:jc w:val="both"/>
            </w:pPr>
            <w:r>
              <w:rPr>
                <w:rFonts w:ascii="Times New Roman"/>
                <w:b w:val="false"/>
                <w:i w:val="false"/>
                <w:color w:val="000000"/>
                <w:sz w:val="20"/>
              </w:rPr>
              <w:t xml:space="preserve">
Комментарий эксперта </w:t>
            </w:r>
          </w:p>
          <w:bookmarkEnd w:id="3570"/>
        </w:tc>
      </w:tr>
    </w:tbl>
    <w:bookmarkStart w:name="z3675" w:id="3571"/>
    <w:p>
      <w:pPr>
        <w:spacing w:after="0"/>
        <w:ind w:left="0"/>
        <w:jc w:val="both"/>
      </w:pPr>
      <w:r>
        <w:rPr>
          <w:rFonts w:ascii="Times New Roman"/>
          <w:b w:val="false"/>
          <w:i w:val="false"/>
          <w:color w:val="000000"/>
          <w:sz w:val="28"/>
        </w:rPr>
        <w:t>
       </w:t>
      </w:r>
    </w:p>
    <w:bookmarkEnd w:id="3571"/>
    <w:bookmarkStart w:name="z3676" w:id="3572"/>
    <w:p>
      <w:pPr>
        <w:spacing w:after="0"/>
        <w:ind w:left="0"/>
        <w:jc w:val="both"/>
      </w:pPr>
      <w:r>
        <w:rPr>
          <w:rFonts w:ascii="Times New Roman"/>
          <w:b w:val="false"/>
          <w:i w:val="false"/>
          <w:color w:val="000000"/>
          <w:sz w:val="28"/>
        </w:rPr>
        <w:t>
      3.6. Анализ, выполняемый в рамках проведения испытаний (сводный анализ и мета-анализ).</w:t>
      </w:r>
    </w:p>
    <w:bookmarkEnd w:id="3572"/>
    <w:bookmarkStart w:name="z3677" w:id="3573"/>
    <w:p>
      <w:pPr>
        <w:spacing w:after="0"/>
        <w:ind w:left="0"/>
        <w:jc w:val="both"/>
      </w:pPr>
      <w:r>
        <w:rPr>
          <w:rFonts w:ascii="Times New Roman"/>
          <w:b w:val="false"/>
          <w:i w:val="false"/>
          <w:color w:val="000000"/>
          <w:sz w:val="28"/>
        </w:rPr>
        <w:t>
       </w:t>
      </w:r>
    </w:p>
    <w:bookmarkEnd w:id="3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574"/>
          <w:p>
            <w:pPr>
              <w:spacing w:after="20"/>
              <w:ind w:left="20"/>
              <w:jc w:val="both"/>
            </w:pPr>
            <w:r>
              <w:rPr>
                <w:rFonts w:ascii="Times New Roman"/>
                <w:b w:val="false"/>
                <w:i w:val="false"/>
                <w:color w:val="000000"/>
                <w:sz w:val="20"/>
              </w:rPr>
              <w:t xml:space="preserve">
Комментарий эксперта </w:t>
            </w:r>
          </w:p>
          <w:bookmarkEnd w:id="3574"/>
        </w:tc>
      </w:tr>
    </w:tbl>
    <w:bookmarkStart w:name="z3679" w:id="3575"/>
    <w:p>
      <w:pPr>
        <w:spacing w:after="0"/>
        <w:ind w:left="0"/>
        <w:jc w:val="both"/>
      </w:pPr>
      <w:r>
        <w:rPr>
          <w:rFonts w:ascii="Times New Roman"/>
          <w:b w:val="false"/>
          <w:i w:val="false"/>
          <w:color w:val="000000"/>
          <w:sz w:val="28"/>
        </w:rPr>
        <w:t>
       </w:t>
      </w:r>
    </w:p>
    <w:bookmarkEnd w:id="3575"/>
    <w:bookmarkStart w:name="z3680" w:id="3576"/>
    <w:p>
      <w:pPr>
        <w:spacing w:after="0"/>
        <w:ind w:left="0"/>
        <w:jc w:val="both"/>
      </w:pPr>
      <w:r>
        <w:rPr>
          <w:rFonts w:ascii="Times New Roman"/>
          <w:b w:val="false"/>
          <w:i w:val="false"/>
          <w:color w:val="000000"/>
          <w:sz w:val="28"/>
        </w:rPr>
        <w:t>
      3.7. Дополнительные исследования.</w:t>
      </w:r>
    </w:p>
    <w:bookmarkEnd w:id="3576"/>
    <w:bookmarkStart w:name="z3681" w:id="3577"/>
    <w:p>
      <w:pPr>
        <w:spacing w:after="0"/>
        <w:ind w:left="0"/>
        <w:jc w:val="both"/>
      </w:pPr>
      <w:r>
        <w:rPr>
          <w:rFonts w:ascii="Times New Roman"/>
          <w:b w:val="false"/>
          <w:i w:val="false"/>
          <w:color w:val="000000"/>
          <w:sz w:val="28"/>
        </w:rPr>
        <w:t>
       </w:t>
      </w:r>
    </w:p>
    <w:bookmarkEnd w:id="3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578"/>
          <w:p>
            <w:pPr>
              <w:spacing w:after="20"/>
              <w:ind w:left="20"/>
              <w:jc w:val="both"/>
            </w:pPr>
            <w:r>
              <w:rPr>
                <w:rFonts w:ascii="Times New Roman"/>
                <w:b w:val="false"/>
                <w:i w:val="false"/>
                <w:color w:val="000000"/>
                <w:sz w:val="20"/>
              </w:rPr>
              <w:t xml:space="preserve">
Комментарий эксперта </w:t>
            </w:r>
          </w:p>
          <w:bookmarkEnd w:id="3578"/>
        </w:tc>
      </w:tr>
    </w:tbl>
    <w:bookmarkStart w:name="z3683" w:id="3579"/>
    <w:p>
      <w:pPr>
        <w:spacing w:after="0"/>
        <w:ind w:left="0"/>
        <w:jc w:val="both"/>
      </w:pPr>
      <w:r>
        <w:rPr>
          <w:rFonts w:ascii="Times New Roman"/>
          <w:b w:val="false"/>
          <w:i w:val="false"/>
          <w:color w:val="000000"/>
          <w:sz w:val="28"/>
        </w:rPr>
        <w:t>
       </w:t>
      </w:r>
    </w:p>
    <w:bookmarkEnd w:id="3579"/>
    <w:bookmarkStart w:name="z3684" w:id="3580"/>
    <w:p>
      <w:pPr>
        <w:spacing w:after="0"/>
        <w:ind w:left="0"/>
        <w:jc w:val="both"/>
      </w:pPr>
      <w:r>
        <w:rPr>
          <w:rFonts w:ascii="Times New Roman"/>
          <w:b w:val="false"/>
          <w:i w:val="false"/>
          <w:color w:val="000000"/>
          <w:sz w:val="28"/>
        </w:rPr>
        <w:t>
      3.8. Общее заключение эксперта по оценке клинической эффективности.</w:t>
      </w:r>
    </w:p>
    <w:bookmarkEnd w:id="3580"/>
    <w:bookmarkStart w:name="z3685" w:id="3581"/>
    <w:p>
      <w:pPr>
        <w:spacing w:after="0"/>
        <w:ind w:left="0"/>
        <w:jc w:val="both"/>
      </w:pPr>
      <w:r>
        <w:rPr>
          <w:rFonts w:ascii="Times New Roman"/>
          <w:b w:val="false"/>
          <w:i w:val="false"/>
          <w:color w:val="000000"/>
          <w:sz w:val="28"/>
        </w:rPr>
        <w:t>
      Выводы по клинической эффективности</w:t>
      </w:r>
    </w:p>
    <w:bookmarkEnd w:id="3581"/>
    <w:bookmarkStart w:name="z3686" w:id="3582"/>
    <w:p>
      <w:pPr>
        <w:spacing w:after="0"/>
        <w:ind w:left="0"/>
        <w:jc w:val="both"/>
      </w:pPr>
      <w:r>
        <w:rPr>
          <w:rFonts w:ascii="Times New Roman"/>
          <w:b w:val="false"/>
          <w:i w:val="false"/>
          <w:color w:val="000000"/>
          <w:sz w:val="28"/>
        </w:rPr>
        <w:t>
       </w:t>
      </w:r>
    </w:p>
    <w:bookmarkEnd w:id="3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583"/>
          <w:p>
            <w:pPr>
              <w:spacing w:after="20"/>
              <w:ind w:left="20"/>
              <w:jc w:val="both"/>
            </w:pPr>
            <w:r>
              <w:rPr>
                <w:rFonts w:ascii="Times New Roman"/>
                <w:b w:val="false"/>
                <w:i w:val="false"/>
                <w:color w:val="000000"/>
                <w:sz w:val="20"/>
              </w:rPr>
              <w:t xml:space="preserve">
Комментарий эксперта </w:t>
            </w:r>
          </w:p>
          <w:bookmarkEnd w:id="3583"/>
        </w:tc>
      </w:tr>
    </w:tbl>
    <w:bookmarkStart w:name="z3688" w:id="3584"/>
    <w:p>
      <w:pPr>
        <w:spacing w:after="0"/>
        <w:ind w:left="0"/>
        <w:jc w:val="both"/>
      </w:pPr>
      <w:r>
        <w:rPr>
          <w:rFonts w:ascii="Times New Roman"/>
          <w:b w:val="false"/>
          <w:i w:val="false"/>
          <w:color w:val="000000"/>
          <w:sz w:val="28"/>
        </w:rPr>
        <w:t>
       </w:t>
      </w:r>
    </w:p>
    <w:bookmarkEnd w:id="3584"/>
    <w:bookmarkStart w:name="z3689" w:id="3585"/>
    <w:p>
      <w:pPr>
        <w:spacing w:after="0"/>
        <w:ind w:left="0"/>
        <w:jc w:val="both"/>
      </w:pPr>
      <w:r>
        <w:rPr>
          <w:rFonts w:ascii="Times New Roman"/>
          <w:b w:val="false"/>
          <w:i w:val="false"/>
          <w:color w:val="000000"/>
          <w:sz w:val="28"/>
        </w:rPr>
        <w:t>
      Дизайн и проведение клинических исследований</w:t>
      </w:r>
    </w:p>
    <w:bookmarkEnd w:id="3585"/>
    <w:bookmarkStart w:name="z3690" w:id="3586"/>
    <w:p>
      <w:pPr>
        <w:spacing w:after="0"/>
        <w:ind w:left="0"/>
        <w:jc w:val="both"/>
      </w:pPr>
      <w:r>
        <w:rPr>
          <w:rFonts w:ascii="Times New Roman"/>
          <w:b w:val="false"/>
          <w:i w:val="false"/>
          <w:color w:val="000000"/>
          <w:sz w:val="28"/>
        </w:rPr>
        <w:t>
      Данные эффективности и дополнительные анализы</w:t>
      </w:r>
    </w:p>
    <w:bookmarkEnd w:id="3586"/>
    <w:bookmarkStart w:name="z3691" w:id="3587"/>
    <w:p>
      <w:pPr>
        <w:spacing w:after="0"/>
        <w:ind w:left="0"/>
        <w:jc w:val="both"/>
      </w:pPr>
      <w:r>
        <w:rPr>
          <w:rFonts w:ascii="Times New Roman"/>
          <w:b w:val="false"/>
          <w:i w:val="false"/>
          <w:color w:val="000000"/>
          <w:sz w:val="28"/>
        </w:rPr>
        <w:t>
      Выводы по клинической эффективности</w:t>
      </w:r>
    </w:p>
    <w:bookmarkEnd w:id="3587"/>
    <w:bookmarkStart w:name="z3692" w:id="3588"/>
    <w:p>
      <w:pPr>
        <w:spacing w:after="0"/>
        <w:ind w:left="0"/>
        <w:jc w:val="both"/>
      </w:pPr>
      <w:r>
        <w:rPr>
          <w:rFonts w:ascii="Times New Roman"/>
          <w:b w:val="false"/>
          <w:i w:val="false"/>
          <w:color w:val="000000"/>
          <w:sz w:val="28"/>
        </w:rPr>
        <w:t>
       </w:t>
      </w:r>
    </w:p>
    <w:bookmarkEnd w:id="3588"/>
    <w:bookmarkStart w:name="z3693" w:id="3589"/>
    <w:p>
      <w:pPr>
        <w:spacing w:after="0"/>
        <w:ind w:left="0"/>
        <w:jc w:val="left"/>
      </w:pPr>
      <w:r>
        <w:rPr>
          <w:rFonts w:ascii="Times New Roman"/>
          <w:b/>
          <w:i w:val="false"/>
          <w:color w:val="000000"/>
        </w:rPr>
        <w:t xml:space="preserve"> 4. Клиническая безопасность </w:t>
      </w:r>
    </w:p>
    <w:bookmarkEnd w:id="3589"/>
    <w:bookmarkStart w:name="z3694" w:id="3590"/>
    <w:p>
      <w:pPr>
        <w:spacing w:after="0"/>
        <w:ind w:left="0"/>
        <w:jc w:val="both"/>
      </w:pPr>
      <w:r>
        <w:rPr>
          <w:rFonts w:ascii="Times New Roman"/>
          <w:b w:val="false"/>
          <w:i w:val="false"/>
          <w:color w:val="000000"/>
          <w:sz w:val="28"/>
        </w:rPr>
        <w:t>
      4.1. Введение.</w:t>
      </w:r>
    </w:p>
    <w:bookmarkEnd w:id="3590"/>
    <w:bookmarkStart w:name="z3695" w:id="3591"/>
    <w:p>
      <w:pPr>
        <w:spacing w:after="0"/>
        <w:ind w:left="0"/>
        <w:jc w:val="both"/>
      </w:pPr>
      <w:r>
        <w:rPr>
          <w:rFonts w:ascii="Times New Roman"/>
          <w:b w:val="false"/>
          <w:i w:val="false"/>
          <w:color w:val="000000"/>
          <w:sz w:val="28"/>
        </w:rPr>
        <w:t>
       </w:t>
      </w:r>
    </w:p>
    <w:bookmarkEnd w:id="3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592"/>
          <w:p>
            <w:pPr>
              <w:spacing w:after="20"/>
              <w:ind w:left="20"/>
              <w:jc w:val="both"/>
            </w:pPr>
            <w:r>
              <w:rPr>
                <w:rFonts w:ascii="Times New Roman"/>
                <w:b w:val="false"/>
                <w:i w:val="false"/>
                <w:color w:val="000000"/>
                <w:sz w:val="20"/>
              </w:rPr>
              <w:t xml:space="preserve">
Комментарий эксперта </w:t>
            </w:r>
          </w:p>
          <w:bookmarkEnd w:id="3592"/>
        </w:tc>
      </w:tr>
    </w:tbl>
    <w:bookmarkStart w:name="z3697" w:id="3593"/>
    <w:p>
      <w:pPr>
        <w:spacing w:after="0"/>
        <w:ind w:left="0"/>
        <w:jc w:val="both"/>
      </w:pPr>
      <w:r>
        <w:rPr>
          <w:rFonts w:ascii="Times New Roman"/>
          <w:b w:val="false"/>
          <w:i w:val="false"/>
          <w:color w:val="000000"/>
          <w:sz w:val="28"/>
        </w:rPr>
        <w:t>
       </w:t>
      </w:r>
    </w:p>
    <w:bookmarkEnd w:id="3593"/>
    <w:bookmarkStart w:name="z3698" w:id="3594"/>
    <w:p>
      <w:pPr>
        <w:spacing w:after="0"/>
        <w:ind w:left="0"/>
        <w:jc w:val="both"/>
      </w:pPr>
      <w:r>
        <w:rPr>
          <w:rFonts w:ascii="Times New Roman"/>
          <w:b w:val="false"/>
          <w:i w:val="false"/>
          <w:color w:val="000000"/>
          <w:sz w:val="28"/>
        </w:rPr>
        <w:t>
      4.2. Влияние лекарственного вещества на пациента.</w:t>
      </w:r>
    </w:p>
    <w:bookmarkEnd w:id="3594"/>
    <w:bookmarkStart w:name="z3699" w:id="3595"/>
    <w:p>
      <w:pPr>
        <w:spacing w:after="0"/>
        <w:ind w:left="0"/>
        <w:jc w:val="both"/>
      </w:pPr>
      <w:r>
        <w:rPr>
          <w:rFonts w:ascii="Times New Roman"/>
          <w:b w:val="false"/>
          <w:i w:val="false"/>
          <w:color w:val="000000"/>
          <w:sz w:val="28"/>
        </w:rPr>
        <w:t>
      Образец таблицы: влияние лекарственного вещества на пациента (допустимый уровень)</w:t>
      </w:r>
    </w:p>
    <w:bookmarkEnd w:id="3595"/>
    <w:bookmarkStart w:name="z3700" w:id="3596"/>
    <w:p>
      <w:pPr>
        <w:spacing w:after="0"/>
        <w:ind w:left="0"/>
        <w:jc w:val="both"/>
      </w:pPr>
      <w:r>
        <w:rPr>
          <w:rFonts w:ascii="Times New Roman"/>
          <w:b w:val="false"/>
          <w:i w:val="false"/>
          <w:color w:val="000000"/>
          <w:sz w:val="28"/>
        </w:rPr>
        <w:t>
       </w:t>
      </w:r>
    </w:p>
    <w:bookmarkEnd w:id="3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597"/>
          <w:p>
            <w:pPr>
              <w:spacing w:after="20"/>
              <w:ind w:left="20"/>
              <w:jc w:val="both"/>
            </w:pPr>
          </w:p>
          <w:bookmarkEnd w:id="3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Включенные пациенты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Пациенты, получившие лечение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Пациенты с воздействием предлагаемого диапазона доз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Пациенты с долгосрочными * данными о безопасности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598"/>
          <w:p>
            <w:pPr>
              <w:spacing w:after="20"/>
              <w:ind w:left="20"/>
              <w:jc w:val="both"/>
            </w:pPr>
            <w:r>
              <w:rPr>
                <w:rFonts w:ascii="Times New Roman"/>
                <w:b w:val="false"/>
                <w:i w:val="false"/>
                <w:color w:val="000000"/>
                <w:sz w:val="20"/>
              </w:rPr>
              <w:t xml:space="preserve">
Плацебо-контролируемые исследования </w:t>
            </w:r>
          </w:p>
          <w:bookmarkEnd w:id="3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3599"/>
          <w:p>
            <w:pPr>
              <w:spacing w:after="20"/>
              <w:ind w:left="20"/>
              <w:jc w:val="both"/>
            </w:pPr>
            <w:r>
              <w:rPr>
                <w:rFonts w:ascii="Times New Roman"/>
                <w:b w:val="false"/>
                <w:i w:val="false"/>
                <w:color w:val="000000"/>
                <w:sz w:val="20"/>
              </w:rPr>
              <w:t xml:space="preserve">
Исследования с активным контролем </w:t>
            </w:r>
          </w:p>
          <w:bookmarkEnd w:id="3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3600"/>
          <w:p>
            <w:pPr>
              <w:spacing w:after="20"/>
              <w:ind w:left="20"/>
              <w:jc w:val="both"/>
            </w:pPr>
            <w:r>
              <w:rPr>
                <w:rFonts w:ascii="Times New Roman"/>
                <w:b w:val="false"/>
                <w:i w:val="false"/>
                <w:color w:val="000000"/>
                <w:sz w:val="20"/>
              </w:rPr>
              <w:t xml:space="preserve">
Открытые исследования </w:t>
            </w:r>
          </w:p>
          <w:bookmarkEnd w:id="3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601"/>
          <w:p>
            <w:pPr>
              <w:spacing w:after="20"/>
              <w:ind w:left="20"/>
              <w:jc w:val="both"/>
            </w:pPr>
            <w:r>
              <w:rPr>
                <w:rFonts w:ascii="Times New Roman"/>
                <w:b w:val="false"/>
                <w:i w:val="false"/>
                <w:color w:val="000000"/>
                <w:sz w:val="20"/>
              </w:rPr>
              <w:t xml:space="preserve">
Постмаркетинговые исследования </w:t>
            </w:r>
          </w:p>
          <w:bookmarkEnd w:id="3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602"/>
          <w:p>
            <w:pPr>
              <w:spacing w:after="20"/>
              <w:ind w:left="20"/>
              <w:jc w:val="both"/>
            </w:pPr>
            <w:r>
              <w:rPr>
                <w:rFonts w:ascii="Times New Roman"/>
                <w:b w:val="false"/>
                <w:i w:val="false"/>
                <w:color w:val="000000"/>
                <w:sz w:val="20"/>
              </w:rPr>
              <w:t xml:space="preserve">
Применение из соображений сострадания </w:t>
            </w:r>
          </w:p>
          <w:bookmarkEnd w:id="3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7" w:id="3603"/>
    <w:p>
      <w:pPr>
        <w:spacing w:after="0"/>
        <w:ind w:left="0"/>
        <w:jc w:val="both"/>
      </w:pPr>
      <w:r>
        <w:rPr>
          <w:rFonts w:ascii="Times New Roman"/>
          <w:b w:val="false"/>
          <w:i w:val="false"/>
          <w:color w:val="000000"/>
          <w:sz w:val="28"/>
        </w:rPr>
        <w:t>
      --------------------------------</w:t>
      </w:r>
    </w:p>
    <w:bookmarkEnd w:id="3603"/>
    <w:bookmarkStart w:name="z3708" w:id="3604"/>
    <w:p>
      <w:pPr>
        <w:spacing w:after="0"/>
        <w:ind w:left="0"/>
        <w:jc w:val="both"/>
      </w:pPr>
      <w:r>
        <w:rPr>
          <w:rFonts w:ascii="Times New Roman"/>
          <w:b w:val="false"/>
          <w:i w:val="false"/>
          <w:color w:val="000000"/>
          <w:sz w:val="28"/>
        </w:rPr>
        <w:t>
      * Указание относится к данным непрерывного или прерывистого воздействия в течение периода в 6 или 12 месяцев.</w:t>
      </w:r>
    </w:p>
    <w:bookmarkEnd w:id="3604"/>
    <w:bookmarkStart w:name="z3709" w:id="3605"/>
    <w:p>
      <w:pPr>
        <w:spacing w:after="0"/>
        <w:ind w:left="0"/>
        <w:jc w:val="both"/>
      </w:pPr>
      <w:r>
        <w:rPr>
          <w:rFonts w:ascii="Times New Roman"/>
          <w:b w:val="false"/>
          <w:i w:val="false"/>
          <w:color w:val="000000"/>
          <w:sz w:val="28"/>
        </w:rPr>
        <w:t>
       </w:t>
      </w:r>
    </w:p>
    <w:bookmarkEnd w:id="3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606"/>
          <w:p>
            <w:pPr>
              <w:spacing w:after="20"/>
              <w:ind w:left="20"/>
              <w:jc w:val="both"/>
            </w:pPr>
            <w:r>
              <w:rPr>
                <w:rFonts w:ascii="Times New Roman"/>
                <w:b w:val="false"/>
                <w:i w:val="false"/>
                <w:color w:val="000000"/>
                <w:sz w:val="20"/>
              </w:rPr>
              <w:t xml:space="preserve">
Комментарий эксперта </w:t>
            </w:r>
          </w:p>
          <w:bookmarkEnd w:id="3606"/>
        </w:tc>
      </w:tr>
    </w:tbl>
    <w:bookmarkStart w:name="z3711" w:id="3607"/>
    <w:p>
      <w:pPr>
        <w:spacing w:after="0"/>
        <w:ind w:left="0"/>
        <w:jc w:val="both"/>
      </w:pPr>
      <w:r>
        <w:rPr>
          <w:rFonts w:ascii="Times New Roman"/>
          <w:b w:val="false"/>
          <w:i w:val="false"/>
          <w:color w:val="000000"/>
          <w:sz w:val="28"/>
        </w:rPr>
        <w:t>
       </w:t>
      </w:r>
    </w:p>
    <w:bookmarkEnd w:id="3607"/>
    <w:bookmarkStart w:name="z3712" w:id="3608"/>
    <w:p>
      <w:pPr>
        <w:spacing w:after="0"/>
        <w:ind w:left="0"/>
        <w:jc w:val="both"/>
      </w:pPr>
      <w:r>
        <w:rPr>
          <w:rFonts w:ascii="Times New Roman"/>
          <w:b w:val="false"/>
          <w:i w:val="false"/>
          <w:color w:val="000000"/>
          <w:sz w:val="28"/>
        </w:rPr>
        <w:t>
      4.3. Нежелательные явления.</w:t>
      </w:r>
    </w:p>
    <w:bookmarkEnd w:id="3608"/>
    <w:bookmarkStart w:name="z3713" w:id="3609"/>
    <w:p>
      <w:pPr>
        <w:spacing w:after="0"/>
        <w:ind w:left="0"/>
        <w:jc w:val="both"/>
      </w:pPr>
      <w:r>
        <w:rPr>
          <w:rFonts w:ascii="Times New Roman"/>
          <w:b w:val="false"/>
          <w:i w:val="false"/>
          <w:color w:val="000000"/>
          <w:sz w:val="28"/>
        </w:rPr>
        <w:t>
       </w:t>
      </w:r>
    </w:p>
    <w:bookmarkEnd w:id="3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610"/>
          <w:p>
            <w:pPr>
              <w:spacing w:after="20"/>
              <w:ind w:left="20"/>
              <w:jc w:val="both"/>
            </w:pPr>
            <w:r>
              <w:rPr>
                <w:rFonts w:ascii="Times New Roman"/>
                <w:b w:val="false"/>
                <w:i w:val="false"/>
                <w:color w:val="000000"/>
                <w:sz w:val="20"/>
              </w:rPr>
              <w:t xml:space="preserve">
Комментарий эксперта </w:t>
            </w:r>
          </w:p>
          <w:bookmarkEnd w:id="3610"/>
        </w:tc>
      </w:tr>
    </w:tbl>
    <w:bookmarkStart w:name="z3715" w:id="3611"/>
    <w:p>
      <w:pPr>
        <w:spacing w:after="0"/>
        <w:ind w:left="0"/>
        <w:jc w:val="both"/>
      </w:pPr>
      <w:r>
        <w:rPr>
          <w:rFonts w:ascii="Times New Roman"/>
          <w:b w:val="false"/>
          <w:i w:val="false"/>
          <w:color w:val="000000"/>
          <w:sz w:val="28"/>
        </w:rPr>
        <w:t>
       </w:t>
      </w:r>
    </w:p>
    <w:bookmarkEnd w:id="3611"/>
    <w:bookmarkStart w:name="z3716" w:id="3612"/>
    <w:p>
      <w:pPr>
        <w:spacing w:after="0"/>
        <w:ind w:left="0"/>
        <w:jc w:val="both"/>
      </w:pPr>
      <w:r>
        <w:rPr>
          <w:rFonts w:ascii="Times New Roman"/>
          <w:b w:val="false"/>
          <w:i w:val="false"/>
          <w:color w:val="000000"/>
          <w:sz w:val="28"/>
        </w:rPr>
        <w:t>
      4.4. Серьезные нежелательные явления и летальный исход.</w:t>
      </w:r>
    </w:p>
    <w:bookmarkEnd w:id="3612"/>
    <w:bookmarkStart w:name="z3717" w:id="3613"/>
    <w:p>
      <w:pPr>
        <w:spacing w:after="0"/>
        <w:ind w:left="0"/>
        <w:jc w:val="both"/>
      </w:pPr>
      <w:r>
        <w:rPr>
          <w:rFonts w:ascii="Times New Roman"/>
          <w:b w:val="false"/>
          <w:i w:val="false"/>
          <w:color w:val="000000"/>
          <w:sz w:val="28"/>
        </w:rPr>
        <w:t>
       </w:t>
      </w:r>
    </w:p>
    <w:bookmarkEnd w:id="3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614"/>
          <w:p>
            <w:pPr>
              <w:spacing w:after="20"/>
              <w:ind w:left="20"/>
              <w:jc w:val="both"/>
            </w:pPr>
            <w:r>
              <w:rPr>
                <w:rFonts w:ascii="Times New Roman"/>
                <w:b w:val="false"/>
                <w:i w:val="false"/>
                <w:color w:val="000000"/>
                <w:sz w:val="20"/>
              </w:rPr>
              <w:t xml:space="preserve">
Комментарий эксперта </w:t>
            </w:r>
          </w:p>
          <w:bookmarkEnd w:id="3614"/>
        </w:tc>
      </w:tr>
    </w:tbl>
    <w:bookmarkStart w:name="z3719" w:id="3615"/>
    <w:p>
      <w:pPr>
        <w:spacing w:after="0"/>
        <w:ind w:left="0"/>
        <w:jc w:val="both"/>
      </w:pPr>
      <w:r>
        <w:rPr>
          <w:rFonts w:ascii="Times New Roman"/>
          <w:b w:val="false"/>
          <w:i w:val="false"/>
          <w:color w:val="000000"/>
          <w:sz w:val="28"/>
        </w:rPr>
        <w:t>
       </w:t>
      </w:r>
    </w:p>
    <w:bookmarkEnd w:id="3615"/>
    <w:bookmarkStart w:name="z3720" w:id="3616"/>
    <w:p>
      <w:pPr>
        <w:spacing w:after="0"/>
        <w:ind w:left="0"/>
        <w:jc w:val="both"/>
      </w:pPr>
      <w:r>
        <w:rPr>
          <w:rFonts w:ascii="Times New Roman"/>
          <w:b w:val="false"/>
          <w:i w:val="false"/>
          <w:color w:val="000000"/>
          <w:sz w:val="28"/>
        </w:rPr>
        <w:t>
      4.5. Данные лабораторных исследований.</w:t>
      </w:r>
    </w:p>
    <w:bookmarkEnd w:id="3616"/>
    <w:bookmarkStart w:name="z3721" w:id="3617"/>
    <w:p>
      <w:pPr>
        <w:spacing w:after="0"/>
        <w:ind w:left="0"/>
        <w:jc w:val="both"/>
      </w:pPr>
      <w:r>
        <w:rPr>
          <w:rFonts w:ascii="Times New Roman"/>
          <w:b w:val="false"/>
          <w:i w:val="false"/>
          <w:color w:val="000000"/>
          <w:sz w:val="28"/>
        </w:rPr>
        <w:t>
       </w:t>
      </w:r>
    </w:p>
    <w:bookmarkEnd w:id="3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618"/>
          <w:p>
            <w:pPr>
              <w:spacing w:after="20"/>
              <w:ind w:left="20"/>
              <w:jc w:val="both"/>
            </w:pPr>
            <w:r>
              <w:rPr>
                <w:rFonts w:ascii="Times New Roman"/>
                <w:b w:val="false"/>
                <w:i w:val="false"/>
                <w:color w:val="000000"/>
                <w:sz w:val="20"/>
              </w:rPr>
              <w:t xml:space="preserve">
Комментарий эксперта </w:t>
            </w:r>
          </w:p>
          <w:bookmarkEnd w:id="3618"/>
        </w:tc>
      </w:tr>
    </w:tbl>
    <w:bookmarkStart w:name="z3723" w:id="3619"/>
    <w:p>
      <w:pPr>
        <w:spacing w:after="0"/>
        <w:ind w:left="0"/>
        <w:jc w:val="both"/>
      </w:pPr>
      <w:r>
        <w:rPr>
          <w:rFonts w:ascii="Times New Roman"/>
          <w:b w:val="false"/>
          <w:i w:val="false"/>
          <w:color w:val="000000"/>
          <w:sz w:val="28"/>
        </w:rPr>
        <w:t>
       </w:t>
      </w:r>
    </w:p>
    <w:bookmarkEnd w:id="3619"/>
    <w:bookmarkStart w:name="z3724" w:id="3620"/>
    <w:p>
      <w:pPr>
        <w:spacing w:after="0"/>
        <w:ind w:left="0"/>
        <w:jc w:val="both"/>
      </w:pPr>
      <w:r>
        <w:rPr>
          <w:rFonts w:ascii="Times New Roman"/>
          <w:b w:val="false"/>
          <w:i w:val="false"/>
          <w:color w:val="000000"/>
          <w:sz w:val="28"/>
        </w:rPr>
        <w:t>
      4.6. Безопасность применения препарата у особых групп населения.</w:t>
      </w:r>
    </w:p>
    <w:bookmarkEnd w:id="3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621"/>
          <w:p>
            <w:pPr>
              <w:spacing w:after="20"/>
              <w:ind w:left="20"/>
              <w:jc w:val="both"/>
            </w:pPr>
            <w:r>
              <w:rPr>
                <w:rFonts w:ascii="Times New Roman"/>
                <w:b w:val="false"/>
                <w:i w:val="false"/>
                <w:color w:val="000000"/>
                <w:sz w:val="20"/>
              </w:rPr>
              <w:t xml:space="preserve">
Термины словаря MedDRA </w:t>
            </w:r>
          </w:p>
          <w:bookmarkEnd w:id="36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&lt; 65 лет, количество (процент)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65 - 74 года, количество (процент)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75 - 84 года, количество (процент)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85+ лет, количество (процент)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622"/>
          <w:p>
            <w:pPr>
              <w:spacing w:after="20"/>
              <w:ind w:left="20"/>
              <w:jc w:val="both"/>
            </w:pPr>
            <w:r>
              <w:rPr>
                <w:rFonts w:ascii="Times New Roman"/>
                <w:b w:val="false"/>
                <w:i w:val="false"/>
                <w:color w:val="000000"/>
                <w:sz w:val="20"/>
              </w:rPr>
              <w:t xml:space="preserve">
Общее количество нежелательных явлений </w:t>
            </w:r>
          </w:p>
          <w:bookmarkEnd w:id="36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3623"/>
          <w:p>
            <w:pPr>
              <w:spacing w:after="20"/>
              <w:ind w:left="20"/>
              <w:jc w:val="both"/>
            </w:pPr>
            <w:r>
              <w:rPr>
                <w:rFonts w:ascii="Times New Roman"/>
                <w:b w:val="false"/>
                <w:i w:val="false"/>
                <w:color w:val="000000"/>
                <w:sz w:val="20"/>
              </w:rPr>
              <w:t xml:space="preserve">
Серьезные нежелательные явления (общее количество) </w:t>
            </w:r>
          </w:p>
          <w:bookmarkEnd w:id="36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624"/>
          <w:p>
            <w:pPr>
              <w:spacing w:after="20"/>
              <w:ind w:left="20"/>
              <w:jc w:val="both"/>
            </w:pPr>
            <w:r>
              <w:rPr>
                <w:rFonts w:ascii="Times New Roman"/>
                <w:b w:val="false"/>
                <w:i w:val="false"/>
                <w:color w:val="000000"/>
                <w:sz w:val="20"/>
              </w:rPr>
              <w:t xml:space="preserve">
смертельные </w:t>
            </w:r>
          </w:p>
          <w:bookmarkEnd w:id="36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625"/>
          <w:p>
            <w:pPr>
              <w:spacing w:after="20"/>
              <w:ind w:left="20"/>
              <w:jc w:val="both"/>
            </w:pPr>
            <w:r>
              <w:rPr>
                <w:rFonts w:ascii="Times New Roman"/>
                <w:b w:val="false"/>
                <w:i w:val="false"/>
                <w:color w:val="000000"/>
                <w:sz w:val="20"/>
              </w:rPr>
              <w:t xml:space="preserve">
госпитализация (продление имеющейся госпитализации) </w:t>
            </w:r>
          </w:p>
          <w:bookmarkEnd w:id="36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626"/>
          <w:p>
            <w:pPr>
              <w:spacing w:after="20"/>
              <w:ind w:left="20"/>
              <w:jc w:val="both"/>
            </w:pPr>
            <w:r>
              <w:rPr>
                <w:rFonts w:ascii="Times New Roman"/>
                <w:b w:val="false"/>
                <w:i w:val="false"/>
                <w:color w:val="000000"/>
                <w:sz w:val="20"/>
              </w:rPr>
              <w:t xml:space="preserve">
угроза жизни </w:t>
            </w:r>
          </w:p>
          <w:bookmarkEnd w:id="3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627"/>
          <w:p>
            <w:pPr>
              <w:spacing w:after="20"/>
              <w:ind w:left="20"/>
              <w:jc w:val="both"/>
            </w:pPr>
            <w:r>
              <w:rPr>
                <w:rFonts w:ascii="Times New Roman"/>
                <w:b w:val="false"/>
                <w:i w:val="false"/>
                <w:color w:val="000000"/>
                <w:sz w:val="20"/>
              </w:rPr>
              <w:t xml:space="preserve">
инвалидность (нетрудоспособность) </w:t>
            </w:r>
          </w:p>
          <w:bookmarkEnd w:id="36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3628"/>
          <w:p>
            <w:pPr>
              <w:spacing w:after="20"/>
              <w:ind w:left="20"/>
              <w:jc w:val="both"/>
            </w:pPr>
            <w:r>
              <w:rPr>
                <w:rFonts w:ascii="Times New Roman"/>
                <w:b w:val="false"/>
                <w:i w:val="false"/>
                <w:color w:val="000000"/>
                <w:sz w:val="20"/>
              </w:rPr>
              <w:t xml:space="preserve">
другое (важное с медицинской точки зрения) </w:t>
            </w:r>
          </w:p>
          <w:bookmarkEnd w:id="3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629"/>
          <w:p>
            <w:pPr>
              <w:spacing w:after="20"/>
              <w:ind w:left="20"/>
              <w:jc w:val="both"/>
            </w:pPr>
            <w:r>
              <w:rPr>
                <w:rFonts w:ascii="Times New Roman"/>
                <w:b w:val="false"/>
                <w:i w:val="false"/>
                <w:color w:val="000000"/>
                <w:sz w:val="20"/>
              </w:rPr>
              <w:t xml:space="preserve">
Нежелательное явление, приведшее к выходу из исследования </w:t>
            </w:r>
          </w:p>
          <w:bookmarkEnd w:id="3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630"/>
          <w:p>
            <w:pPr>
              <w:spacing w:after="20"/>
              <w:ind w:left="20"/>
              <w:jc w:val="both"/>
            </w:pPr>
            <w:r>
              <w:rPr>
                <w:rFonts w:ascii="Times New Roman"/>
                <w:b w:val="false"/>
                <w:i w:val="false"/>
                <w:color w:val="000000"/>
                <w:sz w:val="20"/>
              </w:rPr>
              <w:t xml:space="preserve">
Нарушения психики </w:t>
            </w:r>
          </w:p>
          <w:bookmarkEnd w:id="3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631"/>
          <w:p>
            <w:pPr>
              <w:spacing w:after="20"/>
              <w:ind w:left="20"/>
              <w:jc w:val="both"/>
            </w:pPr>
            <w:r>
              <w:rPr>
                <w:rFonts w:ascii="Times New Roman"/>
                <w:b w:val="false"/>
                <w:i w:val="false"/>
                <w:color w:val="000000"/>
                <w:sz w:val="20"/>
              </w:rPr>
              <w:t xml:space="preserve">
Нарушения со стороны нервной системы </w:t>
            </w:r>
          </w:p>
          <w:bookmarkEnd w:id="3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632"/>
          <w:p>
            <w:pPr>
              <w:spacing w:after="20"/>
              <w:ind w:left="20"/>
              <w:jc w:val="both"/>
            </w:pPr>
            <w:r>
              <w:rPr>
                <w:rFonts w:ascii="Times New Roman"/>
                <w:b w:val="false"/>
                <w:i w:val="false"/>
                <w:color w:val="000000"/>
                <w:sz w:val="20"/>
              </w:rPr>
              <w:t xml:space="preserve">
Несчастные случаи и повреждения </w:t>
            </w:r>
          </w:p>
          <w:bookmarkEnd w:id="3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633"/>
          <w:p>
            <w:pPr>
              <w:spacing w:after="20"/>
              <w:ind w:left="20"/>
              <w:jc w:val="both"/>
            </w:pPr>
            <w:r>
              <w:rPr>
                <w:rFonts w:ascii="Times New Roman"/>
                <w:b w:val="false"/>
                <w:i w:val="false"/>
                <w:color w:val="000000"/>
                <w:sz w:val="20"/>
              </w:rPr>
              <w:t xml:space="preserve">
Нарушения со стороны сердца </w:t>
            </w:r>
          </w:p>
          <w:bookmarkEnd w:id="36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634"/>
          <w:p>
            <w:pPr>
              <w:spacing w:after="20"/>
              <w:ind w:left="20"/>
              <w:jc w:val="both"/>
            </w:pPr>
            <w:r>
              <w:rPr>
                <w:rFonts w:ascii="Times New Roman"/>
                <w:b w:val="false"/>
                <w:i w:val="false"/>
                <w:color w:val="000000"/>
                <w:sz w:val="20"/>
              </w:rPr>
              <w:t xml:space="preserve">
Нарушения со стороны сосудов </w:t>
            </w:r>
          </w:p>
          <w:bookmarkEnd w:id="36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3635"/>
          <w:p>
            <w:pPr>
              <w:spacing w:after="20"/>
              <w:ind w:left="20"/>
              <w:jc w:val="both"/>
            </w:pPr>
            <w:r>
              <w:rPr>
                <w:rFonts w:ascii="Times New Roman"/>
                <w:b w:val="false"/>
                <w:i w:val="false"/>
                <w:color w:val="000000"/>
                <w:sz w:val="20"/>
              </w:rPr>
              <w:t xml:space="preserve">
Нарушения мозгового кровообращения </w:t>
            </w:r>
          </w:p>
          <w:bookmarkEnd w:id="36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636"/>
          <w:p>
            <w:pPr>
              <w:spacing w:after="20"/>
              <w:ind w:left="20"/>
              <w:jc w:val="both"/>
            </w:pPr>
            <w:r>
              <w:rPr>
                <w:rFonts w:ascii="Times New Roman"/>
                <w:b w:val="false"/>
                <w:i w:val="false"/>
                <w:color w:val="000000"/>
                <w:sz w:val="20"/>
              </w:rPr>
              <w:t xml:space="preserve">
Инфекционные и паразитные заболевания </w:t>
            </w:r>
          </w:p>
          <w:bookmarkEnd w:id="36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637"/>
          <w:p>
            <w:pPr>
              <w:spacing w:after="20"/>
              <w:ind w:left="20"/>
              <w:jc w:val="both"/>
            </w:pPr>
            <w:r>
              <w:rPr>
                <w:rFonts w:ascii="Times New Roman"/>
                <w:b w:val="false"/>
                <w:i w:val="false"/>
                <w:color w:val="000000"/>
                <w:sz w:val="20"/>
              </w:rPr>
              <w:t xml:space="preserve">
Антихолинергический синдром </w:t>
            </w:r>
          </w:p>
          <w:bookmarkEnd w:id="36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638"/>
          <w:p>
            <w:pPr>
              <w:spacing w:after="20"/>
              <w:ind w:left="20"/>
              <w:jc w:val="both"/>
            </w:pPr>
            <w:r>
              <w:rPr>
                <w:rFonts w:ascii="Times New Roman"/>
                <w:b w:val="false"/>
                <w:i w:val="false"/>
                <w:color w:val="000000"/>
                <w:sz w:val="20"/>
              </w:rPr>
              <w:t xml:space="preserve">
Снижение качества жизни </w:t>
            </w:r>
          </w:p>
          <w:bookmarkEnd w:id="36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639"/>
          <w:p>
            <w:pPr>
              <w:spacing w:after="20"/>
              <w:ind w:left="20"/>
              <w:jc w:val="both"/>
            </w:pPr>
            <w:r>
              <w:rPr>
                <w:rFonts w:ascii="Times New Roman"/>
                <w:b w:val="false"/>
                <w:i w:val="false"/>
                <w:color w:val="000000"/>
                <w:sz w:val="20"/>
              </w:rPr>
              <w:t xml:space="preserve">
Суммарно: ортостатическая гипотензия, падения, потемнение в глазах, обмороки, головокружение, атаксия, переломы </w:t>
            </w:r>
          </w:p>
          <w:bookmarkEnd w:id="3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640"/>
          <w:p>
            <w:pPr>
              <w:spacing w:after="20"/>
              <w:ind w:left="20"/>
              <w:jc w:val="both"/>
            </w:pPr>
            <w:r>
              <w:rPr>
                <w:rFonts w:ascii="Times New Roman"/>
                <w:b w:val="false"/>
                <w:i w:val="false"/>
                <w:color w:val="000000"/>
                <w:sz w:val="20"/>
              </w:rPr>
              <w:t xml:space="preserve">
Другие нежелательные явления, чаще возникающие у пациентов пожилого возраста </w:t>
            </w:r>
          </w:p>
          <w:bookmarkEnd w:id="36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5" w:id="3641"/>
    <w:p>
      <w:pPr>
        <w:spacing w:after="0"/>
        <w:ind w:left="0"/>
        <w:jc w:val="both"/>
      </w:pPr>
      <w:r>
        <w:rPr>
          <w:rFonts w:ascii="Times New Roman"/>
          <w:b w:val="false"/>
          <w:i w:val="false"/>
          <w:color w:val="000000"/>
          <w:sz w:val="28"/>
        </w:rPr>
        <w:t>
       </w:t>
      </w:r>
    </w:p>
    <w:bookmarkEnd w:id="3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642"/>
          <w:p>
            <w:pPr>
              <w:spacing w:after="20"/>
              <w:ind w:left="20"/>
              <w:jc w:val="both"/>
            </w:pPr>
            <w:r>
              <w:rPr>
                <w:rFonts w:ascii="Times New Roman"/>
                <w:b w:val="false"/>
                <w:i w:val="false"/>
                <w:color w:val="000000"/>
                <w:sz w:val="20"/>
              </w:rPr>
              <w:t xml:space="preserve">
Комментарий эксперта </w:t>
            </w:r>
          </w:p>
          <w:bookmarkEnd w:id="3642"/>
        </w:tc>
      </w:tr>
    </w:tbl>
    <w:bookmarkStart w:name="z3747" w:id="3643"/>
    <w:p>
      <w:pPr>
        <w:spacing w:after="0"/>
        <w:ind w:left="0"/>
        <w:jc w:val="both"/>
      </w:pPr>
      <w:r>
        <w:rPr>
          <w:rFonts w:ascii="Times New Roman"/>
          <w:b w:val="false"/>
          <w:i w:val="false"/>
          <w:color w:val="000000"/>
          <w:sz w:val="28"/>
        </w:rPr>
        <w:t>
       </w:t>
      </w:r>
    </w:p>
    <w:bookmarkEnd w:id="3643"/>
    <w:bookmarkStart w:name="z3748" w:id="3644"/>
    <w:p>
      <w:pPr>
        <w:spacing w:after="0"/>
        <w:ind w:left="0"/>
        <w:jc w:val="both"/>
      </w:pPr>
      <w:r>
        <w:rPr>
          <w:rFonts w:ascii="Times New Roman"/>
          <w:b w:val="false"/>
          <w:i w:val="false"/>
          <w:color w:val="000000"/>
          <w:sz w:val="28"/>
        </w:rPr>
        <w:t>
      4.7. Иммунологические явления.</w:t>
      </w:r>
    </w:p>
    <w:bookmarkEnd w:id="3644"/>
    <w:bookmarkStart w:name="z3749" w:id="3645"/>
    <w:p>
      <w:pPr>
        <w:spacing w:after="0"/>
        <w:ind w:left="0"/>
        <w:jc w:val="both"/>
      </w:pPr>
      <w:r>
        <w:rPr>
          <w:rFonts w:ascii="Times New Roman"/>
          <w:b w:val="false"/>
          <w:i w:val="false"/>
          <w:color w:val="000000"/>
          <w:sz w:val="28"/>
        </w:rPr>
        <w:t>
       </w:t>
      </w:r>
    </w:p>
    <w:bookmarkEnd w:id="3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646"/>
          <w:p>
            <w:pPr>
              <w:spacing w:after="20"/>
              <w:ind w:left="20"/>
              <w:jc w:val="both"/>
            </w:pPr>
            <w:r>
              <w:rPr>
                <w:rFonts w:ascii="Times New Roman"/>
                <w:b w:val="false"/>
                <w:i w:val="false"/>
                <w:color w:val="000000"/>
                <w:sz w:val="20"/>
              </w:rPr>
              <w:t xml:space="preserve">
Комментарий эксперта </w:t>
            </w:r>
          </w:p>
          <w:bookmarkEnd w:id="3646"/>
        </w:tc>
      </w:tr>
    </w:tbl>
    <w:bookmarkStart w:name="z3751" w:id="3647"/>
    <w:p>
      <w:pPr>
        <w:spacing w:after="0"/>
        <w:ind w:left="0"/>
        <w:jc w:val="both"/>
      </w:pPr>
      <w:r>
        <w:rPr>
          <w:rFonts w:ascii="Times New Roman"/>
          <w:b w:val="false"/>
          <w:i w:val="false"/>
          <w:color w:val="000000"/>
          <w:sz w:val="28"/>
        </w:rPr>
        <w:t>
       </w:t>
      </w:r>
    </w:p>
    <w:bookmarkEnd w:id="3647"/>
    <w:bookmarkStart w:name="z3752" w:id="3648"/>
    <w:p>
      <w:pPr>
        <w:spacing w:after="0"/>
        <w:ind w:left="0"/>
        <w:jc w:val="both"/>
      </w:pPr>
      <w:r>
        <w:rPr>
          <w:rFonts w:ascii="Times New Roman"/>
          <w:b w:val="false"/>
          <w:i w:val="false"/>
          <w:color w:val="000000"/>
          <w:sz w:val="28"/>
        </w:rPr>
        <w:t>
      4.8. Безопасность при лекарственных и других взаимодействиях.</w:t>
      </w:r>
    </w:p>
    <w:bookmarkEnd w:id="3648"/>
    <w:bookmarkStart w:name="z3753" w:id="3649"/>
    <w:p>
      <w:pPr>
        <w:spacing w:after="0"/>
        <w:ind w:left="0"/>
        <w:jc w:val="both"/>
      </w:pPr>
      <w:r>
        <w:rPr>
          <w:rFonts w:ascii="Times New Roman"/>
          <w:b w:val="false"/>
          <w:i w:val="false"/>
          <w:color w:val="000000"/>
          <w:sz w:val="28"/>
        </w:rPr>
        <w:t>
       </w:t>
      </w:r>
    </w:p>
    <w:bookmarkEnd w:id="3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650"/>
          <w:p>
            <w:pPr>
              <w:spacing w:after="20"/>
              <w:ind w:left="20"/>
              <w:jc w:val="both"/>
            </w:pPr>
            <w:r>
              <w:rPr>
                <w:rFonts w:ascii="Times New Roman"/>
                <w:b w:val="false"/>
                <w:i w:val="false"/>
                <w:color w:val="000000"/>
                <w:sz w:val="20"/>
              </w:rPr>
              <w:t xml:space="preserve">
Комментарий эксперта </w:t>
            </w:r>
          </w:p>
          <w:bookmarkEnd w:id="3650"/>
        </w:tc>
      </w:tr>
    </w:tbl>
    <w:bookmarkStart w:name="z3755" w:id="3651"/>
    <w:p>
      <w:pPr>
        <w:spacing w:after="0"/>
        <w:ind w:left="0"/>
        <w:jc w:val="both"/>
      </w:pPr>
      <w:r>
        <w:rPr>
          <w:rFonts w:ascii="Times New Roman"/>
          <w:b w:val="false"/>
          <w:i w:val="false"/>
          <w:color w:val="000000"/>
          <w:sz w:val="28"/>
        </w:rPr>
        <w:t>
       </w:t>
      </w:r>
    </w:p>
    <w:bookmarkEnd w:id="3651"/>
    <w:bookmarkStart w:name="z3756" w:id="3652"/>
    <w:p>
      <w:pPr>
        <w:spacing w:after="0"/>
        <w:ind w:left="0"/>
        <w:jc w:val="both"/>
      </w:pPr>
      <w:r>
        <w:rPr>
          <w:rFonts w:ascii="Times New Roman"/>
          <w:b w:val="false"/>
          <w:i w:val="false"/>
          <w:color w:val="000000"/>
          <w:sz w:val="28"/>
        </w:rPr>
        <w:t>
      4.9. Выход из исследования из-за нежелательных явлений.</w:t>
      </w:r>
    </w:p>
    <w:bookmarkEnd w:id="3652"/>
    <w:bookmarkStart w:name="z3757" w:id="3653"/>
    <w:p>
      <w:pPr>
        <w:spacing w:after="0"/>
        <w:ind w:left="0"/>
        <w:jc w:val="both"/>
      </w:pPr>
      <w:r>
        <w:rPr>
          <w:rFonts w:ascii="Times New Roman"/>
          <w:b w:val="false"/>
          <w:i w:val="false"/>
          <w:color w:val="000000"/>
          <w:sz w:val="28"/>
        </w:rPr>
        <w:t>
       </w:t>
      </w:r>
    </w:p>
    <w:bookmarkEnd w:id="3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654"/>
          <w:p>
            <w:pPr>
              <w:spacing w:after="20"/>
              <w:ind w:left="20"/>
              <w:jc w:val="both"/>
            </w:pPr>
            <w:r>
              <w:rPr>
                <w:rFonts w:ascii="Times New Roman"/>
                <w:b w:val="false"/>
                <w:i w:val="false"/>
                <w:color w:val="000000"/>
                <w:sz w:val="20"/>
              </w:rPr>
              <w:t xml:space="preserve">
Комментарий эксперта </w:t>
            </w:r>
          </w:p>
          <w:bookmarkEnd w:id="3654"/>
        </w:tc>
      </w:tr>
    </w:tbl>
    <w:bookmarkStart w:name="z3759" w:id="3655"/>
    <w:p>
      <w:pPr>
        <w:spacing w:after="0"/>
        <w:ind w:left="0"/>
        <w:jc w:val="both"/>
      </w:pPr>
      <w:r>
        <w:rPr>
          <w:rFonts w:ascii="Times New Roman"/>
          <w:b w:val="false"/>
          <w:i w:val="false"/>
          <w:color w:val="000000"/>
          <w:sz w:val="28"/>
        </w:rPr>
        <w:t>
       </w:t>
      </w:r>
    </w:p>
    <w:bookmarkEnd w:id="3655"/>
    <w:bookmarkStart w:name="z3760" w:id="3656"/>
    <w:p>
      <w:pPr>
        <w:spacing w:after="0"/>
        <w:ind w:left="0"/>
        <w:jc w:val="both"/>
      </w:pPr>
      <w:r>
        <w:rPr>
          <w:rFonts w:ascii="Times New Roman"/>
          <w:b w:val="false"/>
          <w:i w:val="false"/>
          <w:color w:val="000000"/>
          <w:sz w:val="28"/>
        </w:rPr>
        <w:t>
      4.10. Исследования после выхода препарата на рынок.</w:t>
      </w:r>
    </w:p>
    <w:bookmarkEnd w:id="3656"/>
    <w:bookmarkStart w:name="z3761" w:id="3657"/>
    <w:p>
      <w:pPr>
        <w:spacing w:after="0"/>
        <w:ind w:left="0"/>
        <w:jc w:val="both"/>
      </w:pPr>
      <w:r>
        <w:rPr>
          <w:rFonts w:ascii="Times New Roman"/>
          <w:b w:val="false"/>
          <w:i w:val="false"/>
          <w:color w:val="000000"/>
          <w:sz w:val="28"/>
        </w:rPr>
        <w:t>
       </w:t>
      </w:r>
    </w:p>
    <w:bookmarkEnd w:id="3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658"/>
          <w:p>
            <w:pPr>
              <w:spacing w:after="20"/>
              <w:ind w:left="20"/>
              <w:jc w:val="both"/>
            </w:pPr>
            <w:r>
              <w:rPr>
                <w:rFonts w:ascii="Times New Roman"/>
                <w:b w:val="false"/>
                <w:i w:val="false"/>
                <w:color w:val="000000"/>
                <w:sz w:val="20"/>
              </w:rPr>
              <w:t xml:space="preserve">
Комментарий эксперта </w:t>
            </w:r>
          </w:p>
          <w:bookmarkEnd w:id="3658"/>
        </w:tc>
      </w:tr>
    </w:tbl>
    <w:bookmarkStart w:name="z3763" w:id="3659"/>
    <w:p>
      <w:pPr>
        <w:spacing w:after="0"/>
        <w:ind w:left="0"/>
        <w:jc w:val="both"/>
      </w:pPr>
      <w:r>
        <w:rPr>
          <w:rFonts w:ascii="Times New Roman"/>
          <w:b w:val="false"/>
          <w:i w:val="false"/>
          <w:color w:val="000000"/>
          <w:sz w:val="28"/>
        </w:rPr>
        <w:t>
       </w:t>
      </w:r>
    </w:p>
    <w:bookmarkEnd w:id="3659"/>
    <w:bookmarkStart w:name="z3764" w:id="3660"/>
    <w:p>
      <w:pPr>
        <w:spacing w:after="0"/>
        <w:ind w:left="0"/>
        <w:jc w:val="both"/>
      </w:pPr>
      <w:r>
        <w:rPr>
          <w:rFonts w:ascii="Times New Roman"/>
          <w:b w:val="false"/>
          <w:i w:val="false"/>
          <w:color w:val="000000"/>
          <w:sz w:val="28"/>
        </w:rPr>
        <w:t>
      4.11. Общее заключение эксперта по оценке клинической безопасности.</w:t>
      </w:r>
    </w:p>
    <w:bookmarkEnd w:id="3660"/>
    <w:bookmarkStart w:name="z3765" w:id="3661"/>
    <w:p>
      <w:pPr>
        <w:spacing w:after="0"/>
        <w:ind w:left="0"/>
        <w:jc w:val="both"/>
      </w:pPr>
      <w:r>
        <w:rPr>
          <w:rFonts w:ascii="Times New Roman"/>
          <w:b w:val="false"/>
          <w:i w:val="false"/>
          <w:color w:val="000000"/>
          <w:sz w:val="28"/>
        </w:rPr>
        <w:t>
      выводы по клинической эффективности</w:t>
      </w:r>
    </w:p>
    <w:bookmarkEnd w:id="3661"/>
    <w:bookmarkStart w:name="z3766" w:id="3662"/>
    <w:p>
      <w:pPr>
        <w:spacing w:after="0"/>
        <w:ind w:left="0"/>
        <w:jc w:val="both"/>
      </w:pPr>
      <w:r>
        <w:rPr>
          <w:rFonts w:ascii="Times New Roman"/>
          <w:b w:val="false"/>
          <w:i w:val="false"/>
          <w:color w:val="000000"/>
          <w:sz w:val="28"/>
        </w:rPr>
        <w:t>
      выводы по клинической безопасности</w:t>
      </w:r>
    </w:p>
    <w:bookmarkEnd w:id="3662"/>
    <w:bookmarkStart w:name="z3767" w:id="3663"/>
    <w:p>
      <w:pPr>
        <w:spacing w:after="0"/>
        <w:ind w:left="0"/>
        <w:jc w:val="both"/>
      </w:pPr>
      <w:r>
        <w:rPr>
          <w:rFonts w:ascii="Times New Roman"/>
          <w:b w:val="false"/>
          <w:i w:val="false"/>
          <w:color w:val="000000"/>
          <w:sz w:val="28"/>
        </w:rPr>
        <w:t>
       </w:t>
      </w:r>
    </w:p>
    <w:bookmarkEnd w:id="3663"/>
    <w:bookmarkStart w:name="z3768" w:id="3664"/>
    <w:p>
      <w:pPr>
        <w:spacing w:after="0"/>
        <w:ind w:left="0"/>
        <w:jc w:val="left"/>
      </w:pPr>
      <w:r>
        <w:rPr>
          <w:rFonts w:ascii="Times New Roman"/>
          <w:b/>
          <w:i w:val="false"/>
          <w:color w:val="000000"/>
        </w:rPr>
        <w:t xml:space="preserve"> 5. Фармаконадзор </w:t>
      </w:r>
    </w:p>
    <w:bookmarkEnd w:id="3664"/>
    <w:bookmarkStart w:name="z3769" w:id="3665"/>
    <w:p>
      <w:pPr>
        <w:spacing w:after="0"/>
        <w:ind w:left="0"/>
        <w:jc w:val="both"/>
      </w:pPr>
      <w:r>
        <w:rPr>
          <w:rFonts w:ascii="Times New Roman"/>
          <w:b w:val="false"/>
          <w:i w:val="false"/>
          <w:color w:val="000000"/>
          <w:sz w:val="28"/>
        </w:rPr>
        <w:t>
       </w:t>
      </w:r>
    </w:p>
    <w:bookmarkEnd w:id="3665"/>
    <w:bookmarkStart w:name="z3770" w:id="3666"/>
    <w:p>
      <w:pPr>
        <w:spacing w:after="0"/>
        <w:ind w:left="0"/>
        <w:jc w:val="both"/>
      </w:pPr>
      <w:r>
        <w:rPr>
          <w:rFonts w:ascii="Times New Roman"/>
          <w:b w:val="false"/>
          <w:i w:val="false"/>
          <w:color w:val="000000"/>
          <w:sz w:val="28"/>
        </w:rPr>
        <w:t>
      5.1. Система фармаконадзора.</w:t>
      </w:r>
    </w:p>
    <w:bookmarkEnd w:id="3666"/>
    <w:bookmarkStart w:name="z3771" w:id="3667"/>
    <w:p>
      <w:pPr>
        <w:spacing w:after="0"/>
        <w:ind w:left="0"/>
        <w:jc w:val="both"/>
      </w:pPr>
      <w:r>
        <w:rPr>
          <w:rFonts w:ascii="Times New Roman"/>
          <w:b w:val="false"/>
          <w:i w:val="false"/>
          <w:color w:val="000000"/>
          <w:sz w:val="28"/>
        </w:rPr>
        <w:t>
      Заявитель представил документы, в которых изложено подробное описание системы фармаконадзора. Заявление для фармаконадзора подписано заявителем и уполномоченным лицом, при этом в нем указано, что заявителю предоставляются услуги уполномоченного лица, ответственного за фармаконадзор, и предоставлены необходимые средства для извещения о любой нежелательной реакции, возникающей в Евразийском экономическом союзе либо в третьей стране.</w:t>
      </w:r>
    </w:p>
    <w:bookmarkEnd w:id="3667"/>
    <w:bookmarkStart w:name="z3772" w:id="3668"/>
    <w:p>
      <w:pPr>
        <w:spacing w:after="0"/>
        <w:ind w:left="0"/>
        <w:jc w:val="both"/>
      </w:pPr>
      <w:r>
        <w:rPr>
          <w:rFonts w:ascii="Times New Roman"/>
          <w:b w:val="false"/>
          <w:i w:val="false"/>
          <w:color w:val="000000"/>
          <w:sz w:val="28"/>
        </w:rPr>
        <w:t>
      Эксперт считает, что система фармаконадзора, которая описана заявителем, удовлетворяет требованиям и представляет надлежащее доказательство того, что заявителю предоставляются услуги уполномоченного лица, ответственного за фармаконадзор, и имеются необходимые средства для извещения о любой предполагаемой нежелательной реакции, возникающей в Евразийском экономическом союзе либо в третьей стране.</w:t>
      </w:r>
    </w:p>
    <w:bookmarkEnd w:id="3668"/>
    <w:bookmarkStart w:name="z3773" w:id="3669"/>
    <w:p>
      <w:pPr>
        <w:spacing w:after="0"/>
        <w:ind w:left="0"/>
        <w:jc w:val="both"/>
      </w:pPr>
      <w:r>
        <w:rPr>
          <w:rFonts w:ascii="Times New Roman"/>
          <w:b w:val="false"/>
          <w:i w:val="false"/>
          <w:color w:val="000000"/>
          <w:sz w:val="28"/>
        </w:rPr>
        <w:t>
      Эксперт считает, что система фармаконадзора, которая описана заявителем, имеет следующие недостатки: &lt;перечень недостатков&gt;.</w:t>
      </w:r>
    </w:p>
    <w:bookmarkEnd w:id="3669"/>
    <w:bookmarkStart w:name="z3774" w:id="3670"/>
    <w:p>
      <w:pPr>
        <w:spacing w:after="0"/>
        <w:ind w:left="0"/>
        <w:jc w:val="both"/>
      </w:pPr>
      <w:r>
        <w:rPr>
          <w:rFonts w:ascii="Times New Roman"/>
          <w:b w:val="false"/>
          <w:i w:val="false"/>
          <w:color w:val="000000"/>
          <w:sz w:val="28"/>
        </w:rPr>
        <w:t>
      С учетом того, что недостатки устраняются до того, как заявитель выводит лекарственный препарат на рынок, уполномоченная экспертная организация может считать, что система фармаконадзора будет соответствовать требованиям. Прежде чем препарат поступит на рынок, заявитель должен представить убедительные данные, что система фармаконадзора принята и функционирует.</w:t>
      </w:r>
    </w:p>
    <w:bookmarkEnd w:id="3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671"/>
          <w:p>
            <w:pPr>
              <w:spacing w:after="20"/>
              <w:ind w:left="20"/>
              <w:jc w:val="both"/>
            </w:pPr>
            <w:r>
              <w:rPr>
                <w:rFonts w:ascii="Times New Roman"/>
                <w:b w:val="false"/>
                <w:i w:val="false"/>
                <w:color w:val="000000"/>
                <w:sz w:val="20"/>
              </w:rPr>
              <w:t xml:space="preserve">
Комментарий эксперта </w:t>
            </w:r>
          </w:p>
          <w:bookmarkEnd w:id="3671"/>
        </w:tc>
      </w:tr>
    </w:tbl>
    <w:bookmarkStart w:name="z3776" w:id="3672"/>
    <w:p>
      <w:pPr>
        <w:spacing w:after="0"/>
        <w:ind w:left="0"/>
        <w:jc w:val="both"/>
      </w:pPr>
      <w:r>
        <w:rPr>
          <w:rFonts w:ascii="Times New Roman"/>
          <w:b w:val="false"/>
          <w:i w:val="false"/>
          <w:color w:val="000000"/>
          <w:sz w:val="28"/>
        </w:rPr>
        <w:t>
      5.2. План управления риском.</w:t>
      </w:r>
    </w:p>
    <w:bookmarkEnd w:id="3672"/>
    <w:bookmarkStart w:name="z3777" w:id="3673"/>
    <w:p>
      <w:pPr>
        <w:spacing w:after="0"/>
        <w:ind w:left="0"/>
        <w:jc w:val="both"/>
      </w:pPr>
      <w:r>
        <w:rPr>
          <w:rFonts w:ascii="Times New Roman"/>
          <w:b w:val="false"/>
          <w:i w:val="false"/>
          <w:color w:val="000000"/>
          <w:sz w:val="28"/>
        </w:rPr>
        <w:t>
      Вопросы и (или) замечания для рассмотрения экспертом в области фармаконадзора при оценке плана управления рисками:</w:t>
      </w:r>
    </w:p>
    <w:bookmarkEnd w:id="3673"/>
    <w:bookmarkStart w:name="z3778" w:id="3674"/>
    <w:p>
      <w:pPr>
        <w:spacing w:after="0"/>
        <w:ind w:left="0"/>
        <w:jc w:val="both"/>
      </w:pPr>
      <w:r>
        <w:rPr>
          <w:rFonts w:ascii="Times New Roman"/>
          <w:b w:val="false"/>
          <w:i w:val="false"/>
          <w:color w:val="000000"/>
          <w:sz w:val="28"/>
        </w:rPr>
        <w:t>
      _______________________________________________________________________</w:t>
      </w:r>
    </w:p>
    <w:bookmarkEnd w:id="3674"/>
    <w:bookmarkStart w:name="z3779" w:id="3675"/>
    <w:p>
      <w:pPr>
        <w:spacing w:after="0"/>
        <w:ind w:left="0"/>
        <w:jc w:val="both"/>
      </w:pPr>
      <w:r>
        <w:rPr>
          <w:rFonts w:ascii="Times New Roman"/>
          <w:b w:val="false"/>
          <w:i w:val="false"/>
          <w:color w:val="000000"/>
          <w:sz w:val="28"/>
        </w:rPr>
        <w:t>
      ______________________________________________________________________</w:t>
      </w:r>
    </w:p>
    <w:bookmarkEnd w:id="3675"/>
    <w:bookmarkStart w:name="z3780" w:id="3676"/>
    <w:p>
      <w:pPr>
        <w:spacing w:after="0"/>
        <w:ind w:left="0"/>
        <w:jc w:val="left"/>
      </w:pPr>
      <w:r>
        <w:rPr>
          <w:rFonts w:ascii="Times New Roman"/>
          <w:b/>
          <w:i w:val="false"/>
          <w:color w:val="000000"/>
        </w:rPr>
        <w:t xml:space="preserve"> 6. Список литературы: </w:t>
      </w:r>
    </w:p>
    <w:bookmarkEnd w:id="3676"/>
    <w:bookmarkStart w:name="z3781" w:id="3677"/>
    <w:p>
      <w:pPr>
        <w:spacing w:after="0"/>
        <w:ind w:left="0"/>
        <w:jc w:val="both"/>
      </w:pPr>
      <w:r>
        <w:rPr>
          <w:rFonts w:ascii="Times New Roman"/>
          <w:b w:val="false"/>
          <w:i w:val="false"/>
          <w:color w:val="000000"/>
          <w:sz w:val="28"/>
        </w:rPr>
        <w:t>
      _______________________________________________________________________</w:t>
      </w:r>
    </w:p>
    <w:bookmarkEnd w:id="3677"/>
    <w:bookmarkStart w:name="z3782" w:id="3678"/>
    <w:p>
      <w:pPr>
        <w:spacing w:after="0"/>
        <w:ind w:left="0"/>
        <w:jc w:val="both"/>
      </w:pPr>
      <w:r>
        <w:rPr>
          <w:rFonts w:ascii="Times New Roman"/>
          <w:b w:val="false"/>
          <w:i w:val="false"/>
          <w:color w:val="000000"/>
          <w:sz w:val="28"/>
        </w:rPr>
        <w:t>
      _______________________________________________________________________</w:t>
      </w:r>
    </w:p>
    <w:bookmarkEnd w:id="3678"/>
    <w:bookmarkStart w:name="z3783" w:id="3679"/>
    <w:p>
      <w:pPr>
        <w:spacing w:after="0"/>
        <w:ind w:left="0"/>
        <w:jc w:val="both"/>
      </w:pPr>
      <w:r>
        <w:rPr>
          <w:rFonts w:ascii="Times New Roman"/>
          <w:b w:val="false"/>
          <w:i w:val="false"/>
          <w:color w:val="000000"/>
          <w:sz w:val="28"/>
        </w:rPr>
        <w:t>
      _______________________________________________________________________</w:t>
      </w:r>
    </w:p>
    <w:bookmarkEnd w:id="3679"/>
    <w:bookmarkStart w:name="z3784" w:id="3680"/>
    <w:p>
      <w:pPr>
        <w:spacing w:after="0"/>
        <w:ind w:left="0"/>
        <w:jc w:val="both"/>
      </w:pPr>
      <w:r>
        <w:rPr>
          <w:rFonts w:ascii="Times New Roman"/>
          <w:b w:val="false"/>
          <w:i w:val="false"/>
          <w:color w:val="000000"/>
          <w:sz w:val="28"/>
        </w:rPr>
        <w:t>
      _______________________________________________________________________</w:t>
      </w:r>
    </w:p>
    <w:bookmarkEnd w:id="3680"/>
    <w:bookmarkStart w:name="z3785" w:id="3681"/>
    <w:p>
      <w:pPr>
        <w:spacing w:after="0"/>
        <w:ind w:left="0"/>
        <w:jc w:val="both"/>
      </w:pPr>
      <w:r>
        <w:rPr>
          <w:rFonts w:ascii="Times New Roman"/>
          <w:b w:val="false"/>
          <w:i w:val="false"/>
          <w:color w:val="000000"/>
          <w:sz w:val="28"/>
        </w:rPr>
        <w:t>
       </w:t>
      </w:r>
    </w:p>
    <w:bookmarkEnd w:id="3681"/>
    <w:bookmarkStart w:name="z3786" w:id="3682"/>
    <w:p>
      <w:pPr>
        <w:spacing w:after="0"/>
        <w:ind w:left="0"/>
        <w:jc w:val="left"/>
      </w:pPr>
      <w:r>
        <w:rPr>
          <w:rFonts w:ascii="Times New Roman"/>
          <w:b/>
          <w:i w:val="false"/>
          <w:color w:val="000000"/>
        </w:rPr>
        <w:t xml:space="preserve"> 7. Перечень вопросов, которые выдвигаются экспертом </w:t>
      </w:r>
    </w:p>
    <w:bookmarkEnd w:id="3682"/>
    <w:bookmarkStart w:name="z3787" w:id="3683"/>
    <w:p>
      <w:pPr>
        <w:spacing w:after="0"/>
        <w:ind w:left="0"/>
        <w:jc w:val="both"/>
      </w:pPr>
      <w:r>
        <w:rPr>
          <w:rFonts w:ascii="Times New Roman"/>
          <w:b w:val="false"/>
          <w:i w:val="false"/>
          <w:color w:val="000000"/>
          <w:sz w:val="28"/>
        </w:rPr>
        <w:t>
       </w:t>
      </w:r>
    </w:p>
    <w:bookmarkEnd w:id="3683"/>
    <w:bookmarkStart w:name="z3788" w:id="3684"/>
    <w:p>
      <w:pPr>
        <w:spacing w:after="0"/>
        <w:ind w:left="0"/>
        <w:jc w:val="both"/>
      </w:pPr>
      <w:r>
        <w:rPr>
          <w:rFonts w:ascii="Times New Roman"/>
          <w:b w:val="false"/>
          <w:i w:val="false"/>
          <w:color w:val="000000"/>
          <w:sz w:val="28"/>
        </w:rPr>
        <w:t>
      Клинические аспекты:</w:t>
      </w:r>
    </w:p>
    <w:bookmarkEnd w:id="3684"/>
    <w:bookmarkStart w:name="z3789" w:id="3685"/>
    <w:p>
      <w:pPr>
        <w:spacing w:after="0"/>
        <w:ind w:left="0"/>
        <w:jc w:val="both"/>
      </w:pPr>
      <w:r>
        <w:rPr>
          <w:rFonts w:ascii="Times New Roman"/>
          <w:b w:val="false"/>
          <w:i w:val="false"/>
          <w:color w:val="000000"/>
          <w:sz w:val="28"/>
        </w:rPr>
        <w:t>
      а) основные замечания:</w:t>
      </w:r>
    </w:p>
    <w:bookmarkEnd w:id="3685"/>
    <w:bookmarkStart w:name="z3790" w:id="3686"/>
    <w:p>
      <w:pPr>
        <w:spacing w:after="0"/>
        <w:ind w:left="0"/>
        <w:jc w:val="both"/>
      </w:pPr>
      <w:r>
        <w:rPr>
          <w:rFonts w:ascii="Times New Roman"/>
          <w:b w:val="false"/>
          <w:i w:val="false"/>
          <w:color w:val="000000"/>
          <w:sz w:val="28"/>
        </w:rPr>
        <w:t>
      фармакокинетика;</w:t>
      </w:r>
    </w:p>
    <w:bookmarkEnd w:id="3686"/>
    <w:bookmarkStart w:name="z3791" w:id="3687"/>
    <w:p>
      <w:pPr>
        <w:spacing w:after="0"/>
        <w:ind w:left="0"/>
        <w:jc w:val="both"/>
      </w:pPr>
      <w:r>
        <w:rPr>
          <w:rFonts w:ascii="Times New Roman"/>
          <w:b w:val="false"/>
          <w:i w:val="false"/>
          <w:color w:val="000000"/>
          <w:sz w:val="28"/>
        </w:rPr>
        <w:t>
      фармакодинамика;</w:t>
      </w:r>
    </w:p>
    <w:bookmarkEnd w:id="3687"/>
    <w:bookmarkStart w:name="z3792" w:id="3688"/>
    <w:p>
      <w:pPr>
        <w:spacing w:after="0"/>
        <w:ind w:left="0"/>
        <w:jc w:val="both"/>
      </w:pPr>
      <w:r>
        <w:rPr>
          <w:rFonts w:ascii="Times New Roman"/>
          <w:b w:val="false"/>
          <w:i w:val="false"/>
          <w:color w:val="000000"/>
          <w:sz w:val="28"/>
        </w:rPr>
        <w:t>
      эффективность;</w:t>
      </w:r>
    </w:p>
    <w:bookmarkEnd w:id="3688"/>
    <w:bookmarkStart w:name="z3793" w:id="3689"/>
    <w:p>
      <w:pPr>
        <w:spacing w:after="0"/>
        <w:ind w:left="0"/>
        <w:jc w:val="both"/>
      </w:pPr>
      <w:r>
        <w:rPr>
          <w:rFonts w:ascii="Times New Roman"/>
          <w:b w:val="false"/>
          <w:i w:val="false"/>
          <w:color w:val="000000"/>
          <w:sz w:val="28"/>
        </w:rPr>
        <w:t>
      безопасность;</w:t>
      </w:r>
    </w:p>
    <w:bookmarkEnd w:id="3689"/>
    <w:bookmarkStart w:name="z3794" w:id="3690"/>
    <w:p>
      <w:pPr>
        <w:spacing w:after="0"/>
        <w:ind w:left="0"/>
        <w:jc w:val="both"/>
      </w:pPr>
      <w:r>
        <w:rPr>
          <w:rFonts w:ascii="Times New Roman"/>
          <w:b w:val="false"/>
          <w:i w:val="false"/>
          <w:color w:val="000000"/>
          <w:sz w:val="28"/>
        </w:rPr>
        <w:t>
      система фармаконадзора;</w:t>
      </w:r>
    </w:p>
    <w:bookmarkEnd w:id="3690"/>
    <w:bookmarkStart w:name="z3795" w:id="3691"/>
    <w:p>
      <w:pPr>
        <w:spacing w:after="0"/>
        <w:ind w:left="0"/>
        <w:jc w:val="both"/>
      </w:pPr>
      <w:r>
        <w:rPr>
          <w:rFonts w:ascii="Times New Roman"/>
          <w:b w:val="false"/>
          <w:i w:val="false"/>
          <w:color w:val="000000"/>
          <w:sz w:val="28"/>
        </w:rPr>
        <w:t>
      план по управлению риском;</w:t>
      </w:r>
    </w:p>
    <w:bookmarkEnd w:id="3691"/>
    <w:bookmarkStart w:name="z3796" w:id="3692"/>
    <w:p>
      <w:pPr>
        <w:spacing w:after="0"/>
        <w:ind w:left="0"/>
        <w:jc w:val="both"/>
      </w:pPr>
      <w:r>
        <w:rPr>
          <w:rFonts w:ascii="Times New Roman"/>
          <w:b w:val="false"/>
          <w:i w:val="false"/>
          <w:color w:val="000000"/>
          <w:sz w:val="28"/>
        </w:rPr>
        <w:t>
      б) прочие замечания:</w:t>
      </w:r>
    </w:p>
    <w:bookmarkEnd w:id="3692"/>
    <w:bookmarkStart w:name="z3797" w:id="3693"/>
    <w:p>
      <w:pPr>
        <w:spacing w:after="0"/>
        <w:ind w:left="0"/>
        <w:jc w:val="both"/>
      </w:pPr>
      <w:r>
        <w:rPr>
          <w:rFonts w:ascii="Times New Roman"/>
          <w:b w:val="false"/>
          <w:i w:val="false"/>
          <w:color w:val="000000"/>
          <w:sz w:val="28"/>
        </w:rPr>
        <w:t>
      фармакокинетика;</w:t>
      </w:r>
    </w:p>
    <w:bookmarkEnd w:id="3693"/>
    <w:bookmarkStart w:name="z3798" w:id="3694"/>
    <w:p>
      <w:pPr>
        <w:spacing w:after="0"/>
        <w:ind w:left="0"/>
        <w:jc w:val="both"/>
      </w:pPr>
      <w:r>
        <w:rPr>
          <w:rFonts w:ascii="Times New Roman"/>
          <w:b w:val="false"/>
          <w:i w:val="false"/>
          <w:color w:val="000000"/>
          <w:sz w:val="28"/>
        </w:rPr>
        <w:t>
      фармакодинамика;</w:t>
      </w:r>
    </w:p>
    <w:bookmarkEnd w:id="3694"/>
    <w:bookmarkStart w:name="z3799" w:id="3695"/>
    <w:p>
      <w:pPr>
        <w:spacing w:after="0"/>
        <w:ind w:left="0"/>
        <w:jc w:val="both"/>
      </w:pPr>
      <w:r>
        <w:rPr>
          <w:rFonts w:ascii="Times New Roman"/>
          <w:b w:val="false"/>
          <w:i w:val="false"/>
          <w:color w:val="000000"/>
          <w:sz w:val="28"/>
        </w:rPr>
        <w:t>
      эффективность;</w:t>
      </w:r>
    </w:p>
    <w:bookmarkEnd w:id="3695"/>
    <w:bookmarkStart w:name="z3800" w:id="3696"/>
    <w:p>
      <w:pPr>
        <w:spacing w:after="0"/>
        <w:ind w:left="0"/>
        <w:jc w:val="both"/>
      </w:pPr>
      <w:r>
        <w:rPr>
          <w:rFonts w:ascii="Times New Roman"/>
          <w:b w:val="false"/>
          <w:i w:val="false"/>
          <w:color w:val="000000"/>
          <w:sz w:val="28"/>
        </w:rPr>
        <w:t>
      безопасность;</w:t>
      </w:r>
    </w:p>
    <w:bookmarkEnd w:id="3696"/>
    <w:bookmarkStart w:name="z3801" w:id="3697"/>
    <w:p>
      <w:pPr>
        <w:spacing w:after="0"/>
        <w:ind w:left="0"/>
        <w:jc w:val="both"/>
      </w:pPr>
      <w:r>
        <w:rPr>
          <w:rFonts w:ascii="Times New Roman"/>
          <w:b w:val="false"/>
          <w:i w:val="false"/>
          <w:color w:val="000000"/>
          <w:sz w:val="28"/>
        </w:rPr>
        <w:t>
      система фармаконадзора;</w:t>
      </w:r>
    </w:p>
    <w:bookmarkEnd w:id="3697"/>
    <w:bookmarkStart w:name="z3802" w:id="3698"/>
    <w:p>
      <w:pPr>
        <w:spacing w:after="0"/>
        <w:ind w:left="0"/>
        <w:jc w:val="both"/>
      </w:pPr>
      <w:r>
        <w:rPr>
          <w:rFonts w:ascii="Times New Roman"/>
          <w:b w:val="false"/>
          <w:i w:val="false"/>
          <w:color w:val="000000"/>
          <w:sz w:val="28"/>
        </w:rPr>
        <w:t>
      план по управлению риском;</w:t>
      </w:r>
    </w:p>
    <w:bookmarkEnd w:id="3698"/>
    <w:bookmarkStart w:name="z3803" w:id="3699"/>
    <w:p>
      <w:pPr>
        <w:spacing w:after="0"/>
        <w:ind w:left="0"/>
        <w:jc w:val="both"/>
      </w:pPr>
      <w:r>
        <w:rPr>
          <w:rFonts w:ascii="Times New Roman"/>
          <w:b w:val="false"/>
          <w:i w:val="false"/>
          <w:color w:val="000000"/>
          <w:sz w:val="28"/>
        </w:rPr>
        <w:t>
      в) рекомендации:</w:t>
      </w:r>
    </w:p>
    <w:bookmarkEnd w:id="3699"/>
    <w:bookmarkStart w:name="z3804" w:id="3700"/>
    <w:p>
      <w:pPr>
        <w:spacing w:after="0"/>
        <w:ind w:left="0"/>
        <w:jc w:val="both"/>
      </w:pPr>
      <w:r>
        <w:rPr>
          <w:rFonts w:ascii="Times New Roman"/>
          <w:b w:val="false"/>
          <w:i w:val="false"/>
          <w:color w:val="000000"/>
          <w:sz w:val="28"/>
        </w:rPr>
        <w:t>
      _______________________________________________________________________</w:t>
      </w:r>
    </w:p>
    <w:bookmarkEnd w:id="3700"/>
    <w:bookmarkStart w:name="z3805" w:id="3701"/>
    <w:p>
      <w:pPr>
        <w:spacing w:after="0"/>
        <w:ind w:left="0"/>
        <w:jc w:val="both"/>
      </w:pPr>
      <w:r>
        <w:rPr>
          <w:rFonts w:ascii="Times New Roman"/>
          <w:b w:val="false"/>
          <w:i w:val="false"/>
          <w:color w:val="000000"/>
          <w:sz w:val="28"/>
        </w:rPr>
        <w:t>
      _______________________________________________________________________</w:t>
      </w:r>
    </w:p>
    <w:bookmarkEnd w:id="3701"/>
    <w:bookmarkStart w:name="z3806" w:id="3702"/>
    <w:p>
      <w:pPr>
        <w:spacing w:after="0"/>
        <w:ind w:left="0"/>
        <w:jc w:val="both"/>
      </w:pPr>
      <w:r>
        <w:rPr>
          <w:rFonts w:ascii="Times New Roman"/>
          <w:b w:val="false"/>
          <w:i w:val="false"/>
          <w:color w:val="000000"/>
          <w:sz w:val="28"/>
        </w:rPr>
        <w:t>
      _______________________________________________________________________</w:t>
      </w:r>
    </w:p>
    <w:bookmarkEnd w:id="3702"/>
    <w:bookmarkStart w:name="z3807" w:id="3703"/>
    <w:p>
      <w:pPr>
        <w:spacing w:after="0"/>
        <w:ind w:left="0"/>
        <w:jc w:val="both"/>
      </w:pPr>
      <w:r>
        <w:rPr>
          <w:rFonts w:ascii="Times New Roman"/>
          <w:b w:val="false"/>
          <w:i w:val="false"/>
          <w:color w:val="000000"/>
          <w:sz w:val="28"/>
        </w:rPr>
        <w:t>
       </w:t>
      </w:r>
    </w:p>
    <w:bookmarkEnd w:id="3703"/>
    <w:bookmarkStart w:name="z3808" w:id="3704"/>
    <w:p>
      <w:pPr>
        <w:spacing w:after="0"/>
        <w:ind w:left="0"/>
        <w:jc w:val="left"/>
      </w:pPr>
      <w:r>
        <w:rPr>
          <w:rFonts w:ascii="Times New Roman"/>
          <w:b/>
          <w:i w:val="false"/>
          <w:color w:val="000000"/>
        </w:rPr>
        <w:t xml:space="preserve"> 8. Рекомендованные экспертом условия, выполнение которых необходимо после получения заявителем регистрационного удостоверения и утверждения общей характеристики лекарственного препарата </w:t>
      </w:r>
    </w:p>
    <w:bookmarkEnd w:id="3704"/>
    <w:bookmarkStart w:name="z3809" w:id="3705"/>
    <w:p>
      <w:pPr>
        <w:spacing w:after="0"/>
        <w:ind w:left="0"/>
        <w:jc w:val="both"/>
      </w:pPr>
      <w:r>
        <w:rPr>
          <w:rFonts w:ascii="Times New Roman"/>
          <w:b w:val="false"/>
          <w:i w:val="false"/>
          <w:color w:val="000000"/>
          <w:sz w:val="28"/>
        </w:rPr>
        <w:t>
      Консультирование заявителя:</w:t>
      </w:r>
    </w:p>
    <w:bookmarkEnd w:id="3705"/>
    <w:bookmarkStart w:name="z3810" w:id="3706"/>
    <w:p>
      <w:pPr>
        <w:spacing w:after="0"/>
        <w:ind w:left="0"/>
        <w:jc w:val="both"/>
      </w:pPr>
      <w:r>
        <w:rPr>
          <w:rFonts w:ascii="Times New Roman"/>
          <w:b w:val="false"/>
          <w:i w:val="false"/>
          <w:color w:val="000000"/>
          <w:sz w:val="28"/>
        </w:rPr>
        <w:t>
      _______________________________________________________________________</w:t>
      </w:r>
    </w:p>
    <w:bookmarkEnd w:id="3706"/>
    <w:bookmarkStart w:name="z3811" w:id="3707"/>
    <w:p>
      <w:pPr>
        <w:spacing w:after="0"/>
        <w:ind w:left="0"/>
        <w:jc w:val="both"/>
      </w:pPr>
      <w:r>
        <w:rPr>
          <w:rFonts w:ascii="Times New Roman"/>
          <w:b w:val="false"/>
          <w:i w:val="false"/>
          <w:color w:val="000000"/>
          <w:sz w:val="28"/>
        </w:rPr>
        <w:t>
      _______________________________________________________________________</w:t>
      </w:r>
    </w:p>
    <w:bookmarkEnd w:id="3707"/>
    <w:bookmarkStart w:name="z3812" w:id="3708"/>
    <w:p>
      <w:pPr>
        <w:spacing w:after="0"/>
        <w:ind w:left="0"/>
        <w:jc w:val="both"/>
      </w:pPr>
      <w:r>
        <w:rPr>
          <w:rFonts w:ascii="Times New Roman"/>
          <w:b w:val="false"/>
          <w:i w:val="false"/>
          <w:color w:val="000000"/>
          <w:sz w:val="28"/>
        </w:rPr>
        <w:t>
      _______________________________________________________________________</w:t>
      </w:r>
    </w:p>
    <w:bookmarkEnd w:id="3708"/>
    <w:bookmarkStart w:name="z3813" w:id="3709"/>
    <w:p>
      <w:pPr>
        <w:spacing w:after="0"/>
        <w:ind w:left="0"/>
        <w:jc w:val="both"/>
      </w:pPr>
      <w:r>
        <w:rPr>
          <w:rFonts w:ascii="Times New Roman"/>
          <w:b w:val="false"/>
          <w:i w:val="false"/>
          <w:color w:val="000000"/>
          <w:sz w:val="28"/>
        </w:rPr>
        <w:t>
       </w:t>
      </w:r>
    </w:p>
    <w:bookmarkEnd w:id="3709"/>
    <w:bookmarkStart w:name="z3814" w:id="3710"/>
    <w:p>
      <w:pPr>
        <w:spacing w:after="0"/>
        <w:ind w:left="0"/>
        <w:jc w:val="both"/>
      </w:pPr>
      <w:r>
        <w:rPr>
          <w:rFonts w:ascii="Times New Roman"/>
          <w:b w:val="false"/>
          <w:i w:val="false"/>
          <w:color w:val="000000"/>
          <w:sz w:val="28"/>
        </w:rPr>
        <w:t>
       </w:t>
      </w:r>
    </w:p>
    <w:bookmarkEnd w:id="3710"/>
    <w:bookmarkStart w:name="z3815" w:id="3711"/>
    <w:p>
      <w:pPr>
        <w:spacing w:after="0"/>
        <w:ind w:left="0"/>
        <w:jc w:val="both"/>
      </w:pPr>
      <w:r>
        <w:rPr>
          <w:rFonts w:ascii="Times New Roman"/>
          <w:b w:val="false"/>
          <w:i w:val="false"/>
          <w:color w:val="000000"/>
          <w:sz w:val="28"/>
        </w:rPr>
        <w:t>
       </w:t>
      </w:r>
    </w:p>
    <w:bookmarkEnd w:id="3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3817" w:id="3712"/>
    <w:p>
      <w:pPr>
        <w:spacing w:after="0"/>
        <w:ind w:left="0"/>
        <w:jc w:val="left"/>
      </w:pPr>
      <w:r>
        <w:rPr>
          <w:rFonts w:ascii="Times New Roman"/>
          <w:b/>
          <w:i w:val="false"/>
          <w:color w:val="000000"/>
        </w:rPr>
        <w:t xml:space="preserve"> ФОРМА</w:t>
      </w:r>
      <w:r>
        <w:br/>
      </w:r>
      <w:r>
        <w:rPr>
          <w:rFonts w:ascii="Times New Roman"/>
          <w:b/>
          <w:i w:val="false"/>
          <w:color w:val="000000"/>
        </w:rPr>
        <w:t xml:space="preserve">ЭКСПЕРТНОГО ОТЧЕТА ПО КРИТИЧЕСКОЙ ОЦЕНКЕ АСПЕКТОВ КАЧЕСТВА ЛЕКАРСТВЕННОГО ПРЕПАРАТА </w:t>
      </w:r>
    </w:p>
    <w:bookmarkEnd w:id="3712"/>
    <w:bookmarkStart w:name="z3818" w:id="3713"/>
    <w:p>
      <w:pPr>
        <w:spacing w:after="0"/>
        <w:ind w:left="0"/>
        <w:jc w:val="both"/>
      </w:pPr>
      <w:r>
        <w:rPr>
          <w:rFonts w:ascii="Times New Roman"/>
          <w:b w:val="false"/>
          <w:i w:val="false"/>
          <w:color w:val="000000"/>
          <w:sz w:val="28"/>
        </w:rPr>
        <w:t>
      Указания по заполнению: при использовании готовых шаблонов текста они выделены в настоящей форме знаками &lt; &gt; и курсивом; фрагменты шаблонов текста, заполнение которых производится путем ввода определенных вариантов текста по указанному свойству (параметру), приведены в фигурных скобках { } с указанием свойства (параметра), который необходимо внести курсивом.</w:t>
      </w:r>
    </w:p>
    <w:bookmarkEnd w:id="3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820" w:id="3714"/>
    <w:p>
      <w:pPr>
        <w:spacing w:after="0"/>
        <w:ind w:left="0"/>
        <w:jc w:val="left"/>
      </w:pPr>
      <w:r>
        <w:rPr>
          <w:rFonts w:ascii="Times New Roman"/>
          <w:b/>
          <w:i w:val="false"/>
          <w:color w:val="000000"/>
        </w:rPr>
        <w:t xml:space="preserve"> ЭКСПЕРТНЫЙ ОТЧЕТ</w:t>
      </w:r>
      <w:r>
        <w:br/>
      </w:r>
      <w:r>
        <w:rPr>
          <w:rFonts w:ascii="Times New Roman"/>
          <w:b/>
          <w:i w:val="false"/>
          <w:color w:val="000000"/>
        </w:rPr>
        <w:t>по критической оценке аспектов качества лекарственного препарата</w:t>
      </w:r>
      <w:r>
        <w:br/>
      </w:r>
      <w:r>
        <w:rPr>
          <w:rFonts w:ascii="Times New Roman"/>
          <w:b/>
          <w:i w:val="false"/>
          <w:color w:val="000000"/>
        </w:rPr>
        <w:t>________________________________________________________________________</w:t>
      </w:r>
      <w:r>
        <w:br/>
      </w:r>
      <w:r>
        <w:rPr>
          <w:rFonts w:ascii="Times New Roman"/>
          <w:b/>
          <w:i w:val="false"/>
          <w:color w:val="000000"/>
        </w:rPr>
        <w:t xml:space="preserve">(название лекарственного препарата, его лекарственная форма, дозировки) </w:t>
      </w:r>
    </w:p>
    <w:bookmarkEnd w:id="3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715"/>
          <w:p>
            <w:pPr>
              <w:spacing w:after="20"/>
              <w:ind w:left="20"/>
              <w:jc w:val="both"/>
            </w:pPr>
            <w:r>
              <w:rPr>
                <w:rFonts w:ascii="Times New Roman"/>
                <w:b w:val="false"/>
                <w:i w:val="false"/>
                <w:color w:val="000000"/>
                <w:sz w:val="20"/>
              </w:rPr>
              <w:t xml:space="preserve">
Эксперт: </w:t>
            </w:r>
          </w:p>
          <w:bookmarkEnd w:id="3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716"/>
          <w:p>
            <w:pPr>
              <w:spacing w:after="20"/>
              <w:ind w:left="20"/>
              <w:jc w:val="both"/>
            </w:pPr>
            <w:r>
              <w:rPr>
                <w:rFonts w:ascii="Times New Roman"/>
                <w:b w:val="false"/>
                <w:i w:val="false"/>
                <w:color w:val="000000"/>
                <w:sz w:val="20"/>
              </w:rPr>
              <w:t xml:space="preserve">
Начало процедуры: </w:t>
            </w:r>
          </w:p>
          <w:bookmarkEnd w:id="3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717"/>
          <w:p>
            <w:pPr>
              <w:spacing w:after="20"/>
              <w:ind w:left="20"/>
              <w:jc w:val="both"/>
            </w:pPr>
            <w:r>
              <w:rPr>
                <w:rFonts w:ascii="Times New Roman"/>
                <w:b w:val="false"/>
                <w:i w:val="false"/>
                <w:color w:val="000000"/>
                <w:sz w:val="20"/>
              </w:rPr>
              <w:t xml:space="preserve">
Дата настоящего отчета: </w:t>
            </w:r>
          </w:p>
          <w:bookmarkEnd w:id="3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718"/>
          <w:p>
            <w:pPr>
              <w:spacing w:after="20"/>
              <w:ind w:left="20"/>
              <w:jc w:val="both"/>
            </w:pPr>
            <w:r>
              <w:rPr>
                <w:rFonts w:ascii="Times New Roman"/>
                <w:b w:val="false"/>
                <w:i w:val="false"/>
                <w:color w:val="000000"/>
                <w:sz w:val="20"/>
              </w:rPr>
              <w:t xml:space="preserve">
Окончательный срок для комментариев: </w:t>
            </w:r>
          </w:p>
          <w:bookmarkEnd w:id="3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5" w:id="3719"/>
    <w:p>
      <w:pPr>
        <w:spacing w:after="0"/>
        <w:ind w:left="0"/>
        <w:jc w:val="both"/>
      </w:pPr>
      <w:r>
        <w:rPr>
          <w:rFonts w:ascii="Times New Roman"/>
          <w:b w:val="false"/>
          <w:i w:val="false"/>
          <w:color w:val="000000"/>
          <w:sz w:val="28"/>
        </w:rPr>
        <w:t>
      СПИСОК СОКРАЩЕНИЙ</w:t>
      </w:r>
    </w:p>
    <w:bookmarkEnd w:id="3719"/>
    <w:bookmarkStart w:name="z3826" w:id="3720"/>
    <w:p>
      <w:pPr>
        <w:spacing w:after="0"/>
        <w:ind w:left="0"/>
        <w:jc w:val="both"/>
      </w:pPr>
      <w:r>
        <w:rPr>
          <w:rFonts w:ascii="Times New Roman"/>
          <w:b w:val="false"/>
          <w:i w:val="false"/>
          <w:color w:val="000000"/>
          <w:sz w:val="28"/>
        </w:rPr>
        <w:t>
      _______________________________________________________________________</w:t>
      </w:r>
    </w:p>
    <w:bookmarkEnd w:id="3720"/>
    <w:bookmarkStart w:name="z3827" w:id="3721"/>
    <w:p>
      <w:pPr>
        <w:spacing w:after="0"/>
        <w:ind w:left="0"/>
        <w:jc w:val="both"/>
      </w:pPr>
      <w:r>
        <w:rPr>
          <w:rFonts w:ascii="Times New Roman"/>
          <w:b w:val="false"/>
          <w:i w:val="false"/>
          <w:color w:val="000000"/>
          <w:sz w:val="28"/>
        </w:rPr>
        <w:t>
      _______________________________________________________________________</w:t>
      </w:r>
    </w:p>
    <w:bookmarkEnd w:id="3721"/>
    <w:bookmarkStart w:name="z3828" w:id="3722"/>
    <w:p>
      <w:pPr>
        <w:spacing w:after="0"/>
        <w:ind w:left="0"/>
        <w:jc w:val="both"/>
      </w:pPr>
      <w:r>
        <w:rPr>
          <w:rFonts w:ascii="Times New Roman"/>
          <w:b w:val="false"/>
          <w:i w:val="false"/>
          <w:color w:val="000000"/>
          <w:sz w:val="28"/>
        </w:rPr>
        <w:t>
      _______________________________________________________________________</w:t>
      </w:r>
    </w:p>
    <w:bookmarkEnd w:id="3722"/>
    <w:bookmarkStart w:name="z3829" w:id="3723"/>
    <w:p>
      <w:pPr>
        <w:spacing w:after="0"/>
        <w:ind w:left="0"/>
        <w:jc w:val="both"/>
      </w:pPr>
      <w:r>
        <w:rPr>
          <w:rFonts w:ascii="Times New Roman"/>
          <w:b w:val="false"/>
          <w:i w:val="false"/>
          <w:color w:val="000000"/>
          <w:sz w:val="28"/>
        </w:rPr>
        <w:t>
      _______________________________________________________________________</w:t>
      </w:r>
    </w:p>
    <w:bookmarkEnd w:id="3723"/>
    <w:bookmarkStart w:name="z3830" w:id="3724"/>
    <w:p>
      <w:pPr>
        <w:spacing w:after="0"/>
        <w:ind w:left="0"/>
        <w:jc w:val="both"/>
      </w:pPr>
      <w:r>
        <w:rPr>
          <w:rFonts w:ascii="Times New Roman"/>
          <w:b w:val="false"/>
          <w:i w:val="false"/>
          <w:color w:val="000000"/>
          <w:sz w:val="28"/>
        </w:rPr>
        <w:t>
      _______________________________________________________________________</w:t>
      </w:r>
    </w:p>
    <w:bookmarkEnd w:id="3724"/>
    <w:bookmarkStart w:name="z3831" w:id="3725"/>
    <w:p>
      <w:pPr>
        <w:spacing w:after="0"/>
        <w:ind w:left="0"/>
        <w:jc w:val="both"/>
      </w:pPr>
      <w:r>
        <w:rPr>
          <w:rFonts w:ascii="Times New Roman"/>
          <w:b w:val="false"/>
          <w:i w:val="false"/>
          <w:color w:val="000000"/>
          <w:sz w:val="28"/>
        </w:rPr>
        <w:t>
      _______________________________________________________________________</w:t>
      </w:r>
    </w:p>
    <w:bookmarkEnd w:id="3725"/>
    <w:bookmarkStart w:name="z3832" w:id="3726"/>
    <w:p>
      <w:pPr>
        <w:spacing w:after="0"/>
        <w:ind w:left="0"/>
        <w:jc w:val="both"/>
      </w:pPr>
      <w:r>
        <w:rPr>
          <w:rFonts w:ascii="Times New Roman"/>
          <w:b w:val="false"/>
          <w:i w:val="false"/>
          <w:color w:val="000000"/>
          <w:sz w:val="28"/>
        </w:rPr>
        <w:t>
      _______________________________________________________________________</w:t>
      </w:r>
    </w:p>
    <w:bookmarkEnd w:id="3726"/>
    <w:bookmarkStart w:name="z3833" w:id="3727"/>
    <w:p>
      <w:pPr>
        <w:spacing w:after="0"/>
        <w:ind w:left="0"/>
        <w:jc w:val="both"/>
      </w:pPr>
      <w:r>
        <w:rPr>
          <w:rFonts w:ascii="Times New Roman"/>
          <w:b w:val="false"/>
          <w:i w:val="false"/>
          <w:color w:val="000000"/>
          <w:sz w:val="28"/>
        </w:rPr>
        <w:t>
      _______________________________________________________________________</w:t>
      </w:r>
    </w:p>
    <w:bookmarkEnd w:id="3727"/>
    <w:bookmarkStart w:name="z3834" w:id="3728"/>
    <w:p>
      <w:pPr>
        <w:spacing w:after="0"/>
        <w:ind w:left="0"/>
        <w:jc w:val="both"/>
      </w:pPr>
      <w:r>
        <w:rPr>
          <w:rFonts w:ascii="Times New Roman"/>
          <w:b w:val="false"/>
          <w:i w:val="false"/>
          <w:color w:val="000000"/>
          <w:sz w:val="28"/>
        </w:rPr>
        <w:t>
      _______________________________________________________________________</w:t>
      </w:r>
    </w:p>
    <w:bookmarkEnd w:id="3728"/>
    <w:bookmarkStart w:name="z3835" w:id="3729"/>
    <w:p>
      <w:pPr>
        <w:spacing w:after="0"/>
        <w:ind w:left="0"/>
        <w:jc w:val="both"/>
      </w:pPr>
      <w:r>
        <w:rPr>
          <w:rFonts w:ascii="Times New Roman"/>
          <w:b w:val="false"/>
          <w:i w:val="false"/>
          <w:color w:val="000000"/>
          <w:sz w:val="28"/>
        </w:rPr>
        <w:t>
      _______________________________________________________________________</w:t>
      </w:r>
    </w:p>
    <w:bookmarkEnd w:id="3729"/>
    <w:bookmarkStart w:name="z3836" w:id="3730"/>
    <w:p>
      <w:pPr>
        <w:spacing w:after="0"/>
        <w:ind w:left="0"/>
        <w:jc w:val="both"/>
      </w:pPr>
      <w:r>
        <w:rPr>
          <w:rFonts w:ascii="Times New Roman"/>
          <w:b w:val="false"/>
          <w:i w:val="false"/>
          <w:color w:val="000000"/>
          <w:sz w:val="28"/>
        </w:rPr>
        <w:t>
      _______________________________________________________________________</w:t>
      </w:r>
    </w:p>
    <w:bookmarkEnd w:id="3730"/>
    <w:bookmarkStart w:name="z3837" w:id="3731"/>
    <w:p>
      <w:pPr>
        <w:spacing w:after="0"/>
        <w:ind w:left="0"/>
        <w:jc w:val="both"/>
      </w:pPr>
      <w:r>
        <w:rPr>
          <w:rFonts w:ascii="Times New Roman"/>
          <w:b w:val="false"/>
          <w:i w:val="false"/>
          <w:color w:val="000000"/>
          <w:sz w:val="28"/>
        </w:rPr>
        <w:t>
      _______________________________________________________________________</w:t>
      </w:r>
    </w:p>
    <w:bookmarkEnd w:id="3731"/>
    <w:bookmarkStart w:name="z3838" w:id="3732"/>
    <w:p>
      <w:pPr>
        <w:spacing w:after="0"/>
        <w:ind w:left="0"/>
        <w:jc w:val="both"/>
      </w:pPr>
      <w:r>
        <w:rPr>
          <w:rFonts w:ascii="Times New Roman"/>
          <w:b w:val="false"/>
          <w:i w:val="false"/>
          <w:color w:val="000000"/>
          <w:sz w:val="28"/>
        </w:rPr>
        <w:t>
      _______________________________________________________________________</w:t>
      </w:r>
    </w:p>
    <w:bookmarkEnd w:id="3732"/>
    <w:bookmarkStart w:name="z3839" w:id="3733"/>
    <w:p>
      <w:pPr>
        <w:spacing w:after="0"/>
        <w:ind w:left="0"/>
        <w:jc w:val="both"/>
      </w:pPr>
      <w:r>
        <w:rPr>
          <w:rFonts w:ascii="Times New Roman"/>
          <w:b w:val="false"/>
          <w:i w:val="false"/>
          <w:color w:val="000000"/>
          <w:sz w:val="28"/>
        </w:rPr>
        <w:t>
      _______________________________________________________________________</w:t>
      </w:r>
    </w:p>
    <w:bookmarkEnd w:id="3733"/>
    <w:bookmarkStart w:name="z3840" w:id="3734"/>
    <w:p>
      <w:pPr>
        <w:spacing w:after="0"/>
        <w:ind w:left="0"/>
        <w:jc w:val="both"/>
      </w:pPr>
      <w:r>
        <w:rPr>
          <w:rFonts w:ascii="Times New Roman"/>
          <w:b w:val="false"/>
          <w:i w:val="false"/>
          <w:color w:val="000000"/>
          <w:sz w:val="28"/>
        </w:rPr>
        <w:t>
      _______________________________________________________________________</w:t>
      </w:r>
    </w:p>
    <w:bookmarkEnd w:id="3734"/>
    <w:bookmarkStart w:name="z3841" w:id="3735"/>
    <w:p>
      <w:pPr>
        <w:spacing w:after="0"/>
        <w:ind w:left="0"/>
        <w:jc w:val="both"/>
      </w:pPr>
      <w:r>
        <w:rPr>
          <w:rFonts w:ascii="Times New Roman"/>
          <w:b w:val="false"/>
          <w:i w:val="false"/>
          <w:color w:val="000000"/>
          <w:sz w:val="28"/>
        </w:rPr>
        <w:t>
      _______________________________________________________________________</w:t>
      </w:r>
    </w:p>
    <w:bookmarkEnd w:id="3735"/>
    <w:bookmarkStart w:name="z3842" w:id="3736"/>
    <w:p>
      <w:pPr>
        <w:spacing w:after="0"/>
        <w:ind w:left="0"/>
        <w:jc w:val="left"/>
      </w:pPr>
      <w:r>
        <w:rPr>
          <w:rFonts w:ascii="Times New Roman"/>
          <w:b/>
          <w:i w:val="false"/>
          <w:color w:val="000000"/>
        </w:rPr>
        <w:t xml:space="preserve"> I. КРИТИЧЕСКАЯ ОЦЕНКА И ЭКСПЕРТИЗА КАЧЕСТВА </w:t>
      </w:r>
    </w:p>
    <w:bookmarkEnd w:id="3736"/>
    <w:bookmarkStart w:name="z3843" w:id="3737"/>
    <w:p>
      <w:pPr>
        <w:spacing w:after="0"/>
        <w:ind w:left="0"/>
        <w:jc w:val="left"/>
      </w:pPr>
      <w:r>
        <w:rPr>
          <w:rFonts w:ascii="Times New Roman"/>
          <w:b/>
          <w:i w:val="false"/>
          <w:color w:val="000000"/>
        </w:rPr>
        <w:t xml:space="preserve"> 1. Запрос на проведение инспекции фармацевтического производства до выдачи регистрационного удостоверения</w:t>
      </w:r>
    </w:p>
    <w:bookmarkEnd w:id="3737"/>
    <w:bookmarkStart w:name="z3844" w:id="3738"/>
    <w:p>
      <w:pPr>
        <w:spacing w:after="0"/>
        <w:ind w:left="0"/>
        <w:jc w:val="both"/>
      </w:pPr>
      <w:r>
        <w:rPr>
          <w:rFonts w:ascii="Times New Roman"/>
          <w:b w:val="false"/>
          <w:i w:val="false"/>
          <w:color w:val="000000"/>
          <w:sz w:val="28"/>
        </w:rPr>
        <w:t>
      _______________________________________________________________________</w:t>
      </w:r>
    </w:p>
    <w:bookmarkEnd w:id="3738"/>
    <w:bookmarkStart w:name="z3845" w:id="3739"/>
    <w:p>
      <w:pPr>
        <w:spacing w:after="0"/>
        <w:ind w:left="0"/>
        <w:jc w:val="both"/>
      </w:pPr>
      <w:r>
        <w:rPr>
          <w:rFonts w:ascii="Times New Roman"/>
          <w:b w:val="false"/>
          <w:i w:val="false"/>
          <w:color w:val="000000"/>
          <w:sz w:val="28"/>
        </w:rPr>
        <w:t>
      _______________________________________________________________________</w:t>
      </w:r>
    </w:p>
    <w:bookmarkEnd w:id="3739"/>
    <w:bookmarkStart w:name="z3846" w:id="3740"/>
    <w:p>
      <w:pPr>
        <w:spacing w:after="0"/>
        <w:ind w:left="0"/>
        <w:jc w:val="both"/>
      </w:pPr>
      <w:r>
        <w:rPr>
          <w:rFonts w:ascii="Times New Roman"/>
          <w:b w:val="false"/>
          <w:i w:val="false"/>
          <w:color w:val="000000"/>
          <w:sz w:val="28"/>
        </w:rPr>
        <w:t>
      _______________________________________________________________________</w:t>
      </w:r>
    </w:p>
    <w:bookmarkEnd w:id="3740"/>
    <w:bookmarkStart w:name="z3847" w:id="3741"/>
    <w:p>
      <w:pPr>
        <w:spacing w:after="0"/>
        <w:ind w:left="0"/>
        <w:jc w:val="left"/>
      </w:pPr>
      <w:r>
        <w:rPr>
          <w:rFonts w:ascii="Times New Roman"/>
          <w:b/>
          <w:i w:val="false"/>
          <w:color w:val="000000"/>
        </w:rPr>
        <w:t xml:space="preserve"> 2. Введение </w:t>
      </w:r>
    </w:p>
    <w:bookmarkEnd w:id="3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742"/>
          <w:p>
            <w:pPr>
              <w:spacing w:after="20"/>
              <w:ind w:left="20"/>
              <w:jc w:val="both"/>
            </w:pPr>
            <w:r>
              <w:rPr>
                <w:rFonts w:ascii="Times New Roman"/>
                <w:b w:val="false"/>
                <w:i w:val="false"/>
                <w:color w:val="000000"/>
                <w:sz w:val="20"/>
              </w:rPr>
              <w:t xml:space="preserve">
Наименование: </w:t>
            </w:r>
          </w:p>
          <w:bookmarkEnd w:id="3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743"/>
          <w:p>
            <w:pPr>
              <w:spacing w:after="20"/>
              <w:ind w:left="20"/>
              <w:jc w:val="both"/>
            </w:pPr>
            <w:r>
              <w:rPr>
                <w:rFonts w:ascii="Times New Roman"/>
                <w:b w:val="false"/>
                <w:i w:val="false"/>
                <w:color w:val="000000"/>
                <w:sz w:val="20"/>
              </w:rPr>
              <w:t xml:space="preserve">
Лекарственная форма и дозировка (концентрация): </w:t>
            </w:r>
          </w:p>
          <w:bookmarkEnd w:id="3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744"/>
          <w:p>
            <w:pPr>
              <w:spacing w:after="20"/>
              <w:ind w:left="20"/>
              <w:jc w:val="both"/>
            </w:pPr>
            <w:r>
              <w:rPr>
                <w:rFonts w:ascii="Times New Roman"/>
                <w:b w:val="false"/>
                <w:i w:val="false"/>
                <w:color w:val="000000"/>
                <w:sz w:val="20"/>
              </w:rPr>
              <w:t xml:space="preserve">
Процедура регистрации: </w:t>
            </w:r>
          </w:p>
          <w:bookmarkEnd w:id="3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745"/>
          <w:p>
            <w:pPr>
              <w:spacing w:after="20"/>
              <w:ind w:left="20"/>
              <w:jc w:val="both"/>
            </w:pPr>
            <w:r>
              <w:rPr>
                <w:rFonts w:ascii="Times New Roman"/>
                <w:b w:val="false"/>
                <w:i w:val="false"/>
                <w:color w:val="000000"/>
                <w:sz w:val="20"/>
              </w:rPr>
              <w:t xml:space="preserve">
Терапевтический класс или показание: </w:t>
            </w:r>
          </w:p>
          <w:bookmarkEnd w:id="3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746"/>
          <w:p>
            <w:pPr>
              <w:spacing w:after="20"/>
              <w:ind w:left="20"/>
              <w:jc w:val="both"/>
            </w:pPr>
            <w:r>
              <w:rPr>
                <w:rFonts w:ascii="Times New Roman"/>
                <w:b w:val="false"/>
                <w:i w:val="false"/>
                <w:color w:val="000000"/>
                <w:sz w:val="20"/>
              </w:rPr>
              <w:t xml:space="preserve">
Предлагаемый диапазон доз: </w:t>
            </w:r>
          </w:p>
          <w:bookmarkEnd w:id="3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3" w:id="3747"/>
    <w:p>
      <w:pPr>
        <w:spacing w:after="0"/>
        <w:ind w:left="0"/>
        <w:jc w:val="both"/>
      </w:pPr>
      <w:r>
        <w:rPr>
          <w:rFonts w:ascii="Times New Roman"/>
          <w:b w:val="false"/>
          <w:i w:val="false"/>
          <w:color w:val="000000"/>
          <w:sz w:val="28"/>
        </w:rPr>
        <w:t>
       </w:t>
      </w:r>
    </w:p>
    <w:bookmarkEnd w:id="3747"/>
    <w:bookmarkStart w:name="z3854" w:id="3748"/>
    <w:p>
      <w:pPr>
        <w:spacing w:after="0"/>
        <w:ind w:left="0"/>
        <w:jc w:val="left"/>
      </w:pPr>
      <w:r>
        <w:rPr>
          <w:rFonts w:ascii="Times New Roman"/>
          <w:b/>
          <w:i w:val="false"/>
          <w:color w:val="000000"/>
        </w:rPr>
        <w:t xml:space="preserve"> 3. Активная фармацевтическая субстанция (АФС, модуль 3.2.S) </w:t>
      </w:r>
    </w:p>
    <w:bookmarkEnd w:id="3748"/>
    <w:bookmarkStart w:name="z3855" w:id="3749"/>
    <w:p>
      <w:pPr>
        <w:spacing w:after="0"/>
        <w:ind w:left="0"/>
        <w:jc w:val="both"/>
      </w:pPr>
      <w:r>
        <w:rPr>
          <w:rFonts w:ascii="Times New Roman"/>
          <w:b w:val="false"/>
          <w:i w:val="false"/>
          <w:color w:val="000000"/>
          <w:sz w:val="28"/>
        </w:rPr>
        <w:t>
      _______________________________________________________________________</w:t>
      </w:r>
    </w:p>
    <w:bookmarkEnd w:id="3749"/>
    <w:bookmarkStart w:name="z3856" w:id="3750"/>
    <w:p>
      <w:pPr>
        <w:spacing w:after="0"/>
        <w:ind w:left="0"/>
        <w:jc w:val="both"/>
      </w:pPr>
      <w:r>
        <w:rPr>
          <w:rFonts w:ascii="Times New Roman"/>
          <w:b w:val="false"/>
          <w:i w:val="false"/>
          <w:color w:val="000000"/>
          <w:sz w:val="28"/>
        </w:rPr>
        <w:t>
      _______________________________________________________________________</w:t>
      </w:r>
    </w:p>
    <w:bookmarkEnd w:id="3750"/>
    <w:bookmarkStart w:name="z3857" w:id="3751"/>
    <w:p>
      <w:pPr>
        <w:spacing w:after="0"/>
        <w:ind w:left="0"/>
        <w:jc w:val="both"/>
      </w:pPr>
      <w:r>
        <w:rPr>
          <w:rFonts w:ascii="Times New Roman"/>
          <w:b w:val="false"/>
          <w:i w:val="false"/>
          <w:color w:val="000000"/>
          <w:sz w:val="28"/>
        </w:rPr>
        <w:t>
      _______________________________________________________________________</w:t>
      </w:r>
    </w:p>
    <w:bookmarkEnd w:id="3751"/>
    <w:bookmarkStart w:name="z3858" w:id="3752"/>
    <w:p>
      <w:pPr>
        <w:spacing w:after="0"/>
        <w:ind w:left="0"/>
        <w:jc w:val="both"/>
      </w:pPr>
      <w:r>
        <w:rPr>
          <w:rFonts w:ascii="Times New Roman"/>
          <w:b w:val="false"/>
          <w:i w:val="false"/>
          <w:color w:val="000000"/>
          <w:sz w:val="28"/>
        </w:rPr>
        <w:t>
      Примечания: 1. Следует отметить, представлены ли Сертификат соответствия монографии Европейской фармакопеи (далее - СЕР), или Досье на активную фармацевтическую субстанцию (далее - ДАФС), или полная информация об активной фармацевтической субстанции.</w:t>
      </w:r>
    </w:p>
    <w:bookmarkEnd w:id="3752"/>
    <w:bookmarkStart w:name="z3859" w:id="3753"/>
    <w:p>
      <w:pPr>
        <w:spacing w:after="0"/>
        <w:ind w:left="0"/>
        <w:jc w:val="both"/>
      </w:pPr>
      <w:r>
        <w:rPr>
          <w:rFonts w:ascii="Times New Roman"/>
          <w:b w:val="false"/>
          <w:i w:val="false"/>
          <w:color w:val="000000"/>
          <w:sz w:val="28"/>
        </w:rPr>
        <w:t>
      2. При использовании мастер-файла активной фармацевтической субстанции (далее - МФАФС) следует указать, что его оценка представляется в отдельном отчете по критической оценке МФАФС с конфиденциальным приложением в отношении закрытой части документа.</w:t>
      </w:r>
    </w:p>
    <w:bookmarkEnd w:id="3753"/>
    <w:bookmarkStart w:name="z3860" w:id="3754"/>
    <w:p>
      <w:pPr>
        <w:spacing w:after="0"/>
        <w:ind w:left="0"/>
        <w:jc w:val="both"/>
      </w:pPr>
      <w:r>
        <w:rPr>
          <w:rFonts w:ascii="Times New Roman"/>
          <w:b w:val="false"/>
          <w:i w:val="false"/>
          <w:color w:val="000000"/>
          <w:sz w:val="28"/>
        </w:rPr>
        <w:t>
      3. При наличии в досье сведений по нескольким МФАФС по каждому МФАФС представляется отдельный отчет.</w:t>
      </w:r>
    </w:p>
    <w:bookmarkEnd w:id="3754"/>
    <w:bookmarkStart w:name="z3861" w:id="3755"/>
    <w:p>
      <w:pPr>
        <w:spacing w:after="0"/>
        <w:ind w:left="0"/>
        <w:jc w:val="both"/>
      </w:pPr>
      <w:r>
        <w:rPr>
          <w:rFonts w:ascii="Times New Roman"/>
          <w:b w:val="false"/>
          <w:i w:val="false"/>
          <w:color w:val="000000"/>
          <w:sz w:val="28"/>
        </w:rPr>
        <w:t>
      4. В отношении рассматриваемого лекарственного препарата необходимо привести сведения о разрешении на доступ к конфиденциальной информации.</w:t>
      </w:r>
    </w:p>
    <w:bookmarkEnd w:id="3755"/>
    <w:bookmarkStart w:name="z3862" w:id="3756"/>
    <w:p>
      <w:pPr>
        <w:spacing w:after="0"/>
        <w:ind w:left="0"/>
        <w:jc w:val="both"/>
      </w:pPr>
      <w:r>
        <w:rPr>
          <w:rFonts w:ascii="Times New Roman"/>
          <w:b w:val="false"/>
          <w:i w:val="false"/>
          <w:color w:val="000000"/>
          <w:sz w:val="28"/>
        </w:rPr>
        <w:t>
      5. При использовании СЕР и МФАФС необходимо заполнить только разделы отчета 3.4 "Контроль качества активной фармацевтической субстанции" и 3.5 "Стандартные образцы или материалы", связанные с производством лекарственного препарата, если заявитель не предоставил дополнительные данные, а именно в соответствии с разделом 3.2.S.7 данные о стабильности для подтверждения более длительного периода переконтроля.</w:t>
      </w:r>
    </w:p>
    <w:bookmarkEnd w:id="3756"/>
    <w:bookmarkStart w:name="z3863" w:id="3757"/>
    <w:p>
      <w:pPr>
        <w:spacing w:after="0"/>
        <w:ind w:left="0"/>
        <w:jc w:val="both"/>
      </w:pPr>
      <w:r>
        <w:rPr>
          <w:rFonts w:ascii="Times New Roman"/>
          <w:b w:val="false"/>
          <w:i w:val="false"/>
          <w:color w:val="000000"/>
          <w:sz w:val="28"/>
        </w:rPr>
        <w:t>
      6. Вопросы по закрытой части отчетов МФАФС направляются не заявителю, а исключительно соответствующему производителю активной фармацевтической субстанции (владельцу МФАФС).</w:t>
      </w:r>
    </w:p>
    <w:bookmarkEnd w:id="3757"/>
    <w:bookmarkStart w:name="z3864" w:id="3758"/>
    <w:p>
      <w:pPr>
        <w:spacing w:after="0"/>
        <w:ind w:left="0"/>
        <w:jc w:val="both"/>
      </w:pPr>
      <w:r>
        <w:rPr>
          <w:rFonts w:ascii="Times New Roman"/>
          <w:b w:val="false"/>
          <w:i w:val="false"/>
          <w:color w:val="000000"/>
          <w:sz w:val="28"/>
        </w:rPr>
        <w:t>
      7. При использовании СЕР и МФАФС следует уточнить источник (заявитель, владелец МФАФС или держатель СЕР) и уровень детализации сведений для составления отчета о критической оценке.</w:t>
      </w:r>
    </w:p>
    <w:bookmarkEnd w:id="3758"/>
    <w:bookmarkStart w:name="z3865" w:id="3759"/>
    <w:p>
      <w:pPr>
        <w:spacing w:after="0"/>
        <w:ind w:left="0"/>
        <w:jc w:val="both"/>
      </w:pPr>
      <w:r>
        <w:rPr>
          <w:rFonts w:ascii="Times New Roman"/>
          <w:b w:val="false"/>
          <w:i w:val="false"/>
          <w:color w:val="000000"/>
          <w:sz w:val="28"/>
        </w:rPr>
        <w:t>
      8. Оценка качества активной фармацевтической субстанции в настоящем отчете должна также отражать дополнительную информацию, представленную заявителем, которая не включена в открытую часть документа, представляемого держателем МФАФС. Если заявителем представляется полная информация об активной фармацевтической субстанции, в отчет должна быть включена оценка этой информации.</w:t>
      </w:r>
    </w:p>
    <w:bookmarkEnd w:id="3759"/>
    <w:bookmarkStart w:name="z3866" w:id="3760"/>
    <w:p>
      <w:pPr>
        <w:spacing w:after="0"/>
        <w:ind w:left="0"/>
        <w:jc w:val="both"/>
      </w:pPr>
      <w:r>
        <w:rPr>
          <w:rFonts w:ascii="Times New Roman"/>
          <w:b w:val="false"/>
          <w:i w:val="false"/>
          <w:color w:val="000000"/>
          <w:sz w:val="28"/>
        </w:rPr>
        <w:t>
       </w:t>
      </w:r>
    </w:p>
    <w:bookmarkEnd w:id="3760"/>
    <w:bookmarkStart w:name="z3867" w:id="3761"/>
    <w:p>
      <w:pPr>
        <w:spacing w:after="0"/>
        <w:ind w:left="0"/>
        <w:jc w:val="left"/>
      </w:pPr>
      <w:r>
        <w:rPr>
          <w:rFonts w:ascii="Times New Roman"/>
          <w:b/>
          <w:i w:val="false"/>
          <w:color w:val="000000"/>
        </w:rPr>
        <w:t xml:space="preserve"> 3.1. Общая информация об исходных материалах и сырье (модуль 3.2.S.1). </w:t>
      </w:r>
    </w:p>
    <w:bookmarkEnd w:id="3761"/>
    <w:bookmarkStart w:name="z3868" w:id="3762"/>
    <w:p>
      <w:pPr>
        <w:spacing w:after="0"/>
        <w:ind w:left="0"/>
        <w:jc w:val="both"/>
      </w:pPr>
      <w:r>
        <w:rPr>
          <w:rFonts w:ascii="Times New Roman"/>
          <w:b w:val="false"/>
          <w:i w:val="false"/>
          <w:color w:val="000000"/>
          <w:sz w:val="28"/>
        </w:rPr>
        <w:t>
       </w:t>
      </w:r>
    </w:p>
    <w:bookmarkEnd w:id="3762"/>
    <w:bookmarkStart w:name="z3869" w:id="3763"/>
    <w:p>
      <w:pPr>
        <w:spacing w:after="0"/>
        <w:ind w:left="0"/>
        <w:jc w:val="both"/>
      </w:pPr>
      <w:r>
        <w:rPr>
          <w:rFonts w:ascii="Times New Roman"/>
          <w:b w:val="false"/>
          <w:i w:val="false"/>
          <w:color w:val="000000"/>
          <w:sz w:val="28"/>
        </w:rPr>
        <w:t>
      Информация о наименовании АФС (модуль S.1.1)</w:t>
      </w:r>
    </w:p>
    <w:bookmarkEnd w:id="3763"/>
    <w:bookmarkStart w:name="z3870" w:id="3764"/>
    <w:p>
      <w:pPr>
        <w:spacing w:after="0"/>
        <w:ind w:left="0"/>
        <w:jc w:val="both"/>
      </w:pPr>
      <w:r>
        <w:rPr>
          <w:rFonts w:ascii="Times New Roman"/>
          <w:b w:val="false"/>
          <w:i w:val="false"/>
          <w:color w:val="000000"/>
          <w:sz w:val="28"/>
        </w:rPr>
        <w:t>
       </w:t>
      </w:r>
    </w:p>
    <w:bookmarkEnd w:id="3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765"/>
          <w:p>
            <w:pPr>
              <w:spacing w:after="20"/>
              <w:ind w:left="20"/>
              <w:jc w:val="both"/>
            </w:pPr>
            <w:r>
              <w:rPr>
                <w:rFonts w:ascii="Times New Roman"/>
                <w:b w:val="false"/>
                <w:i w:val="false"/>
                <w:color w:val="000000"/>
                <w:sz w:val="20"/>
              </w:rPr>
              <w:t xml:space="preserve">
Международное непатентованное наименование (МНН): </w:t>
            </w:r>
          </w:p>
          <w:bookmarkEnd w:id="3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766"/>
          <w:p>
            <w:pPr>
              <w:spacing w:after="20"/>
              <w:ind w:left="20"/>
              <w:jc w:val="both"/>
            </w:pPr>
            <w:r>
              <w:rPr>
                <w:rFonts w:ascii="Times New Roman"/>
                <w:b w:val="false"/>
                <w:i w:val="false"/>
                <w:color w:val="000000"/>
                <w:sz w:val="20"/>
              </w:rPr>
              <w:t xml:space="preserve">
Химическое название: </w:t>
            </w:r>
          </w:p>
          <w:bookmarkEnd w:id="3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767"/>
          <w:p>
            <w:pPr>
              <w:spacing w:after="20"/>
              <w:ind w:left="20"/>
              <w:jc w:val="both"/>
            </w:pPr>
            <w:r>
              <w:rPr>
                <w:rFonts w:ascii="Times New Roman"/>
                <w:b w:val="false"/>
                <w:i w:val="false"/>
                <w:color w:val="000000"/>
                <w:sz w:val="20"/>
              </w:rPr>
              <w:t xml:space="preserve">
Иное название (если применимо): </w:t>
            </w:r>
          </w:p>
          <w:bookmarkEnd w:id="3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3768"/>
          <w:p>
            <w:pPr>
              <w:spacing w:after="20"/>
              <w:ind w:left="20"/>
              <w:jc w:val="both"/>
            </w:pPr>
            <w:r>
              <w:rPr>
                <w:rFonts w:ascii="Times New Roman"/>
                <w:b w:val="false"/>
                <w:i w:val="false"/>
                <w:color w:val="000000"/>
                <w:sz w:val="20"/>
              </w:rPr>
              <w:t xml:space="preserve">
Название по номенклатуре IUPAC: </w:t>
            </w:r>
          </w:p>
          <w:bookmarkEnd w:id="3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769"/>
          <w:p>
            <w:pPr>
              <w:spacing w:after="20"/>
              <w:ind w:left="20"/>
              <w:jc w:val="both"/>
            </w:pPr>
            <w:r>
              <w:rPr>
                <w:rFonts w:ascii="Times New Roman"/>
                <w:b w:val="false"/>
                <w:i w:val="false"/>
                <w:color w:val="000000"/>
                <w:sz w:val="20"/>
              </w:rPr>
              <w:t xml:space="preserve">
CAS-номер: </w:t>
            </w:r>
          </w:p>
          <w:bookmarkEnd w:id="3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770"/>
          <w:p>
            <w:pPr>
              <w:spacing w:after="20"/>
              <w:ind w:left="20"/>
              <w:jc w:val="both"/>
            </w:pPr>
            <w:r>
              <w:rPr>
                <w:rFonts w:ascii="Times New Roman"/>
                <w:b w:val="false"/>
                <w:i w:val="false"/>
                <w:color w:val="000000"/>
                <w:sz w:val="20"/>
              </w:rPr>
              <w:t xml:space="preserve">
Лабораторный код: </w:t>
            </w:r>
          </w:p>
          <w:bookmarkEnd w:id="3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771"/>
          <w:p>
            <w:pPr>
              <w:spacing w:after="20"/>
              <w:ind w:left="20"/>
              <w:jc w:val="both"/>
            </w:pPr>
            <w:r>
              <w:rPr>
                <w:rFonts w:ascii="Times New Roman"/>
                <w:b w:val="false"/>
                <w:i w:val="false"/>
                <w:color w:val="000000"/>
                <w:sz w:val="20"/>
              </w:rPr>
              <w:t xml:space="preserve">
Молекулярная формула: </w:t>
            </w:r>
          </w:p>
          <w:bookmarkEnd w:id="3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772"/>
          <w:p>
            <w:pPr>
              <w:spacing w:after="20"/>
              <w:ind w:left="20"/>
              <w:jc w:val="both"/>
            </w:pPr>
            <w:r>
              <w:rPr>
                <w:rFonts w:ascii="Times New Roman"/>
                <w:b w:val="false"/>
                <w:i w:val="false"/>
                <w:color w:val="000000"/>
                <w:sz w:val="20"/>
              </w:rPr>
              <w:t xml:space="preserve">
Относительная молекулярная масса: </w:t>
            </w:r>
          </w:p>
          <w:bookmarkEnd w:id="3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9" w:id="3773"/>
    <w:p>
      <w:pPr>
        <w:spacing w:after="0"/>
        <w:ind w:left="0"/>
        <w:jc w:val="both"/>
      </w:pPr>
      <w:r>
        <w:rPr>
          <w:rFonts w:ascii="Times New Roman"/>
          <w:b w:val="false"/>
          <w:i w:val="false"/>
          <w:color w:val="000000"/>
          <w:sz w:val="28"/>
        </w:rPr>
        <w:t>
      Структура АФС (модуль S.1.2)</w:t>
      </w:r>
    </w:p>
    <w:bookmarkEnd w:id="3773"/>
    <w:bookmarkStart w:name="z3880" w:id="3774"/>
    <w:p>
      <w:pPr>
        <w:spacing w:after="0"/>
        <w:ind w:left="0"/>
        <w:jc w:val="both"/>
      </w:pPr>
      <w:r>
        <w:rPr>
          <w:rFonts w:ascii="Times New Roman"/>
          <w:b w:val="false"/>
          <w:i w:val="false"/>
          <w:color w:val="000000"/>
          <w:sz w:val="28"/>
        </w:rPr>
        <w:t>
      ___________________________________________________________________________</w:t>
      </w:r>
    </w:p>
    <w:bookmarkEnd w:id="3774"/>
    <w:bookmarkStart w:name="z3881" w:id="3775"/>
    <w:p>
      <w:pPr>
        <w:spacing w:after="0"/>
        <w:ind w:left="0"/>
        <w:jc w:val="both"/>
      </w:pPr>
      <w:r>
        <w:rPr>
          <w:rFonts w:ascii="Times New Roman"/>
          <w:b w:val="false"/>
          <w:i w:val="false"/>
          <w:color w:val="000000"/>
          <w:sz w:val="28"/>
        </w:rPr>
        <w:t>
      ___________________________________________________________________________</w:t>
      </w:r>
    </w:p>
    <w:bookmarkEnd w:id="3775"/>
    <w:bookmarkStart w:name="z3882" w:id="3776"/>
    <w:p>
      <w:pPr>
        <w:spacing w:after="0"/>
        <w:ind w:left="0"/>
        <w:jc w:val="both"/>
      </w:pPr>
      <w:r>
        <w:rPr>
          <w:rFonts w:ascii="Times New Roman"/>
          <w:b w:val="false"/>
          <w:i w:val="false"/>
          <w:color w:val="000000"/>
          <w:sz w:val="28"/>
        </w:rPr>
        <w:t>
      ___________________________________________________________________________</w:t>
      </w:r>
    </w:p>
    <w:bookmarkEnd w:id="3776"/>
    <w:bookmarkStart w:name="z3883" w:id="3777"/>
    <w:p>
      <w:pPr>
        <w:spacing w:after="0"/>
        <w:ind w:left="0"/>
        <w:jc w:val="both"/>
      </w:pPr>
      <w:r>
        <w:rPr>
          <w:rFonts w:ascii="Times New Roman"/>
          <w:b w:val="false"/>
          <w:i w:val="false"/>
          <w:color w:val="000000"/>
          <w:sz w:val="28"/>
        </w:rPr>
        <w:t>
      Общие свойства АФС (модуль S.1.3)</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778"/>
          <w:p>
            <w:pPr>
              <w:spacing w:after="20"/>
              <w:ind w:left="20"/>
              <w:jc w:val="both"/>
            </w:pPr>
            <w:r>
              <w:rPr>
                <w:rFonts w:ascii="Times New Roman"/>
                <w:b w:val="false"/>
                <w:i w:val="false"/>
                <w:color w:val="000000"/>
                <w:sz w:val="20"/>
              </w:rPr>
              <w:t xml:space="preserve">
Физические характеристики: </w:t>
            </w:r>
          </w:p>
          <w:bookmarkEnd w:id="3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779"/>
          <w:p>
            <w:pPr>
              <w:spacing w:after="20"/>
              <w:ind w:left="20"/>
              <w:jc w:val="both"/>
            </w:pPr>
            <w:r>
              <w:rPr>
                <w:rFonts w:ascii="Times New Roman"/>
                <w:b w:val="false"/>
                <w:i w:val="false"/>
                <w:color w:val="000000"/>
                <w:sz w:val="20"/>
              </w:rPr>
              <w:t xml:space="preserve">
Растворимость: </w:t>
            </w:r>
          </w:p>
          <w:bookmarkEnd w:id="3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780"/>
          <w:p>
            <w:pPr>
              <w:spacing w:after="20"/>
              <w:ind w:left="20"/>
              <w:jc w:val="both"/>
            </w:pPr>
            <w:r>
              <w:rPr>
                <w:rFonts w:ascii="Times New Roman"/>
                <w:b w:val="false"/>
                <w:i w:val="false"/>
                <w:color w:val="000000"/>
                <w:sz w:val="20"/>
              </w:rPr>
              <w:t xml:space="preserve">
Значение рКа (если возможно): </w:t>
            </w:r>
          </w:p>
          <w:bookmarkEnd w:id="3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781"/>
          <w:p>
            <w:pPr>
              <w:spacing w:after="20"/>
              <w:ind w:left="20"/>
              <w:jc w:val="both"/>
            </w:pPr>
            <w:r>
              <w:rPr>
                <w:rFonts w:ascii="Times New Roman"/>
                <w:b w:val="false"/>
                <w:i w:val="false"/>
                <w:color w:val="000000"/>
                <w:sz w:val="20"/>
              </w:rPr>
              <w:t xml:space="preserve">
Значение pH раствора (если возможно) </w:t>
            </w:r>
          </w:p>
          <w:bookmarkEnd w:id="3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782"/>
          <w:p>
            <w:pPr>
              <w:spacing w:after="20"/>
              <w:ind w:left="20"/>
              <w:jc w:val="both"/>
            </w:pPr>
            <w:r>
              <w:rPr>
                <w:rFonts w:ascii="Times New Roman"/>
                <w:b w:val="false"/>
                <w:i w:val="false"/>
                <w:color w:val="000000"/>
                <w:sz w:val="20"/>
              </w:rPr>
              <w:t xml:space="preserve">
Температура плавления (для твердых веществ) </w:t>
            </w:r>
          </w:p>
          <w:bookmarkEnd w:id="3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783"/>
          <w:p>
            <w:pPr>
              <w:spacing w:after="20"/>
              <w:ind w:left="20"/>
              <w:jc w:val="both"/>
            </w:pPr>
            <w:r>
              <w:rPr>
                <w:rFonts w:ascii="Times New Roman"/>
                <w:b w:val="false"/>
                <w:i w:val="false"/>
                <w:color w:val="000000"/>
                <w:sz w:val="20"/>
              </w:rPr>
              <w:t xml:space="preserve">
Коэффициент распределения: </w:t>
            </w:r>
          </w:p>
          <w:bookmarkEnd w:id="3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784"/>
          <w:p>
            <w:pPr>
              <w:spacing w:after="20"/>
              <w:ind w:left="20"/>
              <w:jc w:val="both"/>
            </w:pPr>
            <w:r>
              <w:rPr>
                <w:rFonts w:ascii="Times New Roman"/>
                <w:b w:val="false"/>
                <w:i w:val="false"/>
                <w:color w:val="000000"/>
                <w:sz w:val="20"/>
              </w:rPr>
              <w:t xml:space="preserve">
Гигроскопичность: </w:t>
            </w:r>
          </w:p>
          <w:bookmarkEnd w:id="3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785"/>
          <w:p>
            <w:pPr>
              <w:spacing w:after="20"/>
              <w:ind w:left="20"/>
              <w:jc w:val="both"/>
            </w:pPr>
            <w:r>
              <w:rPr>
                <w:rFonts w:ascii="Times New Roman"/>
                <w:b w:val="false"/>
                <w:i w:val="false"/>
                <w:color w:val="000000"/>
                <w:sz w:val="20"/>
              </w:rPr>
              <w:t xml:space="preserve">
Стереохимия: </w:t>
            </w:r>
          </w:p>
          <w:bookmarkEnd w:id="3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786"/>
          <w:p>
            <w:pPr>
              <w:spacing w:after="20"/>
              <w:ind w:left="20"/>
              <w:jc w:val="both"/>
            </w:pPr>
            <w:r>
              <w:rPr>
                <w:rFonts w:ascii="Times New Roman"/>
                <w:b w:val="false"/>
                <w:i w:val="false"/>
                <w:color w:val="000000"/>
                <w:sz w:val="20"/>
              </w:rPr>
              <w:t xml:space="preserve">
Полиморфизм: </w:t>
            </w:r>
          </w:p>
          <w:bookmarkEnd w:id="3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787"/>
          <w:p>
            <w:pPr>
              <w:spacing w:after="20"/>
              <w:ind w:left="20"/>
              <w:jc w:val="both"/>
            </w:pPr>
            <w:r>
              <w:rPr>
                <w:rFonts w:ascii="Times New Roman"/>
                <w:b w:val="false"/>
                <w:i w:val="false"/>
                <w:color w:val="000000"/>
                <w:sz w:val="20"/>
              </w:rPr>
              <w:t xml:space="preserve">
Степень кристалличности (для твердых веществ) </w:t>
            </w:r>
          </w:p>
          <w:bookmarkEnd w:id="3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788"/>
    <w:p>
      <w:pPr>
        <w:spacing w:after="0"/>
        <w:ind w:left="0"/>
        <w:jc w:val="both"/>
      </w:pPr>
      <w:r>
        <w:rPr>
          <w:rFonts w:ascii="Times New Roman"/>
          <w:b w:val="false"/>
          <w:i w:val="false"/>
          <w:color w:val="000000"/>
          <w:sz w:val="28"/>
        </w:rPr>
        <w:t>
       </w:t>
      </w:r>
    </w:p>
    <w:bookmarkEnd w:id="3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789"/>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w:t>
            </w:r>
          </w:p>
          <w:bookmarkEnd w:id="3789"/>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3896" w:id="3790"/>
    <w:p>
      <w:pPr>
        <w:spacing w:after="0"/>
        <w:ind w:left="0"/>
        <w:jc w:val="both"/>
      </w:pPr>
      <w:r>
        <w:rPr>
          <w:rFonts w:ascii="Times New Roman"/>
          <w:b w:val="false"/>
          <w:i w:val="false"/>
          <w:color w:val="000000"/>
          <w:sz w:val="28"/>
        </w:rPr>
        <w:t>
       </w:t>
      </w:r>
    </w:p>
    <w:bookmarkEnd w:id="3790"/>
    <w:bookmarkStart w:name="z3897" w:id="3791"/>
    <w:p>
      <w:pPr>
        <w:spacing w:after="0"/>
        <w:ind w:left="0"/>
        <w:jc w:val="left"/>
      </w:pPr>
      <w:r>
        <w:rPr>
          <w:rFonts w:ascii="Times New Roman"/>
          <w:b/>
          <w:i w:val="false"/>
          <w:color w:val="000000"/>
        </w:rPr>
        <w:t xml:space="preserve"> 3.2. Процесс производства АФС (модуль 3.2.S.2) </w:t>
      </w:r>
    </w:p>
    <w:bookmarkEnd w:id="3791"/>
    <w:bookmarkStart w:name="z3898" w:id="3792"/>
    <w:p>
      <w:pPr>
        <w:spacing w:after="0"/>
        <w:ind w:left="0"/>
        <w:jc w:val="both"/>
      </w:pPr>
      <w:r>
        <w:rPr>
          <w:rFonts w:ascii="Times New Roman"/>
          <w:b w:val="false"/>
          <w:i w:val="false"/>
          <w:color w:val="000000"/>
          <w:sz w:val="28"/>
        </w:rPr>
        <w:t>
       </w:t>
      </w:r>
    </w:p>
    <w:bookmarkEnd w:id="3792"/>
    <w:bookmarkStart w:name="z3899" w:id="3793"/>
    <w:p>
      <w:pPr>
        <w:spacing w:after="0"/>
        <w:ind w:left="0"/>
        <w:jc w:val="both"/>
      </w:pPr>
      <w:r>
        <w:rPr>
          <w:rFonts w:ascii="Times New Roman"/>
          <w:b w:val="false"/>
          <w:i w:val="false"/>
          <w:color w:val="000000"/>
          <w:sz w:val="28"/>
        </w:rPr>
        <w:t>
      3.2.1. Производители (раздел S.2.1).</w:t>
      </w:r>
    </w:p>
    <w:bookmarkEnd w:id="3793"/>
    <w:bookmarkStart w:name="z3900" w:id="3794"/>
    <w:p>
      <w:pPr>
        <w:spacing w:after="0"/>
        <w:ind w:left="0"/>
        <w:jc w:val="both"/>
      </w:pPr>
      <w:r>
        <w:rPr>
          <w:rFonts w:ascii="Times New Roman"/>
          <w:b w:val="false"/>
          <w:i w:val="false"/>
          <w:color w:val="000000"/>
          <w:sz w:val="28"/>
        </w:rPr>
        <w:t>
       </w:t>
      </w:r>
    </w:p>
    <w:bookmarkEnd w:id="3794"/>
    <w:bookmarkStart w:name="z3901" w:id="3795"/>
    <w:p>
      <w:pPr>
        <w:spacing w:after="0"/>
        <w:ind w:left="0"/>
        <w:jc w:val="both"/>
      </w:pPr>
      <w:r>
        <w:rPr>
          <w:rFonts w:ascii="Times New Roman"/>
          <w:b w:val="false"/>
          <w:i w:val="false"/>
          <w:color w:val="000000"/>
          <w:sz w:val="28"/>
        </w:rPr>
        <w:t>
      ___________________________________________________________________________</w:t>
      </w:r>
    </w:p>
    <w:bookmarkEnd w:id="3795"/>
    <w:bookmarkStart w:name="z3902" w:id="3796"/>
    <w:p>
      <w:pPr>
        <w:spacing w:after="0"/>
        <w:ind w:left="0"/>
        <w:jc w:val="both"/>
      </w:pPr>
      <w:r>
        <w:rPr>
          <w:rFonts w:ascii="Times New Roman"/>
          <w:b w:val="false"/>
          <w:i w:val="false"/>
          <w:color w:val="000000"/>
          <w:sz w:val="28"/>
        </w:rPr>
        <w:t>
      ___________________________________________________________________________</w:t>
      </w:r>
    </w:p>
    <w:bookmarkEnd w:id="3796"/>
    <w:bookmarkStart w:name="z3903" w:id="3797"/>
    <w:p>
      <w:pPr>
        <w:spacing w:after="0"/>
        <w:ind w:left="0"/>
        <w:jc w:val="both"/>
      </w:pPr>
      <w:r>
        <w:rPr>
          <w:rFonts w:ascii="Times New Roman"/>
          <w:b w:val="false"/>
          <w:i w:val="false"/>
          <w:color w:val="000000"/>
          <w:sz w:val="28"/>
        </w:rPr>
        <w:t>
      ___________________________________________________________________________</w:t>
      </w:r>
    </w:p>
    <w:bookmarkEnd w:id="3797"/>
    <w:bookmarkStart w:name="z3904" w:id="3798"/>
    <w:p>
      <w:pPr>
        <w:spacing w:after="0"/>
        <w:ind w:left="0"/>
        <w:jc w:val="both"/>
      </w:pPr>
      <w:r>
        <w:rPr>
          <w:rFonts w:ascii="Times New Roman"/>
          <w:b w:val="false"/>
          <w:i w:val="false"/>
          <w:color w:val="000000"/>
          <w:sz w:val="28"/>
        </w:rPr>
        <w:t>
       </w:t>
      </w:r>
    </w:p>
    <w:bookmarkEnd w:id="3798"/>
    <w:bookmarkStart w:name="z3905" w:id="3799"/>
    <w:p>
      <w:pPr>
        <w:spacing w:after="0"/>
        <w:ind w:left="0"/>
        <w:jc w:val="both"/>
      </w:pPr>
      <w:r>
        <w:rPr>
          <w:rFonts w:ascii="Times New Roman"/>
          <w:b w:val="false"/>
          <w:i w:val="false"/>
          <w:color w:val="000000"/>
          <w:sz w:val="28"/>
        </w:rPr>
        <w:t>
      3.2.2. Соответствие правилам надлежащей производственной практики Евразийского экономического союза, утверждаемым Евразийской экономической комиссией (далее - Комиссия) (GMP).</w:t>
      </w:r>
    </w:p>
    <w:bookmarkEnd w:id="3799"/>
    <w:bookmarkStart w:name="z3906" w:id="3800"/>
    <w:p>
      <w:pPr>
        <w:spacing w:after="0"/>
        <w:ind w:left="0"/>
        <w:jc w:val="both"/>
      </w:pPr>
      <w:r>
        <w:rPr>
          <w:rFonts w:ascii="Times New Roman"/>
          <w:b w:val="false"/>
          <w:i w:val="false"/>
          <w:color w:val="000000"/>
          <w:sz w:val="28"/>
        </w:rPr>
        <w:t>
       </w:t>
      </w:r>
    </w:p>
    <w:bookmarkEnd w:id="3800"/>
    <w:bookmarkStart w:name="z3907" w:id="3801"/>
    <w:p>
      <w:pPr>
        <w:spacing w:after="0"/>
        <w:ind w:left="0"/>
        <w:jc w:val="both"/>
      </w:pPr>
      <w:r>
        <w:rPr>
          <w:rFonts w:ascii="Times New Roman"/>
          <w:b w:val="false"/>
          <w:i w:val="false"/>
          <w:color w:val="000000"/>
          <w:sz w:val="28"/>
        </w:rPr>
        <w:t>
      ___________________________________________________________________________</w:t>
      </w:r>
    </w:p>
    <w:bookmarkEnd w:id="3801"/>
    <w:bookmarkStart w:name="z3908" w:id="3802"/>
    <w:p>
      <w:pPr>
        <w:spacing w:after="0"/>
        <w:ind w:left="0"/>
        <w:jc w:val="both"/>
      </w:pPr>
      <w:r>
        <w:rPr>
          <w:rFonts w:ascii="Times New Roman"/>
          <w:b w:val="false"/>
          <w:i w:val="false"/>
          <w:color w:val="000000"/>
          <w:sz w:val="28"/>
        </w:rPr>
        <w:t>
      ___________________________________________________________________________</w:t>
      </w:r>
    </w:p>
    <w:bookmarkEnd w:id="3802"/>
    <w:bookmarkStart w:name="z3909" w:id="3803"/>
    <w:p>
      <w:pPr>
        <w:spacing w:after="0"/>
        <w:ind w:left="0"/>
        <w:jc w:val="both"/>
      </w:pPr>
      <w:r>
        <w:rPr>
          <w:rFonts w:ascii="Times New Roman"/>
          <w:b w:val="false"/>
          <w:i w:val="false"/>
          <w:color w:val="000000"/>
          <w:sz w:val="28"/>
        </w:rPr>
        <w:t>
      ___________________________________________________________________________</w:t>
      </w:r>
    </w:p>
    <w:bookmarkEnd w:id="3803"/>
    <w:bookmarkStart w:name="z3910" w:id="3804"/>
    <w:p>
      <w:pPr>
        <w:spacing w:after="0"/>
        <w:ind w:left="0"/>
        <w:jc w:val="both"/>
      </w:pPr>
      <w:r>
        <w:rPr>
          <w:rFonts w:ascii="Times New Roman"/>
          <w:b w:val="false"/>
          <w:i w:val="false"/>
          <w:color w:val="000000"/>
          <w:sz w:val="28"/>
        </w:rPr>
        <w:t>
       </w:t>
      </w:r>
    </w:p>
    <w:bookmarkEnd w:id="3804"/>
    <w:bookmarkStart w:name="z3911" w:id="3805"/>
    <w:p>
      <w:pPr>
        <w:spacing w:after="0"/>
        <w:ind w:left="0"/>
        <w:jc w:val="both"/>
      </w:pPr>
      <w:r>
        <w:rPr>
          <w:rFonts w:ascii="Times New Roman"/>
          <w:b w:val="false"/>
          <w:i w:val="false"/>
          <w:color w:val="000000"/>
          <w:sz w:val="28"/>
        </w:rPr>
        <w:t>
      3.2.3. Описание производственного процесса и его контроля (раздел S.2.2).</w:t>
      </w:r>
    </w:p>
    <w:bookmarkEnd w:id="3805"/>
    <w:bookmarkStart w:name="z3912" w:id="3806"/>
    <w:p>
      <w:pPr>
        <w:spacing w:after="0"/>
        <w:ind w:left="0"/>
        <w:jc w:val="both"/>
      </w:pPr>
      <w:r>
        <w:rPr>
          <w:rFonts w:ascii="Times New Roman"/>
          <w:b w:val="false"/>
          <w:i w:val="false"/>
          <w:color w:val="000000"/>
          <w:sz w:val="28"/>
        </w:rPr>
        <w:t>
       </w:t>
      </w:r>
    </w:p>
    <w:bookmarkEnd w:id="3806"/>
    <w:bookmarkStart w:name="z3913" w:id="3807"/>
    <w:p>
      <w:pPr>
        <w:spacing w:after="0"/>
        <w:ind w:left="0"/>
        <w:jc w:val="both"/>
      </w:pPr>
      <w:r>
        <w:rPr>
          <w:rFonts w:ascii="Times New Roman"/>
          <w:b w:val="false"/>
          <w:i w:val="false"/>
          <w:color w:val="000000"/>
          <w:sz w:val="28"/>
        </w:rPr>
        <w:t>
      ___________________________________________________________________________</w:t>
      </w:r>
    </w:p>
    <w:bookmarkEnd w:id="3807"/>
    <w:bookmarkStart w:name="z3914" w:id="3808"/>
    <w:p>
      <w:pPr>
        <w:spacing w:after="0"/>
        <w:ind w:left="0"/>
        <w:jc w:val="both"/>
      </w:pPr>
      <w:r>
        <w:rPr>
          <w:rFonts w:ascii="Times New Roman"/>
          <w:b w:val="false"/>
          <w:i w:val="false"/>
          <w:color w:val="000000"/>
          <w:sz w:val="28"/>
        </w:rPr>
        <w:t>
      ___________________________________________________________________________</w:t>
      </w:r>
    </w:p>
    <w:bookmarkEnd w:id="3808"/>
    <w:bookmarkStart w:name="z3915" w:id="3809"/>
    <w:p>
      <w:pPr>
        <w:spacing w:after="0"/>
        <w:ind w:left="0"/>
        <w:jc w:val="both"/>
      </w:pPr>
      <w:r>
        <w:rPr>
          <w:rFonts w:ascii="Times New Roman"/>
          <w:b w:val="false"/>
          <w:i w:val="false"/>
          <w:color w:val="000000"/>
          <w:sz w:val="28"/>
        </w:rPr>
        <w:t>
      ___________________________________________________________________________</w:t>
      </w:r>
    </w:p>
    <w:bookmarkEnd w:id="3809"/>
    <w:bookmarkStart w:name="z3916" w:id="3810"/>
    <w:p>
      <w:pPr>
        <w:spacing w:after="0"/>
        <w:ind w:left="0"/>
        <w:jc w:val="both"/>
      </w:pPr>
      <w:r>
        <w:rPr>
          <w:rFonts w:ascii="Times New Roman"/>
          <w:b w:val="false"/>
          <w:i w:val="false"/>
          <w:color w:val="000000"/>
          <w:sz w:val="28"/>
        </w:rPr>
        <w:t>
       </w:t>
      </w:r>
    </w:p>
    <w:bookmarkEnd w:id="3810"/>
    <w:bookmarkStart w:name="z3917" w:id="3811"/>
    <w:p>
      <w:pPr>
        <w:spacing w:after="0"/>
        <w:ind w:left="0"/>
        <w:jc w:val="both"/>
      </w:pPr>
      <w:r>
        <w:rPr>
          <w:rFonts w:ascii="Times New Roman"/>
          <w:b w:val="false"/>
          <w:i w:val="false"/>
          <w:color w:val="000000"/>
          <w:sz w:val="28"/>
        </w:rPr>
        <w:t>
      3.2.4. Контроль качества исходных материалов (раздел S.2.3).</w:t>
      </w:r>
    </w:p>
    <w:bookmarkEnd w:id="3811"/>
    <w:bookmarkStart w:name="z3918" w:id="3812"/>
    <w:p>
      <w:pPr>
        <w:spacing w:after="0"/>
        <w:ind w:left="0"/>
        <w:jc w:val="both"/>
      </w:pPr>
      <w:r>
        <w:rPr>
          <w:rFonts w:ascii="Times New Roman"/>
          <w:b w:val="false"/>
          <w:i w:val="false"/>
          <w:color w:val="000000"/>
          <w:sz w:val="28"/>
        </w:rPr>
        <w:t>
       </w:t>
      </w:r>
    </w:p>
    <w:bookmarkEnd w:id="3812"/>
    <w:bookmarkStart w:name="z3919" w:id="3813"/>
    <w:p>
      <w:pPr>
        <w:spacing w:after="0"/>
        <w:ind w:left="0"/>
        <w:jc w:val="both"/>
      </w:pPr>
      <w:r>
        <w:rPr>
          <w:rFonts w:ascii="Times New Roman"/>
          <w:b w:val="false"/>
          <w:i w:val="false"/>
          <w:color w:val="000000"/>
          <w:sz w:val="28"/>
        </w:rPr>
        <w:t>
      ___________________________________________________________________________</w:t>
      </w:r>
    </w:p>
    <w:bookmarkEnd w:id="3813"/>
    <w:bookmarkStart w:name="z3920" w:id="3814"/>
    <w:p>
      <w:pPr>
        <w:spacing w:after="0"/>
        <w:ind w:left="0"/>
        <w:jc w:val="both"/>
      </w:pPr>
      <w:r>
        <w:rPr>
          <w:rFonts w:ascii="Times New Roman"/>
          <w:b w:val="false"/>
          <w:i w:val="false"/>
          <w:color w:val="000000"/>
          <w:sz w:val="28"/>
        </w:rPr>
        <w:t>
      ___________________________________________________________________________</w:t>
      </w:r>
    </w:p>
    <w:bookmarkEnd w:id="3814"/>
    <w:bookmarkStart w:name="z3921" w:id="3815"/>
    <w:p>
      <w:pPr>
        <w:spacing w:after="0"/>
        <w:ind w:left="0"/>
        <w:jc w:val="both"/>
      </w:pPr>
      <w:r>
        <w:rPr>
          <w:rFonts w:ascii="Times New Roman"/>
          <w:b w:val="false"/>
          <w:i w:val="false"/>
          <w:color w:val="000000"/>
          <w:sz w:val="28"/>
        </w:rPr>
        <w:t>
      ___________________________________________________________________________</w:t>
      </w:r>
    </w:p>
    <w:bookmarkEnd w:id="3815"/>
    <w:bookmarkStart w:name="z3922" w:id="3816"/>
    <w:p>
      <w:pPr>
        <w:spacing w:after="0"/>
        <w:ind w:left="0"/>
        <w:jc w:val="both"/>
      </w:pPr>
      <w:r>
        <w:rPr>
          <w:rFonts w:ascii="Times New Roman"/>
          <w:b w:val="false"/>
          <w:i w:val="false"/>
          <w:color w:val="000000"/>
          <w:sz w:val="28"/>
        </w:rPr>
        <w:t>
       </w:t>
      </w:r>
    </w:p>
    <w:bookmarkEnd w:id="3816"/>
    <w:bookmarkStart w:name="z3923" w:id="3817"/>
    <w:p>
      <w:pPr>
        <w:spacing w:after="0"/>
        <w:ind w:left="0"/>
        <w:jc w:val="both"/>
      </w:pPr>
      <w:r>
        <w:rPr>
          <w:rFonts w:ascii="Times New Roman"/>
          <w:b w:val="false"/>
          <w:i w:val="false"/>
          <w:color w:val="000000"/>
          <w:sz w:val="28"/>
        </w:rPr>
        <w:t>
      3.2.5. Контроль критических стадий и промежуточной продукции (раздел S.2.4).</w:t>
      </w:r>
    </w:p>
    <w:bookmarkEnd w:id="3817"/>
    <w:bookmarkStart w:name="z3924" w:id="3818"/>
    <w:p>
      <w:pPr>
        <w:spacing w:after="0"/>
        <w:ind w:left="0"/>
        <w:jc w:val="both"/>
      </w:pPr>
      <w:r>
        <w:rPr>
          <w:rFonts w:ascii="Times New Roman"/>
          <w:b w:val="false"/>
          <w:i w:val="false"/>
          <w:color w:val="000000"/>
          <w:sz w:val="28"/>
        </w:rPr>
        <w:t>
       </w:t>
      </w:r>
    </w:p>
    <w:bookmarkEnd w:id="3818"/>
    <w:bookmarkStart w:name="z3925" w:id="3819"/>
    <w:p>
      <w:pPr>
        <w:spacing w:after="0"/>
        <w:ind w:left="0"/>
        <w:jc w:val="both"/>
      </w:pPr>
      <w:r>
        <w:rPr>
          <w:rFonts w:ascii="Times New Roman"/>
          <w:b w:val="false"/>
          <w:i w:val="false"/>
          <w:color w:val="000000"/>
          <w:sz w:val="28"/>
        </w:rPr>
        <w:t>
      ___________________________________________________________________________</w:t>
      </w:r>
    </w:p>
    <w:bookmarkEnd w:id="3819"/>
    <w:bookmarkStart w:name="z3926" w:id="3820"/>
    <w:p>
      <w:pPr>
        <w:spacing w:after="0"/>
        <w:ind w:left="0"/>
        <w:jc w:val="both"/>
      </w:pPr>
      <w:r>
        <w:rPr>
          <w:rFonts w:ascii="Times New Roman"/>
          <w:b w:val="false"/>
          <w:i w:val="false"/>
          <w:color w:val="000000"/>
          <w:sz w:val="28"/>
        </w:rPr>
        <w:t>
      ___________________________________________________________________________</w:t>
      </w:r>
    </w:p>
    <w:bookmarkEnd w:id="3820"/>
    <w:bookmarkStart w:name="z3927" w:id="3821"/>
    <w:p>
      <w:pPr>
        <w:spacing w:after="0"/>
        <w:ind w:left="0"/>
        <w:jc w:val="both"/>
      </w:pPr>
      <w:r>
        <w:rPr>
          <w:rFonts w:ascii="Times New Roman"/>
          <w:b w:val="false"/>
          <w:i w:val="false"/>
          <w:color w:val="000000"/>
          <w:sz w:val="28"/>
        </w:rPr>
        <w:t>
      ___________________________________________________________________________</w:t>
      </w:r>
    </w:p>
    <w:bookmarkEnd w:id="3821"/>
    <w:bookmarkStart w:name="z3928" w:id="3822"/>
    <w:p>
      <w:pPr>
        <w:spacing w:after="0"/>
        <w:ind w:left="0"/>
        <w:jc w:val="both"/>
      </w:pPr>
      <w:r>
        <w:rPr>
          <w:rFonts w:ascii="Times New Roman"/>
          <w:b w:val="false"/>
          <w:i w:val="false"/>
          <w:color w:val="000000"/>
          <w:sz w:val="28"/>
        </w:rPr>
        <w:t>
       </w:t>
      </w:r>
    </w:p>
    <w:bookmarkEnd w:id="3822"/>
    <w:bookmarkStart w:name="z3929" w:id="3823"/>
    <w:p>
      <w:pPr>
        <w:spacing w:after="0"/>
        <w:ind w:left="0"/>
        <w:jc w:val="both"/>
      </w:pPr>
      <w:r>
        <w:rPr>
          <w:rFonts w:ascii="Times New Roman"/>
          <w:b w:val="false"/>
          <w:i w:val="false"/>
          <w:color w:val="000000"/>
          <w:sz w:val="28"/>
        </w:rPr>
        <w:t>
      3.2.6. Валидация производственного процесса и (или) его оценка (раздел S.2.5).</w:t>
      </w:r>
    </w:p>
    <w:bookmarkEnd w:id="3823"/>
    <w:bookmarkStart w:name="z3930" w:id="3824"/>
    <w:p>
      <w:pPr>
        <w:spacing w:after="0"/>
        <w:ind w:left="0"/>
        <w:jc w:val="both"/>
      </w:pPr>
      <w:r>
        <w:rPr>
          <w:rFonts w:ascii="Times New Roman"/>
          <w:b w:val="false"/>
          <w:i w:val="false"/>
          <w:color w:val="000000"/>
          <w:sz w:val="28"/>
        </w:rPr>
        <w:t>
       </w:t>
      </w:r>
    </w:p>
    <w:bookmarkEnd w:id="3824"/>
    <w:bookmarkStart w:name="z3931" w:id="3825"/>
    <w:p>
      <w:pPr>
        <w:spacing w:after="0"/>
        <w:ind w:left="0"/>
        <w:jc w:val="both"/>
      </w:pPr>
      <w:r>
        <w:rPr>
          <w:rFonts w:ascii="Times New Roman"/>
          <w:b w:val="false"/>
          <w:i w:val="false"/>
          <w:color w:val="000000"/>
          <w:sz w:val="28"/>
        </w:rPr>
        <w:t>
      ___________________________________________________________________________</w:t>
      </w:r>
    </w:p>
    <w:bookmarkEnd w:id="3825"/>
    <w:bookmarkStart w:name="z3932" w:id="3826"/>
    <w:p>
      <w:pPr>
        <w:spacing w:after="0"/>
        <w:ind w:left="0"/>
        <w:jc w:val="both"/>
      </w:pPr>
      <w:r>
        <w:rPr>
          <w:rFonts w:ascii="Times New Roman"/>
          <w:b w:val="false"/>
          <w:i w:val="false"/>
          <w:color w:val="000000"/>
          <w:sz w:val="28"/>
        </w:rPr>
        <w:t>
      ___________________________________________________________________________</w:t>
      </w:r>
    </w:p>
    <w:bookmarkEnd w:id="3826"/>
    <w:bookmarkStart w:name="z3933" w:id="3827"/>
    <w:p>
      <w:pPr>
        <w:spacing w:after="0"/>
        <w:ind w:left="0"/>
        <w:jc w:val="both"/>
      </w:pPr>
      <w:r>
        <w:rPr>
          <w:rFonts w:ascii="Times New Roman"/>
          <w:b w:val="false"/>
          <w:i w:val="false"/>
          <w:color w:val="000000"/>
          <w:sz w:val="28"/>
        </w:rPr>
        <w:t>
      ___________________________________________________________________________</w:t>
      </w:r>
    </w:p>
    <w:bookmarkEnd w:id="3827"/>
    <w:bookmarkStart w:name="z3934" w:id="3828"/>
    <w:p>
      <w:pPr>
        <w:spacing w:after="0"/>
        <w:ind w:left="0"/>
        <w:jc w:val="both"/>
      </w:pPr>
      <w:r>
        <w:rPr>
          <w:rFonts w:ascii="Times New Roman"/>
          <w:b w:val="false"/>
          <w:i w:val="false"/>
          <w:color w:val="000000"/>
          <w:sz w:val="28"/>
        </w:rPr>
        <w:t>
      ___________________________________________________________________________</w:t>
      </w:r>
    </w:p>
    <w:bookmarkEnd w:id="3828"/>
    <w:bookmarkStart w:name="z3935" w:id="3829"/>
    <w:p>
      <w:pPr>
        <w:spacing w:after="0"/>
        <w:ind w:left="0"/>
        <w:jc w:val="both"/>
      </w:pPr>
      <w:r>
        <w:rPr>
          <w:rFonts w:ascii="Times New Roman"/>
          <w:b w:val="false"/>
          <w:i w:val="false"/>
          <w:color w:val="000000"/>
          <w:sz w:val="28"/>
        </w:rPr>
        <w:t>
       </w:t>
      </w:r>
    </w:p>
    <w:bookmarkEnd w:id="3829"/>
    <w:bookmarkStart w:name="z3936" w:id="3830"/>
    <w:p>
      <w:pPr>
        <w:spacing w:after="0"/>
        <w:ind w:left="0"/>
        <w:jc w:val="both"/>
      </w:pPr>
      <w:r>
        <w:rPr>
          <w:rFonts w:ascii="Times New Roman"/>
          <w:b w:val="false"/>
          <w:i w:val="false"/>
          <w:color w:val="000000"/>
          <w:sz w:val="28"/>
        </w:rPr>
        <w:t>
      3.2.7. Разработка производственного процесса (раздел S.2.6).</w:t>
      </w:r>
    </w:p>
    <w:bookmarkEnd w:id="3830"/>
    <w:bookmarkStart w:name="z3937" w:id="3831"/>
    <w:p>
      <w:pPr>
        <w:spacing w:after="0"/>
        <w:ind w:left="0"/>
        <w:jc w:val="both"/>
      </w:pPr>
      <w:r>
        <w:rPr>
          <w:rFonts w:ascii="Times New Roman"/>
          <w:b w:val="false"/>
          <w:i w:val="false"/>
          <w:color w:val="000000"/>
          <w:sz w:val="28"/>
        </w:rPr>
        <w:t>
       </w:t>
      </w:r>
    </w:p>
    <w:bookmarkEnd w:id="3831"/>
    <w:bookmarkStart w:name="z3938" w:id="3832"/>
    <w:p>
      <w:pPr>
        <w:spacing w:after="0"/>
        <w:ind w:left="0"/>
        <w:jc w:val="both"/>
      </w:pPr>
      <w:r>
        <w:rPr>
          <w:rFonts w:ascii="Times New Roman"/>
          <w:b w:val="false"/>
          <w:i w:val="false"/>
          <w:color w:val="000000"/>
          <w:sz w:val="28"/>
        </w:rPr>
        <w:t>
      ___________________________________________________________________________</w:t>
      </w:r>
    </w:p>
    <w:bookmarkEnd w:id="3832"/>
    <w:bookmarkStart w:name="z3939" w:id="3833"/>
    <w:p>
      <w:pPr>
        <w:spacing w:after="0"/>
        <w:ind w:left="0"/>
        <w:jc w:val="both"/>
      </w:pPr>
      <w:r>
        <w:rPr>
          <w:rFonts w:ascii="Times New Roman"/>
          <w:b w:val="false"/>
          <w:i w:val="false"/>
          <w:color w:val="000000"/>
          <w:sz w:val="28"/>
        </w:rPr>
        <w:t>
      ___________________________________________________________________________</w:t>
      </w:r>
    </w:p>
    <w:bookmarkEnd w:id="3833"/>
    <w:bookmarkStart w:name="z3940" w:id="3834"/>
    <w:p>
      <w:pPr>
        <w:spacing w:after="0"/>
        <w:ind w:left="0"/>
        <w:jc w:val="both"/>
      </w:pPr>
      <w:r>
        <w:rPr>
          <w:rFonts w:ascii="Times New Roman"/>
          <w:b w:val="false"/>
          <w:i w:val="false"/>
          <w:color w:val="000000"/>
          <w:sz w:val="28"/>
        </w:rPr>
        <w:t>
      ___________________________________________________________________________</w:t>
      </w:r>
    </w:p>
    <w:bookmarkEnd w:id="3834"/>
    <w:bookmarkStart w:name="z3941" w:id="3835"/>
    <w:p>
      <w:pPr>
        <w:spacing w:after="0"/>
        <w:ind w:left="0"/>
        <w:jc w:val="both"/>
      </w:pPr>
      <w:r>
        <w:rPr>
          <w:rFonts w:ascii="Times New Roman"/>
          <w:b w:val="false"/>
          <w:i w:val="false"/>
          <w:color w:val="000000"/>
          <w:sz w:val="28"/>
        </w:rPr>
        <w:t>
       </w:t>
      </w:r>
    </w:p>
    <w:bookmarkEnd w:id="3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836"/>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3836"/>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3943" w:id="3837"/>
    <w:p>
      <w:pPr>
        <w:spacing w:after="0"/>
        <w:ind w:left="0"/>
        <w:jc w:val="both"/>
      </w:pPr>
      <w:r>
        <w:rPr>
          <w:rFonts w:ascii="Times New Roman"/>
          <w:b w:val="false"/>
          <w:i w:val="false"/>
          <w:color w:val="000000"/>
          <w:sz w:val="28"/>
        </w:rPr>
        <w:t>
       </w:t>
      </w:r>
    </w:p>
    <w:bookmarkEnd w:id="3837"/>
    <w:bookmarkStart w:name="z3944" w:id="3838"/>
    <w:p>
      <w:pPr>
        <w:spacing w:after="0"/>
        <w:ind w:left="0"/>
        <w:jc w:val="left"/>
      </w:pPr>
      <w:r>
        <w:rPr>
          <w:rFonts w:ascii="Times New Roman"/>
          <w:b/>
          <w:i w:val="false"/>
          <w:color w:val="000000"/>
        </w:rPr>
        <w:t xml:space="preserve"> 3.3. Описание характеристик АФС (модуль 3.2.S.3) </w:t>
      </w:r>
    </w:p>
    <w:bookmarkEnd w:id="3838"/>
    <w:bookmarkStart w:name="z3945" w:id="3839"/>
    <w:p>
      <w:pPr>
        <w:spacing w:after="0"/>
        <w:ind w:left="0"/>
        <w:jc w:val="both"/>
      </w:pPr>
      <w:r>
        <w:rPr>
          <w:rFonts w:ascii="Times New Roman"/>
          <w:b w:val="false"/>
          <w:i w:val="false"/>
          <w:color w:val="000000"/>
          <w:sz w:val="28"/>
        </w:rPr>
        <w:t>
       </w:t>
      </w:r>
    </w:p>
    <w:bookmarkEnd w:id="3839"/>
    <w:bookmarkStart w:name="z3946" w:id="3840"/>
    <w:p>
      <w:pPr>
        <w:spacing w:after="0"/>
        <w:ind w:left="0"/>
        <w:jc w:val="both"/>
      </w:pPr>
      <w:r>
        <w:rPr>
          <w:rFonts w:ascii="Times New Roman"/>
          <w:b w:val="false"/>
          <w:i w:val="false"/>
          <w:color w:val="000000"/>
          <w:sz w:val="28"/>
        </w:rPr>
        <w:t>
      3.3.1. Подтверждение структуры и других характеристик (раздел S.3.1).</w:t>
      </w:r>
    </w:p>
    <w:bookmarkEnd w:id="3840"/>
    <w:bookmarkStart w:name="z3947" w:id="3841"/>
    <w:p>
      <w:pPr>
        <w:spacing w:after="0"/>
        <w:ind w:left="0"/>
        <w:jc w:val="both"/>
      </w:pPr>
      <w:r>
        <w:rPr>
          <w:rFonts w:ascii="Times New Roman"/>
          <w:b w:val="false"/>
          <w:i w:val="false"/>
          <w:color w:val="000000"/>
          <w:sz w:val="28"/>
        </w:rPr>
        <w:t>
       </w:t>
      </w:r>
    </w:p>
    <w:bookmarkEnd w:id="3841"/>
    <w:bookmarkStart w:name="z3948" w:id="3842"/>
    <w:p>
      <w:pPr>
        <w:spacing w:after="0"/>
        <w:ind w:left="0"/>
        <w:jc w:val="both"/>
      </w:pPr>
      <w:r>
        <w:rPr>
          <w:rFonts w:ascii="Times New Roman"/>
          <w:b w:val="false"/>
          <w:i w:val="false"/>
          <w:color w:val="000000"/>
          <w:sz w:val="28"/>
        </w:rPr>
        <w:t>
      ___________________________________________________________________________</w:t>
      </w:r>
    </w:p>
    <w:bookmarkEnd w:id="3842"/>
    <w:bookmarkStart w:name="z3949" w:id="3843"/>
    <w:p>
      <w:pPr>
        <w:spacing w:after="0"/>
        <w:ind w:left="0"/>
        <w:jc w:val="both"/>
      </w:pPr>
      <w:r>
        <w:rPr>
          <w:rFonts w:ascii="Times New Roman"/>
          <w:b w:val="false"/>
          <w:i w:val="false"/>
          <w:color w:val="000000"/>
          <w:sz w:val="28"/>
        </w:rPr>
        <w:t>
      ___________________________________________________________________________</w:t>
      </w:r>
    </w:p>
    <w:bookmarkEnd w:id="3843"/>
    <w:bookmarkStart w:name="z3950" w:id="3844"/>
    <w:p>
      <w:pPr>
        <w:spacing w:after="0"/>
        <w:ind w:left="0"/>
        <w:jc w:val="both"/>
      </w:pPr>
      <w:r>
        <w:rPr>
          <w:rFonts w:ascii="Times New Roman"/>
          <w:b w:val="false"/>
          <w:i w:val="false"/>
          <w:color w:val="000000"/>
          <w:sz w:val="28"/>
        </w:rPr>
        <w:t>
      ___________________________________________________________________________</w:t>
      </w:r>
    </w:p>
    <w:bookmarkEnd w:id="3844"/>
    <w:bookmarkStart w:name="z3951" w:id="3845"/>
    <w:p>
      <w:pPr>
        <w:spacing w:after="0"/>
        <w:ind w:left="0"/>
        <w:jc w:val="both"/>
      </w:pPr>
      <w:r>
        <w:rPr>
          <w:rFonts w:ascii="Times New Roman"/>
          <w:b w:val="false"/>
          <w:i w:val="false"/>
          <w:color w:val="000000"/>
          <w:sz w:val="28"/>
        </w:rPr>
        <w:t>
       </w:t>
      </w:r>
    </w:p>
    <w:bookmarkEnd w:id="3845"/>
    <w:bookmarkStart w:name="z3952" w:id="3846"/>
    <w:p>
      <w:pPr>
        <w:spacing w:after="0"/>
        <w:ind w:left="0"/>
        <w:jc w:val="both"/>
      </w:pPr>
      <w:r>
        <w:rPr>
          <w:rFonts w:ascii="Times New Roman"/>
          <w:b w:val="false"/>
          <w:i w:val="false"/>
          <w:color w:val="000000"/>
          <w:sz w:val="28"/>
        </w:rPr>
        <w:t>
      3.3.2. Примеси (раздел S.3.2).</w:t>
      </w:r>
    </w:p>
    <w:bookmarkEnd w:id="3846"/>
    <w:bookmarkStart w:name="z3953" w:id="3847"/>
    <w:p>
      <w:pPr>
        <w:spacing w:after="0"/>
        <w:ind w:left="0"/>
        <w:jc w:val="both"/>
      </w:pPr>
      <w:r>
        <w:rPr>
          <w:rFonts w:ascii="Times New Roman"/>
          <w:b w:val="false"/>
          <w:i w:val="false"/>
          <w:color w:val="000000"/>
          <w:sz w:val="28"/>
        </w:rPr>
        <w:t>
       </w:t>
      </w:r>
    </w:p>
    <w:bookmarkEnd w:id="3847"/>
    <w:bookmarkStart w:name="z3954" w:id="3848"/>
    <w:p>
      <w:pPr>
        <w:spacing w:after="0"/>
        <w:ind w:left="0"/>
        <w:jc w:val="both"/>
      </w:pPr>
      <w:r>
        <w:rPr>
          <w:rFonts w:ascii="Times New Roman"/>
          <w:b w:val="false"/>
          <w:i w:val="false"/>
          <w:color w:val="000000"/>
          <w:sz w:val="28"/>
        </w:rPr>
        <w:t>
      ___________________________________________________________________________</w:t>
      </w:r>
    </w:p>
    <w:bookmarkEnd w:id="3848"/>
    <w:bookmarkStart w:name="z3955" w:id="3849"/>
    <w:p>
      <w:pPr>
        <w:spacing w:after="0"/>
        <w:ind w:left="0"/>
        <w:jc w:val="both"/>
      </w:pPr>
      <w:r>
        <w:rPr>
          <w:rFonts w:ascii="Times New Roman"/>
          <w:b w:val="false"/>
          <w:i w:val="false"/>
          <w:color w:val="000000"/>
          <w:sz w:val="28"/>
        </w:rPr>
        <w:t>
      ___________________________________________________________________________</w:t>
      </w:r>
    </w:p>
    <w:bookmarkEnd w:id="3849"/>
    <w:bookmarkStart w:name="z3956" w:id="3850"/>
    <w:p>
      <w:pPr>
        <w:spacing w:after="0"/>
        <w:ind w:left="0"/>
        <w:jc w:val="both"/>
      </w:pPr>
      <w:r>
        <w:rPr>
          <w:rFonts w:ascii="Times New Roman"/>
          <w:b w:val="false"/>
          <w:i w:val="false"/>
          <w:color w:val="000000"/>
          <w:sz w:val="28"/>
        </w:rPr>
        <w:t>
      ___________________________________________________________________________</w:t>
      </w:r>
    </w:p>
    <w:bookmarkEnd w:id="3850"/>
    <w:bookmarkStart w:name="z3957" w:id="3851"/>
    <w:p>
      <w:pPr>
        <w:spacing w:after="0"/>
        <w:ind w:left="0"/>
        <w:jc w:val="both"/>
      </w:pPr>
      <w:r>
        <w:rPr>
          <w:rFonts w:ascii="Times New Roman"/>
          <w:b w:val="false"/>
          <w:i w:val="false"/>
          <w:color w:val="000000"/>
          <w:sz w:val="28"/>
        </w:rPr>
        <w:t>
       </w:t>
      </w:r>
    </w:p>
    <w:bookmarkEnd w:id="3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852"/>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3852"/>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3959" w:id="3853"/>
    <w:p>
      <w:pPr>
        <w:spacing w:after="0"/>
        <w:ind w:left="0"/>
        <w:jc w:val="both"/>
      </w:pPr>
      <w:r>
        <w:rPr>
          <w:rFonts w:ascii="Times New Roman"/>
          <w:b w:val="false"/>
          <w:i w:val="false"/>
          <w:color w:val="000000"/>
          <w:sz w:val="28"/>
        </w:rPr>
        <w:t>
       </w:t>
      </w:r>
    </w:p>
    <w:bookmarkEnd w:id="3853"/>
    <w:bookmarkStart w:name="z3960" w:id="3854"/>
    <w:p>
      <w:pPr>
        <w:spacing w:after="0"/>
        <w:ind w:left="0"/>
        <w:jc w:val="left"/>
      </w:pPr>
      <w:r>
        <w:rPr>
          <w:rFonts w:ascii="Times New Roman"/>
          <w:b/>
          <w:i w:val="false"/>
          <w:color w:val="000000"/>
        </w:rPr>
        <w:t xml:space="preserve"> 3.4. Контроль качества активной фармацевтической субстанции (модуль 3.2.S.4) </w:t>
      </w:r>
    </w:p>
    <w:bookmarkEnd w:id="3854"/>
    <w:bookmarkStart w:name="z3961" w:id="3855"/>
    <w:p>
      <w:pPr>
        <w:spacing w:after="0"/>
        <w:ind w:left="0"/>
        <w:jc w:val="both"/>
      </w:pPr>
      <w:r>
        <w:rPr>
          <w:rFonts w:ascii="Times New Roman"/>
          <w:b w:val="false"/>
          <w:i w:val="false"/>
          <w:color w:val="000000"/>
          <w:sz w:val="28"/>
        </w:rPr>
        <w:t>
       </w:t>
      </w:r>
    </w:p>
    <w:bookmarkEnd w:id="3855"/>
    <w:bookmarkStart w:name="z3962" w:id="3856"/>
    <w:p>
      <w:pPr>
        <w:spacing w:after="0"/>
        <w:ind w:left="0"/>
        <w:jc w:val="both"/>
      </w:pPr>
      <w:r>
        <w:rPr>
          <w:rFonts w:ascii="Times New Roman"/>
          <w:b w:val="false"/>
          <w:i w:val="false"/>
          <w:color w:val="000000"/>
          <w:sz w:val="28"/>
        </w:rPr>
        <w:t>
      3.4.1. Спецификация (раздел S.4.1).</w:t>
      </w:r>
    </w:p>
    <w:bookmarkEnd w:id="3856"/>
    <w:bookmarkStart w:name="z3963" w:id="3857"/>
    <w:p>
      <w:pPr>
        <w:spacing w:after="0"/>
        <w:ind w:left="0"/>
        <w:jc w:val="both"/>
      </w:pPr>
      <w:r>
        <w:rPr>
          <w:rFonts w:ascii="Times New Roman"/>
          <w:b w:val="false"/>
          <w:i w:val="false"/>
          <w:color w:val="000000"/>
          <w:sz w:val="28"/>
        </w:rPr>
        <w:t>
       </w:t>
      </w:r>
    </w:p>
    <w:bookmarkEnd w:id="3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S.4-1 </w:t>
            </w:r>
          </w:p>
        </w:tc>
      </w:tr>
    </w:tbl>
    <w:bookmarkStart w:name="z3965" w:id="3858"/>
    <w:p>
      <w:pPr>
        <w:spacing w:after="0"/>
        <w:ind w:left="0"/>
        <w:jc w:val="both"/>
      </w:pPr>
      <w:r>
        <w:rPr>
          <w:rFonts w:ascii="Times New Roman"/>
          <w:b w:val="false"/>
          <w:i w:val="false"/>
          <w:color w:val="000000"/>
          <w:sz w:val="28"/>
        </w:rPr>
        <w:t>
       </w:t>
      </w:r>
    </w:p>
    <w:bookmarkEnd w:id="3858"/>
    <w:bookmarkStart w:name="z3966" w:id="3859"/>
    <w:p>
      <w:pPr>
        <w:spacing w:after="0"/>
        <w:ind w:left="0"/>
        <w:jc w:val="left"/>
      </w:pPr>
      <w:r>
        <w:rPr>
          <w:rFonts w:ascii="Times New Roman"/>
          <w:b/>
          <w:i w:val="false"/>
          <w:color w:val="000000"/>
        </w:rPr>
        <w:t xml:space="preserve"> Спецификация </w:t>
      </w:r>
    </w:p>
    <w:bookmarkEnd w:id="3859"/>
    <w:bookmarkStart w:name="z3967" w:id="3860"/>
    <w:p>
      <w:pPr>
        <w:spacing w:after="0"/>
        <w:ind w:left="0"/>
        <w:jc w:val="both"/>
      </w:pPr>
      <w:r>
        <w:rPr>
          <w:rFonts w:ascii="Times New Roman"/>
          <w:b w:val="false"/>
          <w:i w:val="false"/>
          <w:color w:val="000000"/>
          <w:sz w:val="28"/>
        </w:rPr>
        <w:t>
       </w:t>
      </w:r>
    </w:p>
    <w:bookmarkEnd w:id="3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861"/>
          <w:p>
            <w:pPr>
              <w:spacing w:after="20"/>
              <w:ind w:left="20"/>
              <w:jc w:val="both"/>
            </w:pPr>
            <w:r>
              <w:rPr>
                <w:rFonts w:ascii="Times New Roman"/>
                <w:b w:val="false"/>
                <w:i w:val="false"/>
                <w:color w:val="000000"/>
                <w:sz w:val="20"/>
              </w:rPr>
              <w:t xml:space="preserve">
Показатели качества </w:t>
            </w:r>
          </w:p>
          <w:bookmarkEnd w:id="3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испытания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Допустимые нормы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862"/>
          <w:p>
            <w:pPr>
              <w:spacing w:after="20"/>
              <w:ind w:left="20"/>
              <w:jc w:val="both"/>
            </w:pPr>
          </w:p>
          <w:bookmarkEnd w:id="3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863"/>
          <w:p>
            <w:pPr>
              <w:spacing w:after="20"/>
              <w:ind w:left="20"/>
              <w:jc w:val="both"/>
            </w:pPr>
          </w:p>
          <w:bookmarkEnd w:id="3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864"/>
          <w:p>
            <w:pPr>
              <w:spacing w:after="20"/>
              <w:ind w:left="20"/>
              <w:jc w:val="both"/>
            </w:pPr>
          </w:p>
          <w:bookmarkEnd w:id="3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865"/>
          <w:p>
            <w:pPr>
              <w:spacing w:after="20"/>
              <w:ind w:left="20"/>
              <w:jc w:val="both"/>
            </w:pPr>
          </w:p>
          <w:bookmarkEnd w:id="3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866"/>
          <w:p>
            <w:pPr>
              <w:spacing w:after="20"/>
              <w:ind w:left="20"/>
              <w:jc w:val="both"/>
            </w:pPr>
          </w:p>
          <w:bookmarkEnd w:id="3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4" w:id="3867"/>
    <w:p>
      <w:pPr>
        <w:spacing w:after="0"/>
        <w:ind w:left="0"/>
        <w:jc w:val="both"/>
      </w:pPr>
      <w:r>
        <w:rPr>
          <w:rFonts w:ascii="Times New Roman"/>
          <w:b w:val="false"/>
          <w:i w:val="false"/>
          <w:color w:val="000000"/>
          <w:sz w:val="28"/>
        </w:rPr>
        <w:t>
       </w:t>
      </w:r>
    </w:p>
    <w:bookmarkEnd w:id="3867"/>
    <w:bookmarkStart w:name="z3975" w:id="3868"/>
    <w:p>
      <w:pPr>
        <w:spacing w:after="0"/>
        <w:ind w:left="0"/>
        <w:jc w:val="both"/>
      </w:pPr>
      <w:r>
        <w:rPr>
          <w:rFonts w:ascii="Times New Roman"/>
          <w:b w:val="false"/>
          <w:i w:val="false"/>
          <w:color w:val="000000"/>
          <w:sz w:val="28"/>
        </w:rPr>
        <w:t>
      3.4.2. Аналитические методики (раздел S.4.2).</w:t>
      </w:r>
    </w:p>
    <w:bookmarkEnd w:id="3868"/>
    <w:bookmarkStart w:name="z3976" w:id="3869"/>
    <w:p>
      <w:pPr>
        <w:spacing w:after="0"/>
        <w:ind w:left="0"/>
        <w:jc w:val="both"/>
      </w:pPr>
      <w:r>
        <w:rPr>
          <w:rFonts w:ascii="Times New Roman"/>
          <w:b w:val="false"/>
          <w:i w:val="false"/>
          <w:color w:val="000000"/>
          <w:sz w:val="28"/>
        </w:rPr>
        <w:t>
       </w:t>
      </w:r>
    </w:p>
    <w:bookmarkEnd w:id="3869"/>
    <w:bookmarkStart w:name="z3977" w:id="3870"/>
    <w:p>
      <w:pPr>
        <w:spacing w:after="0"/>
        <w:ind w:left="0"/>
        <w:jc w:val="both"/>
      </w:pPr>
      <w:r>
        <w:rPr>
          <w:rFonts w:ascii="Times New Roman"/>
          <w:b w:val="false"/>
          <w:i w:val="false"/>
          <w:color w:val="000000"/>
          <w:sz w:val="28"/>
        </w:rPr>
        <w:t>
      ___________________________________________________________________________</w:t>
      </w:r>
    </w:p>
    <w:bookmarkEnd w:id="3870"/>
    <w:bookmarkStart w:name="z3978" w:id="3871"/>
    <w:p>
      <w:pPr>
        <w:spacing w:after="0"/>
        <w:ind w:left="0"/>
        <w:jc w:val="both"/>
      </w:pPr>
      <w:r>
        <w:rPr>
          <w:rFonts w:ascii="Times New Roman"/>
          <w:b w:val="false"/>
          <w:i w:val="false"/>
          <w:color w:val="000000"/>
          <w:sz w:val="28"/>
        </w:rPr>
        <w:t>
      ___________________________________________________________________________</w:t>
      </w:r>
    </w:p>
    <w:bookmarkEnd w:id="3871"/>
    <w:bookmarkStart w:name="z3979" w:id="3872"/>
    <w:p>
      <w:pPr>
        <w:spacing w:after="0"/>
        <w:ind w:left="0"/>
        <w:jc w:val="both"/>
      </w:pPr>
      <w:r>
        <w:rPr>
          <w:rFonts w:ascii="Times New Roman"/>
          <w:b w:val="false"/>
          <w:i w:val="false"/>
          <w:color w:val="000000"/>
          <w:sz w:val="28"/>
        </w:rPr>
        <w:t>
      ___________________________________________________________________________</w:t>
      </w:r>
    </w:p>
    <w:bookmarkEnd w:id="3872"/>
    <w:bookmarkStart w:name="z3980" w:id="3873"/>
    <w:p>
      <w:pPr>
        <w:spacing w:after="0"/>
        <w:ind w:left="0"/>
        <w:jc w:val="both"/>
      </w:pPr>
      <w:r>
        <w:rPr>
          <w:rFonts w:ascii="Times New Roman"/>
          <w:b w:val="false"/>
          <w:i w:val="false"/>
          <w:color w:val="000000"/>
          <w:sz w:val="28"/>
        </w:rPr>
        <w:t>
       </w:t>
      </w:r>
    </w:p>
    <w:bookmarkEnd w:id="3873"/>
    <w:bookmarkStart w:name="z3981" w:id="3874"/>
    <w:p>
      <w:pPr>
        <w:spacing w:after="0"/>
        <w:ind w:left="0"/>
        <w:jc w:val="both"/>
      </w:pPr>
      <w:r>
        <w:rPr>
          <w:rFonts w:ascii="Times New Roman"/>
          <w:b w:val="false"/>
          <w:i w:val="false"/>
          <w:color w:val="000000"/>
          <w:sz w:val="28"/>
        </w:rPr>
        <w:t>
      3.4.3. Валидация аналитических методик (раздел S.4.3).</w:t>
      </w:r>
    </w:p>
    <w:bookmarkEnd w:id="3874"/>
    <w:bookmarkStart w:name="z3982" w:id="3875"/>
    <w:p>
      <w:pPr>
        <w:spacing w:after="0"/>
        <w:ind w:left="0"/>
        <w:jc w:val="both"/>
      </w:pPr>
      <w:r>
        <w:rPr>
          <w:rFonts w:ascii="Times New Roman"/>
          <w:b w:val="false"/>
          <w:i w:val="false"/>
          <w:color w:val="000000"/>
          <w:sz w:val="28"/>
        </w:rPr>
        <w:t>
       </w:t>
      </w:r>
    </w:p>
    <w:bookmarkEnd w:id="3875"/>
    <w:bookmarkStart w:name="z3983" w:id="3876"/>
    <w:p>
      <w:pPr>
        <w:spacing w:after="0"/>
        <w:ind w:left="0"/>
        <w:jc w:val="both"/>
      </w:pPr>
      <w:r>
        <w:rPr>
          <w:rFonts w:ascii="Times New Roman"/>
          <w:b w:val="false"/>
          <w:i w:val="false"/>
          <w:color w:val="000000"/>
          <w:sz w:val="28"/>
        </w:rPr>
        <w:t>
      ___________________________________________________________________________</w:t>
      </w:r>
    </w:p>
    <w:bookmarkEnd w:id="3876"/>
    <w:bookmarkStart w:name="z3984" w:id="3877"/>
    <w:p>
      <w:pPr>
        <w:spacing w:after="0"/>
        <w:ind w:left="0"/>
        <w:jc w:val="both"/>
      </w:pPr>
      <w:r>
        <w:rPr>
          <w:rFonts w:ascii="Times New Roman"/>
          <w:b w:val="false"/>
          <w:i w:val="false"/>
          <w:color w:val="000000"/>
          <w:sz w:val="28"/>
        </w:rPr>
        <w:t>
      ___________________________________________________________________________</w:t>
      </w:r>
    </w:p>
    <w:bookmarkEnd w:id="3877"/>
    <w:bookmarkStart w:name="z3985" w:id="3878"/>
    <w:p>
      <w:pPr>
        <w:spacing w:after="0"/>
        <w:ind w:left="0"/>
        <w:jc w:val="both"/>
      </w:pPr>
      <w:r>
        <w:rPr>
          <w:rFonts w:ascii="Times New Roman"/>
          <w:b w:val="false"/>
          <w:i w:val="false"/>
          <w:color w:val="000000"/>
          <w:sz w:val="28"/>
        </w:rPr>
        <w:t>
      ___________________________________________________________________________</w:t>
      </w:r>
    </w:p>
    <w:bookmarkEnd w:id="3878"/>
    <w:bookmarkStart w:name="z3986" w:id="3879"/>
    <w:p>
      <w:pPr>
        <w:spacing w:after="0"/>
        <w:ind w:left="0"/>
        <w:jc w:val="both"/>
      </w:pPr>
      <w:r>
        <w:rPr>
          <w:rFonts w:ascii="Times New Roman"/>
          <w:b w:val="false"/>
          <w:i w:val="false"/>
          <w:color w:val="000000"/>
          <w:sz w:val="28"/>
        </w:rPr>
        <w:t>
       </w:t>
      </w:r>
    </w:p>
    <w:bookmarkEnd w:id="3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S.4-2</w:t>
            </w:r>
          </w:p>
        </w:tc>
      </w:tr>
    </w:tbl>
    <w:bookmarkStart w:name="z3988" w:id="3880"/>
    <w:p>
      <w:pPr>
        <w:spacing w:after="0"/>
        <w:ind w:left="0"/>
        <w:jc w:val="left"/>
      </w:pPr>
      <w:r>
        <w:rPr>
          <w:rFonts w:ascii="Times New Roman"/>
          <w:b/>
          <w:i w:val="false"/>
          <w:color w:val="000000"/>
        </w:rPr>
        <w:t xml:space="preserve"> Краткий обзор параметров валидации аналитических методик </w:t>
      </w:r>
    </w:p>
    <w:bookmarkEnd w:id="3880"/>
    <w:bookmarkStart w:name="z3989" w:id="3881"/>
    <w:p>
      <w:pPr>
        <w:spacing w:after="0"/>
        <w:ind w:left="0"/>
        <w:jc w:val="both"/>
      </w:pPr>
      <w:r>
        <w:rPr>
          <w:rFonts w:ascii="Times New Roman"/>
          <w:b w:val="false"/>
          <w:i w:val="false"/>
          <w:color w:val="000000"/>
          <w:sz w:val="28"/>
        </w:rPr>
        <w:t>
       </w:t>
      </w:r>
    </w:p>
    <w:bookmarkEnd w:id="3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882"/>
          <w:p>
            <w:pPr>
              <w:spacing w:after="20"/>
              <w:ind w:left="20"/>
              <w:jc w:val="both"/>
            </w:pPr>
          </w:p>
          <w:bookmarkEnd w:id="38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Аналитическая методика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3883"/>
          <w:p>
            <w:pPr>
              <w:spacing w:after="20"/>
              <w:ind w:left="20"/>
              <w:jc w:val="both"/>
            </w:pPr>
          </w:p>
          <w:bookmarkEnd w:id="3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884"/>
          <w:p>
            <w:pPr>
              <w:spacing w:after="20"/>
              <w:ind w:left="20"/>
              <w:jc w:val="both"/>
            </w:pPr>
            <w:r>
              <w:rPr>
                <w:rFonts w:ascii="Times New Roman"/>
                <w:b w:val="false"/>
                <w:i w:val="false"/>
                <w:color w:val="000000"/>
                <w:sz w:val="20"/>
              </w:rPr>
              <w:t xml:space="preserve">
Правильность </w:t>
            </w:r>
          </w:p>
          <w:bookmarkEnd w:id="3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885"/>
          <w:p>
            <w:pPr>
              <w:spacing w:after="20"/>
              <w:ind w:left="20"/>
              <w:jc w:val="both"/>
            </w:pPr>
            <w:r>
              <w:rPr>
                <w:rFonts w:ascii="Times New Roman"/>
                <w:b w:val="false"/>
                <w:i w:val="false"/>
                <w:color w:val="000000"/>
                <w:sz w:val="20"/>
              </w:rPr>
              <w:t xml:space="preserve">
Воспроизводимость: </w:t>
            </w:r>
          </w:p>
          <w:bookmarkEnd w:id="388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886"/>
          <w:p>
            <w:pPr>
              <w:spacing w:after="20"/>
              <w:ind w:left="20"/>
              <w:jc w:val="both"/>
            </w:pPr>
            <w:r>
              <w:rPr>
                <w:rFonts w:ascii="Times New Roman"/>
                <w:b w:val="false"/>
                <w:i w:val="false"/>
                <w:color w:val="000000"/>
                <w:sz w:val="20"/>
              </w:rPr>
              <w:t xml:space="preserve">
повторяемость (сходимость) </w:t>
            </w:r>
          </w:p>
          <w:bookmarkEnd w:id="38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887"/>
          <w:p>
            <w:pPr>
              <w:spacing w:after="20"/>
              <w:ind w:left="20"/>
              <w:jc w:val="both"/>
            </w:pPr>
            <w:r>
              <w:rPr>
                <w:rFonts w:ascii="Times New Roman"/>
                <w:b w:val="false"/>
                <w:i w:val="false"/>
                <w:color w:val="000000"/>
                <w:sz w:val="20"/>
              </w:rPr>
              <w:t xml:space="preserve">
межлабораторная воспроизводимость (при наличии) </w:t>
            </w:r>
          </w:p>
          <w:bookmarkEnd w:id="38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888"/>
          <w:p>
            <w:pPr>
              <w:spacing w:after="20"/>
              <w:ind w:left="20"/>
              <w:jc w:val="both"/>
            </w:pPr>
            <w:r>
              <w:rPr>
                <w:rFonts w:ascii="Times New Roman"/>
                <w:b w:val="false"/>
                <w:i w:val="false"/>
                <w:color w:val="000000"/>
                <w:sz w:val="20"/>
              </w:rPr>
              <w:t xml:space="preserve">
Специфичность </w:t>
            </w:r>
          </w:p>
          <w:bookmarkEnd w:id="38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889"/>
          <w:p>
            <w:pPr>
              <w:spacing w:after="20"/>
              <w:ind w:left="20"/>
              <w:jc w:val="both"/>
            </w:pPr>
            <w:r>
              <w:rPr>
                <w:rFonts w:ascii="Times New Roman"/>
                <w:b w:val="false"/>
                <w:i w:val="false"/>
                <w:color w:val="000000"/>
                <w:sz w:val="20"/>
              </w:rPr>
              <w:t xml:space="preserve">
Предел обнаружения </w:t>
            </w:r>
          </w:p>
          <w:bookmarkEnd w:id="3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890"/>
          <w:p>
            <w:pPr>
              <w:spacing w:after="20"/>
              <w:ind w:left="20"/>
              <w:jc w:val="both"/>
            </w:pPr>
            <w:r>
              <w:rPr>
                <w:rFonts w:ascii="Times New Roman"/>
                <w:b w:val="false"/>
                <w:i w:val="false"/>
                <w:color w:val="000000"/>
                <w:sz w:val="20"/>
              </w:rPr>
              <w:t xml:space="preserve">
Нижний предел количественного определения </w:t>
            </w:r>
          </w:p>
          <w:bookmarkEnd w:id="38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891"/>
          <w:p>
            <w:pPr>
              <w:spacing w:after="20"/>
              <w:ind w:left="20"/>
              <w:jc w:val="both"/>
            </w:pPr>
            <w:r>
              <w:rPr>
                <w:rFonts w:ascii="Times New Roman"/>
                <w:b w:val="false"/>
                <w:i w:val="false"/>
                <w:color w:val="000000"/>
                <w:sz w:val="20"/>
              </w:rPr>
              <w:t xml:space="preserve">
Линейность </w:t>
            </w:r>
          </w:p>
          <w:bookmarkEnd w:id="38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892"/>
          <w:p>
            <w:pPr>
              <w:spacing w:after="20"/>
              <w:ind w:left="20"/>
              <w:jc w:val="both"/>
            </w:pPr>
            <w:r>
              <w:rPr>
                <w:rFonts w:ascii="Times New Roman"/>
                <w:b w:val="false"/>
                <w:i w:val="false"/>
                <w:color w:val="000000"/>
                <w:sz w:val="20"/>
              </w:rPr>
              <w:t xml:space="preserve">
Диапазон определяемых содержаний </w:t>
            </w:r>
          </w:p>
          <w:bookmarkEnd w:id="3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893"/>
          <w:p>
            <w:pPr>
              <w:spacing w:after="20"/>
              <w:ind w:left="20"/>
              <w:jc w:val="both"/>
            </w:pPr>
            <w:r>
              <w:rPr>
                <w:rFonts w:ascii="Times New Roman"/>
                <w:b w:val="false"/>
                <w:i w:val="false"/>
                <w:color w:val="000000"/>
                <w:sz w:val="20"/>
              </w:rPr>
              <w:t xml:space="preserve">
Устойчивость (робастность) </w:t>
            </w:r>
          </w:p>
          <w:bookmarkEnd w:id="38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894"/>
          <w:p>
            <w:pPr>
              <w:spacing w:after="20"/>
              <w:ind w:left="20"/>
              <w:jc w:val="both"/>
            </w:pPr>
            <w:r>
              <w:rPr>
                <w:rFonts w:ascii="Times New Roman"/>
                <w:b w:val="false"/>
                <w:i w:val="false"/>
                <w:color w:val="000000"/>
                <w:sz w:val="20"/>
              </w:rPr>
              <w:t xml:space="preserve">
Стабильность раствора </w:t>
            </w:r>
          </w:p>
          <w:bookmarkEnd w:id="38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3" w:id="3895"/>
    <w:p>
      <w:pPr>
        <w:spacing w:after="0"/>
        <w:ind w:left="0"/>
        <w:jc w:val="both"/>
      </w:pPr>
      <w:r>
        <w:rPr>
          <w:rFonts w:ascii="Times New Roman"/>
          <w:b w:val="false"/>
          <w:i w:val="false"/>
          <w:color w:val="000000"/>
          <w:sz w:val="28"/>
        </w:rPr>
        <w:t>
       </w:t>
      </w:r>
    </w:p>
    <w:bookmarkEnd w:id="3895"/>
    <w:bookmarkStart w:name="z4004" w:id="3896"/>
    <w:p>
      <w:pPr>
        <w:spacing w:after="0"/>
        <w:ind w:left="0"/>
        <w:jc w:val="both"/>
      </w:pPr>
      <w:r>
        <w:rPr>
          <w:rFonts w:ascii="Times New Roman"/>
          <w:b w:val="false"/>
          <w:i w:val="false"/>
          <w:color w:val="000000"/>
          <w:sz w:val="28"/>
        </w:rPr>
        <w:t>
      Примечание. Знак "+" показывает, что определение параметра проведено в соответствии с требованиями, знак "минус" - определение параметра не проведено, знак "?" - наличие вопросов до оценки приемлемости параметра.</w:t>
      </w:r>
    </w:p>
    <w:bookmarkEnd w:id="3896"/>
    <w:bookmarkStart w:name="z4005" w:id="3897"/>
    <w:p>
      <w:pPr>
        <w:spacing w:after="0"/>
        <w:ind w:left="0"/>
        <w:jc w:val="both"/>
      </w:pPr>
      <w:r>
        <w:rPr>
          <w:rFonts w:ascii="Times New Roman"/>
          <w:b w:val="false"/>
          <w:i w:val="false"/>
          <w:color w:val="000000"/>
          <w:sz w:val="28"/>
        </w:rPr>
        <w:t>
       </w:t>
      </w:r>
    </w:p>
    <w:bookmarkEnd w:id="3897"/>
    <w:bookmarkStart w:name="z4006" w:id="3898"/>
    <w:p>
      <w:pPr>
        <w:spacing w:after="0"/>
        <w:ind w:left="0"/>
        <w:jc w:val="both"/>
      </w:pPr>
      <w:r>
        <w:rPr>
          <w:rFonts w:ascii="Times New Roman"/>
          <w:b w:val="false"/>
          <w:i w:val="false"/>
          <w:color w:val="000000"/>
          <w:sz w:val="28"/>
        </w:rPr>
        <w:t>
      3.4.4. Анализы серий (результаты анализа серий) (раздел S.4.4).</w:t>
      </w:r>
    </w:p>
    <w:bookmarkEnd w:id="3898"/>
    <w:bookmarkStart w:name="z4007" w:id="3899"/>
    <w:p>
      <w:pPr>
        <w:spacing w:after="0"/>
        <w:ind w:left="0"/>
        <w:jc w:val="both"/>
      </w:pPr>
      <w:r>
        <w:rPr>
          <w:rFonts w:ascii="Times New Roman"/>
          <w:b w:val="false"/>
          <w:i w:val="false"/>
          <w:color w:val="000000"/>
          <w:sz w:val="28"/>
        </w:rPr>
        <w:t>
       </w:t>
      </w:r>
    </w:p>
    <w:bookmarkEnd w:id="3899"/>
    <w:bookmarkStart w:name="z4008" w:id="3900"/>
    <w:p>
      <w:pPr>
        <w:spacing w:after="0"/>
        <w:ind w:left="0"/>
        <w:jc w:val="both"/>
      </w:pPr>
      <w:r>
        <w:rPr>
          <w:rFonts w:ascii="Times New Roman"/>
          <w:b w:val="false"/>
          <w:i w:val="false"/>
          <w:color w:val="000000"/>
          <w:sz w:val="28"/>
        </w:rPr>
        <w:t>
      ___________________________________________________________________________</w:t>
      </w:r>
    </w:p>
    <w:bookmarkEnd w:id="3900"/>
    <w:bookmarkStart w:name="z4009" w:id="3901"/>
    <w:p>
      <w:pPr>
        <w:spacing w:after="0"/>
        <w:ind w:left="0"/>
        <w:jc w:val="both"/>
      </w:pPr>
      <w:r>
        <w:rPr>
          <w:rFonts w:ascii="Times New Roman"/>
          <w:b w:val="false"/>
          <w:i w:val="false"/>
          <w:color w:val="000000"/>
          <w:sz w:val="28"/>
        </w:rPr>
        <w:t>
      ___________________________________________________________________________</w:t>
      </w:r>
    </w:p>
    <w:bookmarkEnd w:id="3901"/>
    <w:bookmarkStart w:name="z4010" w:id="3902"/>
    <w:p>
      <w:pPr>
        <w:spacing w:after="0"/>
        <w:ind w:left="0"/>
        <w:jc w:val="both"/>
      </w:pPr>
      <w:r>
        <w:rPr>
          <w:rFonts w:ascii="Times New Roman"/>
          <w:b w:val="false"/>
          <w:i w:val="false"/>
          <w:color w:val="000000"/>
          <w:sz w:val="28"/>
        </w:rPr>
        <w:t>
      ___________________________________________________________________________</w:t>
      </w:r>
    </w:p>
    <w:bookmarkEnd w:id="3902"/>
    <w:bookmarkStart w:name="z4011" w:id="3903"/>
    <w:p>
      <w:pPr>
        <w:spacing w:after="0"/>
        <w:ind w:left="0"/>
        <w:jc w:val="both"/>
      </w:pPr>
      <w:r>
        <w:rPr>
          <w:rFonts w:ascii="Times New Roman"/>
          <w:b w:val="false"/>
          <w:i w:val="false"/>
          <w:color w:val="000000"/>
          <w:sz w:val="28"/>
        </w:rPr>
        <w:t>
       </w:t>
      </w:r>
    </w:p>
    <w:bookmarkEnd w:id="3903"/>
    <w:bookmarkStart w:name="z4012" w:id="3904"/>
    <w:p>
      <w:pPr>
        <w:spacing w:after="0"/>
        <w:ind w:left="0"/>
        <w:jc w:val="both"/>
      </w:pPr>
      <w:r>
        <w:rPr>
          <w:rFonts w:ascii="Times New Roman"/>
          <w:b w:val="false"/>
          <w:i w:val="false"/>
          <w:color w:val="000000"/>
          <w:sz w:val="28"/>
        </w:rPr>
        <w:t>
      3.4.5. Обоснование спецификации (раздел S.4.5).</w:t>
      </w:r>
    </w:p>
    <w:bookmarkEnd w:id="3904"/>
    <w:bookmarkStart w:name="z4013" w:id="3905"/>
    <w:p>
      <w:pPr>
        <w:spacing w:after="0"/>
        <w:ind w:left="0"/>
        <w:jc w:val="both"/>
      </w:pPr>
      <w:r>
        <w:rPr>
          <w:rFonts w:ascii="Times New Roman"/>
          <w:b w:val="false"/>
          <w:i w:val="false"/>
          <w:color w:val="000000"/>
          <w:sz w:val="28"/>
        </w:rPr>
        <w:t>
       </w:t>
      </w:r>
    </w:p>
    <w:bookmarkEnd w:id="3905"/>
    <w:bookmarkStart w:name="z4014" w:id="3906"/>
    <w:p>
      <w:pPr>
        <w:spacing w:after="0"/>
        <w:ind w:left="0"/>
        <w:jc w:val="both"/>
      </w:pPr>
      <w:r>
        <w:rPr>
          <w:rFonts w:ascii="Times New Roman"/>
          <w:b w:val="false"/>
          <w:i w:val="false"/>
          <w:color w:val="000000"/>
          <w:sz w:val="28"/>
        </w:rPr>
        <w:t>
      ___________________________________________________________________________</w:t>
      </w:r>
    </w:p>
    <w:bookmarkEnd w:id="3906"/>
    <w:bookmarkStart w:name="z4015" w:id="3907"/>
    <w:p>
      <w:pPr>
        <w:spacing w:after="0"/>
        <w:ind w:left="0"/>
        <w:jc w:val="both"/>
      </w:pPr>
      <w:r>
        <w:rPr>
          <w:rFonts w:ascii="Times New Roman"/>
          <w:b w:val="false"/>
          <w:i w:val="false"/>
          <w:color w:val="000000"/>
          <w:sz w:val="28"/>
        </w:rPr>
        <w:t>
      ___________________________________________________________________________</w:t>
      </w:r>
    </w:p>
    <w:bookmarkEnd w:id="3907"/>
    <w:bookmarkStart w:name="z4016" w:id="3908"/>
    <w:p>
      <w:pPr>
        <w:spacing w:after="0"/>
        <w:ind w:left="0"/>
        <w:jc w:val="both"/>
      </w:pPr>
      <w:r>
        <w:rPr>
          <w:rFonts w:ascii="Times New Roman"/>
          <w:b w:val="false"/>
          <w:i w:val="false"/>
          <w:color w:val="000000"/>
          <w:sz w:val="28"/>
        </w:rPr>
        <w:t>
      ___________________________________________________________________________</w:t>
      </w:r>
    </w:p>
    <w:bookmarkEnd w:id="3908"/>
    <w:bookmarkStart w:name="z4017" w:id="3909"/>
    <w:p>
      <w:pPr>
        <w:spacing w:after="0"/>
        <w:ind w:left="0"/>
        <w:jc w:val="both"/>
      </w:pPr>
      <w:r>
        <w:rPr>
          <w:rFonts w:ascii="Times New Roman"/>
          <w:b w:val="false"/>
          <w:i w:val="false"/>
          <w:color w:val="000000"/>
          <w:sz w:val="28"/>
        </w:rPr>
        <w:t>
       </w:t>
      </w:r>
    </w:p>
    <w:bookmarkEnd w:id="3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910"/>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3910"/>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019" w:id="3911"/>
    <w:p>
      <w:pPr>
        <w:spacing w:after="0"/>
        <w:ind w:left="0"/>
        <w:jc w:val="both"/>
      </w:pPr>
      <w:r>
        <w:rPr>
          <w:rFonts w:ascii="Times New Roman"/>
          <w:b w:val="false"/>
          <w:i w:val="false"/>
          <w:color w:val="000000"/>
          <w:sz w:val="28"/>
        </w:rPr>
        <w:t>
       </w:t>
      </w:r>
    </w:p>
    <w:bookmarkEnd w:id="3911"/>
    <w:bookmarkStart w:name="z4020" w:id="3912"/>
    <w:p>
      <w:pPr>
        <w:spacing w:after="0"/>
        <w:ind w:left="0"/>
        <w:jc w:val="both"/>
      </w:pPr>
      <w:r>
        <w:rPr>
          <w:rFonts w:ascii="Times New Roman"/>
          <w:b w:val="false"/>
          <w:i w:val="false"/>
          <w:color w:val="000000"/>
          <w:sz w:val="28"/>
        </w:rPr>
        <w:t>
      3.5. Стандартные образцы или материалы (модуль 3.2.S.5)</w:t>
      </w:r>
    </w:p>
    <w:bookmarkEnd w:id="3912"/>
    <w:bookmarkStart w:name="z4021" w:id="3913"/>
    <w:p>
      <w:pPr>
        <w:spacing w:after="0"/>
        <w:ind w:left="0"/>
        <w:jc w:val="both"/>
      </w:pPr>
      <w:r>
        <w:rPr>
          <w:rFonts w:ascii="Times New Roman"/>
          <w:b w:val="false"/>
          <w:i w:val="false"/>
          <w:color w:val="000000"/>
          <w:sz w:val="28"/>
        </w:rPr>
        <w:t>
       </w:t>
      </w:r>
    </w:p>
    <w:bookmarkEnd w:id="3913"/>
    <w:bookmarkStart w:name="z4022" w:id="3914"/>
    <w:p>
      <w:pPr>
        <w:spacing w:after="0"/>
        <w:ind w:left="0"/>
        <w:jc w:val="both"/>
      </w:pPr>
      <w:r>
        <w:rPr>
          <w:rFonts w:ascii="Times New Roman"/>
          <w:b w:val="false"/>
          <w:i w:val="false"/>
          <w:color w:val="000000"/>
          <w:sz w:val="28"/>
        </w:rPr>
        <w:t>
      ___________________________________________________________________________</w:t>
      </w:r>
    </w:p>
    <w:bookmarkEnd w:id="3914"/>
    <w:bookmarkStart w:name="z4023" w:id="3915"/>
    <w:p>
      <w:pPr>
        <w:spacing w:after="0"/>
        <w:ind w:left="0"/>
        <w:jc w:val="both"/>
      </w:pPr>
      <w:r>
        <w:rPr>
          <w:rFonts w:ascii="Times New Roman"/>
          <w:b w:val="false"/>
          <w:i w:val="false"/>
          <w:color w:val="000000"/>
          <w:sz w:val="28"/>
        </w:rPr>
        <w:t>
      ___________________________________________________________________________</w:t>
      </w:r>
    </w:p>
    <w:bookmarkEnd w:id="3915"/>
    <w:bookmarkStart w:name="z4024" w:id="3916"/>
    <w:p>
      <w:pPr>
        <w:spacing w:after="0"/>
        <w:ind w:left="0"/>
        <w:jc w:val="both"/>
      </w:pPr>
      <w:r>
        <w:rPr>
          <w:rFonts w:ascii="Times New Roman"/>
          <w:b w:val="false"/>
          <w:i w:val="false"/>
          <w:color w:val="000000"/>
          <w:sz w:val="28"/>
        </w:rPr>
        <w:t>
      ___________________________________________________________________________</w:t>
      </w:r>
    </w:p>
    <w:bookmarkEnd w:id="3916"/>
    <w:bookmarkStart w:name="z4025" w:id="3917"/>
    <w:p>
      <w:pPr>
        <w:spacing w:after="0"/>
        <w:ind w:left="0"/>
        <w:jc w:val="both"/>
      </w:pPr>
      <w:r>
        <w:rPr>
          <w:rFonts w:ascii="Times New Roman"/>
          <w:b w:val="false"/>
          <w:i w:val="false"/>
          <w:color w:val="000000"/>
          <w:sz w:val="28"/>
        </w:rPr>
        <w:t>
       </w:t>
      </w:r>
    </w:p>
    <w:bookmarkEnd w:id="3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918"/>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3918"/>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027" w:id="3919"/>
    <w:p>
      <w:pPr>
        <w:spacing w:after="0"/>
        <w:ind w:left="0"/>
        <w:jc w:val="both"/>
      </w:pPr>
      <w:r>
        <w:rPr>
          <w:rFonts w:ascii="Times New Roman"/>
          <w:b w:val="false"/>
          <w:i w:val="false"/>
          <w:color w:val="000000"/>
          <w:sz w:val="28"/>
        </w:rPr>
        <w:t>
       </w:t>
      </w:r>
    </w:p>
    <w:bookmarkEnd w:id="3919"/>
    <w:bookmarkStart w:name="z4028" w:id="3920"/>
    <w:p>
      <w:pPr>
        <w:spacing w:after="0"/>
        <w:ind w:left="0"/>
        <w:jc w:val="both"/>
      </w:pPr>
      <w:r>
        <w:rPr>
          <w:rFonts w:ascii="Times New Roman"/>
          <w:b w:val="false"/>
          <w:i w:val="false"/>
          <w:color w:val="000000"/>
          <w:sz w:val="28"/>
        </w:rPr>
        <w:t>
      3.6. Система упаковки (укупорки) (модуль 3.2.S.6)</w:t>
      </w:r>
    </w:p>
    <w:bookmarkEnd w:id="3920"/>
    <w:bookmarkStart w:name="z4029" w:id="3921"/>
    <w:p>
      <w:pPr>
        <w:spacing w:after="0"/>
        <w:ind w:left="0"/>
        <w:jc w:val="both"/>
      </w:pPr>
      <w:r>
        <w:rPr>
          <w:rFonts w:ascii="Times New Roman"/>
          <w:b w:val="false"/>
          <w:i w:val="false"/>
          <w:color w:val="000000"/>
          <w:sz w:val="28"/>
        </w:rPr>
        <w:t>
       </w:t>
      </w:r>
    </w:p>
    <w:bookmarkEnd w:id="3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922"/>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3922"/>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031" w:id="3923"/>
    <w:p>
      <w:pPr>
        <w:spacing w:after="0"/>
        <w:ind w:left="0"/>
        <w:jc w:val="both"/>
      </w:pPr>
      <w:r>
        <w:rPr>
          <w:rFonts w:ascii="Times New Roman"/>
          <w:b w:val="false"/>
          <w:i w:val="false"/>
          <w:color w:val="000000"/>
          <w:sz w:val="28"/>
        </w:rPr>
        <w:t>
       </w:t>
      </w:r>
    </w:p>
    <w:bookmarkEnd w:id="3923"/>
    <w:bookmarkStart w:name="z4032" w:id="3924"/>
    <w:p>
      <w:pPr>
        <w:spacing w:after="0"/>
        <w:ind w:left="0"/>
        <w:jc w:val="left"/>
      </w:pPr>
      <w:r>
        <w:rPr>
          <w:rFonts w:ascii="Times New Roman"/>
          <w:b/>
          <w:i w:val="false"/>
          <w:color w:val="000000"/>
        </w:rPr>
        <w:t xml:space="preserve"> 3.7. Стабильность (модуль 3.2.S.7) </w:t>
      </w:r>
    </w:p>
    <w:bookmarkEnd w:id="3924"/>
    <w:bookmarkStart w:name="z4033" w:id="3925"/>
    <w:p>
      <w:pPr>
        <w:spacing w:after="0"/>
        <w:ind w:left="0"/>
        <w:jc w:val="both"/>
      </w:pPr>
      <w:r>
        <w:rPr>
          <w:rFonts w:ascii="Times New Roman"/>
          <w:b w:val="false"/>
          <w:i w:val="false"/>
          <w:color w:val="000000"/>
          <w:sz w:val="28"/>
        </w:rPr>
        <w:t>
       </w:t>
      </w:r>
    </w:p>
    <w:bookmarkEnd w:id="3925"/>
    <w:bookmarkStart w:name="z4034" w:id="3926"/>
    <w:p>
      <w:pPr>
        <w:spacing w:after="0"/>
        <w:ind w:left="0"/>
        <w:jc w:val="both"/>
      </w:pPr>
      <w:r>
        <w:rPr>
          <w:rFonts w:ascii="Times New Roman"/>
          <w:b w:val="false"/>
          <w:i w:val="false"/>
          <w:color w:val="000000"/>
          <w:sz w:val="28"/>
        </w:rPr>
        <w:t>
      3.7.1. Резюме об испытаниях стабильности и заключение о стабильности (раздел: S.7.1).</w:t>
      </w:r>
    </w:p>
    <w:bookmarkEnd w:id="3926"/>
    <w:bookmarkStart w:name="z4035" w:id="3927"/>
    <w:p>
      <w:pPr>
        <w:spacing w:after="0"/>
        <w:ind w:left="0"/>
        <w:jc w:val="both"/>
      </w:pPr>
      <w:r>
        <w:rPr>
          <w:rFonts w:ascii="Times New Roman"/>
          <w:b w:val="false"/>
          <w:i w:val="false"/>
          <w:color w:val="000000"/>
          <w:sz w:val="28"/>
        </w:rPr>
        <w:t>
       </w:t>
      </w:r>
    </w:p>
    <w:bookmarkEnd w:id="3927"/>
    <w:bookmarkStart w:name="z4036" w:id="3928"/>
    <w:p>
      <w:pPr>
        <w:spacing w:after="0"/>
        <w:ind w:left="0"/>
        <w:jc w:val="both"/>
      </w:pPr>
      <w:r>
        <w:rPr>
          <w:rFonts w:ascii="Times New Roman"/>
          <w:b w:val="false"/>
          <w:i w:val="false"/>
          <w:color w:val="000000"/>
          <w:sz w:val="28"/>
        </w:rPr>
        <w:t>
      ___________________________________________________________________________</w:t>
      </w:r>
    </w:p>
    <w:bookmarkEnd w:id="3928"/>
    <w:bookmarkStart w:name="z4037" w:id="3929"/>
    <w:p>
      <w:pPr>
        <w:spacing w:after="0"/>
        <w:ind w:left="0"/>
        <w:jc w:val="both"/>
      </w:pPr>
      <w:r>
        <w:rPr>
          <w:rFonts w:ascii="Times New Roman"/>
          <w:b w:val="false"/>
          <w:i w:val="false"/>
          <w:color w:val="000000"/>
          <w:sz w:val="28"/>
        </w:rPr>
        <w:t>
      ___________________________________________________________________________</w:t>
      </w:r>
    </w:p>
    <w:bookmarkEnd w:id="3929"/>
    <w:bookmarkStart w:name="z4038" w:id="3930"/>
    <w:p>
      <w:pPr>
        <w:spacing w:after="0"/>
        <w:ind w:left="0"/>
        <w:jc w:val="both"/>
      </w:pPr>
      <w:r>
        <w:rPr>
          <w:rFonts w:ascii="Times New Roman"/>
          <w:b w:val="false"/>
          <w:i w:val="false"/>
          <w:color w:val="000000"/>
          <w:sz w:val="28"/>
        </w:rPr>
        <w:t>
      ___________________________________________________________________________</w:t>
      </w:r>
    </w:p>
    <w:bookmarkEnd w:id="3930"/>
    <w:bookmarkStart w:name="z4039" w:id="3931"/>
    <w:p>
      <w:pPr>
        <w:spacing w:after="0"/>
        <w:ind w:left="0"/>
        <w:jc w:val="both"/>
      </w:pPr>
      <w:r>
        <w:rPr>
          <w:rFonts w:ascii="Times New Roman"/>
          <w:b w:val="false"/>
          <w:i w:val="false"/>
          <w:color w:val="000000"/>
          <w:sz w:val="28"/>
        </w:rPr>
        <w:t>
       </w:t>
      </w:r>
    </w:p>
    <w:bookmarkEnd w:id="3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S.7-1</w:t>
            </w:r>
          </w:p>
        </w:tc>
      </w:tr>
    </w:tbl>
    <w:bookmarkStart w:name="z4041" w:id="3932"/>
    <w:p>
      <w:pPr>
        <w:spacing w:after="0"/>
        <w:ind w:left="0"/>
        <w:jc w:val="left"/>
      </w:pPr>
      <w:r>
        <w:rPr>
          <w:rFonts w:ascii="Times New Roman"/>
          <w:b/>
          <w:i w:val="false"/>
          <w:color w:val="000000"/>
        </w:rPr>
        <w:t xml:space="preserve"> Испытания стабильности </w:t>
      </w:r>
    </w:p>
    <w:bookmarkEnd w:id="3932"/>
    <w:bookmarkStart w:name="z4042" w:id="3933"/>
    <w:p>
      <w:pPr>
        <w:spacing w:after="0"/>
        <w:ind w:left="0"/>
        <w:jc w:val="both"/>
      </w:pPr>
      <w:r>
        <w:rPr>
          <w:rFonts w:ascii="Times New Roman"/>
          <w:b w:val="false"/>
          <w:i w:val="false"/>
          <w:color w:val="000000"/>
          <w:sz w:val="28"/>
        </w:rPr>
        <w:t>
       </w:t>
      </w:r>
    </w:p>
    <w:bookmarkEnd w:id="3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934"/>
          <w:p>
            <w:pPr>
              <w:spacing w:after="20"/>
              <w:ind w:left="20"/>
              <w:jc w:val="both"/>
            </w:pPr>
            <w:r>
              <w:rPr>
                <w:rFonts w:ascii="Times New Roman"/>
                <w:b w:val="false"/>
                <w:i w:val="false"/>
                <w:color w:val="000000"/>
                <w:sz w:val="20"/>
              </w:rPr>
              <w:t xml:space="preserve">
Температура, °C; относительная влажность (ОВ), % </w:t>
            </w:r>
          </w:p>
          <w:bookmarkEnd w:id="3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серий</w:t>
            </w:r>
          </w:p>
          <w:p>
            <w:pPr>
              <w:spacing w:after="20"/>
              <w:ind w:left="20"/>
              <w:jc w:val="both"/>
            </w:pPr>
            <w:r>
              <w:rPr>
                <w:rFonts w:ascii="Times New Roman"/>
                <w:b w:val="false"/>
                <w:i w:val="false"/>
                <w:color w:val="000000"/>
                <w:sz w:val="20"/>
              </w:rPr>
              <w:t xml:space="preserve">x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серии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935"/>
          <w:p>
            <w:pPr>
              <w:spacing w:after="20"/>
              <w:ind w:left="20"/>
              <w:jc w:val="both"/>
            </w:pPr>
            <w:r>
              <w:rPr>
                <w:rFonts w:ascii="Times New Roman"/>
                <w:b w:val="false"/>
                <w:i w:val="false"/>
                <w:color w:val="000000"/>
                <w:sz w:val="20"/>
              </w:rPr>
              <w:t xml:space="preserve">
25 °C/ОВ 60% </w:t>
            </w:r>
          </w:p>
          <w:bookmarkEnd w:id="3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масштаб или опытно-промышленный масштаб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предназначена для реализации или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936"/>
          <w:p>
            <w:pPr>
              <w:spacing w:after="20"/>
              <w:ind w:left="20"/>
              <w:jc w:val="both"/>
            </w:pPr>
            <w:r>
              <w:rPr>
                <w:rFonts w:ascii="Times New Roman"/>
                <w:b w:val="false"/>
                <w:i w:val="false"/>
                <w:color w:val="000000"/>
                <w:sz w:val="20"/>
              </w:rPr>
              <w:t xml:space="preserve">
40 °C/ОВ 75% </w:t>
            </w:r>
          </w:p>
          <w:bookmarkEnd w:id="3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937"/>
          <w:p>
            <w:pPr>
              <w:spacing w:after="20"/>
              <w:ind w:left="20"/>
              <w:jc w:val="both"/>
            </w:pPr>
          </w:p>
          <w:bookmarkEnd w:id="3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7" w:id="3938"/>
    <w:p>
      <w:pPr>
        <w:spacing w:after="0"/>
        <w:ind w:left="0"/>
        <w:jc w:val="both"/>
      </w:pPr>
      <w:r>
        <w:rPr>
          <w:rFonts w:ascii="Times New Roman"/>
          <w:b w:val="false"/>
          <w:i w:val="false"/>
          <w:color w:val="000000"/>
          <w:sz w:val="28"/>
        </w:rPr>
        <w:t>
      3.7.2. Программа пострегистрационных испытаний стабильности и обязательства относительно стабильности (раздел S.7.2).</w:t>
      </w:r>
    </w:p>
    <w:bookmarkEnd w:id="3938"/>
    <w:bookmarkStart w:name="z4048" w:id="3939"/>
    <w:p>
      <w:pPr>
        <w:spacing w:after="0"/>
        <w:ind w:left="0"/>
        <w:jc w:val="both"/>
      </w:pPr>
      <w:r>
        <w:rPr>
          <w:rFonts w:ascii="Times New Roman"/>
          <w:b w:val="false"/>
          <w:i w:val="false"/>
          <w:color w:val="000000"/>
          <w:sz w:val="28"/>
        </w:rPr>
        <w:t>
       </w:t>
      </w:r>
    </w:p>
    <w:bookmarkEnd w:id="3939"/>
    <w:bookmarkStart w:name="z4049" w:id="3940"/>
    <w:p>
      <w:pPr>
        <w:spacing w:after="0"/>
        <w:ind w:left="0"/>
        <w:jc w:val="both"/>
      </w:pPr>
      <w:r>
        <w:rPr>
          <w:rFonts w:ascii="Times New Roman"/>
          <w:b w:val="false"/>
          <w:i w:val="false"/>
          <w:color w:val="000000"/>
          <w:sz w:val="28"/>
        </w:rPr>
        <w:t>
      ___________________________________________________________________________</w:t>
      </w:r>
    </w:p>
    <w:bookmarkEnd w:id="3940"/>
    <w:bookmarkStart w:name="z4050" w:id="3941"/>
    <w:p>
      <w:pPr>
        <w:spacing w:after="0"/>
        <w:ind w:left="0"/>
        <w:jc w:val="both"/>
      </w:pPr>
      <w:r>
        <w:rPr>
          <w:rFonts w:ascii="Times New Roman"/>
          <w:b w:val="false"/>
          <w:i w:val="false"/>
          <w:color w:val="000000"/>
          <w:sz w:val="28"/>
        </w:rPr>
        <w:t>
      ___________________________________________________________________________</w:t>
      </w:r>
    </w:p>
    <w:bookmarkEnd w:id="3941"/>
    <w:bookmarkStart w:name="z4051" w:id="3942"/>
    <w:p>
      <w:pPr>
        <w:spacing w:after="0"/>
        <w:ind w:left="0"/>
        <w:jc w:val="both"/>
      </w:pPr>
      <w:r>
        <w:rPr>
          <w:rFonts w:ascii="Times New Roman"/>
          <w:b w:val="false"/>
          <w:i w:val="false"/>
          <w:color w:val="000000"/>
          <w:sz w:val="28"/>
        </w:rPr>
        <w:t>
      ___________________________________________________________________________</w:t>
      </w:r>
    </w:p>
    <w:bookmarkEnd w:id="3942"/>
    <w:bookmarkStart w:name="z4052" w:id="3943"/>
    <w:p>
      <w:pPr>
        <w:spacing w:after="0"/>
        <w:ind w:left="0"/>
        <w:jc w:val="both"/>
      </w:pPr>
      <w:r>
        <w:rPr>
          <w:rFonts w:ascii="Times New Roman"/>
          <w:b w:val="false"/>
          <w:i w:val="false"/>
          <w:color w:val="000000"/>
          <w:sz w:val="28"/>
        </w:rPr>
        <w:t>
       </w:t>
      </w:r>
    </w:p>
    <w:bookmarkEnd w:id="3943"/>
    <w:bookmarkStart w:name="z4053" w:id="3944"/>
    <w:p>
      <w:pPr>
        <w:spacing w:after="0"/>
        <w:ind w:left="0"/>
        <w:jc w:val="both"/>
      </w:pPr>
      <w:r>
        <w:rPr>
          <w:rFonts w:ascii="Times New Roman"/>
          <w:b w:val="false"/>
          <w:i w:val="false"/>
          <w:color w:val="000000"/>
          <w:sz w:val="28"/>
        </w:rPr>
        <w:t>
      3.7.3. Данные испытаний о стабильности (раздел S.7.3).</w:t>
      </w:r>
    </w:p>
    <w:bookmarkEnd w:id="3944"/>
    <w:bookmarkStart w:name="z4054" w:id="3945"/>
    <w:p>
      <w:pPr>
        <w:spacing w:after="0"/>
        <w:ind w:left="0"/>
        <w:jc w:val="both"/>
      </w:pPr>
      <w:r>
        <w:rPr>
          <w:rFonts w:ascii="Times New Roman"/>
          <w:b w:val="false"/>
          <w:i w:val="false"/>
          <w:color w:val="000000"/>
          <w:sz w:val="28"/>
        </w:rPr>
        <w:t>
      Данные испытания стабильности, на которых основывается краткий обзор и заключение в разделе S.7.1, включаются в досье.</w:t>
      </w:r>
    </w:p>
    <w:bookmarkEnd w:id="3945"/>
    <w:bookmarkStart w:name="z4055" w:id="3946"/>
    <w:p>
      <w:pPr>
        <w:spacing w:after="0"/>
        <w:ind w:left="0"/>
        <w:jc w:val="both"/>
      </w:pPr>
      <w:r>
        <w:rPr>
          <w:rFonts w:ascii="Times New Roman"/>
          <w:b w:val="false"/>
          <w:i w:val="false"/>
          <w:color w:val="000000"/>
          <w:sz w:val="28"/>
        </w:rPr>
        <w:t>
       </w:t>
      </w:r>
    </w:p>
    <w:bookmarkEnd w:id="3946"/>
    <w:bookmarkStart w:name="z4056" w:id="3947"/>
    <w:p>
      <w:pPr>
        <w:spacing w:after="0"/>
        <w:ind w:left="0"/>
        <w:jc w:val="both"/>
      </w:pPr>
      <w:r>
        <w:rPr>
          <w:rFonts w:ascii="Times New Roman"/>
          <w:b w:val="false"/>
          <w:i w:val="false"/>
          <w:color w:val="000000"/>
          <w:sz w:val="28"/>
        </w:rPr>
        <w:t>
      ___________________________________________________________________________</w:t>
      </w:r>
    </w:p>
    <w:bookmarkEnd w:id="3947"/>
    <w:bookmarkStart w:name="z4057" w:id="3948"/>
    <w:p>
      <w:pPr>
        <w:spacing w:after="0"/>
        <w:ind w:left="0"/>
        <w:jc w:val="both"/>
      </w:pPr>
      <w:r>
        <w:rPr>
          <w:rFonts w:ascii="Times New Roman"/>
          <w:b w:val="false"/>
          <w:i w:val="false"/>
          <w:color w:val="000000"/>
          <w:sz w:val="28"/>
        </w:rPr>
        <w:t>
      ___________________________________________________________________________</w:t>
      </w:r>
    </w:p>
    <w:bookmarkEnd w:id="3948"/>
    <w:bookmarkStart w:name="z4058" w:id="3949"/>
    <w:p>
      <w:pPr>
        <w:spacing w:after="0"/>
        <w:ind w:left="0"/>
        <w:jc w:val="both"/>
      </w:pPr>
      <w:r>
        <w:rPr>
          <w:rFonts w:ascii="Times New Roman"/>
          <w:b w:val="false"/>
          <w:i w:val="false"/>
          <w:color w:val="000000"/>
          <w:sz w:val="28"/>
        </w:rPr>
        <w:t>
      ___________________________________________________________________________</w:t>
      </w:r>
    </w:p>
    <w:bookmarkEnd w:id="3949"/>
    <w:bookmarkStart w:name="z4059" w:id="3950"/>
    <w:p>
      <w:pPr>
        <w:spacing w:after="0"/>
        <w:ind w:left="0"/>
        <w:jc w:val="both"/>
      </w:pPr>
      <w:r>
        <w:rPr>
          <w:rFonts w:ascii="Times New Roman"/>
          <w:b w:val="false"/>
          <w:i w:val="false"/>
          <w:color w:val="000000"/>
          <w:sz w:val="28"/>
        </w:rPr>
        <w:t>
       </w:t>
      </w:r>
    </w:p>
    <w:bookmarkEnd w:id="3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951"/>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3951"/>
          <w:p>
            <w:pPr>
              <w:spacing w:after="20"/>
              <w:ind w:left="20"/>
              <w:jc w:val="both"/>
            </w:pPr>
            <w:r>
              <w:rPr>
                <w:rFonts w:ascii="Times New Roman"/>
                <w:b w:val="false"/>
                <w:i w:val="false"/>
                <w:color w:val="000000"/>
                <w:sz w:val="20"/>
              </w:rPr>
              <w:t>_________________________________________________________________________________________________________________________________________</w:t>
            </w:r>
          </w:p>
        </w:tc>
      </w:tr>
    </w:tbl>
    <w:bookmarkStart w:name="z4061" w:id="3952"/>
    <w:p>
      <w:pPr>
        <w:spacing w:after="0"/>
        <w:ind w:left="0"/>
        <w:jc w:val="both"/>
      </w:pPr>
      <w:r>
        <w:rPr>
          <w:rFonts w:ascii="Times New Roman"/>
          <w:b w:val="false"/>
          <w:i w:val="false"/>
          <w:color w:val="000000"/>
          <w:sz w:val="28"/>
        </w:rPr>
        <w:t>
       </w:t>
      </w:r>
    </w:p>
    <w:bookmarkEnd w:id="3952"/>
    <w:bookmarkStart w:name="z4062" w:id="3953"/>
    <w:p>
      <w:pPr>
        <w:spacing w:after="0"/>
        <w:ind w:left="0"/>
        <w:jc w:val="left"/>
      </w:pPr>
      <w:r>
        <w:rPr>
          <w:rFonts w:ascii="Times New Roman"/>
          <w:b/>
          <w:i w:val="false"/>
          <w:color w:val="000000"/>
        </w:rPr>
        <w:t xml:space="preserve"> 4. Лекарственный препарат (модуль 3.2.P)</w:t>
      </w:r>
      <w:r>
        <w:br/>
      </w:r>
      <w:r>
        <w:rPr>
          <w:rFonts w:ascii="Times New Roman"/>
          <w:b/>
          <w:i w:val="false"/>
          <w:color w:val="000000"/>
        </w:rPr>
        <w:t xml:space="preserve"> </w:t>
      </w:r>
    </w:p>
    <w:bookmarkEnd w:id="3953"/>
    <w:bookmarkStart w:name="z4063" w:id="3954"/>
    <w:p>
      <w:pPr>
        <w:spacing w:after="0"/>
        <w:ind w:left="0"/>
        <w:jc w:val="both"/>
      </w:pPr>
      <w:r>
        <w:rPr>
          <w:rFonts w:ascii="Times New Roman"/>
          <w:b w:val="false"/>
          <w:i w:val="false"/>
          <w:color w:val="000000"/>
          <w:sz w:val="28"/>
        </w:rPr>
        <w:t>
      ___________________________________________________________________________</w:t>
      </w:r>
    </w:p>
    <w:bookmarkEnd w:id="3954"/>
    <w:bookmarkStart w:name="z4064" w:id="3955"/>
    <w:p>
      <w:pPr>
        <w:spacing w:after="0"/>
        <w:ind w:left="0"/>
        <w:jc w:val="both"/>
      </w:pPr>
      <w:r>
        <w:rPr>
          <w:rFonts w:ascii="Times New Roman"/>
          <w:b w:val="false"/>
          <w:i w:val="false"/>
          <w:color w:val="000000"/>
          <w:sz w:val="28"/>
        </w:rPr>
        <w:t>
      ___________________________________________________________________________</w:t>
      </w:r>
    </w:p>
    <w:bookmarkEnd w:id="3955"/>
    <w:bookmarkStart w:name="z4065" w:id="3956"/>
    <w:p>
      <w:pPr>
        <w:spacing w:after="0"/>
        <w:ind w:left="0"/>
        <w:jc w:val="both"/>
      </w:pPr>
      <w:r>
        <w:rPr>
          <w:rFonts w:ascii="Times New Roman"/>
          <w:b w:val="false"/>
          <w:i w:val="false"/>
          <w:color w:val="000000"/>
          <w:sz w:val="28"/>
        </w:rPr>
        <w:t>
      ___________________________________________________________________________</w:t>
      </w:r>
    </w:p>
    <w:bookmarkEnd w:id="3956"/>
    <w:bookmarkStart w:name="z4066" w:id="3957"/>
    <w:p>
      <w:pPr>
        <w:spacing w:after="0"/>
        <w:ind w:left="0"/>
        <w:jc w:val="both"/>
      </w:pPr>
      <w:r>
        <w:rPr>
          <w:rFonts w:ascii="Times New Roman"/>
          <w:b w:val="false"/>
          <w:i w:val="false"/>
          <w:color w:val="000000"/>
          <w:sz w:val="28"/>
        </w:rPr>
        <w:t>
       </w:t>
      </w:r>
    </w:p>
    <w:bookmarkEnd w:id="3957"/>
    <w:bookmarkStart w:name="z4067" w:id="3958"/>
    <w:p>
      <w:pPr>
        <w:spacing w:after="0"/>
        <w:ind w:left="0"/>
        <w:jc w:val="left"/>
      </w:pPr>
      <w:r>
        <w:rPr>
          <w:rFonts w:ascii="Times New Roman"/>
          <w:b/>
          <w:i w:val="false"/>
          <w:color w:val="000000"/>
        </w:rPr>
        <w:t xml:space="preserve"> 4.1. Описание и состав лекарственного препарат (модуль 3.2.P.1)</w:t>
      </w:r>
      <w:r>
        <w:br/>
      </w:r>
      <w:r>
        <w:rPr>
          <w:rFonts w:ascii="Times New Roman"/>
          <w:b/>
          <w:i w:val="false"/>
          <w:color w:val="000000"/>
        </w:rPr>
        <w:t xml:space="preserve"> </w:t>
      </w:r>
    </w:p>
    <w:bookmarkEnd w:id="3958"/>
    <w:bookmarkStart w:name="z4068" w:id="3959"/>
    <w:p>
      <w:pPr>
        <w:spacing w:after="0"/>
        <w:ind w:left="0"/>
        <w:jc w:val="both"/>
      </w:pPr>
      <w:r>
        <w:rPr>
          <w:rFonts w:ascii="Times New Roman"/>
          <w:b w:val="false"/>
          <w:i w:val="false"/>
          <w:color w:val="000000"/>
          <w:sz w:val="28"/>
        </w:rPr>
        <w:t>
      ___________________________________________________________________________</w:t>
      </w:r>
    </w:p>
    <w:bookmarkEnd w:id="3959"/>
    <w:bookmarkStart w:name="z4069" w:id="3960"/>
    <w:p>
      <w:pPr>
        <w:spacing w:after="0"/>
        <w:ind w:left="0"/>
        <w:jc w:val="both"/>
      </w:pPr>
      <w:r>
        <w:rPr>
          <w:rFonts w:ascii="Times New Roman"/>
          <w:b w:val="false"/>
          <w:i w:val="false"/>
          <w:color w:val="000000"/>
          <w:sz w:val="28"/>
        </w:rPr>
        <w:t>
      ___________________________________________________________________________</w:t>
      </w:r>
    </w:p>
    <w:bookmarkEnd w:id="3960"/>
    <w:bookmarkStart w:name="z4070" w:id="3961"/>
    <w:p>
      <w:pPr>
        <w:spacing w:after="0"/>
        <w:ind w:left="0"/>
        <w:jc w:val="both"/>
      </w:pPr>
      <w:r>
        <w:rPr>
          <w:rFonts w:ascii="Times New Roman"/>
          <w:b w:val="false"/>
          <w:i w:val="false"/>
          <w:color w:val="000000"/>
          <w:sz w:val="28"/>
        </w:rPr>
        <w:t>
      ___________________________________________________________________________</w:t>
      </w:r>
    </w:p>
    <w:bookmarkEnd w:id="3961"/>
    <w:bookmarkStart w:name="z4071" w:id="3962"/>
    <w:p>
      <w:pPr>
        <w:spacing w:after="0"/>
        <w:ind w:left="0"/>
        <w:jc w:val="both"/>
      </w:pPr>
      <w:r>
        <w:rPr>
          <w:rFonts w:ascii="Times New Roman"/>
          <w:b w:val="false"/>
          <w:i w:val="false"/>
          <w:color w:val="000000"/>
          <w:sz w:val="28"/>
        </w:rPr>
        <w:t>
       </w:t>
      </w:r>
    </w:p>
    <w:bookmarkEnd w:id="3962"/>
    <w:bookmarkStart w:name="z4072" w:id="3963"/>
    <w:p>
      <w:pPr>
        <w:spacing w:after="0"/>
        <w:ind w:left="0"/>
        <w:jc w:val="both"/>
      </w:pPr>
      <w:r>
        <w:rPr>
          <w:rFonts w:ascii="Times New Roman"/>
          <w:b w:val="false"/>
          <w:i w:val="false"/>
          <w:color w:val="000000"/>
          <w:sz w:val="28"/>
        </w:rPr>
        <w:t>
      Состав &lt;название лекарственного препарата&gt; представлен в таблице P.1-1.</w:t>
      </w:r>
    </w:p>
    <w:bookmarkEnd w:id="3963"/>
    <w:bookmarkStart w:name="z4073" w:id="3964"/>
    <w:p>
      <w:pPr>
        <w:spacing w:after="0"/>
        <w:ind w:left="0"/>
        <w:jc w:val="both"/>
      </w:pPr>
      <w:r>
        <w:rPr>
          <w:rFonts w:ascii="Times New Roman"/>
          <w:b w:val="false"/>
          <w:i w:val="false"/>
          <w:color w:val="000000"/>
          <w:sz w:val="28"/>
        </w:rPr>
        <w:t>
       </w:t>
      </w:r>
    </w:p>
    <w:bookmarkEnd w:id="3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P.1-1</w:t>
            </w:r>
            <w:r>
              <w:br/>
            </w:r>
            <w:r>
              <w:rPr>
                <w:rFonts w:ascii="Times New Roman"/>
                <w:b w:val="false"/>
                <w:i w:val="false"/>
                <w:color w:val="000000"/>
                <w:sz w:val="20"/>
              </w:rPr>
              <w:t xml:space="preserve"> </w:t>
            </w:r>
          </w:p>
        </w:tc>
      </w:tr>
    </w:tbl>
    <w:bookmarkStart w:name="z4075" w:id="3965"/>
    <w:p>
      <w:pPr>
        <w:spacing w:after="0"/>
        <w:ind w:left="0"/>
        <w:jc w:val="left"/>
      </w:pPr>
      <w:r>
        <w:rPr>
          <w:rFonts w:ascii="Times New Roman"/>
          <w:b/>
          <w:i w:val="false"/>
          <w:color w:val="000000"/>
        </w:rPr>
        <w:t xml:space="preserve"> Полный состав &lt;название лекарственного препарата&gt; </w:t>
      </w:r>
    </w:p>
    <w:bookmarkEnd w:id="3965"/>
    <w:bookmarkStart w:name="z4076" w:id="3966"/>
    <w:p>
      <w:pPr>
        <w:spacing w:after="0"/>
        <w:ind w:left="0"/>
        <w:jc w:val="both"/>
      </w:pPr>
      <w:r>
        <w:rPr>
          <w:rFonts w:ascii="Times New Roman"/>
          <w:b w:val="false"/>
          <w:i w:val="false"/>
          <w:color w:val="000000"/>
          <w:sz w:val="28"/>
        </w:rPr>
        <w:t>
       </w:t>
      </w:r>
    </w:p>
    <w:bookmarkEnd w:id="3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967"/>
          <w:p>
            <w:pPr>
              <w:spacing w:after="20"/>
              <w:ind w:left="20"/>
              <w:jc w:val="both"/>
            </w:pPr>
            <w:r>
              <w:rPr>
                <w:rFonts w:ascii="Times New Roman"/>
                <w:b w:val="false"/>
                <w:i w:val="false"/>
                <w:color w:val="000000"/>
                <w:sz w:val="20"/>
              </w:rPr>
              <w:t xml:space="preserve">
Компонент </w:t>
            </w:r>
          </w:p>
          <w:bookmarkEnd w:id="39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на 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&lt;Название&gt; Количество (&lt;название&gt;)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&lt;Название&gt; Количество (&lt;название&gt;)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3968"/>
          <w:p>
            <w:pPr>
              <w:spacing w:after="20"/>
              <w:ind w:left="20"/>
              <w:jc w:val="both"/>
            </w:pPr>
          </w:p>
          <w:bookmarkEnd w:id="39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вещество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969"/>
          <w:p>
            <w:pPr>
              <w:spacing w:after="20"/>
              <w:ind w:left="20"/>
              <w:jc w:val="both"/>
            </w:pPr>
          </w:p>
          <w:bookmarkEnd w:id="39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3970"/>
          <w:p>
            <w:pPr>
              <w:spacing w:after="20"/>
              <w:ind w:left="20"/>
              <w:jc w:val="both"/>
            </w:pPr>
          </w:p>
          <w:bookmarkEnd w:id="39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971"/>
          <w:p>
            <w:pPr>
              <w:spacing w:after="20"/>
              <w:ind w:left="20"/>
              <w:jc w:val="both"/>
            </w:pPr>
          </w:p>
          <w:bookmarkEnd w:id="39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2" w:id="3972"/>
    <w:p>
      <w:pPr>
        <w:spacing w:after="0"/>
        <w:ind w:left="0"/>
        <w:jc w:val="both"/>
      </w:pPr>
      <w:r>
        <w:rPr>
          <w:rFonts w:ascii="Times New Roman"/>
          <w:b w:val="false"/>
          <w:i w:val="false"/>
          <w:color w:val="000000"/>
          <w:sz w:val="28"/>
        </w:rPr>
        <w:t>
      Примечание. При регистрации линейки дозировок количество столбцов "&lt;Название&gt; Количество (&lt;название&gt;)" соответствует числу заявляемых на регистрацию дозировок.</w:t>
      </w:r>
    </w:p>
    <w:bookmarkEnd w:id="3972"/>
    <w:bookmarkStart w:name="z4083" w:id="3973"/>
    <w:p>
      <w:pPr>
        <w:spacing w:after="0"/>
        <w:ind w:left="0"/>
        <w:jc w:val="both"/>
      </w:pPr>
      <w:r>
        <w:rPr>
          <w:rFonts w:ascii="Times New Roman"/>
          <w:b w:val="false"/>
          <w:i w:val="false"/>
          <w:color w:val="000000"/>
          <w:sz w:val="28"/>
        </w:rPr>
        <w:t>
       </w:t>
      </w:r>
    </w:p>
    <w:bookmarkEnd w:id="3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3974"/>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3974"/>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085" w:id="3975"/>
    <w:p>
      <w:pPr>
        <w:spacing w:after="0"/>
        <w:ind w:left="0"/>
        <w:jc w:val="both"/>
      </w:pPr>
      <w:r>
        <w:rPr>
          <w:rFonts w:ascii="Times New Roman"/>
          <w:b w:val="false"/>
          <w:i w:val="false"/>
          <w:color w:val="000000"/>
          <w:sz w:val="28"/>
        </w:rPr>
        <w:t>
       </w:t>
      </w:r>
    </w:p>
    <w:bookmarkEnd w:id="3975"/>
    <w:bookmarkStart w:name="z4086" w:id="3976"/>
    <w:p>
      <w:pPr>
        <w:spacing w:after="0"/>
        <w:ind w:left="0"/>
        <w:jc w:val="left"/>
      </w:pPr>
      <w:r>
        <w:rPr>
          <w:rFonts w:ascii="Times New Roman"/>
          <w:b/>
          <w:i w:val="false"/>
          <w:color w:val="000000"/>
        </w:rPr>
        <w:t xml:space="preserve"> 4.2. Фармацевтическая разработка (модуль 3.2.P.2) </w:t>
      </w:r>
    </w:p>
    <w:bookmarkEnd w:id="3976"/>
    <w:bookmarkStart w:name="z4087" w:id="3977"/>
    <w:p>
      <w:pPr>
        <w:spacing w:after="0"/>
        <w:ind w:left="0"/>
        <w:jc w:val="both"/>
      </w:pPr>
      <w:r>
        <w:rPr>
          <w:rFonts w:ascii="Times New Roman"/>
          <w:b w:val="false"/>
          <w:i w:val="false"/>
          <w:color w:val="000000"/>
          <w:sz w:val="28"/>
        </w:rPr>
        <w:t>
       </w:t>
      </w:r>
    </w:p>
    <w:bookmarkEnd w:id="3977"/>
    <w:bookmarkStart w:name="z4088" w:id="3978"/>
    <w:p>
      <w:pPr>
        <w:spacing w:after="0"/>
        <w:ind w:left="0"/>
        <w:jc w:val="both"/>
      </w:pPr>
      <w:r>
        <w:rPr>
          <w:rFonts w:ascii="Times New Roman"/>
          <w:b w:val="false"/>
          <w:i w:val="false"/>
          <w:color w:val="000000"/>
          <w:sz w:val="28"/>
        </w:rPr>
        <w:t>
      4.2.1. Компоненты лекарственного препарата (раздел P.2.1).</w:t>
      </w:r>
    </w:p>
    <w:bookmarkEnd w:id="3978"/>
    <w:bookmarkStart w:name="z4089" w:id="3979"/>
    <w:p>
      <w:pPr>
        <w:spacing w:after="0"/>
        <w:ind w:left="0"/>
        <w:jc w:val="both"/>
      </w:pPr>
      <w:r>
        <w:rPr>
          <w:rFonts w:ascii="Times New Roman"/>
          <w:b w:val="false"/>
          <w:i w:val="false"/>
          <w:color w:val="000000"/>
          <w:sz w:val="28"/>
        </w:rPr>
        <w:t>
       </w:t>
      </w:r>
    </w:p>
    <w:bookmarkEnd w:id="3979"/>
    <w:bookmarkStart w:name="z4090" w:id="3980"/>
    <w:p>
      <w:pPr>
        <w:spacing w:after="0"/>
        <w:ind w:left="0"/>
        <w:jc w:val="both"/>
      </w:pPr>
      <w:r>
        <w:rPr>
          <w:rFonts w:ascii="Times New Roman"/>
          <w:b w:val="false"/>
          <w:i w:val="false"/>
          <w:color w:val="000000"/>
          <w:sz w:val="28"/>
        </w:rPr>
        <w:t>
      ___________________________________________________________________________</w:t>
      </w:r>
    </w:p>
    <w:bookmarkEnd w:id="3980"/>
    <w:bookmarkStart w:name="z4091" w:id="3981"/>
    <w:p>
      <w:pPr>
        <w:spacing w:after="0"/>
        <w:ind w:left="0"/>
        <w:jc w:val="both"/>
      </w:pPr>
      <w:r>
        <w:rPr>
          <w:rFonts w:ascii="Times New Roman"/>
          <w:b w:val="false"/>
          <w:i w:val="false"/>
          <w:color w:val="000000"/>
          <w:sz w:val="28"/>
        </w:rPr>
        <w:t>
      ___________________________________________________________________________</w:t>
      </w:r>
    </w:p>
    <w:bookmarkEnd w:id="3981"/>
    <w:bookmarkStart w:name="z4092" w:id="3982"/>
    <w:p>
      <w:pPr>
        <w:spacing w:after="0"/>
        <w:ind w:left="0"/>
        <w:jc w:val="both"/>
      </w:pPr>
      <w:r>
        <w:rPr>
          <w:rFonts w:ascii="Times New Roman"/>
          <w:b w:val="false"/>
          <w:i w:val="false"/>
          <w:color w:val="000000"/>
          <w:sz w:val="28"/>
        </w:rPr>
        <w:t>
      ___________________________________________________________________________</w:t>
      </w:r>
    </w:p>
    <w:bookmarkEnd w:id="3982"/>
    <w:bookmarkStart w:name="z4093" w:id="3983"/>
    <w:p>
      <w:pPr>
        <w:spacing w:after="0"/>
        <w:ind w:left="0"/>
        <w:jc w:val="both"/>
      </w:pPr>
      <w:r>
        <w:rPr>
          <w:rFonts w:ascii="Times New Roman"/>
          <w:b w:val="false"/>
          <w:i w:val="false"/>
          <w:color w:val="000000"/>
          <w:sz w:val="28"/>
        </w:rPr>
        <w:t>
       </w:t>
      </w:r>
    </w:p>
    <w:bookmarkEnd w:id="3983"/>
    <w:bookmarkStart w:name="z4094" w:id="3984"/>
    <w:p>
      <w:pPr>
        <w:spacing w:after="0"/>
        <w:ind w:left="0"/>
        <w:jc w:val="both"/>
      </w:pPr>
      <w:r>
        <w:rPr>
          <w:rFonts w:ascii="Times New Roman"/>
          <w:b w:val="false"/>
          <w:i w:val="false"/>
          <w:color w:val="000000"/>
          <w:sz w:val="28"/>
        </w:rPr>
        <w:t>
      4.2.2. Активная фармацевтическая субстанция (раздел P.2.1.1).</w:t>
      </w:r>
    </w:p>
    <w:bookmarkEnd w:id="3984"/>
    <w:bookmarkStart w:name="z4095" w:id="3985"/>
    <w:p>
      <w:pPr>
        <w:spacing w:after="0"/>
        <w:ind w:left="0"/>
        <w:jc w:val="both"/>
      </w:pPr>
      <w:r>
        <w:rPr>
          <w:rFonts w:ascii="Times New Roman"/>
          <w:b w:val="false"/>
          <w:i w:val="false"/>
          <w:color w:val="000000"/>
          <w:sz w:val="28"/>
        </w:rPr>
        <w:t>
       </w:t>
      </w:r>
    </w:p>
    <w:bookmarkEnd w:id="3985"/>
    <w:bookmarkStart w:name="z4096" w:id="3986"/>
    <w:p>
      <w:pPr>
        <w:spacing w:after="0"/>
        <w:ind w:left="0"/>
        <w:jc w:val="both"/>
      </w:pPr>
      <w:r>
        <w:rPr>
          <w:rFonts w:ascii="Times New Roman"/>
          <w:b w:val="false"/>
          <w:i w:val="false"/>
          <w:color w:val="000000"/>
          <w:sz w:val="28"/>
        </w:rPr>
        <w:t>
      ___________________________________________________________________________</w:t>
      </w:r>
    </w:p>
    <w:bookmarkEnd w:id="3986"/>
    <w:bookmarkStart w:name="z4097" w:id="3987"/>
    <w:p>
      <w:pPr>
        <w:spacing w:after="0"/>
        <w:ind w:left="0"/>
        <w:jc w:val="both"/>
      </w:pPr>
      <w:r>
        <w:rPr>
          <w:rFonts w:ascii="Times New Roman"/>
          <w:b w:val="false"/>
          <w:i w:val="false"/>
          <w:color w:val="000000"/>
          <w:sz w:val="28"/>
        </w:rPr>
        <w:t>
      ___________________________________________________________________________</w:t>
      </w:r>
    </w:p>
    <w:bookmarkEnd w:id="3987"/>
    <w:bookmarkStart w:name="z4098" w:id="3988"/>
    <w:p>
      <w:pPr>
        <w:spacing w:after="0"/>
        <w:ind w:left="0"/>
        <w:jc w:val="both"/>
      </w:pPr>
      <w:r>
        <w:rPr>
          <w:rFonts w:ascii="Times New Roman"/>
          <w:b w:val="false"/>
          <w:i w:val="false"/>
          <w:color w:val="000000"/>
          <w:sz w:val="28"/>
        </w:rPr>
        <w:t>
      ___________________________________________________________________________</w:t>
      </w:r>
    </w:p>
    <w:bookmarkEnd w:id="3988"/>
    <w:bookmarkStart w:name="z4099" w:id="3989"/>
    <w:p>
      <w:pPr>
        <w:spacing w:after="0"/>
        <w:ind w:left="0"/>
        <w:jc w:val="both"/>
      </w:pPr>
      <w:r>
        <w:rPr>
          <w:rFonts w:ascii="Times New Roman"/>
          <w:b w:val="false"/>
          <w:i w:val="false"/>
          <w:color w:val="000000"/>
          <w:sz w:val="28"/>
        </w:rPr>
        <w:t>
       </w:t>
      </w:r>
    </w:p>
    <w:bookmarkEnd w:id="3989"/>
    <w:bookmarkStart w:name="z4100" w:id="3990"/>
    <w:p>
      <w:pPr>
        <w:spacing w:after="0"/>
        <w:ind w:left="0"/>
        <w:jc w:val="both"/>
      </w:pPr>
      <w:r>
        <w:rPr>
          <w:rFonts w:ascii="Times New Roman"/>
          <w:b w:val="false"/>
          <w:i w:val="false"/>
          <w:color w:val="000000"/>
          <w:sz w:val="28"/>
        </w:rPr>
        <w:t>
      4.2.3. Вспомогательные вещества (раздел P.2.1.2).</w:t>
      </w:r>
    </w:p>
    <w:bookmarkEnd w:id="3990"/>
    <w:bookmarkStart w:name="z4101" w:id="3991"/>
    <w:p>
      <w:pPr>
        <w:spacing w:after="0"/>
        <w:ind w:left="0"/>
        <w:jc w:val="both"/>
      </w:pPr>
      <w:r>
        <w:rPr>
          <w:rFonts w:ascii="Times New Roman"/>
          <w:b w:val="false"/>
          <w:i w:val="false"/>
          <w:color w:val="000000"/>
          <w:sz w:val="28"/>
        </w:rPr>
        <w:t>
       </w:t>
      </w:r>
    </w:p>
    <w:bookmarkEnd w:id="3991"/>
    <w:bookmarkStart w:name="z4102" w:id="3992"/>
    <w:p>
      <w:pPr>
        <w:spacing w:after="0"/>
        <w:ind w:left="0"/>
        <w:jc w:val="both"/>
      </w:pPr>
      <w:r>
        <w:rPr>
          <w:rFonts w:ascii="Times New Roman"/>
          <w:b w:val="false"/>
          <w:i w:val="false"/>
          <w:color w:val="000000"/>
          <w:sz w:val="28"/>
        </w:rPr>
        <w:t>
      ___________________________________________________________________________</w:t>
      </w:r>
    </w:p>
    <w:bookmarkEnd w:id="3992"/>
    <w:bookmarkStart w:name="z4103" w:id="3993"/>
    <w:p>
      <w:pPr>
        <w:spacing w:after="0"/>
        <w:ind w:left="0"/>
        <w:jc w:val="both"/>
      </w:pPr>
      <w:r>
        <w:rPr>
          <w:rFonts w:ascii="Times New Roman"/>
          <w:b w:val="false"/>
          <w:i w:val="false"/>
          <w:color w:val="000000"/>
          <w:sz w:val="28"/>
        </w:rPr>
        <w:t>
      ___________________________________________________________________________</w:t>
      </w:r>
    </w:p>
    <w:bookmarkEnd w:id="3993"/>
    <w:bookmarkStart w:name="z4104" w:id="3994"/>
    <w:p>
      <w:pPr>
        <w:spacing w:after="0"/>
        <w:ind w:left="0"/>
        <w:jc w:val="both"/>
      </w:pPr>
      <w:r>
        <w:rPr>
          <w:rFonts w:ascii="Times New Roman"/>
          <w:b w:val="false"/>
          <w:i w:val="false"/>
          <w:color w:val="000000"/>
          <w:sz w:val="28"/>
        </w:rPr>
        <w:t>
      ___________________________________________________________________________</w:t>
      </w:r>
    </w:p>
    <w:bookmarkEnd w:id="3994"/>
    <w:bookmarkStart w:name="z4105" w:id="3995"/>
    <w:p>
      <w:pPr>
        <w:spacing w:after="0"/>
        <w:ind w:left="0"/>
        <w:jc w:val="both"/>
      </w:pPr>
      <w:r>
        <w:rPr>
          <w:rFonts w:ascii="Times New Roman"/>
          <w:b w:val="false"/>
          <w:i w:val="false"/>
          <w:color w:val="000000"/>
          <w:sz w:val="28"/>
        </w:rPr>
        <w:t>
       </w:t>
      </w:r>
    </w:p>
    <w:bookmarkEnd w:id="3995"/>
    <w:bookmarkStart w:name="z4106" w:id="3996"/>
    <w:p>
      <w:pPr>
        <w:spacing w:after="0"/>
        <w:ind w:left="0"/>
        <w:jc w:val="both"/>
      </w:pPr>
      <w:r>
        <w:rPr>
          <w:rFonts w:ascii="Times New Roman"/>
          <w:b w:val="false"/>
          <w:i w:val="false"/>
          <w:color w:val="000000"/>
          <w:sz w:val="28"/>
        </w:rPr>
        <w:t>
      4.2.4. Лекарственный препарат (раздел P.2.2).</w:t>
      </w:r>
    </w:p>
    <w:bookmarkEnd w:id="3996"/>
    <w:bookmarkStart w:name="z4107" w:id="3997"/>
    <w:p>
      <w:pPr>
        <w:spacing w:after="0"/>
        <w:ind w:left="0"/>
        <w:jc w:val="both"/>
      </w:pPr>
      <w:r>
        <w:rPr>
          <w:rFonts w:ascii="Times New Roman"/>
          <w:b w:val="false"/>
          <w:i w:val="false"/>
          <w:color w:val="000000"/>
          <w:sz w:val="28"/>
        </w:rPr>
        <w:t>
       </w:t>
      </w:r>
    </w:p>
    <w:bookmarkEnd w:id="3997"/>
    <w:bookmarkStart w:name="z4108" w:id="3998"/>
    <w:p>
      <w:pPr>
        <w:spacing w:after="0"/>
        <w:ind w:left="0"/>
        <w:jc w:val="both"/>
      </w:pPr>
      <w:r>
        <w:rPr>
          <w:rFonts w:ascii="Times New Roman"/>
          <w:b w:val="false"/>
          <w:i w:val="false"/>
          <w:color w:val="000000"/>
          <w:sz w:val="28"/>
        </w:rPr>
        <w:t>
      ___________________________________________________________________________</w:t>
      </w:r>
    </w:p>
    <w:bookmarkEnd w:id="3998"/>
    <w:bookmarkStart w:name="z4109" w:id="3999"/>
    <w:p>
      <w:pPr>
        <w:spacing w:after="0"/>
        <w:ind w:left="0"/>
        <w:jc w:val="both"/>
      </w:pPr>
      <w:r>
        <w:rPr>
          <w:rFonts w:ascii="Times New Roman"/>
          <w:b w:val="false"/>
          <w:i w:val="false"/>
          <w:color w:val="000000"/>
          <w:sz w:val="28"/>
        </w:rPr>
        <w:t>
      ___________________________________________________________________________</w:t>
      </w:r>
    </w:p>
    <w:bookmarkEnd w:id="3999"/>
    <w:bookmarkStart w:name="z4110" w:id="4000"/>
    <w:p>
      <w:pPr>
        <w:spacing w:after="0"/>
        <w:ind w:left="0"/>
        <w:jc w:val="both"/>
      </w:pPr>
      <w:r>
        <w:rPr>
          <w:rFonts w:ascii="Times New Roman"/>
          <w:b w:val="false"/>
          <w:i w:val="false"/>
          <w:color w:val="000000"/>
          <w:sz w:val="28"/>
        </w:rPr>
        <w:t>
      ___________________________________________________________________________</w:t>
      </w:r>
    </w:p>
    <w:bookmarkEnd w:id="4000"/>
    <w:bookmarkStart w:name="z4111" w:id="4001"/>
    <w:p>
      <w:pPr>
        <w:spacing w:after="0"/>
        <w:ind w:left="0"/>
        <w:jc w:val="both"/>
      </w:pPr>
      <w:r>
        <w:rPr>
          <w:rFonts w:ascii="Times New Roman"/>
          <w:b w:val="false"/>
          <w:i w:val="false"/>
          <w:color w:val="000000"/>
          <w:sz w:val="28"/>
        </w:rPr>
        <w:t>
       </w:t>
      </w:r>
    </w:p>
    <w:bookmarkEnd w:id="4001"/>
    <w:bookmarkStart w:name="z4112" w:id="4002"/>
    <w:p>
      <w:pPr>
        <w:spacing w:after="0"/>
        <w:ind w:left="0"/>
        <w:jc w:val="both"/>
      </w:pPr>
      <w:r>
        <w:rPr>
          <w:rFonts w:ascii="Times New Roman"/>
          <w:b w:val="false"/>
          <w:i w:val="false"/>
          <w:color w:val="000000"/>
          <w:sz w:val="28"/>
        </w:rPr>
        <w:t>
      4.2.5. Разработка лекарственной формы (раздел P.2.2.1).</w:t>
      </w:r>
    </w:p>
    <w:bookmarkEnd w:id="4002"/>
    <w:bookmarkStart w:name="z4113" w:id="4003"/>
    <w:p>
      <w:pPr>
        <w:spacing w:after="0"/>
        <w:ind w:left="0"/>
        <w:jc w:val="both"/>
      </w:pPr>
      <w:r>
        <w:rPr>
          <w:rFonts w:ascii="Times New Roman"/>
          <w:b w:val="false"/>
          <w:i w:val="false"/>
          <w:color w:val="000000"/>
          <w:sz w:val="28"/>
        </w:rPr>
        <w:t>
       </w:t>
      </w:r>
    </w:p>
    <w:bookmarkEnd w:id="4003"/>
    <w:bookmarkStart w:name="z4114" w:id="4004"/>
    <w:p>
      <w:pPr>
        <w:spacing w:after="0"/>
        <w:ind w:left="0"/>
        <w:jc w:val="both"/>
      </w:pPr>
      <w:r>
        <w:rPr>
          <w:rFonts w:ascii="Times New Roman"/>
          <w:b w:val="false"/>
          <w:i w:val="false"/>
          <w:color w:val="000000"/>
          <w:sz w:val="28"/>
        </w:rPr>
        <w:t>
      ___________________________________________________________________________</w:t>
      </w:r>
    </w:p>
    <w:bookmarkEnd w:id="4004"/>
    <w:bookmarkStart w:name="z4115" w:id="4005"/>
    <w:p>
      <w:pPr>
        <w:spacing w:after="0"/>
        <w:ind w:left="0"/>
        <w:jc w:val="both"/>
      </w:pPr>
      <w:r>
        <w:rPr>
          <w:rFonts w:ascii="Times New Roman"/>
          <w:b w:val="false"/>
          <w:i w:val="false"/>
          <w:color w:val="000000"/>
          <w:sz w:val="28"/>
        </w:rPr>
        <w:t>
      ___________________________________________________________________________</w:t>
      </w:r>
    </w:p>
    <w:bookmarkEnd w:id="4005"/>
    <w:bookmarkStart w:name="z4116" w:id="4006"/>
    <w:p>
      <w:pPr>
        <w:spacing w:after="0"/>
        <w:ind w:left="0"/>
        <w:jc w:val="both"/>
      </w:pPr>
      <w:r>
        <w:rPr>
          <w:rFonts w:ascii="Times New Roman"/>
          <w:b w:val="false"/>
          <w:i w:val="false"/>
          <w:color w:val="000000"/>
          <w:sz w:val="28"/>
        </w:rPr>
        <w:t>
      ___________________________________________________________________________</w:t>
      </w:r>
    </w:p>
    <w:bookmarkEnd w:id="4006"/>
    <w:bookmarkStart w:name="z4117" w:id="4007"/>
    <w:p>
      <w:pPr>
        <w:spacing w:after="0"/>
        <w:ind w:left="0"/>
        <w:jc w:val="both"/>
      </w:pPr>
      <w:r>
        <w:rPr>
          <w:rFonts w:ascii="Times New Roman"/>
          <w:b w:val="false"/>
          <w:i w:val="false"/>
          <w:color w:val="000000"/>
          <w:sz w:val="28"/>
        </w:rPr>
        <w:t>
       </w:t>
      </w:r>
    </w:p>
    <w:bookmarkEnd w:id="4007"/>
    <w:bookmarkStart w:name="z4118" w:id="4008"/>
    <w:p>
      <w:pPr>
        <w:spacing w:after="0"/>
        <w:ind w:left="0"/>
        <w:jc w:val="both"/>
      </w:pPr>
      <w:r>
        <w:rPr>
          <w:rFonts w:ascii="Times New Roman"/>
          <w:b w:val="false"/>
          <w:i w:val="false"/>
          <w:color w:val="000000"/>
          <w:sz w:val="28"/>
        </w:rPr>
        <w:t>
      Исследование биоэквивалентности и референтный препарат или клиническая разработка лекарственной формы</w:t>
      </w:r>
    </w:p>
    <w:bookmarkEnd w:id="4008"/>
    <w:bookmarkStart w:name="z4119" w:id="4009"/>
    <w:p>
      <w:pPr>
        <w:spacing w:after="0"/>
        <w:ind w:left="0"/>
        <w:jc w:val="both"/>
      </w:pPr>
      <w:r>
        <w:rPr>
          <w:rFonts w:ascii="Times New Roman"/>
          <w:b w:val="false"/>
          <w:i w:val="false"/>
          <w:color w:val="000000"/>
          <w:sz w:val="28"/>
        </w:rPr>
        <w:t>
       </w:t>
      </w:r>
    </w:p>
    <w:bookmarkEnd w:id="4009"/>
    <w:bookmarkStart w:name="z4120" w:id="4010"/>
    <w:p>
      <w:pPr>
        <w:spacing w:after="0"/>
        <w:ind w:left="0"/>
        <w:jc w:val="both"/>
      </w:pPr>
      <w:r>
        <w:rPr>
          <w:rFonts w:ascii="Times New Roman"/>
          <w:b w:val="false"/>
          <w:i w:val="false"/>
          <w:color w:val="000000"/>
          <w:sz w:val="28"/>
        </w:rPr>
        <w:t>
      ___________________________________________________________________________</w:t>
      </w:r>
    </w:p>
    <w:bookmarkEnd w:id="4010"/>
    <w:bookmarkStart w:name="z4121" w:id="4011"/>
    <w:p>
      <w:pPr>
        <w:spacing w:after="0"/>
        <w:ind w:left="0"/>
        <w:jc w:val="both"/>
      </w:pPr>
      <w:r>
        <w:rPr>
          <w:rFonts w:ascii="Times New Roman"/>
          <w:b w:val="false"/>
          <w:i w:val="false"/>
          <w:color w:val="000000"/>
          <w:sz w:val="28"/>
        </w:rPr>
        <w:t>
      ___________________________________________________________________________</w:t>
      </w:r>
    </w:p>
    <w:bookmarkEnd w:id="4011"/>
    <w:bookmarkStart w:name="z4122" w:id="4012"/>
    <w:p>
      <w:pPr>
        <w:spacing w:after="0"/>
        <w:ind w:left="0"/>
        <w:jc w:val="both"/>
      </w:pPr>
      <w:r>
        <w:rPr>
          <w:rFonts w:ascii="Times New Roman"/>
          <w:b w:val="false"/>
          <w:i w:val="false"/>
          <w:color w:val="000000"/>
          <w:sz w:val="28"/>
        </w:rPr>
        <w:t>
      ___________________________________________________________________________</w:t>
      </w:r>
    </w:p>
    <w:bookmarkEnd w:id="4012"/>
    <w:bookmarkStart w:name="z4123" w:id="4013"/>
    <w:p>
      <w:pPr>
        <w:spacing w:after="0"/>
        <w:ind w:left="0"/>
        <w:jc w:val="both"/>
      </w:pPr>
      <w:r>
        <w:rPr>
          <w:rFonts w:ascii="Times New Roman"/>
          <w:b w:val="false"/>
          <w:i w:val="false"/>
          <w:color w:val="000000"/>
          <w:sz w:val="28"/>
        </w:rPr>
        <w:t>
       </w:t>
      </w:r>
    </w:p>
    <w:bookmarkEnd w:id="4013"/>
    <w:bookmarkStart w:name="z4124" w:id="4014"/>
    <w:p>
      <w:pPr>
        <w:spacing w:after="0"/>
        <w:ind w:left="0"/>
        <w:jc w:val="both"/>
      </w:pPr>
      <w:r>
        <w:rPr>
          <w:rFonts w:ascii="Times New Roman"/>
          <w:b w:val="false"/>
          <w:i w:val="false"/>
          <w:color w:val="000000"/>
          <w:sz w:val="28"/>
        </w:rPr>
        <w:t>
      4.2.6. Производственные избытки (раздел P.2.2.2).</w:t>
      </w:r>
    </w:p>
    <w:bookmarkEnd w:id="4014"/>
    <w:bookmarkStart w:name="z4125" w:id="4015"/>
    <w:p>
      <w:pPr>
        <w:spacing w:after="0"/>
        <w:ind w:left="0"/>
        <w:jc w:val="both"/>
      </w:pPr>
      <w:r>
        <w:rPr>
          <w:rFonts w:ascii="Times New Roman"/>
          <w:b w:val="false"/>
          <w:i w:val="false"/>
          <w:color w:val="000000"/>
          <w:sz w:val="28"/>
        </w:rPr>
        <w:t>
       </w:t>
      </w:r>
    </w:p>
    <w:bookmarkEnd w:id="4015"/>
    <w:bookmarkStart w:name="z4126" w:id="4016"/>
    <w:p>
      <w:pPr>
        <w:spacing w:after="0"/>
        <w:ind w:left="0"/>
        <w:jc w:val="both"/>
      </w:pPr>
      <w:r>
        <w:rPr>
          <w:rFonts w:ascii="Times New Roman"/>
          <w:b w:val="false"/>
          <w:i w:val="false"/>
          <w:color w:val="000000"/>
          <w:sz w:val="28"/>
        </w:rPr>
        <w:t>
      ___________________________________________________________________________</w:t>
      </w:r>
    </w:p>
    <w:bookmarkEnd w:id="4016"/>
    <w:bookmarkStart w:name="z4127" w:id="4017"/>
    <w:p>
      <w:pPr>
        <w:spacing w:after="0"/>
        <w:ind w:left="0"/>
        <w:jc w:val="both"/>
      </w:pPr>
      <w:r>
        <w:rPr>
          <w:rFonts w:ascii="Times New Roman"/>
          <w:b w:val="false"/>
          <w:i w:val="false"/>
          <w:color w:val="000000"/>
          <w:sz w:val="28"/>
        </w:rPr>
        <w:t>
      ___________________________________________________________________________</w:t>
      </w:r>
    </w:p>
    <w:bookmarkEnd w:id="4017"/>
    <w:bookmarkStart w:name="z4128" w:id="4018"/>
    <w:p>
      <w:pPr>
        <w:spacing w:after="0"/>
        <w:ind w:left="0"/>
        <w:jc w:val="both"/>
      </w:pPr>
      <w:r>
        <w:rPr>
          <w:rFonts w:ascii="Times New Roman"/>
          <w:b w:val="false"/>
          <w:i w:val="false"/>
          <w:color w:val="000000"/>
          <w:sz w:val="28"/>
        </w:rPr>
        <w:t>
      ___________________________________________________________________________</w:t>
      </w:r>
    </w:p>
    <w:bookmarkEnd w:id="4018"/>
    <w:bookmarkStart w:name="z4129" w:id="4019"/>
    <w:p>
      <w:pPr>
        <w:spacing w:after="0"/>
        <w:ind w:left="0"/>
        <w:jc w:val="both"/>
      </w:pPr>
      <w:r>
        <w:rPr>
          <w:rFonts w:ascii="Times New Roman"/>
          <w:b w:val="false"/>
          <w:i w:val="false"/>
          <w:color w:val="000000"/>
          <w:sz w:val="28"/>
        </w:rPr>
        <w:t>
       </w:t>
      </w:r>
    </w:p>
    <w:bookmarkEnd w:id="4019"/>
    <w:bookmarkStart w:name="z4130" w:id="4020"/>
    <w:p>
      <w:pPr>
        <w:spacing w:after="0"/>
        <w:ind w:left="0"/>
        <w:jc w:val="both"/>
      </w:pPr>
      <w:r>
        <w:rPr>
          <w:rFonts w:ascii="Times New Roman"/>
          <w:b w:val="false"/>
          <w:i w:val="false"/>
          <w:color w:val="000000"/>
          <w:sz w:val="28"/>
        </w:rPr>
        <w:t>
      4.2.7. Физико-химические и биологические свойства (раздел P.2.2.3).</w:t>
      </w:r>
    </w:p>
    <w:bookmarkEnd w:id="4020"/>
    <w:bookmarkStart w:name="z4131" w:id="4021"/>
    <w:p>
      <w:pPr>
        <w:spacing w:after="0"/>
        <w:ind w:left="0"/>
        <w:jc w:val="both"/>
      </w:pPr>
      <w:r>
        <w:rPr>
          <w:rFonts w:ascii="Times New Roman"/>
          <w:b w:val="false"/>
          <w:i w:val="false"/>
          <w:color w:val="000000"/>
          <w:sz w:val="28"/>
        </w:rPr>
        <w:t>
       </w:t>
      </w:r>
    </w:p>
    <w:bookmarkEnd w:id="4021"/>
    <w:bookmarkStart w:name="z4132" w:id="4022"/>
    <w:p>
      <w:pPr>
        <w:spacing w:after="0"/>
        <w:ind w:left="0"/>
        <w:jc w:val="both"/>
      </w:pPr>
      <w:r>
        <w:rPr>
          <w:rFonts w:ascii="Times New Roman"/>
          <w:b w:val="false"/>
          <w:i w:val="false"/>
          <w:color w:val="000000"/>
          <w:sz w:val="28"/>
        </w:rPr>
        <w:t>
      ___________________________________________________________________________</w:t>
      </w:r>
    </w:p>
    <w:bookmarkEnd w:id="4022"/>
    <w:bookmarkStart w:name="z4133" w:id="4023"/>
    <w:p>
      <w:pPr>
        <w:spacing w:after="0"/>
        <w:ind w:left="0"/>
        <w:jc w:val="both"/>
      </w:pPr>
      <w:r>
        <w:rPr>
          <w:rFonts w:ascii="Times New Roman"/>
          <w:b w:val="false"/>
          <w:i w:val="false"/>
          <w:color w:val="000000"/>
          <w:sz w:val="28"/>
        </w:rPr>
        <w:t>
      ___________________________________________________________________________</w:t>
      </w:r>
    </w:p>
    <w:bookmarkEnd w:id="4023"/>
    <w:bookmarkStart w:name="z4134" w:id="4024"/>
    <w:p>
      <w:pPr>
        <w:spacing w:after="0"/>
        <w:ind w:left="0"/>
        <w:jc w:val="both"/>
      </w:pPr>
      <w:r>
        <w:rPr>
          <w:rFonts w:ascii="Times New Roman"/>
          <w:b w:val="false"/>
          <w:i w:val="false"/>
          <w:color w:val="000000"/>
          <w:sz w:val="28"/>
        </w:rPr>
        <w:t>
      ___________________________________________________________________________</w:t>
      </w:r>
    </w:p>
    <w:bookmarkEnd w:id="4024"/>
    <w:bookmarkStart w:name="z4135" w:id="4025"/>
    <w:p>
      <w:pPr>
        <w:spacing w:after="0"/>
        <w:ind w:left="0"/>
        <w:jc w:val="both"/>
      </w:pPr>
      <w:r>
        <w:rPr>
          <w:rFonts w:ascii="Times New Roman"/>
          <w:b w:val="false"/>
          <w:i w:val="false"/>
          <w:color w:val="000000"/>
          <w:sz w:val="28"/>
        </w:rPr>
        <w:t>
       </w:t>
      </w:r>
    </w:p>
    <w:bookmarkEnd w:id="4025"/>
    <w:bookmarkStart w:name="z4136" w:id="4026"/>
    <w:p>
      <w:pPr>
        <w:spacing w:after="0"/>
        <w:ind w:left="0"/>
        <w:jc w:val="both"/>
      </w:pPr>
      <w:r>
        <w:rPr>
          <w:rFonts w:ascii="Times New Roman"/>
          <w:b w:val="false"/>
          <w:i w:val="false"/>
          <w:color w:val="000000"/>
          <w:sz w:val="28"/>
        </w:rPr>
        <w:t>
      4.2.8. Разработка производственного процесса (раздел P.2.3).</w:t>
      </w:r>
    </w:p>
    <w:bookmarkEnd w:id="4026"/>
    <w:bookmarkStart w:name="z4137" w:id="4027"/>
    <w:p>
      <w:pPr>
        <w:spacing w:after="0"/>
        <w:ind w:left="0"/>
        <w:jc w:val="both"/>
      </w:pPr>
      <w:r>
        <w:rPr>
          <w:rFonts w:ascii="Times New Roman"/>
          <w:b w:val="false"/>
          <w:i w:val="false"/>
          <w:color w:val="000000"/>
          <w:sz w:val="28"/>
        </w:rPr>
        <w:t>
       </w:t>
      </w:r>
    </w:p>
    <w:bookmarkEnd w:id="4027"/>
    <w:bookmarkStart w:name="z4138" w:id="4028"/>
    <w:p>
      <w:pPr>
        <w:spacing w:after="0"/>
        <w:ind w:left="0"/>
        <w:jc w:val="both"/>
      </w:pPr>
      <w:r>
        <w:rPr>
          <w:rFonts w:ascii="Times New Roman"/>
          <w:b w:val="false"/>
          <w:i w:val="false"/>
          <w:color w:val="000000"/>
          <w:sz w:val="28"/>
        </w:rPr>
        <w:t>
      ___________________________________________________________________________</w:t>
      </w:r>
    </w:p>
    <w:bookmarkEnd w:id="4028"/>
    <w:bookmarkStart w:name="z4139" w:id="4029"/>
    <w:p>
      <w:pPr>
        <w:spacing w:after="0"/>
        <w:ind w:left="0"/>
        <w:jc w:val="both"/>
      </w:pPr>
      <w:r>
        <w:rPr>
          <w:rFonts w:ascii="Times New Roman"/>
          <w:b w:val="false"/>
          <w:i w:val="false"/>
          <w:color w:val="000000"/>
          <w:sz w:val="28"/>
        </w:rPr>
        <w:t>
      ___________________________________________________________________________</w:t>
      </w:r>
    </w:p>
    <w:bookmarkEnd w:id="4029"/>
    <w:bookmarkStart w:name="z4140" w:id="4030"/>
    <w:p>
      <w:pPr>
        <w:spacing w:after="0"/>
        <w:ind w:left="0"/>
        <w:jc w:val="both"/>
      </w:pPr>
      <w:r>
        <w:rPr>
          <w:rFonts w:ascii="Times New Roman"/>
          <w:b w:val="false"/>
          <w:i w:val="false"/>
          <w:color w:val="000000"/>
          <w:sz w:val="28"/>
        </w:rPr>
        <w:t>
      ___________________________________________________________________________</w:t>
      </w:r>
    </w:p>
    <w:bookmarkEnd w:id="4030"/>
    <w:bookmarkStart w:name="z4141" w:id="4031"/>
    <w:p>
      <w:pPr>
        <w:spacing w:after="0"/>
        <w:ind w:left="0"/>
        <w:jc w:val="both"/>
      </w:pPr>
      <w:r>
        <w:rPr>
          <w:rFonts w:ascii="Times New Roman"/>
          <w:b w:val="false"/>
          <w:i w:val="false"/>
          <w:color w:val="000000"/>
          <w:sz w:val="28"/>
        </w:rPr>
        <w:t>
       </w:t>
      </w:r>
    </w:p>
    <w:bookmarkEnd w:id="4031"/>
    <w:bookmarkStart w:name="z4142" w:id="4032"/>
    <w:p>
      <w:pPr>
        <w:spacing w:after="0"/>
        <w:ind w:left="0"/>
        <w:jc w:val="both"/>
      </w:pPr>
      <w:r>
        <w:rPr>
          <w:rFonts w:ascii="Times New Roman"/>
          <w:b w:val="false"/>
          <w:i w:val="false"/>
          <w:color w:val="000000"/>
          <w:sz w:val="28"/>
        </w:rPr>
        <w:t>
      4.2.9. Система упаковки (укупорки) (раздел P.2.4).</w:t>
      </w:r>
    </w:p>
    <w:bookmarkEnd w:id="4032"/>
    <w:bookmarkStart w:name="z4143" w:id="4033"/>
    <w:p>
      <w:pPr>
        <w:spacing w:after="0"/>
        <w:ind w:left="0"/>
        <w:jc w:val="both"/>
      </w:pPr>
      <w:r>
        <w:rPr>
          <w:rFonts w:ascii="Times New Roman"/>
          <w:b w:val="false"/>
          <w:i w:val="false"/>
          <w:color w:val="000000"/>
          <w:sz w:val="28"/>
        </w:rPr>
        <w:t>
       </w:t>
      </w:r>
    </w:p>
    <w:bookmarkEnd w:id="4033"/>
    <w:bookmarkStart w:name="z4144" w:id="4034"/>
    <w:p>
      <w:pPr>
        <w:spacing w:after="0"/>
        <w:ind w:left="0"/>
        <w:jc w:val="both"/>
      </w:pPr>
      <w:r>
        <w:rPr>
          <w:rFonts w:ascii="Times New Roman"/>
          <w:b w:val="false"/>
          <w:i w:val="false"/>
          <w:color w:val="000000"/>
          <w:sz w:val="28"/>
        </w:rPr>
        <w:t>
      ___________________________________________________________________________</w:t>
      </w:r>
    </w:p>
    <w:bookmarkEnd w:id="4034"/>
    <w:bookmarkStart w:name="z4145" w:id="4035"/>
    <w:p>
      <w:pPr>
        <w:spacing w:after="0"/>
        <w:ind w:left="0"/>
        <w:jc w:val="both"/>
      </w:pPr>
      <w:r>
        <w:rPr>
          <w:rFonts w:ascii="Times New Roman"/>
          <w:b w:val="false"/>
          <w:i w:val="false"/>
          <w:color w:val="000000"/>
          <w:sz w:val="28"/>
        </w:rPr>
        <w:t>
      ___________________________________________________________________________</w:t>
      </w:r>
    </w:p>
    <w:bookmarkEnd w:id="4035"/>
    <w:bookmarkStart w:name="z4146" w:id="4036"/>
    <w:p>
      <w:pPr>
        <w:spacing w:after="0"/>
        <w:ind w:left="0"/>
        <w:jc w:val="both"/>
      </w:pPr>
      <w:r>
        <w:rPr>
          <w:rFonts w:ascii="Times New Roman"/>
          <w:b w:val="false"/>
          <w:i w:val="false"/>
          <w:color w:val="000000"/>
          <w:sz w:val="28"/>
        </w:rPr>
        <w:t>
      ___________________________________________________________________________</w:t>
      </w:r>
    </w:p>
    <w:bookmarkEnd w:id="4036"/>
    <w:bookmarkStart w:name="z4147" w:id="4037"/>
    <w:p>
      <w:pPr>
        <w:spacing w:after="0"/>
        <w:ind w:left="0"/>
        <w:jc w:val="both"/>
      </w:pPr>
      <w:r>
        <w:rPr>
          <w:rFonts w:ascii="Times New Roman"/>
          <w:b w:val="false"/>
          <w:i w:val="false"/>
          <w:color w:val="000000"/>
          <w:sz w:val="28"/>
        </w:rPr>
        <w:t>
       </w:t>
      </w:r>
    </w:p>
    <w:bookmarkEnd w:id="4037"/>
    <w:bookmarkStart w:name="z4148" w:id="4038"/>
    <w:p>
      <w:pPr>
        <w:spacing w:after="0"/>
        <w:ind w:left="0"/>
        <w:jc w:val="both"/>
      </w:pPr>
      <w:r>
        <w:rPr>
          <w:rFonts w:ascii="Times New Roman"/>
          <w:b w:val="false"/>
          <w:i w:val="false"/>
          <w:color w:val="000000"/>
          <w:sz w:val="28"/>
        </w:rPr>
        <w:t>
      4.2.10. Микробиологические характеристики (раздел P.2.5).</w:t>
      </w:r>
    </w:p>
    <w:bookmarkEnd w:id="4038"/>
    <w:bookmarkStart w:name="z4149" w:id="4039"/>
    <w:p>
      <w:pPr>
        <w:spacing w:after="0"/>
        <w:ind w:left="0"/>
        <w:jc w:val="both"/>
      </w:pPr>
      <w:r>
        <w:rPr>
          <w:rFonts w:ascii="Times New Roman"/>
          <w:b w:val="false"/>
          <w:i w:val="false"/>
          <w:color w:val="000000"/>
          <w:sz w:val="28"/>
        </w:rPr>
        <w:t>
       </w:t>
      </w:r>
    </w:p>
    <w:bookmarkEnd w:id="4039"/>
    <w:bookmarkStart w:name="z4150" w:id="4040"/>
    <w:p>
      <w:pPr>
        <w:spacing w:after="0"/>
        <w:ind w:left="0"/>
        <w:jc w:val="both"/>
      </w:pPr>
      <w:r>
        <w:rPr>
          <w:rFonts w:ascii="Times New Roman"/>
          <w:b w:val="false"/>
          <w:i w:val="false"/>
          <w:color w:val="000000"/>
          <w:sz w:val="28"/>
        </w:rPr>
        <w:t>
      ___________________________________________________________________________</w:t>
      </w:r>
    </w:p>
    <w:bookmarkEnd w:id="4040"/>
    <w:bookmarkStart w:name="z4151" w:id="4041"/>
    <w:p>
      <w:pPr>
        <w:spacing w:after="0"/>
        <w:ind w:left="0"/>
        <w:jc w:val="both"/>
      </w:pPr>
      <w:r>
        <w:rPr>
          <w:rFonts w:ascii="Times New Roman"/>
          <w:b w:val="false"/>
          <w:i w:val="false"/>
          <w:color w:val="000000"/>
          <w:sz w:val="28"/>
        </w:rPr>
        <w:t>
      ___________________________________________________________________________</w:t>
      </w:r>
    </w:p>
    <w:bookmarkEnd w:id="4041"/>
    <w:bookmarkStart w:name="z4152" w:id="4042"/>
    <w:p>
      <w:pPr>
        <w:spacing w:after="0"/>
        <w:ind w:left="0"/>
        <w:jc w:val="both"/>
      </w:pPr>
      <w:r>
        <w:rPr>
          <w:rFonts w:ascii="Times New Roman"/>
          <w:b w:val="false"/>
          <w:i w:val="false"/>
          <w:color w:val="000000"/>
          <w:sz w:val="28"/>
        </w:rPr>
        <w:t>
      ___________________________________________________________________________</w:t>
      </w:r>
    </w:p>
    <w:bookmarkEnd w:id="4042"/>
    <w:bookmarkStart w:name="z4153" w:id="4043"/>
    <w:p>
      <w:pPr>
        <w:spacing w:after="0"/>
        <w:ind w:left="0"/>
        <w:jc w:val="both"/>
      </w:pPr>
      <w:r>
        <w:rPr>
          <w:rFonts w:ascii="Times New Roman"/>
          <w:b w:val="false"/>
          <w:i w:val="false"/>
          <w:color w:val="000000"/>
          <w:sz w:val="28"/>
        </w:rPr>
        <w:t>
       </w:t>
      </w:r>
    </w:p>
    <w:bookmarkEnd w:id="4043"/>
    <w:bookmarkStart w:name="z4154" w:id="4044"/>
    <w:p>
      <w:pPr>
        <w:spacing w:after="0"/>
        <w:ind w:left="0"/>
        <w:jc w:val="both"/>
      </w:pPr>
      <w:r>
        <w:rPr>
          <w:rFonts w:ascii="Times New Roman"/>
          <w:b w:val="false"/>
          <w:i w:val="false"/>
          <w:color w:val="000000"/>
          <w:sz w:val="28"/>
        </w:rPr>
        <w:t>
      4.2.11. Совместимость (раздел P.2.6).</w:t>
      </w:r>
    </w:p>
    <w:bookmarkEnd w:id="4044"/>
    <w:bookmarkStart w:name="z4155" w:id="4045"/>
    <w:p>
      <w:pPr>
        <w:spacing w:after="0"/>
        <w:ind w:left="0"/>
        <w:jc w:val="both"/>
      </w:pPr>
      <w:r>
        <w:rPr>
          <w:rFonts w:ascii="Times New Roman"/>
          <w:b w:val="false"/>
          <w:i w:val="false"/>
          <w:color w:val="000000"/>
          <w:sz w:val="28"/>
        </w:rPr>
        <w:t>
       </w:t>
      </w:r>
    </w:p>
    <w:bookmarkEnd w:id="4045"/>
    <w:bookmarkStart w:name="z4156" w:id="4046"/>
    <w:p>
      <w:pPr>
        <w:spacing w:after="0"/>
        <w:ind w:left="0"/>
        <w:jc w:val="both"/>
      </w:pPr>
      <w:r>
        <w:rPr>
          <w:rFonts w:ascii="Times New Roman"/>
          <w:b w:val="false"/>
          <w:i w:val="false"/>
          <w:color w:val="000000"/>
          <w:sz w:val="28"/>
        </w:rPr>
        <w:t>
      ___________________________________________________________________________</w:t>
      </w:r>
    </w:p>
    <w:bookmarkEnd w:id="4046"/>
    <w:bookmarkStart w:name="z4157" w:id="4047"/>
    <w:p>
      <w:pPr>
        <w:spacing w:after="0"/>
        <w:ind w:left="0"/>
        <w:jc w:val="both"/>
      </w:pPr>
      <w:r>
        <w:rPr>
          <w:rFonts w:ascii="Times New Roman"/>
          <w:b w:val="false"/>
          <w:i w:val="false"/>
          <w:color w:val="000000"/>
          <w:sz w:val="28"/>
        </w:rPr>
        <w:t>
      ___________________________________________________________________________</w:t>
      </w:r>
    </w:p>
    <w:bookmarkEnd w:id="4047"/>
    <w:bookmarkStart w:name="z4158" w:id="4048"/>
    <w:p>
      <w:pPr>
        <w:spacing w:after="0"/>
        <w:ind w:left="0"/>
        <w:jc w:val="both"/>
      </w:pPr>
      <w:r>
        <w:rPr>
          <w:rFonts w:ascii="Times New Roman"/>
          <w:b w:val="false"/>
          <w:i w:val="false"/>
          <w:color w:val="000000"/>
          <w:sz w:val="28"/>
        </w:rPr>
        <w:t>
      ___________________________________________________________________________</w:t>
      </w:r>
    </w:p>
    <w:bookmarkEnd w:id="4048"/>
    <w:bookmarkStart w:name="z4159" w:id="4049"/>
    <w:p>
      <w:pPr>
        <w:spacing w:after="0"/>
        <w:ind w:left="0"/>
        <w:jc w:val="both"/>
      </w:pPr>
      <w:r>
        <w:rPr>
          <w:rFonts w:ascii="Times New Roman"/>
          <w:b w:val="false"/>
          <w:i w:val="false"/>
          <w:color w:val="000000"/>
          <w:sz w:val="28"/>
        </w:rPr>
        <w:t>
       </w:t>
      </w:r>
    </w:p>
    <w:bookmarkEnd w:id="4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4050"/>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4050"/>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161" w:id="4051"/>
    <w:p>
      <w:pPr>
        <w:spacing w:after="0"/>
        <w:ind w:left="0"/>
        <w:jc w:val="both"/>
      </w:pPr>
      <w:r>
        <w:rPr>
          <w:rFonts w:ascii="Times New Roman"/>
          <w:b w:val="false"/>
          <w:i w:val="false"/>
          <w:color w:val="000000"/>
          <w:sz w:val="28"/>
        </w:rPr>
        <w:t>
       </w:t>
      </w:r>
    </w:p>
    <w:bookmarkEnd w:id="4051"/>
    <w:bookmarkStart w:name="z4162" w:id="4052"/>
    <w:p>
      <w:pPr>
        <w:spacing w:after="0"/>
        <w:ind w:left="0"/>
        <w:jc w:val="left"/>
      </w:pPr>
      <w:r>
        <w:rPr>
          <w:rFonts w:ascii="Times New Roman"/>
          <w:b/>
          <w:i w:val="false"/>
          <w:color w:val="000000"/>
        </w:rPr>
        <w:t xml:space="preserve"> 4.3. Процесс производства лекарственного препарата (модуль 3.2.P.3) </w:t>
      </w:r>
    </w:p>
    <w:bookmarkEnd w:id="4052"/>
    <w:bookmarkStart w:name="z4163" w:id="4053"/>
    <w:p>
      <w:pPr>
        <w:spacing w:after="0"/>
        <w:ind w:left="0"/>
        <w:jc w:val="both"/>
      </w:pPr>
      <w:r>
        <w:rPr>
          <w:rFonts w:ascii="Times New Roman"/>
          <w:b w:val="false"/>
          <w:i w:val="false"/>
          <w:color w:val="000000"/>
          <w:sz w:val="28"/>
        </w:rPr>
        <w:t>
       </w:t>
      </w:r>
    </w:p>
    <w:bookmarkEnd w:id="4053"/>
    <w:bookmarkStart w:name="z4164" w:id="4054"/>
    <w:p>
      <w:pPr>
        <w:spacing w:after="0"/>
        <w:ind w:left="0"/>
        <w:jc w:val="both"/>
      </w:pPr>
      <w:r>
        <w:rPr>
          <w:rFonts w:ascii="Times New Roman"/>
          <w:b w:val="false"/>
          <w:i w:val="false"/>
          <w:color w:val="000000"/>
          <w:sz w:val="28"/>
        </w:rPr>
        <w:t>
      4.3.1. Производители (раздел P.3.1).</w:t>
      </w:r>
    </w:p>
    <w:bookmarkEnd w:id="4054"/>
    <w:bookmarkStart w:name="z4165" w:id="4055"/>
    <w:p>
      <w:pPr>
        <w:spacing w:after="0"/>
        <w:ind w:left="0"/>
        <w:jc w:val="both"/>
      </w:pPr>
      <w:r>
        <w:rPr>
          <w:rFonts w:ascii="Times New Roman"/>
          <w:b w:val="false"/>
          <w:i w:val="false"/>
          <w:color w:val="000000"/>
          <w:sz w:val="28"/>
        </w:rPr>
        <w:t>
       </w:t>
      </w:r>
    </w:p>
    <w:bookmarkEnd w:id="4055"/>
    <w:bookmarkStart w:name="z4166" w:id="4056"/>
    <w:p>
      <w:pPr>
        <w:spacing w:after="0"/>
        <w:ind w:left="0"/>
        <w:jc w:val="both"/>
      </w:pPr>
      <w:r>
        <w:rPr>
          <w:rFonts w:ascii="Times New Roman"/>
          <w:b w:val="false"/>
          <w:i w:val="false"/>
          <w:color w:val="000000"/>
          <w:sz w:val="28"/>
        </w:rPr>
        <w:t>
      ___________________________________________________________________________</w:t>
      </w:r>
    </w:p>
    <w:bookmarkEnd w:id="4056"/>
    <w:bookmarkStart w:name="z4167" w:id="4057"/>
    <w:p>
      <w:pPr>
        <w:spacing w:after="0"/>
        <w:ind w:left="0"/>
        <w:jc w:val="both"/>
      </w:pPr>
      <w:r>
        <w:rPr>
          <w:rFonts w:ascii="Times New Roman"/>
          <w:b w:val="false"/>
          <w:i w:val="false"/>
          <w:color w:val="000000"/>
          <w:sz w:val="28"/>
        </w:rPr>
        <w:t>
      ___________________________________________________________________________</w:t>
      </w:r>
    </w:p>
    <w:bookmarkEnd w:id="4057"/>
    <w:bookmarkStart w:name="z4168" w:id="4058"/>
    <w:p>
      <w:pPr>
        <w:spacing w:after="0"/>
        <w:ind w:left="0"/>
        <w:jc w:val="both"/>
      </w:pPr>
      <w:r>
        <w:rPr>
          <w:rFonts w:ascii="Times New Roman"/>
          <w:b w:val="false"/>
          <w:i w:val="false"/>
          <w:color w:val="000000"/>
          <w:sz w:val="28"/>
        </w:rPr>
        <w:t>
      ___________________________________________________________________________</w:t>
      </w:r>
    </w:p>
    <w:bookmarkEnd w:id="4058"/>
    <w:bookmarkStart w:name="z4169" w:id="4059"/>
    <w:p>
      <w:pPr>
        <w:spacing w:after="0"/>
        <w:ind w:left="0"/>
        <w:jc w:val="both"/>
      </w:pPr>
      <w:r>
        <w:rPr>
          <w:rFonts w:ascii="Times New Roman"/>
          <w:b w:val="false"/>
          <w:i w:val="false"/>
          <w:color w:val="000000"/>
          <w:sz w:val="28"/>
        </w:rPr>
        <w:t>
       </w:t>
      </w:r>
    </w:p>
    <w:bookmarkEnd w:id="4059"/>
    <w:bookmarkStart w:name="z4170" w:id="4060"/>
    <w:p>
      <w:pPr>
        <w:spacing w:after="0"/>
        <w:ind w:left="0"/>
        <w:jc w:val="both"/>
      </w:pPr>
      <w:r>
        <w:rPr>
          <w:rFonts w:ascii="Times New Roman"/>
          <w:b w:val="false"/>
          <w:i w:val="false"/>
          <w:color w:val="000000"/>
          <w:sz w:val="28"/>
        </w:rPr>
        <w:t>
      4.3.2. Состав на серию (производственная рецептура) (раздел P.3.2).</w:t>
      </w:r>
    </w:p>
    <w:bookmarkEnd w:id="4060"/>
    <w:bookmarkStart w:name="z4171" w:id="4061"/>
    <w:p>
      <w:pPr>
        <w:spacing w:after="0"/>
        <w:ind w:left="0"/>
        <w:jc w:val="both"/>
      </w:pPr>
      <w:r>
        <w:rPr>
          <w:rFonts w:ascii="Times New Roman"/>
          <w:b w:val="false"/>
          <w:i w:val="false"/>
          <w:color w:val="000000"/>
          <w:sz w:val="28"/>
        </w:rPr>
        <w:t>
       </w:t>
      </w:r>
    </w:p>
    <w:bookmarkEnd w:id="4061"/>
    <w:bookmarkStart w:name="z4172" w:id="4062"/>
    <w:p>
      <w:pPr>
        <w:spacing w:after="0"/>
        <w:ind w:left="0"/>
        <w:jc w:val="both"/>
      </w:pPr>
      <w:r>
        <w:rPr>
          <w:rFonts w:ascii="Times New Roman"/>
          <w:b w:val="false"/>
          <w:i w:val="false"/>
          <w:color w:val="000000"/>
          <w:sz w:val="28"/>
        </w:rPr>
        <w:t>
      ___________________________________________________________________________</w:t>
      </w:r>
    </w:p>
    <w:bookmarkEnd w:id="4062"/>
    <w:bookmarkStart w:name="z4173" w:id="4063"/>
    <w:p>
      <w:pPr>
        <w:spacing w:after="0"/>
        <w:ind w:left="0"/>
        <w:jc w:val="both"/>
      </w:pPr>
      <w:r>
        <w:rPr>
          <w:rFonts w:ascii="Times New Roman"/>
          <w:b w:val="false"/>
          <w:i w:val="false"/>
          <w:color w:val="000000"/>
          <w:sz w:val="28"/>
        </w:rPr>
        <w:t>
      ___________________________________________________________________________</w:t>
      </w:r>
    </w:p>
    <w:bookmarkEnd w:id="4063"/>
    <w:bookmarkStart w:name="z4174" w:id="4064"/>
    <w:p>
      <w:pPr>
        <w:spacing w:after="0"/>
        <w:ind w:left="0"/>
        <w:jc w:val="both"/>
      </w:pPr>
      <w:r>
        <w:rPr>
          <w:rFonts w:ascii="Times New Roman"/>
          <w:b w:val="false"/>
          <w:i w:val="false"/>
          <w:color w:val="000000"/>
          <w:sz w:val="28"/>
        </w:rPr>
        <w:t>
      ___________________________________________________________________________</w:t>
      </w:r>
    </w:p>
    <w:bookmarkEnd w:id="4064"/>
    <w:bookmarkStart w:name="z4175" w:id="4065"/>
    <w:p>
      <w:pPr>
        <w:spacing w:after="0"/>
        <w:ind w:left="0"/>
        <w:jc w:val="both"/>
      </w:pPr>
      <w:r>
        <w:rPr>
          <w:rFonts w:ascii="Times New Roman"/>
          <w:b w:val="false"/>
          <w:i w:val="false"/>
          <w:color w:val="000000"/>
          <w:sz w:val="28"/>
        </w:rPr>
        <w:t>
       </w:t>
      </w:r>
    </w:p>
    <w:bookmarkEnd w:id="4065"/>
    <w:bookmarkStart w:name="z4176" w:id="4066"/>
    <w:p>
      <w:pPr>
        <w:spacing w:after="0"/>
        <w:ind w:left="0"/>
        <w:jc w:val="both"/>
      </w:pPr>
      <w:r>
        <w:rPr>
          <w:rFonts w:ascii="Times New Roman"/>
          <w:b w:val="false"/>
          <w:i w:val="false"/>
          <w:color w:val="000000"/>
          <w:sz w:val="28"/>
        </w:rPr>
        <w:t>
      4.3.3. Описание производственного процесса и его контроля (раздел P.3.3).</w:t>
      </w:r>
    </w:p>
    <w:bookmarkEnd w:id="4066"/>
    <w:bookmarkStart w:name="z4177" w:id="4067"/>
    <w:p>
      <w:pPr>
        <w:spacing w:after="0"/>
        <w:ind w:left="0"/>
        <w:jc w:val="both"/>
      </w:pPr>
      <w:r>
        <w:rPr>
          <w:rFonts w:ascii="Times New Roman"/>
          <w:b w:val="false"/>
          <w:i w:val="false"/>
          <w:color w:val="000000"/>
          <w:sz w:val="28"/>
        </w:rPr>
        <w:t>
       </w:t>
      </w:r>
    </w:p>
    <w:bookmarkEnd w:id="4067"/>
    <w:bookmarkStart w:name="z4178" w:id="4068"/>
    <w:p>
      <w:pPr>
        <w:spacing w:after="0"/>
        <w:ind w:left="0"/>
        <w:jc w:val="both"/>
      </w:pPr>
      <w:r>
        <w:rPr>
          <w:rFonts w:ascii="Times New Roman"/>
          <w:b w:val="false"/>
          <w:i w:val="false"/>
          <w:color w:val="000000"/>
          <w:sz w:val="28"/>
        </w:rPr>
        <w:t>
      ___________________________________________________________________________</w:t>
      </w:r>
    </w:p>
    <w:bookmarkEnd w:id="4068"/>
    <w:bookmarkStart w:name="z4179" w:id="4069"/>
    <w:p>
      <w:pPr>
        <w:spacing w:after="0"/>
        <w:ind w:left="0"/>
        <w:jc w:val="both"/>
      </w:pPr>
      <w:r>
        <w:rPr>
          <w:rFonts w:ascii="Times New Roman"/>
          <w:b w:val="false"/>
          <w:i w:val="false"/>
          <w:color w:val="000000"/>
          <w:sz w:val="28"/>
        </w:rPr>
        <w:t>
      ___________________________________________________________________________</w:t>
      </w:r>
    </w:p>
    <w:bookmarkEnd w:id="4069"/>
    <w:bookmarkStart w:name="z4180" w:id="4070"/>
    <w:p>
      <w:pPr>
        <w:spacing w:after="0"/>
        <w:ind w:left="0"/>
        <w:jc w:val="both"/>
      </w:pPr>
      <w:r>
        <w:rPr>
          <w:rFonts w:ascii="Times New Roman"/>
          <w:b w:val="false"/>
          <w:i w:val="false"/>
          <w:color w:val="000000"/>
          <w:sz w:val="28"/>
        </w:rPr>
        <w:t>
      ___________________________________________________________________________</w:t>
      </w:r>
    </w:p>
    <w:bookmarkEnd w:id="4070"/>
    <w:bookmarkStart w:name="z4181" w:id="4071"/>
    <w:p>
      <w:pPr>
        <w:spacing w:after="0"/>
        <w:ind w:left="0"/>
        <w:jc w:val="both"/>
      </w:pPr>
      <w:r>
        <w:rPr>
          <w:rFonts w:ascii="Times New Roman"/>
          <w:b w:val="false"/>
          <w:i w:val="false"/>
          <w:color w:val="000000"/>
          <w:sz w:val="28"/>
        </w:rPr>
        <w:t>
       </w:t>
      </w:r>
    </w:p>
    <w:bookmarkEnd w:id="4071"/>
    <w:bookmarkStart w:name="z4182" w:id="4072"/>
    <w:p>
      <w:pPr>
        <w:spacing w:after="0"/>
        <w:ind w:left="0"/>
        <w:jc w:val="both"/>
      </w:pPr>
      <w:r>
        <w:rPr>
          <w:rFonts w:ascii="Times New Roman"/>
          <w:b w:val="false"/>
          <w:i w:val="false"/>
          <w:color w:val="000000"/>
          <w:sz w:val="28"/>
        </w:rPr>
        <w:t>
      4.3.4. Контроль критических стадий и промежуточной продукции (раздел P.3.4).</w:t>
      </w:r>
    </w:p>
    <w:bookmarkEnd w:id="4072"/>
    <w:bookmarkStart w:name="z4183" w:id="4073"/>
    <w:p>
      <w:pPr>
        <w:spacing w:after="0"/>
        <w:ind w:left="0"/>
        <w:jc w:val="both"/>
      </w:pPr>
      <w:r>
        <w:rPr>
          <w:rFonts w:ascii="Times New Roman"/>
          <w:b w:val="false"/>
          <w:i w:val="false"/>
          <w:color w:val="000000"/>
          <w:sz w:val="28"/>
        </w:rPr>
        <w:t>
       </w:t>
      </w:r>
    </w:p>
    <w:bookmarkEnd w:id="4073"/>
    <w:bookmarkStart w:name="z4184" w:id="4074"/>
    <w:p>
      <w:pPr>
        <w:spacing w:after="0"/>
        <w:ind w:left="0"/>
        <w:jc w:val="both"/>
      </w:pPr>
      <w:r>
        <w:rPr>
          <w:rFonts w:ascii="Times New Roman"/>
          <w:b w:val="false"/>
          <w:i w:val="false"/>
          <w:color w:val="000000"/>
          <w:sz w:val="28"/>
        </w:rPr>
        <w:t>
      ___________________________________________________________________________</w:t>
      </w:r>
    </w:p>
    <w:bookmarkEnd w:id="4074"/>
    <w:bookmarkStart w:name="z4185" w:id="4075"/>
    <w:p>
      <w:pPr>
        <w:spacing w:after="0"/>
        <w:ind w:left="0"/>
        <w:jc w:val="both"/>
      </w:pPr>
      <w:r>
        <w:rPr>
          <w:rFonts w:ascii="Times New Roman"/>
          <w:b w:val="false"/>
          <w:i w:val="false"/>
          <w:color w:val="000000"/>
          <w:sz w:val="28"/>
        </w:rPr>
        <w:t>
      ___________________________________________________________________________</w:t>
      </w:r>
    </w:p>
    <w:bookmarkEnd w:id="4075"/>
    <w:bookmarkStart w:name="z4186" w:id="4076"/>
    <w:p>
      <w:pPr>
        <w:spacing w:after="0"/>
        <w:ind w:left="0"/>
        <w:jc w:val="both"/>
      </w:pPr>
      <w:r>
        <w:rPr>
          <w:rFonts w:ascii="Times New Roman"/>
          <w:b w:val="false"/>
          <w:i w:val="false"/>
          <w:color w:val="000000"/>
          <w:sz w:val="28"/>
        </w:rPr>
        <w:t>
      ___________________________________________________________________________</w:t>
      </w:r>
    </w:p>
    <w:bookmarkEnd w:id="4076"/>
    <w:bookmarkStart w:name="z4187" w:id="4077"/>
    <w:p>
      <w:pPr>
        <w:spacing w:after="0"/>
        <w:ind w:left="0"/>
        <w:jc w:val="both"/>
      </w:pPr>
      <w:r>
        <w:rPr>
          <w:rFonts w:ascii="Times New Roman"/>
          <w:b w:val="false"/>
          <w:i w:val="false"/>
          <w:color w:val="000000"/>
          <w:sz w:val="28"/>
        </w:rPr>
        <w:t>
       </w:t>
      </w:r>
    </w:p>
    <w:bookmarkEnd w:id="4077"/>
    <w:bookmarkStart w:name="z4188" w:id="4078"/>
    <w:p>
      <w:pPr>
        <w:spacing w:after="0"/>
        <w:ind w:left="0"/>
        <w:jc w:val="both"/>
      </w:pPr>
      <w:r>
        <w:rPr>
          <w:rFonts w:ascii="Times New Roman"/>
          <w:b w:val="false"/>
          <w:i w:val="false"/>
          <w:color w:val="000000"/>
          <w:sz w:val="28"/>
        </w:rPr>
        <w:t>
      4.3.5. Валидация производственного процесса и (или) его оценка (раздел P.3.5).</w:t>
      </w:r>
    </w:p>
    <w:bookmarkEnd w:id="4078"/>
    <w:bookmarkStart w:name="z4189" w:id="4079"/>
    <w:p>
      <w:pPr>
        <w:spacing w:after="0"/>
        <w:ind w:left="0"/>
        <w:jc w:val="both"/>
      </w:pPr>
      <w:r>
        <w:rPr>
          <w:rFonts w:ascii="Times New Roman"/>
          <w:b w:val="false"/>
          <w:i w:val="false"/>
          <w:color w:val="000000"/>
          <w:sz w:val="28"/>
        </w:rPr>
        <w:t>
       </w:t>
      </w:r>
    </w:p>
    <w:bookmarkEnd w:id="4079"/>
    <w:bookmarkStart w:name="z4190" w:id="4080"/>
    <w:p>
      <w:pPr>
        <w:spacing w:after="0"/>
        <w:ind w:left="0"/>
        <w:jc w:val="both"/>
      </w:pPr>
      <w:r>
        <w:rPr>
          <w:rFonts w:ascii="Times New Roman"/>
          <w:b w:val="false"/>
          <w:i w:val="false"/>
          <w:color w:val="000000"/>
          <w:sz w:val="28"/>
        </w:rPr>
        <w:t>
      ___________________________________________________________________________</w:t>
      </w:r>
    </w:p>
    <w:bookmarkEnd w:id="4080"/>
    <w:bookmarkStart w:name="z4191" w:id="4081"/>
    <w:p>
      <w:pPr>
        <w:spacing w:after="0"/>
        <w:ind w:left="0"/>
        <w:jc w:val="both"/>
      </w:pPr>
      <w:r>
        <w:rPr>
          <w:rFonts w:ascii="Times New Roman"/>
          <w:b w:val="false"/>
          <w:i w:val="false"/>
          <w:color w:val="000000"/>
          <w:sz w:val="28"/>
        </w:rPr>
        <w:t>
      ___________________________________________________________________________</w:t>
      </w:r>
    </w:p>
    <w:bookmarkEnd w:id="4081"/>
    <w:bookmarkStart w:name="z4192" w:id="4082"/>
    <w:p>
      <w:pPr>
        <w:spacing w:after="0"/>
        <w:ind w:left="0"/>
        <w:jc w:val="both"/>
      </w:pPr>
      <w:r>
        <w:rPr>
          <w:rFonts w:ascii="Times New Roman"/>
          <w:b w:val="false"/>
          <w:i w:val="false"/>
          <w:color w:val="000000"/>
          <w:sz w:val="28"/>
        </w:rPr>
        <w:t>
      ___________________________________________________________________________</w:t>
      </w:r>
    </w:p>
    <w:bookmarkEnd w:id="4082"/>
    <w:bookmarkStart w:name="z4193" w:id="4083"/>
    <w:p>
      <w:pPr>
        <w:spacing w:after="0"/>
        <w:ind w:left="0"/>
        <w:jc w:val="both"/>
      </w:pPr>
      <w:r>
        <w:rPr>
          <w:rFonts w:ascii="Times New Roman"/>
          <w:b w:val="false"/>
          <w:i w:val="false"/>
          <w:color w:val="000000"/>
          <w:sz w:val="28"/>
        </w:rPr>
        <w:t>
       </w:t>
      </w:r>
    </w:p>
    <w:bookmarkEnd w:id="4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4084"/>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4084"/>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195" w:id="4085"/>
    <w:p>
      <w:pPr>
        <w:spacing w:after="0"/>
        <w:ind w:left="0"/>
        <w:jc w:val="both"/>
      </w:pPr>
      <w:r>
        <w:rPr>
          <w:rFonts w:ascii="Times New Roman"/>
          <w:b w:val="false"/>
          <w:i w:val="false"/>
          <w:color w:val="000000"/>
          <w:sz w:val="28"/>
        </w:rPr>
        <w:t>
       </w:t>
      </w:r>
    </w:p>
    <w:bookmarkEnd w:id="4085"/>
    <w:bookmarkStart w:name="z4196" w:id="4086"/>
    <w:p>
      <w:pPr>
        <w:spacing w:after="0"/>
        <w:ind w:left="0"/>
        <w:jc w:val="left"/>
      </w:pPr>
      <w:r>
        <w:rPr>
          <w:rFonts w:ascii="Times New Roman"/>
          <w:b/>
          <w:i w:val="false"/>
          <w:color w:val="000000"/>
        </w:rPr>
        <w:t xml:space="preserve"> 4.4. Контроль качества вспомогательных веществ (модуль 3.2.P.4) </w:t>
      </w:r>
    </w:p>
    <w:bookmarkEnd w:id="4086"/>
    <w:bookmarkStart w:name="z4197" w:id="4087"/>
    <w:p>
      <w:pPr>
        <w:spacing w:after="0"/>
        <w:ind w:left="0"/>
        <w:jc w:val="both"/>
      </w:pPr>
      <w:r>
        <w:rPr>
          <w:rFonts w:ascii="Times New Roman"/>
          <w:b w:val="false"/>
          <w:i w:val="false"/>
          <w:color w:val="000000"/>
          <w:sz w:val="28"/>
        </w:rPr>
        <w:t>
       </w:t>
      </w:r>
    </w:p>
    <w:bookmarkEnd w:id="4087"/>
    <w:bookmarkStart w:name="z4198" w:id="4088"/>
    <w:p>
      <w:pPr>
        <w:spacing w:after="0"/>
        <w:ind w:left="0"/>
        <w:jc w:val="both"/>
      </w:pPr>
      <w:r>
        <w:rPr>
          <w:rFonts w:ascii="Times New Roman"/>
          <w:b w:val="false"/>
          <w:i w:val="false"/>
          <w:color w:val="000000"/>
          <w:sz w:val="28"/>
        </w:rPr>
        <w:t>
      4.4.1. Спецификация (раздел P.4.1).</w:t>
      </w:r>
    </w:p>
    <w:bookmarkEnd w:id="4088"/>
    <w:bookmarkStart w:name="z4199" w:id="4089"/>
    <w:p>
      <w:pPr>
        <w:spacing w:after="0"/>
        <w:ind w:left="0"/>
        <w:jc w:val="both"/>
      </w:pPr>
      <w:r>
        <w:rPr>
          <w:rFonts w:ascii="Times New Roman"/>
          <w:b w:val="false"/>
          <w:i w:val="false"/>
          <w:color w:val="000000"/>
          <w:sz w:val="28"/>
        </w:rPr>
        <w:t>
       </w:t>
      </w:r>
    </w:p>
    <w:bookmarkEnd w:id="4089"/>
    <w:bookmarkStart w:name="z4200" w:id="4090"/>
    <w:p>
      <w:pPr>
        <w:spacing w:after="0"/>
        <w:ind w:left="0"/>
        <w:jc w:val="both"/>
      </w:pPr>
      <w:r>
        <w:rPr>
          <w:rFonts w:ascii="Times New Roman"/>
          <w:b w:val="false"/>
          <w:i w:val="false"/>
          <w:color w:val="000000"/>
          <w:sz w:val="28"/>
        </w:rPr>
        <w:t>
      ___________________________________________________________________________</w:t>
      </w:r>
    </w:p>
    <w:bookmarkEnd w:id="4090"/>
    <w:bookmarkStart w:name="z4201" w:id="4091"/>
    <w:p>
      <w:pPr>
        <w:spacing w:after="0"/>
        <w:ind w:left="0"/>
        <w:jc w:val="both"/>
      </w:pPr>
      <w:r>
        <w:rPr>
          <w:rFonts w:ascii="Times New Roman"/>
          <w:b w:val="false"/>
          <w:i w:val="false"/>
          <w:color w:val="000000"/>
          <w:sz w:val="28"/>
        </w:rPr>
        <w:t>
      ___________________________________________________________________________</w:t>
      </w:r>
    </w:p>
    <w:bookmarkEnd w:id="4091"/>
    <w:bookmarkStart w:name="z4202" w:id="4092"/>
    <w:p>
      <w:pPr>
        <w:spacing w:after="0"/>
        <w:ind w:left="0"/>
        <w:jc w:val="both"/>
      </w:pPr>
      <w:r>
        <w:rPr>
          <w:rFonts w:ascii="Times New Roman"/>
          <w:b w:val="false"/>
          <w:i w:val="false"/>
          <w:color w:val="000000"/>
          <w:sz w:val="28"/>
        </w:rPr>
        <w:t>
      ___________________________________________________________________________</w:t>
      </w:r>
    </w:p>
    <w:bookmarkEnd w:id="4092"/>
    <w:bookmarkStart w:name="z4203" w:id="4093"/>
    <w:p>
      <w:pPr>
        <w:spacing w:after="0"/>
        <w:ind w:left="0"/>
        <w:jc w:val="both"/>
      </w:pPr>
      <w:r>
        <w:rPr>
          <w:rFonts w:ascii="Times New Roman"/>
          <w:b w:val="false"/>
          <w:i w:val="false"/>
          <w:color w:val="000000"/>
          <w:sz w:val="28"/>
        </w:rPr>
        <w:t>
       </w:t>
      </w:r>
    </w:p>
    <w:bookmarkEnd w:id="4093"/>
    <w:bookmarkStart w:name="z4204" w:id="4094"/>
    <w:p>
      <w:pPr>
        <w:spacing w:after="0"/>
        <w:ind w:left="0"/>
        <w:jc w:val="both"/>
      </w:pPr>
      <w:r>
        <w:rPr>
          <w:rFonts w:ascii="Times New Roman"/>
          <w:b w:val="false"/>
          <w:i w:val="false"/>
          <w:color w:val="000000"/>
          <w:sz w:val="28"/>
        </w:rPr>
        <w:t>
      4.4.2. Аналитические методики (раздел P.4.2).</w:t>
      </w:r>
    </w:p>
    <w:bookmarkEnd w:id="4094"/>
    <w:bookmarkStart w:name="z4205" w:id="4095"/>
    <w:p>
      <w:pPr>
        <w:spacing w:after="0"/>
        <w:ind w:left="0"/>
        <w:jc w:val="both"/>
      </w:pPr>
      <w:r>
        <w:rPr>
          <w:rFonts w:ascii="Times New Roman"/>
          <w:b w:val="false"/>
          <w:i w:val="false"/>
          <w:color w:val="000000"/>
          <w:sz w:val="28"/>
        </w:rPr>
        <w:t>
       </w:t>
      </w:r>
    </w:p>
    <w:bookmarkEnd w:id="4095"/>
    <w:bookmarkStart w:name="z4206" w:id="4096"/>
    <w:p>
      <w:pPr>
        <w:spacing w:after="0"/>
        <w:ind w:left="0"/>
        <w:jc w:val="both"/>
      </w:pPr>
      <w:r>
        <w:rPr>
          <w:rFonts w:ascii="Times New Roman"/>
          <w:b w:val="false"/>
          <w:i w:val="false"/>
          <w:color w:val="000000"/>
          <w:sz w:val="28"/>
        </w:rPr>
        <w:t>
      ___________________________________________________________________________</w:t>
      </w:r>
    </w:p>
    <w:bookmarkEnd w:id="4096"/>
    <w:bookmarkStart w:name="z4207" w:id="4097"/>
    <w:p>
      <w:pPr>
        <w:spacing w:after="0"/>
        <w:ind w:left="0"/>
        <w:jc w:val="both"/>
      </w:pPr>
      <w:r>
        <w:rPr>
          <w:rFonts w:ascii="Times New Roman"/>
          <w:b w:val="false"/>
          <w:i w:val="false"/>
          <w:color w:val="000000"/>
          <w:sz w:val="28"/>
        </w:rPr>
        <w:t>
      ___________________________________________________________________________</w:t>
      </w:r>
    </w:p>
    <w:bookmarkEnd w:id="4097"/>
    <w:bookmarkStart w:name="z4208" w:id="4098"/>
    <w:p>
      <w:pPr>
        <w:spacing w:after="0"/>
        <w:ind w:left="0"/>
        <w:jc w:val="both"/>
      </w:pPr>
      <w:r>
        <w:rPr>
          <w:rFonts w:ascii="Times New Roman"/>
          <w:b w:val="false"/>
          <w:i w:val="false"/>
          <w:color w:val="000000"/>
          <w:sz w:val="28"/>
        </w:rPr>
        <w:t>
      ___________________________________________________________________________</w:t>
      </w:r>
    </w:p>
    <w:bookmarkEnd w:id="4098"/>
    <w:bookmarkStart w:name="z4209" w:id="4099"/>
    <w:p>
      <w:pPr>
        <w:spacing w:after="0"/>
        <w:ind w:left="0"/>
        <w:jc w:val="both"/>
      </w:pPr>
      <w:r>
        <w:rPr>
          <w:rFonts w:ascii="Times New Roman"/>
          <w:b w:val="false"/>
          <w:i w:val="false"/>
          <w:color w:val="000000"/>
          <w:sz w:val="28"/>
        </w:rPr>
        <w:t>
       </w:t>
      </w:r>
    </w:p>
    <w:bookmarkEnd w:id="4099"/>
    <w:bookmarkStart w:name="z4210" w:id="4100"/>
    <w:p>
      <w:pPr>
        <w:spacing w:after="0"/>
        <w:ind w:left="0"/>
        <w:jc w:val="both"/>
      </w:pPr>
      <w:r>
        <w:rPr>
          <w:rFonts w:ascii="Times New Roman"/>
          <w:b w:val="false"/>
          <w:i w:val="false"/>
          <w:color w:val="000000"/>
          <w:sz w:val="28"/>
        </w:rPr>
        <w:t>
      4.4.3. Валидация аналитических методик (раздел P.4.3).</w:t>
      </w:r>
    </w:p>
    <w:bookmarkEnd w:id="4100"/>
    <w:bookmarkStart w:name="z4211" w:id="4101"/>
    <w:p>
      <w:pPr>
        <w:spacing w:after="0"/>
        <w:ind w:left="0"/>
        <w:jc w:val="both"/>
      </w:pPr>
      <w:r>
        <w:rPr>
          <w:rFonts w:ascii="Times New Roman"/>
          <w:b w:val="false"/>
          <w:i w:val="false"/>
          <w:color w:val="000000"/>
          <w:sz w:val="28"/>
        </w:rPr>
        <w:t>
       </w:t>
      </w:r>
    </w:p>
    <w:bookmarkEnd w:id="4101"/>
    <w:bookmarkStart w:name="z4212" w:id="4102"/>
    <w:p>
      <w:pPr>
        <w:spacing w:after="0"/>
        <w:ind w:left="0"/>
        <w:jc w:val="both"/>
      </w:pPr>
      <w:r>
        <w:rPr>
          <w:rFonts w:ascii="Times New Roman"/>
          <w:b w:val="false"/>
          <w:i w:val="false"/>
          <w:color w:val="000000"/>
          <w:sz w:val="28"/>
        </w:rPr>
        <w:t>
      ___________________________________________________________________________</w:t>
      </w:r>
    </w:p>
    <w:bookmarkEnd w:id="4102"/>
    <w:bookmarkStart w:name="z4213" w:id="4103"/>
    <w:p>
      <w:pPr>
        <w:spacing w:after="0"/>
        <w:ind w:left="0"/>
        <w:jc w:val="both"/>
      </w:pPr>
      <w:r>
        <w:rPr>
          <w:rFonts w:ascii="Times New Roman"/>
          <w:b w:val="false"/>
          <w:i w:val="false"/>
          <w:color w:val="000000"/>
          <w:sz w:val="28"/>
        </w:rPr>
        <w:t>
      ___________________________________________________________________________</w:t>
      </w:r>
    </w:p>
    <w:bookmarkEnd w:id="4103"/>
    <w:bookmarkStart w:name="z4214" w:id="4104"/>
    <w:p>
      <w:pPr>
        <w:spacing w:after="0"/>
        <w:ind w:left="0"/>
        <w:jc w:val="both"/>
      </w:pPr>
      <w:r>
        <w:rPr>
          <w:rFonts w:ascii="Times New Roman"/>
          <w:b w:val="false"/>
          <w:i w:val="false"/>
          <w:color w:val="000000"/>
          <w:sz w:val="28"/>
        </w:rPr>
        <w:t>
      ___________________________________________________________________________</w:t>
      </w:r>
    </w:p>
    <w:bookmarkEnd w:id="4104"/>
    <w:bookmarkStart w:name="z4215" w:id="4105"/>
    <w:p>
      <w:pPr>
        <w:spacing w:after="0"/>
        <w:ind w:left="0"/>
        <w:jc w:val="both"/>
      </w:pPr>
      <w:r>
        <w:rPr>
          <w:rFonts w:ascii="Times New Roman"/>
          <w:b w:val="false"/>
          <w:i w:val="false"/>
          <w:color w:val="000000"/>
          <w:sz w:val="28"/>
        </w:rPr>
        <w:t>
       </w:t>
      </w:r>
    </w:p>
    <w:bookmarkEnd w:id="4105"/>
    <w:bookmarkStart w:name="z4216" w:id="4106"/>
    <w:p>
      <w:pPr>
        <w:spacing w:after="0"/>
        <w:ind w:left="0"/>
        <w:jc w:val="both"/>
      </w:pPr>
      <w:r>
        <w:rPr>
          <w:rFonts w:ascii="Times New Roman"/>
          <w:b w:val="false"/>
          <w:i w:val="false"/>
          <w:color w:val="000000"/>
          <w:sz w:val="28"/>
        </w:rPr>
        <w:t>
      4.4.4. Обоснование спецификаций (раздел P.4.4).</w:t>
      </w:r>
    </w:p>
    <w:bookmarkEnd w:id="4106"/>
    <w:bookmarkStart w:name="z4217" w:id="4107"/>
    <w:p>
      <w:pPr>
        <w:spacing w:after="0"/>
        <w:ind w:left="0"/>
        <w:jc w:val="both"/>
      </w:pPr>
      <w:r>
        <w:rPr>
          <w:rFonts w:ascii="Times New Roman"/>
          <w:b w:val="false"/>
          <w:i w:val="false"/>
          <w:color w:val="000000"/>
          <w:sz w:val="28"/>
        </w:rPr>
        <w:t>
       </w:t>
      </w:r>
    </w:p>
    <w:bookmarkEnd w:id="4107"/>
    <w:bookmarkStart w:name="z4218" w:id="4108"/>
    <w:p>
      <w:pPr>
        <w:spacing w:after="0"/>
        <w:ind w:left="0"/>
        <w:jc w:val="both"/>
      </w:pPr>
      <w:r>
        <w:rPr>
          <w:rFonts w:ascii="Times New Roman"/>
          <w:b w:val="false"/>
          <w:i w:val="false"/>
          <w:color w:val="000000"/>
          <w:sz w:val="28"/>
        </w:rPr>
        <w:t>
      ___________________________________________________________________________</w:t>
      </w:r>
    </w:p>
    <w:bookmarkEnd w:id="4108"/>
    <w:bookmarkStart w:name="z4219" w:id="4109"/>
    <w:p>
      <w:pPr>
        <w:spacing w:after="0"/>
        <w:ind w:left="0"/>
        <w:jc w:val="both"/>
      </w:pPr>
      <w:r>
        <w:rPr>
          <w:rFonts w:ascii="Times New Roman"/>
          <w:b w:val="false"/>
          <w:i w:val="false"/>
          <w:color w:val="000000"/>
          <w:sz w:val="28"/>
        </w:rPr>
        <w:t>
      ___________________________________________________________________________</w:t>
      </w:r>
    </w:p>
    <w:bookmarkEnd w:id="4109"/>
    <w:bookmarkStart w:name="z4220" w:id="4110"/>
    <w:p>
      <w:pPr>
        <w:spacing w:after="0"/>
        <w:ind w:left="0"/>
        <w:jc w:val="both"/>
      </w:pPr>
      <w:r>
        <w:rPr>
          <w:rFonts w:ascii="Times New Roman"/>
          <w:b w:val="false"/>
          <w:i w:val="false"/>
          <w:color w:val="000000"/>
          <w:sz w:val="28"/>
        </w:rPr>
        <w:t>
      ___________________________________________________________________________</w:t>
      </w:r>
    </w:p>
    <w:bookmarkEnd w:id="4110"/>
    <w:bookmarkStart w:name="z4221" w:id="4111"/>
    <w:p>
      <w:pPr>
        <w:spacing w:after="0"/>
        <w:ind w:left="0"/>
        <w:jc w:val="both"/>
      </w:pPr>
      <w:r>
        <w:rPr>
          <w:rFonts w:ascii="Times New Roman"/>
          <w:b w:val="false"/>
          <w:i w:val="false"/>
          <w:color w:val="000000"/>
          <w:sz w:val="28"/>
        </w:rPr>
        <w:t>
       </w:t>
      </w:r>
    </w:p>
    <w:bookmarkEnd w:id="4111"/>
    <w:bookmarkStart w:name="z4222" w:id="4112"/>
    <w:p>
      <w:pPr>
        <w:spacing w:after="0"/>
        <w:ind w:left="0"/>
        <w:jc w:val="both"/>
      </w:pPr>
      <w:r>
        <w:rPr>
          <w:rFonts w:ascii="Times New Roman"/>
          <w:b w:val="false"/>
          <w:i w:val="false"/>
          <w:color w:val="000000"/>
          <w:sz w:val="28"/>
        </w:rPr>
        <w:t>
      4.4.5. Вспомогательные вещества человеческого и животного происхождения (раздел P.4.5).</w:t>
      </w:r>
    </w:p>
    <w:bookmarkEnd w:id="4112"/>
    <w:bookmarkStart w:name="z4223" w:id="4113"/>
    <w:p>
      <w:pPr>
        <w:spacing w:after="0"/>
        <w:ind w:left="0"/>
        <w:jc w:val="both"/>
      </w:pPr>
      <w:r>
        <w:rPr>
          <w:rFonts w:ascii="Times New Roman"/>
          <w:b w:val="false"/>
          <w:i w:val="false"/>
          <w:color w:val="000000"/>
          <w:sz w:val="28"/>
        </w:rPr>
        <w:t>
       </w:t>
      </w:r>
    </w:p>
    <w:bookmarkEnd w:id="4113"/>
    <w:bookmarkStart w:name="z4224" w:id="4114"/>
    <w:p>
      <w:pPr>
        <w:spacing w:after="0"/>
        <w:ind w:left="0"/>
        <w:jc w:val="both"/>
      </w:pPr>
      <w:r>
        <w:rPr>
          <w:rFonts w:ascii="Times New Roman"/>
          <w:b w:val="false"/>
          <w:i w:val="false"/>
          <w:color w:val="000000"/>
          <w:sz w:val="28"/>
        </w:rPr>
        <w:t>
      ___________________________________________________________________________</w:t>
      </w:r>
    </w:p>
    <w:bookmarkEnd w:id="4114"/>
    <w:bookmarkStart w:name="z4225" w:id="4115"/>
    <w:p>
      <w:pPr>
        <w:spacing w:after="0"/>
        <w:ind w:left="0"/>
        <w:jc w:val="both"/>
      </w:pPr>
      <w:r>
        <w:rPr>
          <w:rFonts w:ascii="Times New Roman"/>
          <w:b w:val="false"/>
          <w:i w:val="false"/>
          <w:color w:val="000000"/>
          <w:sz w:val="28"/>
        </w:rPr>
        <w:t>
      ___________________________________________________________________________</w:t>
      </w:r>
    </w:p>
    <w:bookmarkEnd w:id="4115"/>
    <w:bookmarkStart w:name="z4226" w:id="4116"/>
    <w:p>
      <w:pPr>
        <w:spacing w:after="0"/>
        <w:ind w:left="0"/>
        <w:jc w:val="both"/>
      </w:pPr>
      <w:r>
        <w:rPr>
          <w:rFonts w:ascii="Times New Roman"/>
          <w:b w:val="false"/>
          <w:i w:val="false"/>
          <w:color w:val="000000"/>
          <w:sz w:val="28"/>
        </w:rPr>
        <w:t>
      ___________________________________________________________________________</w:t>
      </w:r>
    </w:p>
    <w:bookmarkEnd w:id="4116"/>
    <w:bookmarkStart w:name="z4227" w:id="4117"/>
    <w:p>
      <w:pPr>
        <w:spacing w:after="0"/>
        <w:ind w:left="0"/>
        <w:jc w:val="both"/>
      </w:pPr>
      <w:r>
        <w:rPr>
          <w:rFonts w:ascii="Times New Roman"/>
          <w:b w:val="false"/>
          <w:i w:val="false"/>
          <w:color w:val="000000"/>
          <w:sz w:val="28"/>
        </w:rPr>
        <w:t>
       </w:t>
      </w:r>
    </w:p>
    <w:bookmarkEnd w:id="4117"/>
    <w:bookmarkStart w:name="z4228" w:id="4118"/>
    <w:p>
      <w:pPr>
        <w:spacing w:after="0"/>
        <w:ind w:left="0"/>
        <w:jc w:val="both"/>
      </w:pPr>
      <w:r>
        <w:rPr>
          <w:rFonts w:ascii="Times New Roman"/>
          <w:b w:val="false"/>
          <w:i w:val="false"/>
          <w:color w:val="000000"/>
          <w:sz w:val="28"/>
        </w:rPr>
        <w:t>
      4.4.6. Новые вспомогательные вещества (раздел P.4.6).</w:t>
      </w:r>
    </w:p>
    <w:bookmarkEnd w:id="4118"/>
    <w:bookmarkStart w:name="z4229" w:id="4119"/>
    <w:p>
      <w:pPr>
        <w:spacing w:after="0"/>
        <w:ind w:left="0"/>
        <w:jc w:val="both"/>
      </w:pPr>
      <w:r>
        <w:rPr>
          <w:rFonts w:ascii="Times New Roman"/>
          <w:b w:val="false"/>
          <w:i w:val="false"/>
          <w:color w:val="000000"/>
          <w:sz w:val="28"/>
        </w:rPr>
        <w:t>
       </w:t>
      </w:r>
    </w:p>
    <w:bookmarkEnd w:id="4119"/>
    <w:bookmarkStart w:name="z4230" w:id="4120"/>
    <w:p>
      <w:pPr>
        <w:spacing w:after="0"/>
        <w:ind w:left="0"/>
        <w:jc w:val="both"/>
      </w:pPr>
      <w:r>
        <w:rPr>
          <w:rFonts w:ascii="Times New Roman"/>
          <w:b w:val="false"/>
          <w:i w:val="false"/>
          <w:color w:val="000000"/>
          <w:sz w:val="28"/>
        </w:rPr>
        <w:t>
      ___________________________________________________________________________</w:t>
      </w:r>
    </w:p>
    <w:bookmarkEnd w:id="4120"/>
    <w:bookmarkStart w:name="z4231" w:id="4121"/>
    <w:p>
      <w:pPr>
        <w:spacing w:after="0"/>
        <w:ind w:left="0"/>
        <w:jc w:val="both"/>
      </w:pPr>
      <w:r>
        <w:rPr>
          <w:rFonts w:ascii="Times New Roman"/>
          <w:b w:val="false"/>
          <w:i w:val="false"/>
          <w:color w:val="000000"/>
          <w:sz w:val="28"/>
        </w:rPr>
        <w:t>
      ___________________________________________________________________________</w:t>
      </w:r>
    </w:p>
    <w:bookmarkEnd w:id="4121"/>
    <w:bookmarkStart w:name="z4232" w:id="4122"/>
    <w:p>
      <w:pPr>
        <w:spacing w:after="0"/>
        <w:ind w:left="0"/>
        <w:jc w:val="both"/>
      </w:pPr>
      <w:r>
        <w:rPr>
          <w:rFonts w:ascii="Times New Roman"/>
          <w:b w:val="false"/>
          <w:i w:val="false"/>
          <w:color w:val="000000"/>
          <w:sz w:val="28"/>
        </w:rPr>
        <w:t>
      ___________________________________________________________________________</w:t>
      </w:r>
    </w:p>
    <w:bookmarkEnd w:id="4122"/>
    <w:bookmarkStart w:name="z4233" w:id="4123"/>
    <w:p>
      <w:pPr>
        <w:spacing w:after="0"/>
        <w:ind w:left="0"/>
        <w:jc w:val="both"/>
      </w:pPr>
      <w:r>
        <w:rPr>
          <w:rFonts w:ascii="Times New Roman"/>
          <w:b w:val="false"/>
          <w:i w:val="false"/>
          <w:color w:val="000000"/>
          <w:sz w:val="28"/>
        </w:rPr>
        <w:t>
       </w:t>
      </w:r>
    </w:p>
    <w:bookmarkEnd w:id="4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4124"/>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4124"/>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235" w:id="4125"/>
    <w:p>
      <w:pPr>
        <w:spacing w:after="0"/>
        <w:ind w:left="0"/>
        <w:jc w:val="both"/>
      </w:pPr>
      <w:r>
        <w:rPr>
          <w:rFonts w:ascii="Times New Roman"/>
          <w:b w:val="false"/>
          <w:i w:val="false"/>
          <w:color w:val="000000"/>
          <w:sz w:val="28"/>
        </w:rPr>
        <w:t>
       </w:t>
      </w:r>
    </w:p>
    <w:bookmarkEnd w:id="4125"/>
    <w:bookmarkStart w:name="z4236" w:id="4126"/>
    <w:p>
      <w:pPr>
        <w:spacing w:after="0"/>
        <w:ind w:left="0"/>
        <w:jc w:val="left"/>
      </w:pPr>
      <w:r>
        <w:rPr>
          <w:rFonts w:ascii="Times New Roman"/>
          <w:b/>
          <w:i w:val="false"/>
          <w:color w:val="000000"/>
        </w:rPr>
        <w:t xml:space="preserve"> 4.5. Контроль качества лекарственного препарата (модуль 3.2.P.5) </w:t>
      </w:r>
    </w:p>
    <w:bookmarkEnd w:id="4126"/>
    <w:bookmarkStart w:name="z4237" w:id="4127"/>
    <w:p>
      <w:pPr>
        <w:spacing w:after="0"/>
        <w:ind w:left="0"/>
        <w:jc w:val="both"/>
      </w:pPr>
      <w:r>
        <w:rPr>
          <w:rFonts w:ascii="Times New Roman"/>
          <w:b w:val="false"/>
          <w:i w:val="false"/>
          <w:color w:val="000000"/>
          <w:sz w:val="28"/>
        </w:rPr>
        <w:t>
       </w:t>
      </w:r>
    </w:p>
    <w:bookmarkEnd w:id="4127"/>
    <w:bookmarkStart w:name="z4238" w:id="4128"/>
    <w:p>
      <w:pPr>
        <w:spacing w:after="0"/>
        <w:ind w:left="0"/>
        <w:jc w:val="both"/>
      </w:pPr>
      <w:r>
        <w:rPr>
          <w:rFonts w:ascii="Times New Roman"/>
          <w:b w:val="false"/>
          <w:i w:val="false"/>
          <w:color w:val="000000"/>
          <w:sz w:val="28"/>
        </w:rPr>
        <w:t>
      4.5.1. Спецификации (раздел P.5.1).</w:t>
      </w:r>
    </w:p>
    <w:bookmarkEnd w:id="4128"/>
    <w:bookmarkStart w:name="z4239" w:id="4129"/>
    <w:p>
      <w:pPr>
        <w:spacing w:after="0"/>
        <w:ind w:left="0"/>
        <w:jc w:val="both"/>
      </w:pPr>
      <w:r>
        <w:rPr>
          <w:rFonts w:ascii="Times New Roman"/>
          <w:b w:val="false"/>
          <w:i w:val="false"/>
          <w:color w:val="000000"/>
          <w:sz w:val="28"/>
        </w:rPr>
        <w:t>
       </w:t>
      </w:r>
    </w:p>
    <w:bookmarkEnd w:id="4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P.5-1</w:t>
            </w:r>
            <w:r>
              <w:br/>
            </w:r>
            <w:r>
              <w:rPr>
                <w:rFonts w:ascii="Times New Roman"/>
                <w:b w:val="false"/>
                <w:i w:val="false"/>
                <w:color w:val="000000"/>
                <w:sz w:val="20"/>
              </w:rPr>
              <w:t xml:space="preserve"> </w:t>
            </w:r>
          </w:p>
        </w:tc>
      </w:tr>
    </w:tbl>
    <w:bookmarkStart w:name="z4241" w:id="4130"/>
    <w:p>
      <w:pPr>
        <w:spacing w:after="0"/>
        <w:ind w:left="0"/>
        <w:jc w:val="left"/>
      </w:pPr>
      <w:r>
        <w:rPr>
          <w:rFonts w:ascii="Times New Roman"/>
          <w:b/>
          <w:i w:val="false"/>
          <w:color w:val="000000"/>
        </w:rPr>
        <w:t xml:space="preserve"> Спецификации на выпуск и окончание срока хранения </w:t>
      </w:r>
    </w:p>
    <w:bookmarkEnd w:id="4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4131"/>
          <w:p>
            <w:pPr>
              <w:spacing w:after="20"/>
              <w:ind w:left="20"/>
              <w:jc w:val="both"/>
            </w:pPr>
            <w:r>
              <w:rPr>
                <w:rFonts w:ascii="Times New Roman"/>
                <w:b w:val="false"/>
                <w:i w:val="false"/>
                <w:color w:val="000000"/>
                <w:sz w:val="20"/>
              </w:rPr>
              <w:t xml:space="preserve">
Показатель качества </w:t>
            </w:r>
          </w:p>
          <w:bookmarkEnd w:id="4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испытания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Допустимые нормы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4132"/>
          <w:p>
            <w:pPr>
              <w:spacing w:after="20"/>
              <w:ind w:left="20"/>
              <w:jc w:val="both"/>
            </w:pPr>
          </w:p>
          <w:bookmarkEnd w:id="4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4133"/>
          <w:p>
            <w:pPr>
              <w:spacing w:after="20"/>
              <w:ind w:left="20"/>
              <w:jc w:val="both"/>
            </w:pPr>
          </w:p>
          <w:bookmarkEnd w:id="4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4134"/>
          <w:p>
            <w:pPr>
              <w:spacing w:after="20"/>
              <w:ind w:left="20"/>
              <w:jc w:val="both"/>
            </w:pPr>
          </w:p>
          <w:bookmarkEnd w:id="4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4135"/>
          <w:p>
            <w:pPr>
              <w:spacing w:after="20"/>
              <w:ind w:left="20"/>
              <w:jc w:val="both"/>
            </w:pPr>
          </w:p>
          <w:bookmarkEnd w:id="4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4136"/>
          <w:p>
            <w:pPr>
              <w:spacing w:after="20"/>
              <w:ind w:left="20"/>
              <w:jc w:val="both"/>
            </w:pPr>
          </w:p>
          <w:bookmarkEnd w:id="4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8" w:id="4137"/>
    <w:p>
      <w:pPr>
        <w:spacing w:after="0"/>
        <w:ind w:left="0"/>
        <w:jc w:val="both"/>
      </w:pPr>
      <w:r>
        <w:rPr>
          <w:rFonts w:ascii="Times New Roman"/>
          <w:b w:val="false"/>
          <w:i w:val="false"/>
          <w:color w:val="000000"/>
          <w:sz w:val="28"/>
        </w:rPr>
        <w:t>
       </w:t>
      </w:r>
    </w:p>
    <w:bookmarkEnd w:id="4137"/>
    <w:bookmarkStart w:name="z4249" w:id="4138"/>
    <w:p>
      <w:pPr>
        <w:spacing w:after="0"/>
        <w:ind w:left="0"/>
        <w:jc w:val="both"/>
      </w:pPr>
      <w:r>
        <w:rPr>
          <w:rFonts w:ascii="Times New Roman"/>
          <w:b w:val="false"/>
          <w:i w:val="false"/>
          <w:color w:val="000000"/>
          <w:sz w:val="28"/>
        </w:rPr>
        <w:t>
      4.5.2. Аналитические методики (раздел P.5.2).</w:t>
      </w:r>
    </w:p>
    <w:bookmarkEnd w:id="4138"/>
    <w:bookmarkStart w:name="z4250" w:id="4139"/>
    <w:p>
      <w:pPr>
        <w:spacing w:after="0"/>
        <w:ind w:left="0"/>
        <w:jc w:val="both"/>
      </w:pPr>
      <w:r>
        <w:rPr>
          <w:rFonts w:ascii="Times New Roman"/>
          <w:b w:val="false"/>
          <w:i w:val="false"/>
          <w:color w:val="000000"/>
          <w:sz w:val="28"/>
        </w:rPr>
        <w:t>
       </w:t>
      </w:r>
    </w:p>
    <w:bookmarkEnd w:id="4139"/>
    <w:bookmarkStart w:name="z4251" w:id="4140"/>
    <w:p>
      <w:pPr>
        <w:spacing w:after="0"/>
        <w:ind w:left="0"/>
        <w:jc w:val="both"/>
      </w:pPr>
      <w:r>
        <w:rPr>
          <w:rFonts w:ascii="Times New Roman"/>
          <w:b w:val="false"/>
          <w:i w:val="false"/>
          <w:color w:val="000000"/>
          <w:sz w:val="28"/>
        </w:rPr>
        <w:t>
      ___________________________________________________________________________</w:t>
      </w:r>
    </w:p>
    <w:bookmarkEnd w:id="4140"/>
    <w:bookmarkStart w:name="z4252" w:id="4141"/>
    <w:p>
      <w:pPr>
        <w:spacing w:after="0"/>
        <w:ind w:left="0"/>
        <w:jc w:val="both"/>
      </w:pPr>
      <w:r>
        <w:rPr>
          <w:rFonts w:ascii="Times New Roman"/>
          <w:b w:val="false"/>
          <w:i w:val="false"/>
          <w:color w:val="000000"/>
          <w:sz w:val="28"/>
        </w:rPr>
        <w:t>
      ___________________________________________________________________________</w:t>
      </w:r>
    </w:p>
    <w:bookmarkEnd w:id="4141"/>
    <w:bookmarkStart w:name="z4253" w:id="4142"/>
    <w:p>
      <w:pPr>
        <w:spacing w:after="0"/>
        <w:ind w:left="0"/>
        <w:jc w:val="both"/>
      </w:pPr>
      <w:r>
        <w:rPr>
          <w:rFonts w:ascii="Times New Roman"/>
          <w:b w:val="false"/>
          <w:i w:val="false"/>
          <w:color w:val="000000"/>
          <w:sz w:val="28"/>
        </w:rPr>
        <w:t>
      ___________________________________________________________________________</w:t>
      </w:r>
    </w:p>
    <w:bookmarkEnd w:id="4142"/>
    <w:bookmarkStart w:name="z4254" w:id="4143"/>
    <w:p>
      <w:pPr>
        <w:spacing w:after="0"/>
        <w:ind w:left="0"/>
        <w:jc w:val="both"/>
      </w:pPr>
      <w:r>
        <w:rPr>
          <w:rFonts w:ascii="Times New Roman"/>
          <w:b w:val="false"/>
          <w:i w:val="false"/>
          <w:color w:val="000000"/>
          <w:sz w:val="28"/>
        </w:rPr>
        <w:t>
       </w:t>
      </w:r>
    </w:p>
    <w:bookmarkEnd w:id="4143"/>
    <w:bookmarkStart w:name="z4255" w:id="4144"/>
    <w:p>
      <w:pPr>
        <w:spacing w:after="0"/>
        <w:ind w:left="0"/>
        <w:jc w:val="both"/>
      </w:pPr>
      <w:r>
        <w:rPr>
          <w:rFonts w:ascii="Times New Roman"/>
          <w:b w:val="false"/>
          <w:i w:val="false"/>
          <w:color w:val="000000"/>
          <w:sz w:val="28"/>
        </w:rPr>
        <w:t>
      4.5.3. Валидация аналитических методик (раздел P.5.3).</w:t>
      </w:r>
    </w:p>
    <w:bookmarkEnd w:id="4144"/>
    <w:bookmarkStart w:name="z4256" w:id="4145"/>
    <w:p>
      <w:pPr>
        <w:spacing w:after="0"/>
        <w:ind w:left="0"/>
        <w:jc w:val="both"/>
      </w:pPr>
      <w:r>
        <w:rPr>
          <w:rFonts w:ascii="Times New Roman"/>
          <w:b w:val="false"/>
          <w:i w:val="false"/>
          <w:color w:val="000000"/>
          <w:sz w:val="28"/>
        </w:rPr>
        <w:t>
       </w:t>
      </w:r>
    </w:p>
    <w:bookmarkEnd w:id="4145"/>
    <w:bookmarkStart w:name="z4257" w:id="4146"/>
    <w:p>
      <w:pPr>
        <w:spacing w:after="0"/>
        <w:ind w:left="0"/>
        <w:jc w:val="both"/>
      </w:pPr>
      <w:r>
        <w:rPr>
          <w:rFonts w:ascii="Times New Roman"/>
          <w:b w:val="false"/>
          <w:i w:val="false"/>
          <w:color w:val="000000"/>
          <w:sz w:val="28"/>
        </w:rPr>
        <w:t>
      ___________________________________________________________________________</w:t>
      </w:r>
    </w:p>
    <w:bookmarkEnd w:id="4146"/>
    <w:bookmarkStart w:name="z4258" w:id="4147"/>
    <w:p>
      <w:pPr>
        <w:spacing w:after="0"/>
        <w:ind w:left="0"/>
        <w:jc w:val="both"/>
      </w:pPr>
      <w:r>
        <w:rPr>
          <w:rFonts w:ascii="Times New Roman"/>
          <w:b w:val="false"/>
          <w:i w:val="false"/>
          <w:color w:val="000000"/>
          <w:sz w:val="28"/>
        </w:rPr>
        <w:t>
      ___________________________________________________________________________</w:t>
      </w:r>
    </w:p>
    <w:bookmarkEnd w:id="4147"/>
    <w:bookmarkStart w:name="z4259" w:id="4148"/>
    <w:p>
      <w:pPr>
        <w:spacing w:after="0"/>
        <w:ind w:left="0"/>
        <w:jc w:val="both"/>
      </w:pPr>
      <w:r>
        <w:rPr>
          <w:rFonts w:ascii="Times New Roman"/>
          <w:b w:val="false"/>
          <w:i w:val="false"/>
          <w:color w:val="000000"/>
          <w:sz w:val="28"/>
        </w:rPr>
        <w:t>
      ___________________________________________________________________________</w:t>
      </w:r>
    </w:p>
    <w:bookmarkEnd w:id="4148"/>
    <w:bookmarkStart w:name="z4260" w:id="4149"/>
    <w:p>
      <w:pPr>
        <w:spacing w:after="0"/>
        <w:ind w:left="0"/>
        <w:jc w:val="both"/>
      </w:pPr>
      <w:r>
        <w:rPr>
          <w:rFonts w:ascii="Times New Roman"/>
          <w:b w:val="false"/>
          <w:i w:val="false"/>
          <w:color w:val="000000"/>
          <w:sz w:val="28"/>
        </w:rPr>
        <w:t>
       </w:t>
      </w:r>
    </w:p>
    <w:bookmarkEnd w:id="4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P.5-2</w:t>
            </w:r>
            <w:r>
              <w:br/>
            </w:r>
            <w:r>
              <w:rPr>
                <w:rFonts w:ascii="Times New Roman"/>
                <w:b w:val="false"/>
                <w:i w:val="false"/>
                <w:color w:val="000000"/>
                <w:sz w:val="20"/>
              </w:rPr>
              <w:t xml:space="preserve"> </w:t>
            </w:r>
          </w:p>
        </w:tc>
      </w:tr>
    </w:tbl>
    <w:bookmarkStart w:name="z4262" w:id="4150"/>
    <w:p>
      <w:pPr>
        <w:spacing w:after="0"/>
        <w:ind w:left="0"/>
        <w:jc w:val="left"/>
      </w:pPr>
      <w:r>
        <w:rPr>
          <w:rFonts w:ascii="Times New Roman"/>
          <w:b/>
          <w:i w:val="false"/>
          <w:color w:val="000000"/>
        </w:rPr>
        <w:t xml:space="preserve"> Краткий обзор параметров валидации аналитических методик </w:t>
      </w:r>
    </w:p>
    <w:bookmarkEnd w:id="4150"/>
    <w:bookmarkStart w:name="z4263" w:id="4151"/>
    <w:p>
      <w:pPr>
        <w:spacing w:after="0"/>
        <w:ind w:left="0"/>
        <w:jc w:val="both"/>
      </w:pPr>
      <w:r>
        <w:rPr>
          <w:rFonts w:ascii="Times New Roman"/>
          <w:b w:val="false"/>
          <w:i w:val="false"/>
          <w:color w:val="000000"/>
          <w:sz w:val="28"/>
        </w:rPr>
        <w:t>
       </w:t>
      </w:r>
    </w:p>
    <w:bookmarkEnd w:id="4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4152"/>
          <w:p>
            <w:pPr>
              <w:spacing w:after="20"/>
              <w:ind w:left="20"/>
              <w:jc w:val="both"/>
            </w:pPr>
          </w:p>
          <w:bookmarkEnd w:id="41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Аналитическая методика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4153"/>
          <w:p>
            <w:pPr>
              <w:spacing w:after="20"/>
              <w:ind w:left="20"/>
              <w:jc w:val="both"/>
            </w:pPr>
            <w:r>
              <w:rPr>
                <w:rFonts w:ascii="Times New Roman"/>
                <w:b w:val="false"/>
                <w:i w:val="false"/>
                <w:color w:val="000000"/>
                <w:sz w:val="20"/>
              </w:rPr>
              <w:t xml:space="preserve">
Правильность </w:t>
            </w:r>
          </w:p>
          <w:bookmarkEnd w:id="4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4154"/>
          <w:p>
            <w:pPr>
              <w:spacing w:after="20"/>
              <w:ind w:left="20"/>
              <w:jc w:val="both"/>
            </w:pPr>
            <w:r>
              <w:rPr>
                <w:rFonts w:ascii="Times New Roman"/>
                <w:b w:val="false"/>
                <w:i w:val="false"/>
                <w:color w:val="000000"/>
                <w:sz w:val="20"/>
              </w:rPr>
              <w:t xml:space="preserve">
Воспроизводимость: </w:t>
            </w:r>
          </w:p>
          <w:bookmarkEnd w:id="41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4155"/>
          <w:p>
            <w:pPr>
              <w:spacing w:after="20"/>
              <w:ind w:left="20"/>
              <w:jc w:val="both"/>
            </w:pPr>
            <w:r>
              <w:rPr>
                <w:rFonts w:ascii="Times New Roman"/>
                <w:b w:val="false"/>
                <w:i w:val="false"/>
                <w:color w:val="000000"/>
                <w:sz w:val="20"/>
              </w:rPr>
              <w:t xml:space="preserve">
повторяемость (сходимость) </w:t>
            </w:r>
          </w:p>
          <w:bookmarkEnd w:id="41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4156"/>
          <w:p>
            <w:pPr>
              <w:spacing w:after="20"/>
              <w:ind w:left="20"/>
              <w:jc w:val="both"/>
            </w:pPr>
            <w:r>
              <w:rPr>
                <w:rFonts w:ascii="Times New Roman"/>
                <w:b w:val="false"/>
                <w:i w:val="false"/>
                <w:color w:val="000000"/>
                <w:sz w:val="20"/>
              </w:rPr>
              <w:t xml:space="preserve">
межлабораторная воспроизводимость </w:t>
            </w:r>
          </w:p>
          <w:bookmarkEnd w:id="41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4157"/>
          <w:p>
            <w:pPr>
              <w:spacing w:after="20"/>
              <w:ind w:left="20"/>
              <w:jc w:val="both"/>
            </w:pPr>
            <w:r>
              <w:rPr>
                <w:rFonts w:ascii="Times New Roman"/>
                <w:b w:val="false"/>
                <w:i w:val="false"/>
                <w:color w:val="000000"/>
                <w:sz w:val="20"/>
              </w:rPr>
              <w:t xml:space="preserve">
Специфичность </w:t>
            </w:r>
          </w:p>
          <w:bookmarkEnd w:id="4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4158"/>
          <w:p>
            <w:pPr>
              <w:spacing w:after="20"/>
              <w:ind w:left="20"/>
              <w:jc w:val="both"/>
            </w:pPr>
            <w:r>
              <w:rPr>
                <w:rFonts w:ascii="Times New Roman"/>
                <w:b w:val="false"/>
                <w:i w:val="false"/>
                <w:color w:val="000000"/>
                <w:sz w:val="20"/>
              </w:rPr>
              <w:t xml:space="preserve">
Предел обнаружения </w:t>
            </w:r>
          </w:p>
          <w:bookmarkEnd w:id="4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4159"/>
          <w:p>
            <w:pPr>
              <w:spacing w:after="20"/>
              <w:ind w:left="20"/>
              <w:jc w:val="both"/>
            </w:pPr>
            <w:r>
              <w:rPr>
                <w:rFonts w:ascii="Times New Roman"/>
                <w:b w:val="false"/>
                <w:i w:val="false"/>
                <w:color w:val="000000"/>
                <w:sz w:val="20"/>
              </w:rPr>
              <w:t xml:space="preserve">
Нижняя граница количественного определения </w:t>
            </w:r>
          </w:p>
          <w:bookmarkEnd w:id="4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4160"/>
          <w:p>
            <w:pPr>
              <w:spacing w:after="20"/>
              <w:ind w:left="20"/>
              <w:jc w:val="both"/>
            </w:pPr>
            <w:r>
              <w:rPr>
                <w:rFonts w:ascii="Times New Roman"/>
                <w:b w:val="false"/>
                <w:i w:val="false"/>
                <w:color w:val="000000"/>
                <w:sz w:val="20"/>
              </w:rPr>
              <w:t xml:space="preserve">
Линейность </w:t>
            </w:r>
          </w:p>
          <w:bookmarkEnd w:id="4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4161"/>
          <w:p>
            <w:pPr>
              <w:spacing w:after="20"/>
              <w:ind w:left="20"/>
              <w:jc w:val="both"/>
            </w:pPr>
            <w:r>
              <w:rPr>
                <w:rFonts w:ascii="Times New Roman"/>
                <w:b w:val="false"/>
                <w:i w:val="false"/>
                <w:color w:val="000000"/>
                <w:sz w:val="20"/>
              </w:rPr>
              <w:t xml:space="preserve">
Диапазон определяемых содержаний </w:t>
            </w:r>
          </w:p>
          <w:bookmarkEnd w:id="4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4162"/>
          <w:p>
            <w:pPr>
              <w:spacing w:after="20"/>
              <w:ind w:left="20"/>
              <w:jc w:val="both"/>
            </w:pPr>
            <w:r>
              <w:rPr>
                <w:rFonts w:ascii="Times New Roman"/>
                <w:b w:val="false"/>
                <w:i w:val="false"/>
                <w:color w:val="000000"/>
                <w:sz w:val="20"/>
              </w:rPr>
              <w:t xml:space="preserve">
Устойчивость (робастность) </w:t>
            </w:r>
          </w:p>
          <w:bookmarkEnd w:id="4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4163"/>
          <w:p>
            <w:pPr>
              <w:spacing w:after="20"/>
              <w:ind w:left="20"/>
              <w:jc w:val="both"/>
            </w:pPr>
            <w:r>
              <w:rPr>
                <w:rFonts w:ascii="Times New Roman"/>
                <w:b w:val="false"/>
                <w:i w:val="false"/>
                <w:color w:val="000000"/>
                <w:sz w:val="20"/>
              </w:rPr>
              <w:t xml:space="preserve">
Стабильность раствора </w:t>
            </w:r>
          </w:p>
          <w:bookmarkEnd w:id="4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7" w:id="4164"/>
    <w:p>
      <w:pPr>
        <w:spacing w:after="0"/>
        <w:ind w:left="0"/>
        <w:jc w:val="both"/>
      </w:pPr>
      <w:r>
        <w:rPr>
          <w:rFonts w:ascii="Times New Roman"/>
          <w:b w:val="false"/>
          <w:i w:val="false"/>
          <w:color w:val="000000"/>
          <w:sz w:val="28"/>
        </w:rPr>
        <w:t>
      Примечание. Знак "+" показывает, что определение параметра проведено в соответствии с требованиями, знак "минус" - определение параметра не проведено, знак "?" - наличие вопросов до оценки приемлемости параметра.</w:t>
      </w:r>
    </w:p>
    <w:bookmarkEnd w:id="4164"/>
    <w:bookmarkStart w:name="z4278" w:id="4165"/>
    <w:p>
      <w:pPr>
        <w:spacing w:after="0"/>
        <w:ind w:left="0"/>
        <w:jc w:val="both"/>
      </w:pPr>
      <w:r>
        <w:rPr>
          <w:rFonts w:ascii="Times New Roman"/>
          <w:b w:val="false"/>
          <w:i w:val="false"/>
          <w:color w:val="000000"/>
          <w:sz w:val="28"/>
        </w:rPr>
        <w:t>
       </w:t>
      </w:r>
    </w:p>
    <w:bookmarkEnd w:id="4165"/>
    <w:bookmarkStart w:name="z4279" w:id="4166"/>
    <w:p>
      <w:pPr>
        <w:spacing w:after="0"/>
        <w:ind w:left="0"/>
        <w:jc w:val="both"/>
      </w:pPr>
      <w:r>
        <w:rPr>
          <w:rFonts w:ascii="Times New Roman"/>
          <w:b w:val="false"/>
          <w:i w:val="false"/>
          <w:color w:val="000000"/>
          <w:sz w:val="28"/>
        </w:rPr>
        <w:t>
      4.5.4. Результаты анализа серий (раздел P.5.4).</w:t>
      </w:r>
    </w:p>
    <w:bookmarkEnd w:id="4166"/>
    <w:bookmarkStart w:name="z4280" w:id="4167"/>
    <w:p>
      <w:pPr>
        <w:spacing w:after="0"/>
        <w:ind w:left="0"/>
        <w:jc w:val="both"/>
      </w:pPr>
      <w:r>
        <w:rPr>
          <w:rFonts w:ascii="Times New Roman"/>
          <w:b w:val="false"/>
          <w:i w:val="false"/>
          <w:color w:val="000000"/>
          <w:sz w:val="28"/>
        </w:rPr>
        <w:t>
       </w:t>
      </w:r>
    </w:p>
    <w:bookmarkEnd w:id="4167"/>
    <w:bookmarkStart w:name="z4281" w:id="4168"/>
    <w:p>
      <w:pPr>
        <w:spacing w:after="0"/>
        <w:ind w:left="0"/>
        <w:jc w:val="both"/>
      </w:pPr>
      <w:r>
        <w:rPr>
          <w:rFonts w:ascii="Times New Roman"/>
          <w:b w:val="false"/>
          <w:i w:val="false"/>
          <w:color w:val="000000"/>
          <w:sz w:val="28"/>
        </w:rPr>
        <w:t>
      ___________________________________________________________________________</w:t>
      </w:r>
    </w:p>
    <w:bookmarkEnd w:id="4168"/>
    <w:bookmarkStart w:name="z4282" w:id="4169"/>
    <w:p>
      <w:pPr>
        <w:spacing w:after="0"/>
        <w:ind w:left="0"/>
        <w:jc w:val="both"/>
      </w:pPr>
      <w:r>
        <w:rPr>
          <w:rFonts w:ascii="Times New Roman"/>
          <w:b w:val="false"/>
          <w:i w:val="false"/>
          <w:color w:val="000000"/>
          <w:sz w:val="28"/>
        </w:rPr>
        <w:t>
      ___________________________________________________________________________</w:t>
      </w:r>
    </w:p>
    <w:bookmarkEnd w:id="4169"/>
    <w:bookmarkStart w:name="z4283" w:id="4170"/>
    <w:p>
      <w:pPr>
        <w:spacing w:after="0"/>
        <w:ind w:left="0"/>
        <w:jc w:val="both"/>
      </w:pPr>
      <w:r>
        <w:rPr>
          <w:rFonts w:ascii="Times New Roman"/>
          <w:b w:val="false"/>
          <w:i w:val="false"/>
          <w:color w:val="000000"/>
          <w:sz w:val="28"/>
        </w:rPr>
        <w:t>
      ___________________________________________________________________________</w:t>
      </w:r>
    </w:p>
    <w:bookmarkEnd w:id="4170"/>
    <w:bookmarkStart w:name="z4284" w:id="4171"/>
    <w:p>
      <w:pPr>
        <w:spacing w:after="0"/>
        <w:ind w:left="0"/>
        <w:jc w:val="both"/>
      </w:pPr>
      <w:r>
        <w:rPr>
          <w:rFonts w:ascii="Times New Roman"/>
          <w:b w:val="false"/>
          <w:i w:val="false"/>
          <w:color w:val="000000"/>
          <w:sz w:val="28"/>
        </w:rPr>
        <w:t>
       </w:t>
      </w:r>
    </w:p>
    <w:bookmarkEnd w:id="4171"/>
    <w:bookmarkStart w:name="z4285" w:id="4172"/>
    <w:p>
      <w:pPr>
        <w:spacing w:after="0"/>
        <w:ind w:left="0"/>
        <w:jc w:val="both"/>
      </w:pPr>
      <w:r>
        <w:rPr>
          <w:rFonts w:ascii="Times New Roman"/>
          <w:b w:val="false"/>
          <w:i w:val="false"/>
          <w:color w:val="000000"/>
          <w:sz w:val="28"/>
        </w:rPr>
        <w:t>
      4.5.5. Характеристика примесей (раздел P.5.5).</w:t>
      </w:r>
    </w:p>
    <w:bookmarkEnd w:id="4172"/>
    <w:bookmarkStart w:name="z4286" w:id="4173"/>
    <w:p>
      <w:pPr>
        <w:spacing w:after="0"/>
        <w:ind w:left="0"/>
        <w:jc w:val="both"/>
      </w:pPr>
      <w:r>
        <w:rPr>
          <w:rFonts w:ascii="Times New Roman"/>
          <w:b w:val="false"/>
          <w:i w:val="false"/>
          <w:color w:val="000000"/>
          <w:sz w:val="28"/>
        </w:rPr>
        <w:t>
       </w:t>
      </w:r>
    </w:p>
    <w:bookmarkEnd w:id="4173"/>
    <w:bookmarkStart w:name="z4287" w:id="4174"/>
    <w:p>
      <w:pPr>
        <w:spacing w:after="0"/>
        <w:ind w:left="0"/>
        <w:jc w:val="both"/>
      </w:pPr>
      <w:r>
        <w:rPr>
          <w:rFonts w:ascii="Times New Roman"/>
          <w:b w:val="false"/>
          <w:i w:val="false"/>
          <w:color w:val="000000"/>
          <w:sz w:val="28"/>
        </w:rPr>
        <w:t>
      ___________________________________________________________________________</w:t>
      </w:r>
    </w:p>
    <w:bookmarkEnd w:id="4174"/>
    <w:bookmarkStart w:name="z4288" w:id="4175"/>
    <w:p>
      <w:pPr>
        <w:spacing w:after="0"/>
        <w:ind w:left="0"/>
        <w:jc w:val="both"/>
      </w:pPr>
      <w:r>
        <w:rPr>
          <w:rFonts w:ascii="Times New Roman"/>
          <w:b w:val="false"/>
          <w:i w:val="false"/>
          <w:color w:val="000000"/>
          <w:sz w:val="28"/>
        </w:rPr>
        <w:t>
      ___________________________________________________________________________</w:t>
      </w:r>
    </w:p>
    <w:bookmarkEnd w:id="4175"/>
    <w:bookmarkStart w:name="z4289" w:id="4176"/>
    <w:p>
      <w:pPr>
        <w:spacing w:after="0"/>
        <w:ind w:left="0"/>
        <w:jc w:val="both"/>
      </w:pPr>
      <w:r>
        <w:rPr>
          <w:rFonts w:ascii="Times New Roman"/>
          <w:b w:val="false"/>
          <w:i w:val="false"/>
          <w:color w:val="000000"/>
          <w:sz w:val="28"/>
        </w:rPr>
        <w:t>
      ___________________________________________________________________________</w:t>
      </w:r>
    </w:p>
    <w:bookmarkEnd w:id="4176"/>
    <w:bookmarkStart w:name="z4290" w:id="4177"/>
    <w:p>
      <w:pPr>
        <w:spacing w:after="0"/>
        <w:ind w:left="0"/>
        <w:jc w:val="both"/>
      </w:pPr>
      <w:r>
        <w:rPr>
          <w:rFonts w:ascii="Times New Roman"/>
          <w:b w:val="false"/>
          <w:i w:val="false"/>
          <w:color w:val="000000"/>
          <w:sz w:val="28"/>
        </w:rPr>
        <w:t>
       </w:t>
      </w:r>
    </w:p>
    <w:bookmarkEnd w:id="4177"/>
    <w:bookmarkStart w:name="z4291" w:id="4178"/>
    <w:p>
      <w:pPr>
        <w:spacing w:after="0"/>
        <w:ind w:left="0"/>
        <w:jc w:val="both"/>
      </w:pPr>
      <w:r>
        <w:rPr>
          <w:rFonts w:ascii="Times New Roman"/>
          <w:b w:val="false"/>
          <w:i w:val="false"/>
          <w:color w:val="000000"/>
          <w:sz w:val="28"/>
        </w:rPr>
        <w:t>
      4.5.6. Обоснование спецификаций (раздел P.5.6).</w:t>
      </w:r>
    </w:p>
    <w:bookmarkEnd w:id="4178"/>
    <w:bookmarkStart w:name="z4292" w:id="4179"/>
    <w:p>
      <w:pPr>
        <w:spacing w:after="0"/>
        <w:ind w:left="0"/>
        <w:jc w:val="both"/>
      </w:pPr>
      <w:r>
        <w:rPr>
          <w:rFonts w:ascii="Times New Roman"/>
          <w:b w:val="false"/>
          <w:i w:val="false"/>
          <w:color w:val="000000"/>
          <w:sz w:val="28"/>
        </w:rPr>
        <w:t>
       </w:t>
      </w:r>
    </w:p>
    <w:bookmarkEnd w:id="4179"/>
    <w:bookmarkStart w:name="z4293" w:id="4180"/>
    <w:p>
      <w:pPr>
        <w:spacing w:after="0"/>
        <w:ind w:left="0"/>
        <w:jc w:val="both"/>
      </w:pPr>
      <w:r>
        <w:rPr>
          <w:rFonts w:ascii="Times New Roman"/>
          <w:b w:val="false"/>
          <w:i w:val="false"/>
          <w:color w:val="000000"/>
          <w:sz w:val="28"/>
        </w:rPr>
        <w:t>
      ___________________________________________________________________________</w:t>
      </w:r>
    </w:p>
    <w:bookmarkEnd w:id="4180"/>
    <w:bookmarkStart w:name="z4294" w:id="4181"/>
    <w:p>
      <w:pPr>
        <w:spacing w:after="0"/>
        <w:ind w:left="0"/>
        <w:jc w:val="both"/>
      </w:pPr>
      <w:r>
        <w:rPr>
          <w:rFonts w:ascii="Times New Roman"/>
          <w:b w:val="false"/>
          <w:i w:val="false"/>
          <w:color w:val="000000"/>
          <w:sz w:val="28"/>
        </w:rPr>
        <w:t>
      ___________________________________________________________________________</w:t>
      </w:r>
    </w:p>
    <w:bookmarkEnd w:id="4181"/>
    <w:bookmarkStart w:name="z4295" w:id="4182"/>
    <w:p>
      <w:pPr>
        <w:spacing w:after="0"/>
        <w:ind w:left="0"/>
        <w:jc w:val="both"/>
      </w:pPr>
      <w:r>
        <w:rPr>
          <w:rFonts w:ascii="Times New Roman"/>
          <w:b w:val="false"/>
          <w:i w:val="false"/>
          <w:color w:val="000000"/>
          <w:sz w:val="28"/>
        </w:rPr>
        <w:t>
      ___________________________________________________________________________</w:t>
      </w:r>
    </w:p>
    <w:bookmarkEnd w:id="4182"/>
    <w:bookmarkStart w:name="z4296" w:id="4183"/>
    <w:p>
      <w:pPr>
        <w:spacing w:after="0"/>
        <w:ind w:left="0"/>
        <w:jc w:val="both"/>
      </w:pPr>
      <w:r>
        <w:rPr>
          <w:rFonts w:ascii="Times New Roman"/>
          <w:b w:val="false"/>
          <w:i w:val="false"/>
          <w:color w:val="000000"/>
          <w:sz w:val="28"/>
        </w:rPr>
        <w:t>
       </w:t>
      </w:r>
    </w:p>
    <w:bookmarkEnd w:id="4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4184"/>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4184"/>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298" w:id="4185"/>
    <w:p>
      <w:pPr>
        <w:spacing w:after="0"/>
        <w:ind w:left="0"/>
        <w:jc w:val="both"/>
      </w:pPr>
      <w:r>
        <w:rPr>
          <w:rFonts w:ascii="Times New Roman"/>
          <w:b w:val="false"/>
          <w:i w:val="false"/>
          <w:color w:val="000000"/>
          <w:sz w:val="28"/>
        </w:rPr>
        <w:t>
       </w:t>
      </w:r>
    </w:p>
    <w:bookmarkEnd w:id="4185"/>
    <w:bookmarkStart w:name="z4299" w:id="4186"/>
    <w:p>
      <w:pPr>
        <w:spacing w:after="0"/>
        <w:ind w:left="0"/>
        <w:jc w:val="left"/>
      </w:pPr>
      <w:r>
        <w:rPr>
          <w:rFonts w:ascii="Times New Roman"/>
          <w:b/>
          <w:i w:val="false"/>
          <w:color w:val="000000"/>
        </w:rPr>
        <w:t xml:space="preserve"> 4.6. Стандартные образцы и материалы (модуль 3.2.P.6)</w:t>
      </w:r>
    </w:p>
    <w:bookmarkEnd w:id="4186"/>
    <w:bookmarkStart w:name="z4300" w:id="4187"/>
    <w:p>
      <w:pPr>
        <w:spacing w:after="0"/>
        <w:ind w:left="0"/>
        <w:jc w:val="both"/>
      </w:pPr>
      <w:r>
        <w:rPr>
          <w:rFonts w:ascii="Times New Roman"/>
          <w:b w:val="false"/>
          <w:i w:val="false"/>
          <w:color w:val="000000"/>
          <w:sz w:val="28"/>
        </w:rPr>
        <w:t>
      ___________________________________________________________________________</w:t>
      </w:r>
    </w:p>
    <w:bookmarkEnd w:id="4187"/>
    <w:bookmarkStart w:name="z4301" w:id="4188"/>
    <w:p>
      <w:pPr>
        <w:spacing w:after="0"/>
        <w:ind w:left="0"/>
        <w:jc w:val="both"/>
      </w:pPr>
      <w:r>
        <w:rPr>
          <w:rFonts w:ascii="Times New Roman"/>
          <w:b w:val="false"/>
          <w:i w:val="false"/>
          <w:color w:val="000000"/>
          <w:sz w:val="28"/>
        </w:rPr>
        <w:t>
      ___________________________________________________________________________</w:t>
      </w:r>
    </w:p>
    <w:bookmarkEnd w:id="4188"/>
    <w:bookmarkStart w:name="z4302" w:id="4189"/>
    <w:p>
      <w:pPr>
        <w:spacing w:after="0"/>
        <w:ind w:left="0"/>
        <w:jc w:val="both"/>
      </w:pPr>
      <w:r>
        <w:rPr>
          <w:rFonts w:ascii="Times New Roman"/>
          <w:b w:val="false"/>
          <w:i w:val="false"/>
          <w:color w:val="000000"/>
          <w:sz w:val="28"/>
        </w:rPr>
        <w:t>
      ___________________________________________________________________________</w:t>
      </w:r>
    </w:p>
    <w:bookmarkEnd w:id="4189"/>
    <w:bookmarkStart w:name="z4303" w:id="4190"/>
    <w:p>
      <w:pPr>
        <w:spacing w:after="0"/>
        <w:ind w:left="0"/>
        <w:jc w:val="both"/>
      </w:pPr>
      <w:r>
        <w:rPr>
          <w:rFonts w:ascii="Times New Roman"/>
          <w:b w:val="false"/>
          <w:i w:val="false"/>
          <w:color w:val="000000"/>
          <w:sz w:val="28"/>
        </w:rPr>
        <w:t>
       </w:t>
      </w:r>
    </w:p>
    <w:bookmarkEnd w:id="4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4191"/>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4191"/>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305" w:id="4192"/>
    <w:p>
      <w:pPr>
        <w:spacing w:after="0"/>
        <w:ind w:left="0"/>
        <w:jc w:val="both"/>
      </w:pPr>
      <w:r>
        <w:rPr>
          <w:rFonts w:ascii="Times New Roman"/>
          <w:b w:val="false"/>
          <w:i w:val="false"/>
          <w:color w:val="000000"/>
          <w:sz w:val="28"/>
        </w:rPr>
        <w:t>
       </w:t>
      </w:r>
    </w:p>
    <w:bookmarkEnd w:id="4192"/>
    <w:bookmarkStart w:name="z4306" w:id="4193"/>
    <w:p>
      <w:pPr>
        <w:spacing w:after="0"/>
        <w:ind w:left="0"/>
        <w:jc w:val="left"/>
      </w:pPr>
      <w:r>
        <w:rPr>
          <w:rFonts w:ascii="Times New Roman"/>
          <w:b/>
          <w:i w:val="false"/>
          <w:color w:val="000000"/>
        </w:rPr>
        <w:t xml:space="preserve"> 4.7. Система упаковки (укупорки) (модуль 3.2.P.7)</w:t>
      </w:r>
    </w:p>
    <w:bookmarkEnd w:id="4193"/>
    <w:bookmarkStart w:name="z4307" w:id="4194"/>
    <w:p>
      <w:pPr>
        <w:spacing w:after="0"/>
        <w:ind w:left="0"/>
        <w:jc w:val="both"/>
      </w:pPr>
      <w:r>
        <w:rPr>
          <w:rFonts w:ascii="Times New Roman"/>
          <w:b w:val="false"/>
          <w:i w:val="false"/>
          <w:color w:val="000000"/>
          <w:sz w:val="28"/>
        </w:rPr>
        <w:t>
      ___________________________________________________________________________</w:t>
      </w:r>
    </w:p>
    <w:bookmarkEnd w:id="4194"/>
    <w:bookmarkStart w:name="z4308" w:id="4195"/>
    <w:p>
      <w:pPr>
        <w:spacing w:after="0"/>
        <w:ind w:left="0"/>
        <w:jc w:val="both"/>
      </w:pPr>
      <w:r>
        <w:rPr>
          <w:rFonts w:ascii="Times New Roman"/>
          <w:b w:val="false"/>
          <w:i w:val="false"/>
          <w:color w:val="000000"/>
          <w:sz w:val="28"/>
        </w:rPr>
        <w:t>
      ___________________________________________________________________________</w:t>
      </w:r>
    </w:p>
    <w:bookmarkEnd w:id="4195"/>
    <w:bookmarkStart w:name="z4309" w:id="4196"/>
    <w:p>
      <w:pPr>
        <w:spacing w:after="0"/>
        <w:ind w:left="0"/>
        <w:jc w:val="both"/>
      </w:pPr>
      <w:r>
        <w:rPr>
          <w:rFonts w:ascii="Times New Roman"/>
          <w:b w:val="false"/>
          <w:i w:val="false"/>
          <w:color w:val="000000"/>
          <w:sz w:val="28"/>
        </w:rPr>
        <w:t>
      ___________________________________________________________________________</w:t>
      </w:r>
    </w:p>
    <w:bookmarkEnd w:id="4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4197"/>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4197"/>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311" w:id="4198"/>
    <w:p>
      <w:pPr>
        <w:spacing w:after="0"/>
        <w:ind w:left="0"/>
        <w:jc w:val="left"/>
      </w:pPr>
      <w:r>
        <w:rPr>
          <w:rFonts w:ascii="Times New Roman"/>
          <w:b/>
          <w:i w:val="false"/>
          <w:color w:val="000000"/>
        </w:rPr>
        <w:t xml:space="preserve"> 4.8. Стабильность (модуль 3.2.P.8) </w:t>
      </w:r>
    </w:p>
    <w:bookmarkEnd w:id="4198"/>
    <w:bookmarkStart w:name="z4312" w:id="4199"/>
    <w:p>
      <w:pPr>
        <w:spacing w:after="0"/>
        <w:ind w:left="0"/>
        <w:jc w:val="both"/>
      </w:pPr>
      <w:r>
        <w:rPr>
          <w:rFonts w:ascii="Times New Roman"/>
          <w:b w:val="false"/>
          <w:i w:val="false"/>
          <w:color w:val="000000"/>
          <w:sz w:val="28"/>
        </w:rPr>
        <w:t>
      4.8.1. Резюме об испытаниях стабильности и заключение о стабильности (раздел P.8.1).</w:t>
      </w:r>
    </w:p>
    <w:bookmarkEnd w:id="4199"/>
    <w:bookmarkStart w:name="z4313" w:id="4200"/>
    <w:p>
      <w:pPr>
        <w:spacing w:after="0"/>
        <w:ind w:left="0"/>
        <w:jc w:val="both"/>
      </w:pPr>
      <w:r>
        <w:rPr>
          <w:rFonts w:ascii="Times New Roman"/>
          <w:b w:val="false"/>
          <w:i w:val="false"/>
          <w:color w:val="000000"/>
          <w:sz w:val="28"/>
        </w:rPr>
        <w:t>
       </w:t>
      </w:r>
    </w:p>
    <w:bookmarkEnd w:id="4200"/>
    <w:bookmarkStart w:name="z4314" w:id="4201"/>
    <w:p>
      <w:pPr>
        <w:spacing w:after="0"/>
        <w:ind w:left="0"/>
        <w:jc w:val="both"/>
      </w:pPr>
      <w:r>
        <w:rPr>
          <w:rFonts w:ascii="Times New Roman"/>
          <w:b w:val="false"/>
          <w:i w:val="false"/>
          <w:color w:val="000000"/>
          <w:sz w:val="28"/>
        </w:rPr>
        <w:t>
      ___________________________________________________________________________</w:t>
      </w:r>
    </w:p>
    <w:bookmarkEnd w:id="4201"/>
    <w:bookmarkStart w:name="z4315" w:id="4202"/>
    <w:p>
      <w:pPr>
        <w:spacing w:after="0"/>
        <w:ind w:left="0"/>
        <w:jc w:val="both"/>
      </w:pPr>
      <w:r>
        <w:rPr>
          <w:rFonts w:ascii="Times New Roman"/>
          <w:b w:val="false"/>
          <w:i w:val="false"/>
          <w:color w:val="000000"/>
          <w:sz w:val="28"/>
        </w:rPr>
        <w:t>
      ___________________________________________________________________________</w:t>
      </w:r>
    </w:p>
    <w:bookmarkEnd w:id="4202"/>
    <w:bookmarkStart w:name="z4316" w:id="4203"/>
    <w:p>
      <w:pPr>
        <w:spacing w:after="0"/>
        <w:ind w:left="0"/>
        <w:jc w:val="both"/>
      </w:pPr>
      <w:r>
        <w:rPr>
          <w:rFonts w:ascii="Times New Roman"/>
          <w:b w:val="false"/>
          <w:i w:val="false"/>
          <w:color w:val="000000"/>
          <w:sz w:val="28"/>
        </w:rPr>
        <w:t>
       </w:t>
      </w:r>
    </w:p>
    <w:bookmarkEnd w:id="4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P.8-1</w:t>
            </w:r>
          </w:p>
        </w:tc>
      </w:tr>
    </w:tbl>
    <w:bookmarkStart w:name="z4318" w:id="4204"/>
    <w:p>
      <w:pPr>
        <w:spacing w:after="0"/>
        <w:ind w:left="0"/>
        <w:jc w:val="left"/>
      </w:pPr>
      <w:r>
        <w:rPr>
          <w:rFonts w:ascii="Times New Roman"/>
          <w:b/>
          <w:i w:val="false"/>
          <w:color w:val="000000"/>
        </w:rPr>
        <w:t xml:space="preserve"> Основные испытания стабильности </w:t>
      </w:r>
    </w:p>
    <w:bookmarkEnd w:id="4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4205"/>
          <w:p>
            <w:pPr>
              <w:spacing w:after="20"/>
              <w:ind w:left="20"/>
              <w:jc w:val="both"/>
            </w:pPr>
            <w:r>
              <w:rPr>
                <w:rFonts w:ascii="Times New Roman"/>
                <w:b w:val="false"/>
                <w:i w:val="false"/>
                <w:color w:val="000000"/>
                <w:sz w:val="20"/>
              </w:rPr>
              <w:t xml:space="preserve">
Температура, °C; относительная влажность (ОВ), % </w:t>
            </w:r>
          </w:p>
          <w:bookmarkEnd w:id="4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 xml:space="preserve"> серий</w:t>
            </w:r>
          </w:p>
          <w:p>
            <w:pPr>
              <w:spacing w:after="20"/>
              <w:ind w:left="20"/>
              <w:jc w:val="both"/>
            </w:pPr>
            <w:r>
              <w:rPr>
                <w:rFonts w:ascii="Times New Roman"/>
                <w:b w:val="false"/>
                <w:i w:val="false"/>
                <w:color w:val="000000"/>
                <w:sz w:val="20"/>
              </w:rPr>
              <w:t xml:space="preserve">x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серии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4206"/>
          <w:p>
            <w:pPr>
              <w:spacing w:after="20"/>
              <w:ind w:left="20"/>
              <w:jc w:val="both"/>
            </w:pPr>
            <w:r>
              <w:rPr>
                <w:rFonts w:ascii="Times New Roman"/>
                <w:b w:val="false"/>
                <w:i w:val="false"/>
                <w:color w:val="000000"/>
                <w:sz w:val="20"/>
              </w:rPr>
              <w:t xml:space="preserve">
25 °C/ОВ 60% </w:t>
            </w:r>
          </w:p>
          <w:bookmarkEnd w:id="4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масштаб или опытно-промышленный масштаб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предназначена для реализации или 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4207"/>
          <w:p>
            <w:pPr>
              <w:spacing w:after="20"/>
              <w:ind w:left="20"/>
              <w:jc w:val="both"/>
            </w:pPr>
            <w:r>
              <w:rPr>
                <w:rFonts w:ascii="Times New Roman"/>
                <w:b w:val="false"/>
                <w:i w:val="false"/>
                <w:color w:val="000000"/>
                <w:sz w:val="20"/>
              </w:rPr>
              <w:t xml:space="preserve">
40 °C/ОВ 75% </w:t>
            </w:r>
          </w:p>
          <w:bookmarkEnd w:id="4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4208"/>
          <w:p>
            <w:pPr>
              <w:spacing w:after="20"/>
              <w:ind w:left="20"/>
              <w:jc w:val="both"/>
            </w:pPr>
          </w:p>
          <w:bookmarkEnd w:id="4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3" w:id="4209"/>
    <w:p>
      <w:pPr>
        <w:spacing w:after="0"/>
        <w:ind w:left="0"/>
        <w:jc w:val="both"/>
      </w:pPr>
      <w:r>
        <w:rPr>
          <w:rFonts w:ascii="Times New Roman"/>
          <w:b w:val="false"/>
          <w:i w:val="false"/>
          <w:color w:val="000000"/>
          <w:sz w:val="28"/>
        </w:rPr>
        <w:t>
       </w:t>
      </w:r>
    </w:p>
    <w:bookmarkEnd w:id="4209"/>
    <w:bookmarkStart w:name="z4324" w:id="4210"/>
    <w:p>
      <w:pPr>
        <w:spacing w:after="0"/>
        <w:ind w:left="0"/>
        <w:jc w:val="both"/>
      </w:pPr>
      <w:r>
        <w:rPr>
          <w:rFonts w:ascii="Times New Roman"/>
          <w:b w:val="false"/>
          <w:i w:val="false"/>
          <w:color w:val="000000"/>
          <w:sz w:val="28"/>
        </w:rPr>
        <w:t>
      4.8.2. Программа пострегистрационных испытаний стабильности и обязательства относительно изучения стабильности (раздел P.8.2).</w:t>
      </w:r>
    </w:p>
    <w:bookmarkEnd w:id="4210"/>
    <w:bookmarkStart w:name="z4325" w:id="4211"/>
    <w:p>
      <w:pPr>
        <w:spacing w:after="0"/>
        <w:ind w:left="0"/>
        <w:jc w:val="both"/>
      </w:pPr>
      <w:r>
        <w:rPr>
          <w:rFonts w:ascii="Times New Roman"/>
          <w:b w:val="false"/>
          <w:i w:val="false"/>
          <w:color w:val="000000"/>
          <w:sz w:val="28"/>
        </w:rPr>
        <w:t>
       </w:t>
      </w:r>
    </w:p>
    <w:bookmarkEnd w:id="4211"/>
    <w:bookmarkStart w:name="z4326" w:id="4212"/>
    <w:p>
      <w:pPr>
        <w:spacing w:after="0"/>
        <w:ind w:left="0"/>
        <w:jc w:val="both"/>
      </w:pPr>
      <w:r>
        <w:rPr>
          <w:rFonts w:ascii="Times New Roman"/>
          <w:b w:val="false"/>
          <w:i w:val="false"/>
          <w:color w:val="000000"/>
          <w:sz w:val="28"/>
        </w:rPr>
        <w:t>
      ___________________________________________________________________________</w:t>
      </w:r>
    </w:p>
    <w:bookmarkEnd w:id="4212"/>
    <w:bookmarkStart w:name="z4327" w:id="4213"/>
    <w:p>
      <w:pPr>
        <w:spacing w:after="0"/>
        <w:ind w:left="0"/>
        <w:jc w:val="both"/>
      </w:pPr>
      <w:r>
        <w:rPr>
          <w:rFonts w:ascii="Times New Roman"/>
          <w:b w:val="false"/>
          <w:i w:val="false"/>
          <w:color w:val="000000"/>
          <w:sz w:val="28"/>
        </w:rPr>
        <w:t>
      ___________________________________________________________________________</w:t>
      </w:r>
    </w:p>
    <w:bookmarkEnd w:id="4213"/>
    <w:bookmarkStart w:name="z4328" w:id="4214"/>
    <w:p>
      <w:pPr>
        <w:spacing w:after="0"/>
        <w:ind w:left="0"/>
        <w:jc w:val="both"/>
      </w:pPr>
      <w:r>
        <w:rPr>
          <w:rFonts w:ascii="Times New Roman"/>
          <w:b w:val="false"/>
          <w:i w:val="false"/>
          <w:color w:val="000000"/>
          <w:sz w:val="28"/>
        </w:rPr>
        <w:t>
      ___________________________________________________________________________</w:t>
      </w:r>
    </w:p>
    <w:bookmarkEnd w:id="4214"/>
    <w:bookmarkStart w:name="z4329" w:id="4215"/>
    <w:p>
      <w:pPr>
        <w:spacing w:after="0"/>
        <w:ind w:left="0"/>
        <w:jc w:val="both"/>
      </w:pPr>
      <w:r>
        <w:rPr>
          <w:rFonts w:ascii="Times New Roman"/>
          <w:b w:val="false"/>
          <w:i w:val="false"/>
          <w:color w:val="000000"/>
          <w:sz w:val="28"/>
        </w:rPr>
        <w:t>
       </w:t>
      </w:r>
    </w:p>
    <w:bookmarkEnd w:id="4215"/>
    <w:bookmarkStart w:name="z4330" w:id="4216"/>
    <w:p>
      <w:pPr>
        <w:spacing w:after="0"/>
        <w:ind w:left="0"/>
        <w:jc w:val="both"/>
      </w:pPr>
      <w:r>
        <w:rPr>
          <w:rFonts w:ascii="Times New Roman"/>
          <w:b w:val="false"/>
          <w:i w:val="false"/>
          <w:color w:val="000000"/>
          <w:sz w:val="28"/>
        </w:rPr>
        <w:t>
      4.8.3. Данные испытаний стабильности (раздел P.8.3).</w:t>
      </w:r>
    </w:p>
    <w:bookmarkEnd w:id="4216"/>
    <w:bookmarkStart w:name="z4331" w:id="4217"/>
    <w:p>
      <w:pPr>
        <w:spacing w:after="0"/>
        <w:ind w:left="0"/>
        <w:jc w:val="both"/>
      </w:pPr>
      <w:r>
        <w:rPr>
          <w:rFonts w:ascii="Times New Roman"/>
          <w:b w:val="false"/>
          <w:i w:val="false"/>
          <w:color w:val="000000"/>
          <w:sz w:val="28"/>
        </w:rPr>
        <w:t>
       </w:t>
      </w:r>
    </w:p>
    <w:bookmarkEnd w:id="4217"/>
    <w:bookmarkStart w:name="z4332" w:id="4218"/>
    <w:p>
      <w:pPr>
        <w:spacing w:after="0"/>
        <w:ind w:left="0"/>
        <w:jc w:val="both"/>
      </w:pPr>
      <w:r>
        <w:rPr>
          <w:rFonts w:ascii="Times New Roman"/>
          <w:b w:val="false"/>
          <w:i w:val="false"/>
          <w:color w:val="000000"/>
          <w:sz w:val="28"/>
        </w:rPr>
        <w:t>
      ___________________________________________________________________________</w:t>
      </w:r>
    </w:p>
    <w:bookmarkEnd w:id="4218"/>
    <w:bookmarkStart w:name="z4333" w:id="4219"/>
    <w:p>
      <w:pPr>
        <w:spacing w:after="0"/>
        <w:ind w:left="0"/>
        <w:jc w:val="both"/>
      </w:pPr>
      <w:r>
        <w:rPr>
          <w:rFonts w:ascii="Times New Roman"/>
          <w:b w:val="false"/>
          <w:i w:val="false"/>
          <w:color w:val="000000"/>
          <w:sz w:val="28"/>
        </w:rPr>
        <w:t>
      ___________________________________________________________________________</w:t>
      </w:r>
    </w:p>
    <w:bookmarkEnd w:id="4219"/>
    <w:bookmarkStart w:name="z4334" w:id="4220"/>
    <w:p>
      <w:pPr>
        <w:spacing w:after="0"/>
        <w:ind w:left="0"/>
        <w:jc w:val="both"/>
      </w:pPr>
      <w:r>
        <w:rPr>
          <w:rFonts w:ascii="Times New Roman"/>
          <w:b w:val="false"/>
          <w:i w:val="false"/>
          <w:color w:val="000000"/>
          <w:sz w:val="28"/>
        </w:rPr>
        <w:t>
      ___________________________________________________________________________</w:t>
      </w:r>
    </w:p>
    <w:bookmarkEnd w:id="4220"/>
    <w:bookmarkStart w:name="z4335" w:id="4221"/>
    <w:p>
      <w:pPr>
        <w:spacing w:after="0"/>
        <w:ind w:left="0"/>
        <w:jc w:val="both"/>
      </w:pPr>
      <w:r>
        <w:rPr>
          <w:rFonts w:ascii="Times New Roman"/>
          <w:b w:val="false"/>
          <w:i w:val="false"/>
          <w:color w:val="000000"/>
          <w:sz w:val="28"/>
        </w:rPr>
        <w:t>
       </w:t>
      </w:r>
    </w:p>
    <w:bookmarkEnd w:id="4221"/>
    <w:bookmarkStart w:name="z4336" w:id="4222"/>
    <w:p>
      <w:pPr>
        <w:spacing w:after="0"/>
        <w:ind w:left="0"/>
        <w:jc w:val="both"/>
      </w:pPr>
      <w:r>
        <w:rPr>
          <w:rFonts w:ascii="Times New Roman"/>
          <w:b w:val="false"/>
          <w:i w:val="false"/>
          <w:color w:val="000000"/>
          <w:sz w:val="28"/>
        </w:rPr>
        <w:t>
      Данные испытаний стабильности, на которых основываются краткий обзор и заключение в P.8.1, включаются в досье.</w:t>
      </w:r>
    </w:p>
    <w:bookmarkEnd w:id="4222"/>
    <w:bookmarkStart w:name="z4337" w:id="4223"/>
    <w:p>
      <w:pPr>
        <w:spacing w:after="0"/>
        <w:ind w:left="0"/>
        <w:jc w:val="both"/>
      </w:pPr>
      <w:r>
        <w:rPr>
          <w:rFonts w:ascii="Times New Roman"/>
          <w:b w:val="false"/>
          <w:i w:val="false"/>
          <w:color w:val="000000"/>
          <w:sz w:val="28"/>
        </w:rPr>
        <w:t>
      4.8.4. Резюме о подтверждении заявленного срока годности и условий хранения лекарственного препарата.</w:t>
      </w:r>
    </w:p>
    <w:bookmarkEnd w:id="4223"/>
    <w:bookmarkStart w:name="z4338" w:id="4224"/>
    <w:p>
      <w:pPr>
        <w:spacing w:after="0"/>
        <w:ind w:left="0"/>
        <w:jc w:val="both"/>
      </w:pPr>
      <w:r>
        <w:rPr>
          <w:rFonts w:ascii="Times New Roman"/>
          <w:b w:val="false"/>
          <w:i w:val="false"/>
          <w:color w:val="000000"/>
          <w:sz w:val="28"/>
        </w:rPr>
        <w:t>
       </w:t>
      </w:r>
    </w:p>
    <w:bookmarkEnd w:id="4224"/>
    <w:bookmarkStart w:name="z4339" w:id="4225"/>
    <w:p>
      <w:pPr>
        <w:spacing w:after="0"/>
        <w:ind w:left="0"/>
        <w:jc w:val="both"/>
      </w:pPr>
      <w:r>
        <w:rPr>
          <w:rFonts w:ascii="Times New Roman"/>
          <w:b w:val="false"/>
          <w:i w:val="false"/>
          <w:color w:val="000000"/>
          <w:sz w:val="28"/>
        </w:rPr>
        <w:t>
      ___________________________________________________________________________</w:t>
      </w:r>
    </w:p>
    <w:bookmarkEnd w:id="4225"/>
    <w:bookmarkStart w:name="z4340" w:id="4226"/>
    <w:p>
      <w:pPr>
        <w:spacing w:after="0"/>
        <w:ind w:left="0"/>
        <w:jc w:val="both"/>
      </w:pPr>
      <w:r>
        <w:rPr>
          <w:rFonts w:ascii="Times New Roman"/>
          <w:b w:val="false"/>
          <w:i w:val="false"/>
          <w:color w:val="000000"/>
          <w:sz w:val="28"/>
        </w:rPr>
        <w:t>
      ___________________________________________________________________________</w:t>
      </w:r>
    </w:p>
    <w:bookmarkEnd w:id="4226"/>
    <w:bookmarkStart w:name="z4341" w:id="4227"/>
    <w:p>
      <w:pPr>
        <w:spacing w:after="0"/>
        <w:ind w:left="0"/>
        <w:jc w:val="both"/>
      </w:pPr>
      <w:r>
        <w:rPr>
          <w:rFonts w:ascii="Times New Roman"/>
          <w:b w:val="false"/>
          <w:i w:val="false"/>
          <w:color w:val="000000"/>
          <w:sz w:val="28"/>
        </w:rPr>
        <w:t>
      ___________________________________________________________________________</w:t>
      </w:r>
    </w:p>
    <w:bookmarkEnd w:id="4227"/>
    <w:bookmarkStart w:name="z4342" w:id="4228"/>
    <w:p>
      <w:pPr>
        <w:spacing w:after="0"/>
        <w:ind w:left="0"/>
        <w:jc w:val="both"/>
      </w:pPr>
      <w:r>
        <w:rPr>
          <w:rFonts w:ascii="Times New Roman"/>
          <w:b w:val="false"/>
          <w:i w:val="false"/>
          <w:color w:val="000000"/>
          <w:sz w:val="28"/>
        </w:rPr>
        <w:t>
       </w:t>
      </w:r>
    </w:p>
    <w:bookmarkEnd w:id="4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4229"/>
          <w:p>
            <w:pPr>
              <w:spacing w:after="20"/>
              <w:ind w:left="20"/>
              <w:jc w:val="both"/>
            </w:pPr>
            <w:r>
              <w:rPr>
                <w:rFonts w:ascii="Times New Roman"/>
                <w:b w:val="false"/>
                <w:i w:val="false"/>
                <w:color w:val="000000"/>
                <w:sz w:val="20"/>
              </w:rPr>
              <w:t>
Комментарий эксперта ______________________________________________________________________________________________________________________</w:t>
            </w:r>
          </w:p>
          <w:bookmarkEnd w:id="4229"/>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_________________________________________________________________________________________________________________________________________ </w:t>
            </w:r>
          </w:p>
        </w:tc>
      </w:tr>
    </w:tbl>
    <w:bookmarkStart w:name="z4344" w:id="4230"/>
    <w:p>
      <w:pPr>
        <w:spacing w:after="0"/>
        <w:ind w:left="0"/>
        <w:jc w:val="both"/>
      </w:pPr>
      <w:r>
        <w:rPr>
          <w:rFonts w:ascii="Times New Roman"/>
          <w:b w:val="false"/>
          <w:i w:val="false"/>
          <w:color w:val="000000"/>
          <w:sz w:val="28"/>
        </w:rPr>
        <w:t>
       </w:t>
      </w:r>
    </w:p>
    <w:bookmarkEnd w:id="4230"/>
    <w:bookmarkStart w:name="z4345" w:id="4231"/>
    <w:p>
      <w:pPr>
        <w:spacing w:after="0"/>
        <w:ind w:left="0"/>
        <w:jc w:val="left"/>
      </w:pPr>
      <w:r>
        <w:rPr>
          <w:rFonts w:ascii="Times New Roman"/>
          <w:b/>
          <w:i w:val="false"/>
          <w:color w:val="000000"/>
        </w:rPr>
        <w:t xml:space="preserve"> 5. Дополнения (модуль 3.2.A) </w:t>
      </w:r>
    </w:p>
    <w:bookmarkEnd w:id="4231"/>
    <w:bookmarkStart w:name="z4346" w:id="4232"/>
    <w:p>
      <w:pPr>
        <w:spacing w:after="0"/>
        <w:ind w:left="0"/>
        <w:jc w:val="left"/>
      </w:pPr>
      <w:r>
        <w:rPr>
          <w:rFonts w:ascii="Times New Roman"/>
          <w:b/>
          <w:i w:val="false"/>
          <w:color w:val="000000"/>
        </w:rPr>
        <w:t xml:space="preserve"> 5.1. Производственные помещения и оборудование</w:t>
      </w:r>
    </w:p>
    <w:bookmarkEnd w:id="4232"/>
    <w:bookmarkStart w:name="z4347" w:id="4233"/>
    <w:p>
      <w:pPr>
        <w:spacing w:after="0"/>
        <w:ind w:left="0"/>
        <w:jc w:val="both"/>
      </w:pPr>
      <w:r>
        <w:rPr>
          <w:rFonts w:ascii="Times New Roman"/>
          <w:b w:val="false"/>
          <w:i w:val="false"/>
          <w:color w:val="000000"/>
          <w:sz w:val="28"/>
        </w:rPr>
        <w:t>
      ___________________________________________________________________________</w:t>
      </w:r>
    </w:p>
    <w:bookmarkEnd w:id="4233"/>
    <w:bookmarkStart w:name="z4348" w:id="4234"/>
    <w:p>
      <w:pPr>
        <w:spacing w:after="0"/>
        <w:ind w:left="0"/>
        <w:jc w:val="both"/>
      </w:pPr>
      <w:r>
        <w:rPr>
          <w:rFonts w:ascii="Times New Roman"/>
          <w:b w:val="false"/>
          <w:i w:val="false"/>
          <w:color w:val="000000"/>
          <w:sz w:val="28"/>
        </w:rPr>
        <w:t>
      ___________________________________________________________________________</w:t>
      </w:r>
    </w:p>
    <w:bookmarkEnd w:id="4234"/>
    <w:bookmarkStart w:name="z4349" w:id="4235"/>
    <w:p>
      <w:pPr>
        <w:spacing w:after="0"/>
        <w:ind w:left="0"/>
        <w:jc w:val="both"/>
      </w:pPr>
      <w:r>
        <w:rPr>
          <w:rFonts w:ascii="Times New Roman"/>
          <w:b w:val="false"/>
          <w:i w:val="false"/>
          <w:color w:val="000000"/>
          <w:sz w:val="28"/>
        </w:rPr>
        <w:t>
      ___________________________________________________________________________</w:t>
      </w:r>
    </w:p>
    <w:bookmarkEnd w:id="4235"/>
    <w:bookmarkStart w:name="z4350" w:id="4236"/>
    <w:p>
      <w:pPr>
        <w:spacing w:after="0"/>
        <w:ind w:left="0"/>
        <w:jc w:val="both"/>
      </w:pPr>
      <w:r>
        <w:rPr>
          <w:rFonts w:ascii="Times New Roman"/>
          <w:b w:val="false"/>
          <w:i w:val="false"/>
          <w:color w:val="000000"/>
          <w:sz w:val="28"/>
        </w:rPr>
        <w:t>
       </w:t>
      </w:r>
    </w:p>
    <w:bookmarkEnd w:id="4236"/>
    <w:bookmarkStart w:name="z4351" w:id="4237"/>
    <w:p>
      <w:pPr>
        <w:spacing w:after="0"/>
        <w:ind w:left="0"/>
        <w:jc w:val="left"/>
      </w:pPr>
      <w:r>
        <w:rPr>
          <w:rFonts w:ascii="Times New Roman"/>
          <w:b/>
          <w:i w:val="false"/>
          <w:color w:val="000000"/>
        </w:rPr>
        <w:t xml:space="preserve"> 5.2. Оценка безопасности относительно посторонних агентов</w:t>
      </w:r>
      <w:r>
        <w:br/>
      </w:r>
      <w:r>
        <w:rPr>
          <w:rFonts w:ascii="Times New Roman"/>
          <w:b/>
          <w:i w:val="false"/>
          <w:color w:val="000000"/>
        </w:rPr>
        <w:t xml:space="preserve"> </w:t>
      </w:r>
    </w:p>
    <w:bookmarkEnd w:id="4237"/>
    <w:bookmarkStart w:name="z4352" w:id="4238"/>
    <w:p>
      <w:pPr>
        <w:spacing w:after="0"/>
        <w:ind w:left="0"/>
        <w:jc w:val="both"/>
      </w:pPr>
      <w:r>
        <w:rPr>
          <w:rFonts w:ascii="Times New Roman"/>
          <w:b w:val="false"/>
          <w:i w:val="false"/>
          <w:color w:val="000000"/>
          <w:sz w:val="28"/>
        </w:rPr>
        <w:t>
      ___________________________________________________________________________</w:t>
      </w:r>
    </w:p>
    <w:bookmarkEnd w:id="4238"/>
    <w:bookmarkStart w:name="z4353" w:id="4239"/>
    <w:p>
      <w:pPr>
        <w:spacing w:after="0"/>
        <w:ind w:left="0"/>
        <w:jc w:val="both"/>
      </w:pPr>
      <w:r>
        <w:rPr>
          <w:rFonts w:ascii="Times New Roman"/>
          <w:b w:val="false"/>
          <w:i w:val="false"/>
          <w:color w:val="000000"/>
          <w:sz w:val="28"/>
        </w:rPr>
        <w:t>
      ___________________________________________________________________________</w:t>
      </w:r>
    </w:p>
    <w:bookmarkEnd w:id="4239"/>
    <w:bookmarkStart w:name="z4354" w:id="4240"/>
    <w:p>
      <w:pPr>
        <w:spacing w:after="0"/>
        <w:ind w:left="0"/>
        <w:jc w:val="both"/>
      </w:pPr>
      <w:r>
        <w:rPr>
          <w:rFonts w:ascii="Times New Roman"/>
          <w:b w:val="false"/>
          <w:i w:val="false"/>
          <w:color w:val="000000"/>
          <w:sz w:val="28"/>
        </w:rPr>
        <w:t>
      ___________________________________________________________________________</w:t>
      </w:r>
    </w:p>
    <w:bookmarkEnd w:id="4240"/>
    <w:bookmarkStart w:name="z4355" w:id="4241"/>
    <w:p>
      <w:pPr>
        <w:spacing w:after="0"/>
        <w:ind w:left="0"/>
        <w:jc w:val="both"/>
      </w:pPr>
      <w:r>
        <w:rPr>
          <w:rFonts w:ascii="Times New Roman"/>
          <w:b w:val="false"/>
          <w:i w:val="false"/>
          <w:color w:val="000000"/>
          <w:sz w:val="28"/>
        </w:rPr>
        <w:t>
       </w:t>
      </w:r>
    </w:p>
    <w:bookmarkEnd w:id="4241"/>
    <w:bookmarkStart w:name="z4356" w:id="4242"/>
    <w:p>
      <w:pPr>
        <w:spacing w:after="0"/>
        <w:ind w:left="0"/>
        <w:jc w:val="left"/>
      </w:pPr>
      <w:r>
        <w:rPr>
          <w:rFonts w:ascii="Times New Roman"/>
          <w:b/>
          <w:i w:val="false"/>
          <w:color w:val="000000"/>
        </w:rPr>
        <w:t xml:space="preserve"> 5.3. Новые вспомогательные вещества</w:t>
      </w:r>
      <w:r>
        <w:br/>
      </w:r>
      <w:r>
        <w:rPr>
          <w:rFonts w:ascii="Times New Roman"/>
          <w:b/>
          <w:i w:val="false"/>
          <w:color w:val="000000"/>
        </w:rPr>
        <w:t xml:space="preserve"> </w:t>
      </w:r>
    </w:p>
    <w:bookmarkEnd w:id="4242"/>
    <w:bookmarkStart w:name="z4357" w:id="4243"/>
    <w:p>
      <w:pPr>
        <w:spacing w:after="0"/>
        <w:ind w:left="0"/>
        <w:jc w:val="both"/>
      </w:pPr>
      <w:r>
        <w:rPr>
          <w:rFonts w:ascii="Times New Roman"/>
          <w:b w:val="false"/>
          <w:i w:val="false"/>
          <w:color w:val="000000"/>
          <w:sz w:val="28"/>
        </w:rPr>
        <w:t>
      ___________________________________________________________________________</w:t>
      </w:r>
    </w:p>
    <w:bookmarkEnd w:id="4243"/>
    <w:bookmarkStart w:name="z4358" w:id="4244"/>
    <w:p>
      <w:pPr>
        <w:spacing w:after="0"/>
        <w:ind w:left="0"/>
        <w:jc w:val="both"/>
      </w:pPr>
      <w:r>
        <w:rPr>
          <w:rFonts w:ascii="Times New Roman"/>
          <w:b w:val="false"/>
          <w:i w:val="false"/>
          <w:color w:val="000000"/>
          <w:sz w:val="28"/>
        </w:rPr>
        <w:t>
      ___________________________________________________________________________</w:t>
      </w:r>
    </w:p>
    <w:bookmarkEnd w:id="4244"/>
    <w:bookmarkStart w:name="z4359" w:id="4245"/>
    <w:p>
      <w:pPr>
        <w:spacing w:after="0"/>
        <w:ind w:left="0"/>
        <w:jc w:val="both"/>
      </w:pPr>
      <w:r>
        <w:rPr>
          <w:rFonts w:ascii="Times New Roman"/>
          <w:b w:val="false"/>
          <w:i w:val="false"/>
          <w:color w:val="000000"/>
          <w:sz w:val="28"/>
        </w:rPr>
        <w:t>
      ___________________________________________________________________________</w:t>
      </w:r>
    </w:p>
    <w:bookmarkEnd w:id="4245"/>
    <w:bookmarkStart w:name="z4360" w:id="4246"/>
    <w:p>
      <w:pPr>
        <w:spacing w:after="0"/>
        <w:ind w:left="0"/>
        <w:jc w:val="left"/>
      </w:pPr>
      <w:r>
        <w:rPr>
          <w:rFonts w:ascii="Times New Roman"/>
          <w:b/>
          <w:i w:val="false"/>
          <w:color w:val="000000"/>
        </w:rPr>
        <w:t xml:space="preserve"> 6. Региональная информация</w:t>
      </w:r>
    </w:p>
    <w:bookmarkEnd w:id="4246"/>
    <w:bookmarkStart w:name="z4361" w:id="4247"/>
    <w:p>
      <w:pPr>
        <w:spacing w:after="0"/>
        <w:ind w:left="0"/>
        <w:jc w:val="both"/>
      </w:pPr>
      <w:r>
        <w:rPr>
          <w:rFonts w:ascii="Times New Roman"/>
          <w:b w:val="false"/>
          <w:i w:val="false"/>
          <w:color w:val="000000"/>
          <w:sz w:val="28"/>
        </w:rPr>
        <w:t>
      ___________________________________________________________________________</w:t>
      </w:r>
    </w:p>
    <w:bookmarkEnd w:id="4247"/>
    <w:bookmarkStart w:name="z4362" w:id="4248"/>
    <w:p>
      <w:pPr>
        <w:spacing w:after="0"/>
        <w:ind w:left="0"/>
        <w:jc w:val="both"/>
      </w:pPr>
      <w:r>
        <w:rPr>
          <w:rFonts w:ascii="Times New Roman"/>
          <w:b w:val="false"/>
          <w:i w:val="false"/>
          <w:color w:val="000000"/>
          <w:sz w:val="28"/>
        </w:rPr>
        <w:t>
      ___________________________________________________________________________</w:t>
      </w:r>
    </w:p>
    <w:bookmarkEnd w:id="4248"/>
    <w:bookmarkStart w:name="z4363" w:id="4249"/>
    <w:p>
      <w:pPr>
        <w:spacing w:after="0"/>
        <w:ind w:left="0"/>
        <w:jc w:val="both"/>
      </w:pPr>
      <w:r>
        <w:rPr>
          <w:rFonts w:ascii="Times New Roman"/>
          <w:b w:val="false"/>
          <w:i w:val="false"/>
          <w:color w:val="000000"/>
          <w:sz w:val="28"/>
        </w:rPr>
        <w:t>
      ___________________________________________________________________________</w:t>
      </w:r>
    </w:p>
    <w:bookmarkEnd w:id="4249"/>
    <w:bookmarkStart w:name="z4364" w:id="4250"/>
    <w:p>
      <w:pPr>
        <w:spacing w:after="0"/>
        <w:ind w:left="0"/>
        <w:jc w:val="both"/>
      </w:pPr>
      <w:r>
        <w:rPr>
          <w:rFonts w:ascii="Times New Roman"/>
          <w:b w:val="false"/>
          <w:i w:val="false"/>
          <w:color w:val="000000"/>
          <w:sz w:val="28"/>
        </w:rPr>
        <w:t>
       </w:t>
      </w:r>
    </w:p>
    <w:bookmarkEnd w:id="4250"/>
    <w:bookmarkStart w:name="z4365" w:id="4251"/>
    <w:p>
      <w:pPr>
        <w:spacing w:after="0"/>
        <w:ind w:left="0"/>
        <w:jc w:val="left"/>
      </w:pPr>
      <w:r>
        <w:rPr>
          <w:rFonts w:ascii="Times New Roman"/>
          <w:b/>
          <w:i w:val="false"/>
          <w:color w:val="000000"/>
        </w:rPr>
        <w:t xml:space="preserve"> 6.1. Схема валидации процесса производства лекарственного продукта</w:t>
      </w:r>
    </w:p>
    <w:bookmarkEnd w:id="4251"/>
    <w:bookmarkStart w:name="z4366" w:id="4252"/>
    <w:p>
      <w:pPr>
        <w:spacing w:after="0"/>
        <w:ind w:left="0"/>
        <w:jc w:val="both"/>
      </w:pPr>
      <w:r>
        <w:rPr>
          <w:rFonts w:ascii="Times New Roman"/>
          <w:b w:val="false"/>
          <w:i w:val="false"/>
          <w:color w:val="000000"/>
          <w:sz w:val="28"/>
        </w:rPr>
        <w:t>
      ___________________________________________________________________________</w:t>
      </w:r>
    </w:p>
    <w:bookmarkEnd w:id="4252"/>
    <w:bookmarkStart w:name="z4367" w:id="4253"/>
    <w:p>
      <w:pPr>
        <w:spacing w:after="0"/>
        <w:ind w:left="0"/>
        <w:jc w:val="both"/>
      </w:pPr>
      <w:r>
        <w:rPr>
          <w:rFonts w:ascii="Times New Roman"/>
          <w:b w:val="false"/>
          <w:i w:val="false"/>
          <w:color w:val="000000"/>
          <w:sz w:val="28"/>
        </w:rPr>
        <w:t>
      ___________________________________________________________________________</w:t>
      </w:r>
    </w:p>
    <w:bookmarkEnd w:id="4253"/>
    <w:bookmarkStart w:name="z4368" w:id="4254"/>
    <w:p>
      <w:pPr>
        <w:spacing w:after="0"/>
        <w:ind w:left="0"/>
        <w:jc w:val="both"/>
      </w:pPr>
      <w:r>
        <w:rPr>
          <w:rFonts w:ascii="Times New Roman"/>
          <w:b w:val="false"/>
          <w:i w:val="false"/>
          <w:color w:val="000000"/>
          <w:sz w:val="28"/>
        </w:rPr>
        <w:t>
      ___________________________________________________________________________</w:t>
      </w:r>
    </w:p>
    <w:bookmarkEnd w:id="4254"/>
    <w:bookmarkStart w:name="z4369" w:id="4255"/>
    <w:p>
      <w:pPr>
        <w:spacing w:after="0"/>
        <w:ind w:left="0"/>
        <w:jc w:val="both"/>
      </w:pPr>
      <w:r>
        <w:rPr>
          <w:rFonts w:ascii="Times New Roman"/>
          <w:b w:val="false"/>
          <w:i w:val="false"/>
          <w:color w:val="000000"/>
          <w:sz w:val="28"/>
        </w:rPr>
        <w:t>
       </w:t>
      </w:r>
    </w:p>
    <w:bookmarkEnd w:id="4255"/>
    <w:bookmarkStart w:name="z4370" w:id="4256"/>
    <w:p>
      <w:pPr>
        <w:spacing w:after="0"/>
        <w:ind w:left="0"/>
        <w:jc w:val="left"/>
      </w:pPr>
      <w:r>
        <w:rPr>
          <w:rFonts w:ascii="Times New Roman"/>
          <w:b/>
          <w:i w:val="false"/>
          <w:color w:val="000000"/>
        </w:rPr>
        <w:t xml:space="preserve"> 6.2. Вопросы, затрагивающие медицинские изделия</w:t>
      </w:r>
    </w:p>
    <w:bookmarkEnd w:id="4256"/>
    <w:bookmarkStart w:name="z4371" w:id="4257"/>
    <w:p>
      <w:pPr>
        <w:spacing w:after="0"/>
        <w:ind w:left="0"/>
        <w:jc w:val="both"/>
      </w:pPr>
      <w:r>
        <w:rPr>
          <w:rFonts w:ascii="Times New Roman"/>
          <w:b w:val="false"/>
          <w:i w:val="false"/>
          <w:color w:val="000000"/>
          <w:sz w:val="28"/>
        </w:rPr>
        <w:t>
      ___________________________________________________________________________</w:t>
      </w:r>
    </w:p>
    <w:bookmarkEnd w:id="4257"/>
    <w:bookmarkStart w:name="z4372" w:id="4258"/>
    <w:p>
      <w:pPr>
        <w:spacing w:after="0"/>
        <w:ind w:left="0"/>
        <w:jc w:val="both"/>
      </w:pPr>
      <w:r>
        <w:rPr>
          <w:rFonts w:ascii="Times New Roman"/>
          <w:b w:val="false"/>
          <w:i w:val="false"/>
          <w:color w:val="000000"/>
          <w:sz w:val="28"/>
        </w:rPr>
        <w:t>
      ___________________________________________________________________________</w:t>
      </w:r>
    </w:p>
    <w:bookmarkEnd w:id="4258"/>
    <w:bookmarkStart w:name="z4373" w:id="4259"/>
    <w:p>
      <w:pPr>
        <w:spacing w:after="0"/>
        <w:ind w:left="0"/>
        <w:jc w:val="both"/>
      </w:pPr>
      <w:r>
        <w:rPr>
          <w:rFonts w:ascii="Times New Roman"/>
          <w:b w:val="false"/>
          <w:i w:val="false"/>
          <w:color w:val="000000"/>
          <w:sz w:val="28"/>
        </w:rPr>
        <w:t>
      ___________________________________________________________________________</w:t>
      </w:r>
    </w:p>
    <w:bookmarkEnd w:id="4259"/>
    <w:bookmarkStart w:name="z4374" w:id="4260"/>
    <w:p>
      <w:pPr>
        <w:spacing w:after="0"/>
        <w:ind w:left="0"/>
        <w:jc w:val="both"/>
      </w:pPr>
      <w:r>
        <w:rPr>
          <w:rFonts w:ascii="Times New Roman"/>
          <w:b w:val="false"/>
          <w:i w:val="false"/>
          <w:color w:val="000000"/>
          <w:sz w:val="28"/>
        </w:rPr>
        <w:t>
       </w:t>
      </w:r>
    </w:p>
    <w:bookmarkEnd w:id="4260"/>
    <w:bookmarkStart w:name="z4375" w:id="4261"/>
    <w:p>
      <w:pPr>
        <w:spacing w:after="0"/>
        <w:ind w:left="0"/>
        <w:jc w:val="left"/>
      </w:pPr>
      <w:r>
        <w:rPr>
          <w:rFonts w:ascii="Times New Roman"/>
          <w:b/>
          <w:i w:val="false"/>
          <w:color w:val="000000"/>
        </w:rPr>
        <w:t xml:space="preserve"> 6.3. Вопросы риска передачи ТГЭ</w:t>
      </w:r>
    </w:p>
    <w:bookmarkEnd w:id="4261"/>
    <w:bookmarkStart w:name="z4376" w:id="4262"/>
    <w:p>
      <w:pPr>
        <w:spacing w:after="0"/>
        <w:ind w:left="0"/>
        <w:jc w:val="both"/>
      </w:pPr>
      <w:r>
        <w:rPr>
          <w:rFonts w:ascii="Times New Roman"/>
          <w:b w:val="false"/>
          <w:i w:val="false"/>
          <w:color w:val="000000"/>
          <w:sz w:val="28"/>
        </w:rPr>
        <w:t>
      ___________________________________________________________________________</w:t>
      </w:r>
    </w:p>
    <w:bookmarkEnd w:id="4262"/>
    <w:bookmarkStart w:name="z4377" w:id="4263"/>
    <w:p>
      <w:pPr>
        <w:spacing w:after="0"/>
        <w:ind w:left="0"/>
        <w:jc w:val="both"/>
      </w:pPr>
      <w:r>
        <w:rPr>
          <w:rFonts w:ascii="Times New Roman"/>
          <w:b w:val="false"/>
          <w:i w:val="false"/>
          <w:color w:val="000000"/>
          <w:sz w:val="28"/>
        </w:rPr>
        <w:t>
      ___________________________________________________________________________</w:t>
      </w:r>
    </w:p>
    <w:bookmarkEnd w:id="4263"/>
    <w:bookmarkStart w:name="z4378" w:id="4264"/>
    <w:p>
      <w:pPr>
        <w:spacing w:after="0"/>
        <w:ind w:left="0"/>
        <w:jc w:val="both"/>
      </w:pPr>
      <w:r>
        <w:rPr>
          <w:rFonts w:ascii="Times New Roman"/>
          <w:b w:val="false"/>
          <w:i w:val="false"/>
          <w:color w:val="000000"/>
          <w:sz w:val="28"/>
        </w:rPr>
        <w:t>
      ___________________________________________________________________________</w:t>
      </w:r>
    </w:p>
    <w:bookmarkEnd w:id="4264"/>
    <w:bookmarkStart w:name="z4379" w:id="4265"/>
    <w:p>
      <w:pPr>
        <w:spacing w:after="0"/>
        <w:ind w:left="0"/>
        <w:jc w:val="both"/>
      </w:pPr>
      <w:r>
        <w:rPr>
          <w:rFonts w:ascii="Times New Roman"/>
          <w:b w:val="false"/>
          <w:i w:val="false"/>
          <w:color w:val="000000"/>
          <w:sz w:val="28"/>
        </w:rPr>
        <w:t>
       </w:t>
      </w:r>
    </w:p>
    <w:bookmarkEnd w:id="4265"/>
    <w:bookmarkStart w:name="z4380" w:id="4266"/>
    <w:p>
      <w:pPr>
        <w:spacing w:after="0"/>
        <w:ind w:left="0"/>
        <w:jc w:val="left"/>
      </w:pPr>
      <w:r>
        <w:rPr>
          <w:rFonts w:ascii="Times New Roman"/>
          <w:b/>
          <w:i w:val="false"/>
          <w:color w:val="000000"/>
        </w:rPr>
        <w:t xml:space="preserve"> 7. Замечания эксперта в отношении общей характеристики лекарственного препарата, инструкции по медицинскому применению (листка-вкладыша) и дизайна упаковки лекарственного препарата</w:t>
      </w:r>
    </w:p>
    <w:bookmarkEnd w:id="4266"/>
    <w:bookmarkStart w:name="z4381" w:id="4267"/>
    <w:p>
      <w:pPr>
        <w:spacing w:after="0"/>
        <w:ind w:left="0"/>
        <w:jc w:val="both"/>
      </w:pPr>
      <w:r>
        <w:rPr>
          <w:rFonts w:ascii="Times New Roman"/>
          <w:b w:val="false"/>
          <w:i w:val="false"/>
          <w:color w:val="000000"/>
          <w:sz w:val="28"/>
        </w:rPr>
        <w:t>
      ___________________________________________________________________________</w:t>
      </w:r>
    </w:p>
    <w:bookmarkEnd w:id="4267"/>
    <w:bookmarkStart w:name="z4382" w:id="4268"/>
    <w:p>
      <w:pPr>
        <w:spacing w:after="0"/>
        <w:ind w:left="0"/>
        <w:jc w:val="both"/>
      </w:pPr>
      <w:r>
        <w:rPr>
          <w:rFonts w:ascii="Times New Roman"/>
          <w:b w:val="false"/>
          <w:i w:val="false"/>
          <w:color w:val="000000"/>
          <w:sz w:val="28"/>
        </w:rPr>
        <w:t>
      ___________________________________________________________________________</w:t>
      </w:r>
    </w:p>
    <w:bookmarkEnd w:id="4268"/>
    <w:bookmarkStart w:name="z4383" w:id="4269"/>
    <w:p>
      <w:pPr>
        <w:spacing w:after="0"/>
        <w:ind w:left="0"/>
        <w:jc w:val="both"/>
      </w:pPr>
      <w:r>
        <w:rPr>
          <w:rFonts w:ascii="Times New Roman"/>
          <w:b w:val="false"/>
          <w:i w:val="false"/>
          <w:color w:val="000000"/>
          <w:sz w:val="28"/>
        </w:rPr>
        <w:t>
      ___________________________________________________________________________</w:t>
      </w:r>
    </w:p>
    <w:bookmarkEnd w:id="4269"/>
    <w:bookmarkStart w:name="z4384" w:id="4270"/>
    <w:p>
      <w:pPr>
        <w:spacing w:after="0"/>
        <w:ind w:left="0"/>
        <w:jc w:val="both"/>
      </w:pPr>
      <w:r>
        <w:rPr>
          <w:rFonts w:ascii="Times New Roman"/>
          <w:b w:val="false"/>
          <w:i w:val="false"/>
          <w:color w:val="000000"/>
          <w:sz w:val="28"/>
        </w:rPr>
        <w:t>
       </w:t>
      </w:r>
    </w:p>
    <w:bookmarkEnd w:id="4270"/>
    <w:bookmarkStart w:name="z4385" w:id="4271"/>
    <w:p>
      <w:pPr>
        <w:spacing w:after="0"/>
        <w:ind w:left="0"/>
        <w:jc w:val="left"/>
      </w:pPr>
      <w:r>
        <w:rPr>
          <w:rFonts w:ascii="Times New Roman"/>
          <w:b/>
          <w:i w:val="false"/>
          <w:color w:val="000000"/>
        </w:rPr>
        <w:t xml:space="preserve"> 8. Общие выводы эксперта по качеству</w:t>
      </w:r>
    </w:p>
    <w:bookmarkEnd w:id="4271"/>
    <w:bookmarkStart w:name="z4386" w:id="4272"/>
    <w:p>
      <w:pPr>
        <w:spacing w:after="0"/>
        <w:ind w:left="0"/>
        <w:jc w:val="both"/>
      </w:pPr>
      <w:r>
        <w:rPr>
          <w:rFonts w:ascii="Times New Roman"/>
          <w:b w:val="false"/>
          <w:i w:val="false"/>
          <w:color w:val="000000"/>
          <w:sz w:val="28"/>
        </w:rPr>
        <w:t>
      ___________________________________________________________________________</w:t>
      </w:r>
    </w:p>
    <w:bookmarkEnd w:id="4272"/>
    <w:bookmarkStart w:name="z4387" w:id="4273"/>
    <w:p>
      <w:pPr>
        <w:spacing w:after="0"/>
        <w:ind w:left="0"/>
        <w:jc w:val="both"/>
      </w:pPr>
      <w:r>
        <w:rPr>
          <w:rFonts w:ascii="Times New Roman"/>
          <w:b w:val="false"/>
          <w:i w:val="false"/>
          <w:color w:val="000000"/>
          <w:sz w:val="28"/>
        </w:rPr>
        <w:t>
      ___________________________________________________________________________</w:t>
      </w:r>
    </w:p>
    <w:bookmarkEnd w:id="4273"/>
    <w:bookmarkStart w:name="z4388" w:id="4274"/>
    <w:p>
      <w:pPr>
        <w:spacing w:after="0"/>
        <w:ind w:left="0"/>
        <w:jc w:val="both"/>
      </w:pPr>
      <w:r>
        <w:rPr>
          <w:rFonts w:ascii="Times New Roman"/>
          <w:b w:val="false"/>
          <w:i w:val="false"/>
          <w:color w:val="000000"/>
          <w:sz w:val="28"/>
        </w:rPr>
        <w:t>
      ___________________________________________________________________________</w:t>
      </w:r>
    </w:p>
    <w:bookmarkEnd w:id="4274"/>
    <w:bookmarkStart w:name="z4389" w:id="4275"/>
    <w:p>
      <w:pPr>
        <w:spacing w:after="0"/>
        <w:ind w:left="0"/>
        <w:jc w:val="both"/>
      </w:pPr>
      <w:r>
        <w:rPr>
          <w:rFonts w:ascii="Times New Roman"/>
          <w:b w:val="false"/>
          <w:i w:val="false"/>
          <w:color w:val="000000"/>
          <w:sz w:val="28"/>
        </w:rPr>
        <w:t>
       </w:t>
      </w:r>
    </w:p>
    <w:bookmarkEnd w:id="4275"/>
    <w:bookmarkStart w:name="z4390" w:id="4276"/>
    <w:p>
      <w:pPr>
        <w:spacing w:after="0"/>
        <w:ind w:left="0"/>
        <w:jc w:val="left"/>
      </w:pPr>
      <w:r>
        <w:rPr>
          <w:rFonts w:ascii="Times New Roman"/>
          <w:b/>
          <w:i w:val="false"/>
          <w:color w:val="000000"/>
        </w:rPr>
        <w:t xml:space="preserve"> 9. Перечень замечаний, выдвигаемых экспертом в рамках проведенной экспертизы</w:t>
      </w:r>
    </w:p>
    <w:bookmarkEnd w:id="4276"/>
    <w:bookmarkStart w:name="z4391" w:id="4277"/>
    <w:p>
      <w:pPr>
        <w:spacing w:after="0"/>
        <w:ind w:left="0"/>
        <w:jc w:val="both"/>
      </w:pPr>
      <w:r>
        <w:rPr>
          <w:rFonts w:ascii="Times New Roman"/>
          <w:b w:val="false"/>
          <w:i w:val="false"/>
          <w:color w:val="000000"/>
          <w:sz w:val="28"/>
        </w:rPr>
        <w:t>
      ___________________________________________________________________________</w:t>
      </w:r>
    </w:p>
    <w:bookmarkEnd w:id="4277"/>
    <w:bookmarkStart w:name="z4392" w:id="4278"/>
    <w:p>
      <w:pPr>
        <w:spacing w:after="0"/>
        <w:ind w:left="0"/>
        <w:jc w:val="both"/>
      </w:pPr>
      <w:r>
        <w:rPr>
          <w:rFonts w:ascii="Times New Roman"/>
          <w:b w:val="false"/>
          <w:i w:val="false"/>
          <w:color w:val="000000"/>
          <w:sz w:val="28"/>
        </w:rPr>
        <w:t>
      ___________________________________________________________________________</w:t>
      </w:r>
    </w:p>
    <w:bookmarkEnd w:id="4278"/>
    <w:bookmarkStart w:name="z4393" w:id="4279"/>
    <w:p>
      <w:pPr>
        <w:spacing w:after="0"/>
        <w:ind w:left="0"/>
        <w:jc w:val="both"/>
      </w:pPr>
      <w:r>
        <w:rPr>
          <w:rFonts w:ascii="Times New Roman"/>
          <w:b w:val="false"/>
          <w:i w:val="false"/>
          <w:color w:val="000000"/>
          <w:sz w:val="28"/>
        </w:rPr>
        <w:t>
      ___________________________________________________________________________</w:t>
      </w:r>
    </w:p>
    <w:bookmarkEnd w:id="4279"/>
    <w:bookmarkStart w:name="z4394" w:id="4280"/>
    <w:p>
      <w:pPr>
        <w:spacing w:after="0"/>
        <w:ind w:left="0"/>
        <w:jc w:val="both"/>
      </w:pPr>
      <w:r>
        <w:rPr>
          <w:rFonts w:ascii="Times New Roman"/>
          <w:b w:val="false"/>
          <w:i w:val="false"/>
          <w:color w:val="000000"/>
          <w:sz w:val="28"/>
        </w:rPr>
        <w:t>
       </w:t>
      </w:r>
    </w:p>
    <w:bookmarkEnd w:id="4280"/>
    <w:bookmarkStart w:name="z4395" w:id="4281"/>
    <w:p>
      <w:pPr>
        <w:spacing w:after="0"/>
        <w:ind w:left="0"/>
        <w:jc w:val="left"/>
      </w:pPr>
      <w:r>
        <w:rPr>
          <w:rFonts w:ascii="Times New Roman"/>
          <w:b/>
          <w:i w:val="false"/>
          <w:color w:val="000000"/>
        </w:rPr>
        <w:t xml:space="preserve"> 9.1. Аспекты качества</w:t>
      </w:r>
    </w:p>
    <w:bookmarkEnd w:id="4281"/>
    <w:bookmarkStart w:name="z4396" w:id="4282"/>
    <w:p>
      <w:pPr>
        <w:spacing w:after="0"/>
        <w:ind w:left="0"/>
        <w:jc w:val="both"/>
      </w:pPr>
      <w:r>
        <w:rPr>
          <w:rFonts w:ascii="Times New Roman"/>
          <w:b w:val="false"/>
          <w:i w:val="false"/>
          <w:color w:val="000000"/>
          <w:sz w:val="28"/>
        </w:rPr>
        <w:t>
      ___________________________________________________________________________</w:t>
      </w:r>
    </w:p>
    <w:bookmarkEnd w:id="4282"/>
    <w:bookmarkStart w:name="z4397" w:id="4283"/>
    <w:p>
      <w:pPr>
        <w:spacing w:after="0"/>
        <w:ind w:left="0"/>
        <w:jc w:val="both"/>
      </w:pPr>
      <w:r>
        <w:rPr>
          <w:rFonts w:ascii="Times New Roman"/>
          <w:b w:val="false"/>
          <w:i w:val="false"/>
          <w:color w:val="000000"/>
          <w:sz w:val="28"/>
        </w:rPr>
        <w:t>
      ___________________________________________________________________________</w:t>
      </w:r>
    </w:p>
    <w:bookmarkEnd w:id="4283"/>
    <w:bookmarkStart w:name="z4398" w:id="4284"/>
    <w:p>
      <w:pPr>
        <w:spacing w:after="0"/>
        <w:ind w:left="0"/>
        <w:jc w:val="both"/>
      </w:pPr>
      <w:r>
        <w:rPr>
          <w:rFonts w:ascii="Times New Roman"/>
          <w:b w:val="false"/>
          <w:i w:val="false"/>
          <w:color w:val="000000"/>
          <w:sz w:val="28"/>
        </w:rPr>
        <w:t>
      ___________________________________________________________________________</w:t>
      </w:r>
    </w:p>
    <w:bookmarkEnd w:id="4284"/>
    <w:bookmarkStart w:name="z4399" w:id="4285"/>
    <w:p>
      <w:pPr>
        <w:spacing w:after="0"/>
        <w:ind w:left="0"/>
        <w:jc w:val="both"/>
      </w:pPr>
      <w:r>
        <w:rPr>
          <w:rFonts w:ascii="Times New Roman"/>
          <w:b w:val="false"/>
          <w:i w:val="false"/>
          <w:color w:val="000000"/>
          <w:sz w:val="28"/>
        </w:rPr>
        <w:t>
       </w:t>
      </w:r>
    </w:p>
    <w:bookmarkEnd w:id="4285"/>
    <w:bookmarkStart w:name="z4400" w:id="4286"/>
    <w:p>
      <w:pPr>
        <w:spacing w:after="0"/>
        <w:ind w:left="0"/>
        <w:jc w:val="left"/>
      </w:pPr>
      <w:r>
        <w:rPr>
          <w:rFonts w:ascii="Times New Roman"/>
          <w:b/>
          <w:i w:val="false"/>
          <w:color w:val="000000"/>
        </w:rPr>
        <w:t xml:space="preserve"> 9.2. Критические замечания </w:t>
      </w:r>
    </w:p>
    <w:bookmarkEnd w:id="4286"/>
    <w:bookmarkStart w:name="z4401" w:id="4287"/>
    <w:p>
      <w:pPr>
        <w:spacing w:after="0"/>
        <w:ind w:left="0"/>
        <w:jc w:val="both"/>
      </w:pPr>
      <w:r>
        <w:rPr>
          <w:rFonts w:ascii="Times New Roman"/>
          <w:b w:val="false"/>
          <w:i w:val="false"/>
          <w:color w:val="000000"/>
          <w:sz w:val="28"/>
        </w:rPr>
        <w:t>
      9.2.1. Активная фармацевтическая субстанция (относится к дополнительным данным, предоставляемым только заявителем).</w:t>
      </w:r>
    </w:p>
    <w:bookmarkEnd w:id="4287"/>
    <w:bookmarkStart w:name="z4402" w:id="4288"/>
    <w:p>
      <w:pPr>
        <w:spacing w:after="0"/>
        <w:ind w:left="0"/>
        <w:jc w:val="both"/>
      </w:pPr>
      <w:r>
        <w:rPr>
          <w:rFonts w:ascii="Times New Roman"/>
          <w:b w:val="false"/>
          <w:i w:val="false"/>
          <w:color w:val="000000"/>
          <w:sz w:val="28"/>
        </w:rPr>
        <w:t>
       </w:t>
      </w:r>
    </w:p>
    <w:bookmarkEnd w:id="4288"/>
    <w:bookmarkStart w:name="z4403" w:id="4289"/>
    <w:p>
      <w:pPr>
        <w:spacing w:after="0"/>
        <w:ind w:left="0"/>
        <w:jc w:val="both"/>
      </w:pPr>
      <w:r>
        <w:rPr>
          <w:rFonts w:ascii="Times New Roman"/>
          <w:b w:val="false"/>
          <w:i w:val="false"/>
          <w:color w:val="000000"/>
          <w:sz w:val="28"/>
        </w:rPr>
        <w:t>
      ___________________________________________________________________________</w:t>
      </w:r>
    </w:p>
    <w:bookmarkEnd w:id="4289"/>
    <w:bookmarkStart w:name="z4404" w:id="4290"/>
    <w:p>
      <w:pPr>
        <w:spacing w:after="0"/>
        <w:ind w:left="0"/>
        <w:jc w:val="both"/>
      </w:pPr>
      <w:r>
        <w:rPr>
          <w:rFonts w:ascii="Times New Roman"/>
          <w:b w:val="false"/>
          <w:i w:val="false"/>
          <w:color w:val="000000"/>
          <w:sz w:val="28"/>
        </w:rPr>
        <w:t>
      ___________________________________________________________________________</w:t>
      </w:r>
    </w:p>
    <w:bookmarkEnd w:id="4290"/>
    <w:bookmarkStart w:name="z4405" w:id="4291"/>
    <w:p>
      <w:pPr>
        <w:spacing w:after="0"/>
        <w:ind w:left="0"/>
        <w:jc w:val="both"/>
      </w:pPr>
      <w:r>
        <w:rPr>
          <w:rFonts w:ascii="Times New Roman"/>
          <w:b w:val="false"/>
          <w:i w:val="false"/>
          <w:color w:val="000000"/>
          <w:sz w:val="28"/>
        </w:rPr>
        <w:t>
      ___________________________________________________________________________</w:t>
      </w:r>
    </w:p>
    <w:bookmarkEnd w:id="4291"/>
    <w:bookmarkStart w:name="z4406" w:id="4292"/>
    <w:p>
      <w:pPr>
        <w:spacing w:after="0"/>
        <w:ind w:left="0"/>
        <w:jc w:val="both"/>
      </w:pPr>
      <w:r>
        <w:rPr>
          <w:rFonts w:ascii="Times New Roman"/>
          <w:b w:val="false"/>
          <w:i w:val="false"/>
          <w:color w:val="000000"/>
          <w:sz w:val="28"/>
        </w:rPr>
        <w:t>
       </w:t>
      </w:r>
    </w:p>
    <w:bookmarkEnd w:id="4292"/>
    <w:bookmarkStart w:name="z4407" w:id="4293"/>
    <w:p>
      <w:pPr>
        <w:spacing w:after="0"/>
        <w:ind w:left="0"/>
        <w:jc w:val="both"/>
      </w:pPr>
      <w:r>
        <w:rPr>
          <w:rFonts w:ascii="Times New Roman"/>
          <w:b w:val="false"/>
          <w:i w:val="false"/>
          <w:color w:val="000000"/>
          <w:sz w:val="28"/>
        </w:rPr>
        <w:t>
      9.2.2. Активная фармацевтическая субстанция (часть заявления, предоставляемая держателем МФАФС).</w:t>
      </w:r>
    </w:p>
    <w:bookmarkEnd w:id="4293"/>
    <w:bookmarkStart w:name="z4408" w:id="4294"/>
    <w:p>
      <w:pPr>
        <w:spacing w:after="0"/>
        <w:ind w:left="0"/>
        <w:jc w:val="both"/>
      </w:pPr>
      <w:r>
        <w:rPr>
          <w:rFonts w:ascii="Times New Roman"/>
          <w:b w:val="false"/>
          <w:i w:val="false"/>
          <w:color w:val="000000"/>
          <w:sz w:val="28"/>
        </w:rPr>
        <w:t>
       </w:t>
      </w:r>
    </w:p>
    <w:bookmarkEnd w:id="4294"/>
    <w:bookmarkStart w:name="z4409" w:id="4295"/>
    <w:p>
      <w:pPr>
        <w:spacing w:after="0"/>
        <w:ind w:left="0"/>
        <w:jc w:val="both"/>
      </w:pPr>
      <w:r>
        <w:rPr>
          <w:rFonts w:ascii="Times New Roman"/>
          <w:b w:val="false"/>
          <w:i w:val="false"/>
          <w:color w:val="000000"/>
          <w:sz w:val="28"/>
        </w:rPr>
        <w:t>
      ___________________________________________________________________________</w:t>
      </w:r>
    </w:p>
    <w:bookmarkEnd w:id="4295"/>
    <w:bookmarkStart w:name="z4410" w:id="4296"/>
    <w:p>
      <w:pPr>
        <w:spacing w:after="0"/>
        <w:ind w:left="0"/>
        <w:jc w:val="both"/>
      </w:pPr>
      <w:r>
        <w:rPr>
          <w:rFonts w:ascii="Times New Roman"/>
          <w:b w:val="false"/>
          <w:i w:val="false"/>
          <w:color w:val="000000"/>
          <w:sz w:val="28"/>
        </w:rPr>
        <w:t>
      ___________________________________________________________________________</w:t>
      </w:r>
    </w:p>
    <w:bookmarkEnd w:id="4296"/>
    <w:bookmarkStart w:name="z4411" w:id="4297"/>
    <w:p>
      <w:pPr>
        <w:spacing w:after="0"/>
        <w:ind w:left="0"/>
        <w:jc w:val="both"/>
      </w:pPr>
      <w:r>
        <w:rPr>
          <w:rFonts w:ascii="Times New Roman"/>
          <w:b w:val="false"/>
          <w:i w:val="false"/>
          <w:color w:val="000000"/>
          <w:sz w:val="28"/>
        </w:rPr>
        <w:t>
      ___________________________________________________________________________</w:t>
      </w:r>
    </w:p>
    <w:bookmarkEnd w:id="4297"/>
    <w:bookmarkStart w:name="z4412" w:id="4298"/>
    <w:p>
      <w:pPr>
        <w:spacing w:after="0"/>
        <w:ind w:left="0"/>
        <w:jc w:val="both"/>
      </w:pPr>
      <w:r>
        <w:rPr>
          <w:rFonts w:ascii="Times New Roman"/>
          <w:b w:val="false"/>
          <w:i w:val="false"/>
          <w:color w:val="000000"/>
          <w:sz w:val="28"/>
        </w:rPr>
        <w:t>
       </w:t>
      </w:r>
    </w:p>
    <w:bookmarkEnd w:id="4298"/>
    <w:bookmarkStart w:name="z4413" w:id="4299"/>
    <w:p>
      <w:pPr>
        <w:spacing w:after="0"/>
        <w:ind w:left="0"/>
        <w:jc w:val="both"/>
      </w:pPr>
      <w:r>
        <w:rPr>
          <w:rFonts w:ascii="Times New Roman"/>
          <w:b w:val="false"/>
          <w:i w:val="false"/>
          <w:color w:val="000000"/>
          <w:sz w:val="28"/>
        </w:rPr>
        <w:t xml:space="preserve">
      Примечание. При использовании МФАФС в случае потенциального серьезного риска для здоровья населения, отражаемого в его закрытой части, следует указать: &lt;по вопросу потенциального серьезного риска для здоровья населения в закрытой части МФАФС следует обратиться к отдельному экспертному отчету по критической оценке МФАФС&gt;. </w:t>
      </w:r>
    </w:p>
    <w:bookmarkEnd w:id="4299"/>
    <w:bookmarkStart w:name="z4414" w:id="4300"/>
    <w:p>
      <w:pPr>
        <w:spacing w:after="0"/>
        <w:ind w:left="0"/>
        <w:jc w:val="both"/>
      </w:pPr>
      <w:r>
        <w:rPr>
          <w:rFonts w:ascii="Times New Roman"/>
          <w:b w:val="false"/>
          <w:i w:val="false"/>
          <w:color w:val="000000"/>
          <w:sz w:val="28"/>
        </w:rPr>
        <w:t>
       </w:t>
      </w:r>
    </w:p>
    <w:bookmarkEnd w:id="4300"/>
    <w:bookmarkStart w:name="z4415" w:id="4301"/>
    <w:p>
      <w:pPr>
        <w:spacing w:after="0"/>
        <w:ind w:left="0"/>
        <w:jc w:val="both"/>
      </w:pPr>
      <w:r>
        <w:rPr>
          <w:rFonts w:ascii="Times New Roman"/>
          <w:b w:val="false"/>
          <w:i w:val="false"/>
          <w:color w:val="000000"/>
          <w:sz w:val="28"/>
        </w:rPr>
        <w:t>
      9.2.3. Лекарственный препарат.</w:t>
      </w:r>
    </w:p>
    <w:bookmarkEnd w:id="4301"/>
    <w:bookmarkStart w:name="z4416" w:id="4302"/>
    <w:p>
      <w:pPr>
        <w:spacing w:after="0"/>
        <w:ind w:left="0"/>
        <w:jc w:val="both"/>
      </w:pPr>
      <w:r>
        <w:rPr>
          <w:rFonts w:ascii="Times New Roman"/>
          <w:b w:val="false"/>
          <w:i w:val="false"/>
          <w:color w:val="000000"/>
          <w:sz w:val="28"/>
        </w:rPr>
        <w:t>
       </w:t>
      </w:r>
    </w:p>
    <w:bookmarkEnd w:id="4302"/>
    <w:bookmarkStart w:name="z4417" w:id="4303"/>
    <w:p>
      <w:pPr>
        <w:spacing w:after="0"/>
        <w:ind w:left="0"/>
        <w:jc w:val="both"/>
      </w:pPr>
      <w:r>
        <w:rPr>
          <w:rFonts w:ascii="Times New Roman"/>
          <w:b w:val="false"/>
          <w:i w:val="false"/>
          <w:color w:val="000000"/>
          <w:sz w:val="28"/>
        </w:rPr>
        <w:t>
      ___________________________________________________________________________</w:t>
      </w:r>
    </w:p>
    <w:bookmarkEnd w:id="4303"/>
    <w:bookmarkStart w:name="z4418" w:id="4304"/>
    <w:p>
      <w:pPr>
        <w:spacing w:after="0"/>
        <w:ind w:left="0"/>
        <w:jc w:val="both"/>
      </w:pPr>
      <w:r>
        <w:rPr>
          <w:rFonts w:ascii="Times New Roman"/>
          <w:b w:val="false"/>
          <w:i w:val="false"/>
          <w:color w:val="000000"/>
          <w:sz w:val="28"/>
        </w:rPr>
        <w:t>
      ___________________________________________________________________________</w:t>
      </w:r>
    </w:p>
    <w:bookmarkEnd w:id="4304"/>
    <w:bookmarkStart w:name="z4419" w:id="4305"/>
    <w:p>
      <w:pPr>
        <w:spacing w:after="0"/>
        <w:ind w:left="0"/>
        <w:jc w:val="both"/>
      </w:pPr>
      <w:r>
        <w:rPr>
          <w:rFonts w:ascii="Times New Roman"/>
          <w:b w:val="false"/>
          <w:i w:val="false"/>
          <w:color w:val="000000"/>
          <w:sz w:val="28"/>
        </w:rPr>
        <w:t>
      ___________________________________________________________________________</w:t>
      </w:r>
    </w:p>
    <w:bookmarkEnd w:id="4305"/>
    <w:bookmarkStart w:name="z4420" w:id="4306"/>
    <w:p>
      <w:pPr>
        <w:spacing w:after="0"/>
        <w:ind w:left="0"/>
        <w:jc w:val="both"/>
      </w:pPr>
      <w:r>
        <w:rPr>
          <w:rFonts w:ascii="Times New Roman"/>
          <w:b w:val="false"/>
          <w:i w:val="false"/>
          <w:color w:val="000000"/>
          <w:sz w:val="28"/>
        </w:rPr>
        <w:t>
       </w:t>
      </w:r>
    </w:p>
    <w:bookmarkEnd w:id="4306"/>
    <w:bookmarkStart w:name="z4421" w:id="4307"/>
    <w:p>
      <w:pPr>
        <w:spacing w:after="0"/>
        <w:ind w:left="0"/>
        <w:jc w:val="left"/>
      </w:pPr>
      <w:r>
        <w:rPr>
          <w:rFonts w:ascii="Times New Roman"/>
          <w:b/>
          <w:i w:val="false"/>
          <w:color w:val="000000"/>
        </w:rPr>
        <w:t xml:space="preserve"> 9.3. Прочие замечания </w:t>
      </w:r>
    </w:p>
    <w:bookmarkEnd w:id="4307"/>
    <w:bookmarkStart w:name="z4422" w:id="4308"/>
    <w:p>
      <w:pPr>
        <w:spacing w:after="0"/>
        <w:ind w:left="0"/>
        <w:jc w:val="both"/>
      </w:pPr>
      <w:r>
        <w:rPr>
          <w:rFonts w:ascii="Times New Roman"/>
          <w:b w:val="false"/>
          <w:i w:val="false"/>
          <w:color w:val="000000"/>
          <w:sz w:val="28"/>
        </w:rPr>
        <w:t>
       </w:t>
      </w:r>
    </w:p>
    <w:bookmarkEnd w:id="4308"/>
    <w:bookmarkStart w:name="z4423" w:id="4309"/>
    <w:p>
      <w:pPr>
        <w:spacing w:after="0"/>
        <w:ind w:left="0"/>
        <w:jc w:val="both"/>
      </w:pPr>
      <w:r>
        <w:rPr>
          <w:rFonts w:ascii="Times New Roman"/>
          <w:b w:val="false"/>
          <w:i w:val="false"/>
          <w:color w:val="000000"/>
          <w:sz w:val="28"/>
        </w:rPr>
        <w:t>
      9.3.1. Активная фармацевтическая субстанция (относится к дополнительным данным, предоставляемым только заявителем).</w:t>
      </w:r>
    </w:p>
    <w:bookmarkEnd w:id="4309"/>
    <w:bookmarkStart w:name="z4424" w:id="4310"/>
    <w:p>
      <w:pPr>
        <w:spacing w:after="0"/>
        <w:ind w:left="0"/>
        <w:jc w:val="both"/>
      </w:pPr>
      <w:r>
        <w:rPr>
          <w:rFonts w:ascii="Times New Roman"/>
          <w:b w:val="false"/>
          <w:i w:val="false"/>
          <w:color w:val="000000"/>
          <w:sz w:val="28"/>
        </w:rPr>
        <w:t>
       </w:t>
      </w:r>
    </w:p>
    <w:bookmarkEnd w:id="4310"/>
    <w:bookmarkStart w:name="z4425" w:id="4311"/>
    <w:p>
      <w:pPr>
        <w:spacing w:after="0"/>
        <w:ind w:left="0"/>
        <w:jc w:val="both"/>
      </w:pPr>
      <w:r>
        <w:rPr>
          <w:rFonts w:ascii="Times New Roman"/>
          <w:b w:val="false"/>
          <w:i w:val="false"/>
          <w:color w:val="000000"/>
          <w:sz w:val="28"/>
        </w:rPr>
        <w:t>
      ___________________________________________________________________________</w:t>
      </w:r>
    </w:p>
    <w:bookmarkEnd w:id="4311"/>
    <w:bookmarkStart w:name="z4426" w:id="4312"/>
    <w:p>
      <w:pPr>
        <w:spacing w:after="0"/>
        <w:ind w:left="0"/>
        <w:jc w:val="both"/>
      </w:pPr>
      <w:r>
        <w:rPr>
          <w:rFonts w:ascii="Times New Roman"/>
          <w:b w:val="false"/>
          <w:i w:val="false"/>
          <w:color w:val="000000"/>
          <w:sz w:val="28"/>
        </w:rPr>
        <w:t>
      ___________________________________________________________________________</w:t>
      </w:r>
    </w:p>
    <w:bookmarkEnd w:id="4312"/>
    <w:bookmarkStart w:name="z4427" w:id="4313"/>
    <w:p>
      <w:pPr>
        <w:spacing w:after="0"/>
        <w:ind w:left="0"/>
        <w:jc w:val="both"/>
      </w:pPr>
      <w:r>
        <w:rPr>
          <w:rFonts w:ascii="Times New Roman"/>
          <w:b w:val="false"/>
          <w:i w:val="false"/>
          <w:color w:val="000000"/>
          <w:sz w:val="28"/>
        </w:rPr>
        <w:t>
      ___________________________________________________________________________</w:t>
      </w:r>
    </w:p>
    <w:bookmarkEnd w:id="4313"/>
    <w:bookmarkStart w:name="z4428" w:id="4314"/>
    <w:p>
      <w:pPr>
        <w:spacing w:after="0"/>
        <w:ind w:left="0"/>
        <w:jc w:val="both"/>
      </w:pPr>
      <w:r>
        <w:rPr>
          <w:rFonts w:ascii="Times New Roman"/>
          <w:b w:val="false"/>
          <w:i w:val="false"/>
          <w:color w:val="000000"/>
          <w:sz w:val="28"/>
        </w:rPr>
        <w:t xml:space="preserve">
      Примечание. В случае применимости следует указать: &lt;по другим замечаниям к закрытой части МФАФС следует обратиться к отдельному экспертному отчету по критической оценке МФАФС&gt; </w:t>
      </w:r>
    </w:p>
    <w:bookmarkEnd w:id="4314"/>
    <w:bookmarkStart w:name="z4429" w:id="4315"/>
    <w:p>
      <w:pPr>
        <w:spacing w:after="0"/>
        <w:ind w:left="0"/>
        <w:jc w:val="both"/>
      </w:pPr>
      <w:r>
        <w:rPr>
          <w:rFonts w:ascii="Times New Roman"/>
          <w:b w:val="false"/>
          <w:i w:val="false"/>
          <w:color w:val="000000"/>
          <w:sz w:val="28"/>
        </w:rPr>
        <w:t>
      9.3.2. Лекарственный препарат.</w:t>
      </w:r>
    </w:p>
    <w:bookmarkEnd w:id="4315"/>
    <w:bookmarkStart w:name="z4430" w:id="4316"/>
    <w:p>
      <w:pPr>
        <w:spacing w:after="0"/>
        <w:ind w:left="0"/>
        <w:jc w:val="both"/>
      </w:pPr>
      <w:r>
        <w:rPr>
          <w:rFonts w:ascii="Times New Roman"/>
          <w:b w:val="false"/>
          <w:i w:val="false"/>
          <w:color w:val="000000"/>
          <w:sz w:val="28"/>
        </w:rPr>
        <w:t>
      ___________________________________________________________________________</w:t>
      </w:r>
    </w:p>
    <w:bookmarkEnd w:id="4316"/>
    <w:bookmarkStart w:name="z4431" w:id="4317"/>
    <w:p>
      <w:pPr>
        <w:spacing w:after="0"/>
        <w:ind w:left="0"/>
        <w:jc w:val="both"/>
      </w:pPr>
      <w:r>
        <w:rPr>
          <w:rFonts w:ascii="Times New Roman"/>
          <w:b w:val="false"/>
          <w:i w:val="false"/>
          <w:color w:val="000000"/>
          <w:sz w:val="28"/>
        </w:rPr>
        <w:t>
      ___________________________________________________________________________</w:t>
      </w:r>
    </w:p>
    <w:bookmarkEnd w:id="4317"/>
    <w:bookmarkStart w:name="z4432" w:id="4318"/>
    <w:p>
      <w:pPr>
        <w:spacing w:after="0"/>
        <w:ind w:left="0"/>
        <w:jc w:val="both"/>
      </w:pPr>
      <w:r>
        <w:rPr>
          <w:rFonts w:ascii="Times New Roman"/>
          <w:b w:val="false"/>
          <w:i w:val="false"/>
          <w:color w:val="000000"/>
          <w:sz w:val="28"/>
        </w:rPr>
        <w:t>
      ___________________________________________________________________________</w:t>
      </w:r>
    </w:p>
    <w:bookmarkEnd w:id="4318"/>
    <w:bookmarkStart w:name="z4433" w:id="4319"/>
    <w:p>
      <w:pPr>
        <w:spacing w:after="0"/>
        <w:ind w:left="0"/>
        <w:jc w:val="left"/>
      </w:pPr>
      <w:r>
        <w:rPr>
          <w:rFonts w:ascii="Times New Roman"/>
          <w:b/>
          <w:i w:val="false"/>
          <w:color w:val="000000"/>
        </w:rPr>
        <w:t xml:space="preserve"> 9.4. Рекомендации</w:t>
      </w:r>
    </w:p>
    <w:bookmarkEnd w:id="4319"/>
    <w:bookmarkStart w:name="z4434" w:id="4320"/>
    <w:p>
      <w:pPr>
        <w:spacing w:after="0"/>
        <w:ind w:left="0"/>
        <w:jc w:val="both"/>
      </w:pPr>
      <w:r>
        <w:rPr>
          <w:rFonts w:ascii="Times New Roman"/>
          <w:b w:val="false"/>
          <w:i w:val="false"/>
          <w:color w:val="000000"/>
          <w:sz w:val="28"/>
        </w:rPr>
        <w:t>
      ___________________________________________________________________________</w:t>
      </w:r>
    </w:p>
    <w:bookmarkEnd w:id="4320"/>
    <w:bookmarkStart w:name="z4435" w:id="4321"/>
    <w:p>
      <w:pPr>
        <w:spacing w:after="0"/>
        <w:ind w:left="0"/>
        <w:jc w:val="both"/>
      </w:pPr>
      <w:r>
        <w:rPr>
          <w:rFonts w:ascii="Times New Roman"/>
          <w:b w:val="false"/>
          <w:i w:val="false"/>
          <w:color w:val="000000"/>
          <w:sz w:val="28"/>
        </w:rPr>
        <w:t>
      ___________________________________________________________________________</w:t>
      </w:r>
    </w:p>
    <w:bookmarkEnd w:id="4321"/>
    <w:bookmarkStart w:name="z4436" w:id="4322"/>
    <w:p>
      <w:pPr>
        <w:spacing w:after="0"/>
        <w:ind w:left="0"/>
        <w:jc w:val="both"/>
      </w:pPr>
      <w:r>
        <w:rPr>
          <w:rFonts w:ascii="Times New Roman"/>
          <w:b w:val="false"/>
          <w:i w:val="false"/>
          <w:color w:val="000000"/>
          <w:sz w:val="28"/>
        </w:rPr>
        <w:t>
      ___________________________________________________________________________</w:t>
      </w:r>
    </w:p>
    <w:bookmarkEnd w:id="4322"/>
    <w:bookmarkStart w:name="z4437" w:id="4323"/>
    <w:p>
      <w:pPr>
        <w:spacing w:after="0"/>
        <w:ind w:left="0"/>
        <w:jc w:val="both"/>
      </w:pPr>
      <w:r>
        <w:rPr>
          <w:rFonts w:ascii="Times New Roman"/>
          <w:b w:val="false"/>
          <w:i w:val="false"/>
          <w:color w:val="000000"/>
          <w:sz w:val="28"/>
        </w:rPr>
        <w:t>
      ___________________________________________________________________________</w:t>
      </w:r>
    </w:p>
    <w:bookmarkEnd w:id="4323"/>
    <w:bookmarkStart w:name="z4438" w:id="4324"/>
    <w:p>
      <w:pPr>
        <w:spacing w:after="0"/>
        <w:ind w:left="0"/>
        <w:jc w:val="both"/>
      </w:pPr>
      <w:r>
        <w:rPr>
          <w:rFonts w:ascii="Times New Roman"/>
          <w:b w:val="false"/>
          <w:i w:val="false"/>
          <w:color w:val="000000"/>
          <w:sz w:val="28"/>
        </w:rPr>
        <w:t>
      ___________________________________________________________________________</w:t>
      </w:r>
    </w:p>
    <w:bookmarkEnd w:id="4324"/>
    <w:bookmarkStart w:name="z4439" w:id="4325"/>
    <w:p>
      <w:pPr>
        <w:spacing w:after="0"/>
        <w:ind w:left="0"/>
        <w:jc w:val="both"/>
      </w:pPr>
      <w:r>
        <w:rPr>
          <w:rFonts w:ascii="Times New Roman"/>
          <w:b w:val="false"/>
          <w:i w:val="false"/>
          <w:color w:val="000000"/>
          <w:sz w:val="28"/>
        </w:rPr>
        <w:t>
      ___________________________________________________________________________</w:t>
      </w:r>
    </w:p>
    <w:bookmarkEnd w:id="4325"/>
    <w:bookmarkStart w:name="z4440" w:id="4326"/>
    <w:p>
      <w:pPr>
        <w:spacing w:after="0"/>
        <w:ind w:left="0"/>
        <w:jc w:val="both"/>
      </w:pPr>
      <w:r>
        <w:rPr>
          <w:rFonts w:ascii="Times New Roman"/>
          <w:b w:val="false"/>
          <w:i w:val="false"/>
          <w:color w:val="000000"/>
          <w:sz w:val="28"/>
        </w:rPr>
        <w:t>
      ___________________________________________________________________________</w:t>
      </w:r>
    </w:p>
    <w:bookmarkEnd w:id="4326"/>
    <w:bookmarkStart w:name="z4441" w:id="4327"/>
    <w:p>
      <w:pPr>
        <w:spacing w:after="0"/>
        <w:ind w:left="0"/>
        <w:jc w:val="both"/>
      </w:pPr>
      <w:r>
        <w:rPr>
          <w:rFonts w:ascii="Times New Roman"/>
          <w:b w:val="false"/>
          <w:i w:val="false"/>
          <w:color w:val="000000"/>
          <w:sz w:val="28"/>
        </w:rPr>
        <w:t>
      ___________________________________________________________________________</w:t>
      </w:r>
    </w:p>
    <w:bookmarkEnd w:id="4327"/>
    <w:bookmarkStart w:name="z4442" w:id="4328"/>
    <w:p>
      <w:pPr>
        <w:spacing w:after="0"/>
        <w:ind w:left="0"/>
        <w:jc w:val="both"/>
      </w:pPr>
      <w:r>
        <w:rPr>
          <w:rFonts w:ascii="Times New Roman"/>
          <w:b w:val="false"/>
          <w:i w:val="false"/>
          <w:color w:val="000000"/>
          <w:sz w:val="28"/>
        </w:rPr>
        <w:t>
      ___________________________________________________________________________</w:t>
      </w:r>
    </w:p>
    <w:bookmarkEnd w:id="4328"/>
    <w:bookmarkStart w:name="z4443" w:id="4329"/>
    <w:p>
      <w:pPr>
        <w:spacing w:after="0"/>
        <w:ind w:left="0"/>
        <w:jc w:val="both"/>
      </w:pPr>
      <w:r>
        <w:rPr>
          <w:rFonts w:ascii="Times New Roman"/>
          <w:b w:val="false"/>
          <w:i w:val="false"/>
          <w:color w:val="000000"/>
          <w:sz w:val="28"/>
        </w:rPr>
        <w:t>
      ___________________________________________________________________________</w:t>
      </w:r>
    </w:p>
    <w:bookmarkEnd w:id="4329"/>
    <w:bookmarkStart w:name="z4444" w:id="4330"/>
    <w:p>
      <w:pPr>
        <w:spacing w:after="0"/>
        <w:ind w:left="0"/>
        <w:jc w:val="both"/>
      </w:pPr>
      <w:r>
        <w:rPr>
          <w:rFonts w:ascii="Times New Roman"/>
          <w:b w:val="false"/>
          <w:i w:val="false"/>
          <w:color w:val="000000"/>
          <w:sz w:val="28"/>
        </w:rPr>
        <w:t>
      ___________________________________________________________________________</w:t>
      </w:r>
    </w:p>
    <w:bookmarkEnd w:id="4330"/>
    <w:bookmarkStart w:name="z4445" w:id="4331"/>
    <w:p>
      <w:pPr>
        <w:spacing w:after="0"/>
        <w:ind w:left="0"/>
        <w:jc w:val="both"/>
      </w:pPr>
      <w:r>
        <w:rPr>
          <w:rFonts w:ascii="Times New Roman"/>
          <w:b w:val="false"/>
          <w:i w:val="false"/>
          <w:color w:val="000000"/>
          <w:sz w:val="28"/>
        </w:rPr>
        <w:t>
      ___________________________________________________________________________</w:t>
      </w:r>
    </w:p>
    <w:bookmarkEnd w:id="4331"/>
    <w:bookmarkStart w:name="z4446" w:id="4332"/>
    <w:p>
      <w:pPr>
        <w:spacing w:after="0"/>
        <w:ind w:left="0"/>
        <w:jc w:val="left"/>
      </w:pPr>
      <w:r>
        <w:rPr>
          <w:rFonts w:ascii="Times New Roman"/>
          <w:b/>
          <w:i w:val="false"/>
          <w:color w:val="000000"/>
        </w:rPr>
        <w:t xml:space="preserve"> 10. Дополнение 1 (при необходимости) </w:t>
      </w:r>
    </w:p>
    <w:bookmarkEnd w:id="4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448" w:id="4333"/>
    <w:p>
      <w:pPr>
        <w:spacing w:after="0"/>
        <w:ind w:left="0"/>
        <w:jc w:val="left"/>
      </w:pPr>
      <w:r>
        <w:rPr>
          <w:rFonts w:ascii="Times New Roman"/>
          <w:b/>
          <w:i w:val="false"/>
          <w:color w:val="000000"/>
        </w:rPr>
        <w:t xml:space="preserve"> ЭКСПЕРТНЫЙ ОТЧЕТ</w:t>
      </w:r>
      <w:r>
        <w:br/>
      </w:r>
      <w:r>
        <w:rPr>
          <w:rFonts w:ascii="Times New Roman"/>
          <w:b/>
          <w:i w:val="false"/>
          <w:color w:val="000000"/>
        </w:rPr>
        <w:t xml:space="preserve">по критической оценке мастер-файла на активную фармацевтическую субстанцию </w:t>
      </w:r>
    </w:p>
    <w:bookmarkEnd w:id="4333"/>
    <w:bookmarkStart w:name="z4449" w:id="4334"/>
    <w:p>
      <w:pPr>
        <w:spacing w:after="0"/>
        <w:ind w:left="0"/>
        <w:jc w:val="both"/>
      </w:pPr>
      <w:r>
        <w:rPr>
          <w:rFonts w:ascii="Times New Roman"/>
          <w:b w:val="false"/>
          <w:i w:val="false"/>
          <w:color w:val="000000"/>
          <w:sz w:val="28"/>
        </w:rPr>
        <w:t xml:space="preserve">
      {Активная фармацевтическая субстанция} </w:t>
      </w:r>
    </w:p>
    <w:bookmarkEnd w:id="4334"/>
    <w:bookmarkStart w:name="z4450" w:id="4335"/>
    <w:p>
      <w:pPr>
        <w:spacing w:after="0"/>
        <w:ind w:left="0"/>
        <w:jc w:val="both"/>
      </w:pPr>
      <w:r>
        <w:rPr>
          <w:rFonts w:ascii="Times New Roman"/>
          <w:b w:val="false"/>
          <w:i w:val="false"/>
          <w:color w:val="000000"/>
          <w:sz w:val="28"/>
        </w:rPr>
        <w:t xml:space="preserve">
      {Производитель активной фармацевтической субстанции} </w:t>
      </w:r>
    </w:p>
    <w:bookmarkEnd w:id="4335"/>
    <w:bookmarkStart w:name="z4451" w:id="4336"/>
    <w:p>
      <w:pPr>
        <w:spacing w:after="0"/>
        <w:ind w:left="0"/>
        <w:jc w:val="both"/>
      </w:pPr>
      <w:r>
        <w:rPr>
          <w:rFonts w:ascii="Times New Roman"/>
          <w:b w:val="false"/>
          <w:i w:val="false"/>
          <w:color w:val="000000"/>
          <w:sz w:val="28"/>
        </w:rPr>
        <w:t>
      {Регистрационный номер} (при наличии)</w:t>
      </w:r>
    </w:p>
    <w:bookmarkEnd w:id="4336"/>
    <w:bookmarkStart w:name="z4452" w:id="4337"/>
    <w:p>
      <w:pPr>
        <w:spacing w:after="0"/>
        <w:ind w:left="0"/>
        <w:jc w:val="both"/>
      </w:pPr>
      <w:r>
        <w:rPr>
          <w:rFonts w:ascii="Times New Roman"/>
          <w:b w:val="false"/>
          <w:i w:val="false"/>
          <w:color w:val="000000"/>
          <w:sz w:val="28"/>
        </w:rPr>
        <w:t>
      {(Номер версии части заявителя, дата, номер версии служебной части) дата}</w:t>
      </w:r>
    </w:p>
    <w:bookmarkEnd w:id="4337"/>
    <w:bookmarkStart w:name="z4453" w:id="4338"/>
    <w:p>
      <w:pPr>
        <w:spacing w:after="0"/>
        <w:ind w:left="0"/>
        <w:jc w:val="left"/>
      </w:pPr>
      <w:r>
        <w:rPr>
          <w:rFonts w:ascii="Times New Roman"/>
          <w:b/>
          <w:i w:val="false"/>
          <w:color w:val="000000"/>
        </w:rPr>
        <w:t xml:space="preserve"> 10.1. Административная информация </w:t>
      </w:r>
    </w:p>
    <w:bookmarkEnd w:id="4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4339"/>
          <w:p>
            <w:pPr>
              <w:spacing w:after="20"/>
              <w:ind w:left="20"/>
              <w:jc w:val="both"/>
            </w:pPr>
            <w:r>
              <w:rPr>
                <w:rFonts w:ascii="Times New Roman"/>
                <w:b w:val="false"/>
                <w:i w:val="false"/>
                <w:color w:val="000000"/>
                <w:sz w:val="20"/>
              </w:rPr>
              <w:t xml:space="preserve">
Идентификационный номер: </w:t>
            </w:r>
          </w:p>
          <w:bookmarkEnd w:id="4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4340"/>
          <w:p>
            <w:pPr>
              <w:spacing w:after="20"/>
              <w:ind w:left="20"/>
              <w:jc w:val="both"/>
            </w:pPr>
            <w:r>
              <w:rPr>
                <w:rFonts w:ascii="Times New Roman"/>
                <w:b w:val="false"/>
                <w:i w:val="false"/>
                <w:color w:val="000000"/>
                <w:sz w:val="20"/>
              </w:rPr>
              <w:t xml:space="preserve">
Международное непатентованное наименование (МНН) (общепринятое наименование) активной фармацевтической субстанции (активных фармацевтических субстанций): </w:t>
            </w:r>
          </w:p>
          <w:bookmarkEnd w:id="4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4341"/>
          <w:p>
            <w:pPr>
              <w:spacing w:after="20"/>
              <w:ind w:left="20"/>
              <w:jc w:val="both"/>
            </w:pPr>
            <w:r>
              <w:rPr>
                <w:rFonts w:ascii="Times New Roman"/>
                <w:b w:val="false"/>
                <w:i w:val="false"/>
                <w:color w:val="000000"/>
                <w:sz w:val="20"/>
              </w:rPr>
              <w:t xml:space="preserve">
Внутренний код производителя активной фармацевтической субстанции (если применяется): </w:t>
            </w:r>
          </w:p>
          <w:bookmarkEnd w:id="4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4342"/>
          <w:p>
            <w:pPr>
              <w:spacing w:after="20"/>
              <w:ind w:left="20"/>
              <w:jc w:val="both"/>
            </w:pPr>
            <w:r>
              <w:rPr>
                <w:rFonts w:ascii="Times New Roman"/>
                <w:b w:val="false"/>
                <w:i w:val="false"/>
                <w:color w:val="000000"/>
                <w:sz w:val="20"/>
              </w:rPr>
              <w:t xml:space="preserve">
Наименования и адреса производственных площадок производителя активной фармацевтической субстанции </w:t>
            </w:r>
          </w:p>
          <w:bookmarkEnd w:id="4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контактное лицо:</w:t>
            </w:r>
          </w:p>
          <w:p>
            <w:pPr>
              <w:spacing w:after="20"/>
              <w:ind w:left="20"/>
              <w:jc w:val="both"/>
            </w:pPr>
            <w:r>
              <w:rPr>
                <w:rFonts w:ascii="Times New Roman"/>
                <w:b w:val="false"/>
                <w:i w:val="false"/>
                <w:color w:val="000000"/>
                <w:sz w:val="20"/>
              </w:rPr>
              <w:t>номер телефона:</w:t>
            </w:r>
          </w:p>
          <w:p>
            <w:pPr>
              <w:spacing w:after="20"/>
              <w:ind w:left="20"/>
              <w:jc w:val="both"/>
            </w:pPr>
            <w:r>
              <w:rPr>
                <w:rFonts w:ascii="Times New Roman"/>
                <w:b w:val="false"/>
                <w:i w:val="false"/>
                <w:color w:val="000000"/>
                <w:sz w:val="20"/>
              </w:rPr>
              <w:t>номер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4343"/>
          <w:p>
            <w:pPr>
              <w:spacing w:after="20"/>
              <w:ind w:left="20"/>
              <w:jc w:val="both"/>
            </w:pPr>
            <w:r>
              <w:rPr>
                <w:rFonts w:ascii="Times New Roman"/>
                <w:b w:val="false"/>
                <w:i w:val="false"/>
                <w:color w:val="000000"/>
                <w:sz w:val="20"/>
              </w:rPr>
              <w:t xml:space="preserve">
Дата экспертного отчета по оценке мастер-файла на активную фармацевтическую субстанцию </w:t>
            </w:r>
          </w:p>
          <w:bookmarkEnd w:id="4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регистрационная процедура (регистрация, внесение изменений): </w:t>
            </w:r>
          </w:p>
        </w:tc>
      </w:tr>
    </w:tbl>
    <w:bookmarkStart w:name="z4459" w:id="4344"/>
    <w:p>
      <w:pPr>
        <w:spacing w:after="0"/>
        <w:ind w:left="0"/>
        <w:jc w:val="both"/>
      </w:pPr>
      <w:r>
        <w:rPr>
          <w:rFonts w:ascii="Times New Roman"/>
          <w:b w:val="false"/>
          <w:i w:val="false"/>
          <w:color w:val="000000"/>
          <w:sz w:val="28"/>
        </w:rPr>
        <w:t>
       </w:t>
      </w:r>
    </w:p>
    <w:bookmarkEnd w:id="4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4345"/>
          <w:p>
            <w:pPr>
              <w:spacing w:after="20"/>
              <w:ind w:left="20"/>
              <w:jc w:val="both"/>
            </w:pPr>
            <w:r>
              <w:rPr>
                <w:rFonts w:ascii="Times New Roman"/>
                <w:b w:val="false"/>
                <w:i w:val="false"/>
                <w:color w:val="000000"/>
                <w:sz w:val="20"/>
              </w:rPr>
              <w:t xml:space="preserve">
Максимальная суточная доза </w:t>
            </w:r>
          </w:p>
          <w:bookmarkEnd w:id="4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(например, &lt; 1 г, &lt; 10 г, др.)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4346"/>
          <w:p>
            <w:pPr>
              <w:spacing w:after="20"/>
              <w:ind w:left="20"/>
              <w:jc w:val="both"/>
            </w:pPr>
            <w:r>
              <w:rPr>
                <w:rFonts w:ascii="Times New Roman"/>
                <w:b w:val="false"/>
                <w:i w:val="false"/>
                <w:color w:val="000000"/>
                <w:sz w:val="20"/>
              </w:rPr>
              <w:t xml:space="preserve">
Пути введения </w:t>
            </w:r>
          </w:p>
          <w:bookmarkEnd w:id="4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4347"/>
          <w:p>
            <w:pPr>
              <w:spacing w:after="20"/>
              <w:ind w:left="20"/>
              <w:jc w:val="both"/>
            </w:pPr>
            <w:r>
              <w:rPr>
                <w:rFonts w:ascii="Times New Roman"/>
                <w:b w:val="false"/>
                <w:i w:val="false"/>
                <w:color w:val="000000"/>
                <w:sz w:val="20"/>
              </w:rPr>
              <w:t xml:space="preserve">
Целевые группы </w:t>
            </w:r>
          </w:p>
          <w:bookmarkEnd w:id="4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&lt;новорожденные, младенцы, дети, взрослые&gt; </w:t>
            </w:r>
          </w:p>
        </w:tc>
      </w:tr>
    </w:tbl>
    <w:bookmarkStart w:name="z4463" w:id="4348"/>
    <w:p>
      <w:pPr>
        <w:spacing w:after="0"/>
        <w:ind w:left="0"/>
        <w:jc w:val="both"/>
      </w:pPr>
      <w:r>
        <w:rPr>
          <w:rFonts w:ascii="Times New Roman"/>
          <w:b w:val="false"/>
          <w:i w:val="false"/>
          <w:color w:val="000000"/>
          <w:sz w:val="28"/>
        </w:rPr>
        <w:t>
      Примечания: 1. Структура отчета должна отражать соответствующие части Модуля 3.2.S.</w:t>
      </w:r>
    </w:p>
    <w:bookmarkEnd w:id="4348"/>
    <w:bookmarkStart w:name="z4464" w:id="4349"/>
    <w:p>
      <w:pPr>
        <w:spacing w:after="0"/>
        <w:ind w:left="0"/>
        <w:jc w:val="both"/>
      </w:pPr>
      <w:r>
        <w:rPr>
          <w:rFonts w:ascii="Times New Roman"/>
          <w:b w:val="false"/>
          <w:i w:val="false"/>
          <w:color w:val="000000"/>
          <w:sz w:val="28"/>
        </w:rPr>
        <w:t>
      2. Для каждого мастер-файла активной фармацевтической субстанции (МФАФС) составляется отдельный экспертный отчет.</w:t>
      </w:r>
    </w:p>
    <w:bookmarkEnd w:id="4349"/>
    <w:bookmarkStart w:name="z4465" w:id="4350"/>
    <w:p>
      <w:pPr>
        <w:spacing w:after="0"/>
        <w:ind w:left="0"/>
        <w:jc w:val="both"/>
      </w:pPr>
      <w:r>
        <w:rPr>
          <w:rFonts w:ascii="Times New Roman"/>
          <w:b w:val="false"/>
          <w:i w:val="false"/>
          <w:color w:val="000000"/>
          <w:sz w:val="28"/>
        </w:rPr>
        <w:t>
      3. Данный отчет не направляется держателю регистрационного удостоверения, а только соответствующему производителю АФС/держателю МФАФС.</w:t>
      </w:r>
    </w:p>
    <w:bookmarkEnd w:id="4350"/>
    <w:bookmarkStart w:name="z4466" w:id="4351"/>
    <w:p>
      <w:pPr>
        <w:spacing w:after="0"/>
        <w:ind w:left="0"/>
        <w:jc w:val="both"/>
      </w:pPr>
      <w:r>
        <w:rPr>
          <w:rFonts w:ascii="Times New Roman"/>
          <w:b w:val="false"/>
          <w:i w:val="false"/>
          <w:color w:val="000000"/>
          <w:sz w:val="28"/>
        </w:rPr>
        <w:t>
      4. Разрешения на доступ в отношении конкретных лекарственных препаратов, описываются в экспертном отчете по критической оценке аспектов качества рассматриваемого лекарственного препарата.</w:t>
      </w:r>
    </w:p>
    <w:bookmarkEnd w:id="4351"/>
    <w:bookmarkStart w:name="z4467" w:id="4352"/>
    <w:p>
      <w:pPr>
        <w:spacing w:after="0"/>
        <w:ind w:left="0"/>
        <w:jc w:val="both"/>
      </w:pPr>
      <w:r>
        <w:rPr>
          <w:rFonts w:ascii="Times New Roman"/>
          <w:b w:val="false"/>
          <w:i w:val="false"/>
          <w:color w:val="000000"/>
          <w:sz w:val="28"/>
        </w:rPr>
        <w:t>
       </w:t>
      </w:r>
    </w:p>
    <w:bookmarkEnd w:id="4352"/>
    <w:bookmarkStart w:name="z4468" w:id="4353"/>
    <w:p>
      <w:pPr>
        <w:spacing w:after="0"/>
        <w:ind w:left="0"/>
        <w:jc w:val="left"/>
      </w:pPr>
      <w:r>
        <w:rPr>
          <w:rFonts w:ascii="Times New Roman"/>
          <w:b/>
          <w:i w:val="false"/>
          <w:color w:val="000000"/>
        </w:rPr>
        <w:t xml:space="preserve"> 10.2. Экспертный отчет и вопросы по части МФАФС, открытой для заявителя </w:t>
      </w:r>
    </w:p>
    <w:bookmarkEnd w:id="4353"/>
    <w:bookmarkStart w:name="z4469" w:id="4354"/>
    <w:p>
      <w:pPr>
        <w:spacing w:after="0"/>
        <w:ind w:left="0"/>
        <w:jc w:val="both"/>
      </w:pPr>
      <w:r>
        <w:rPr>
          <w:rFonts w:ascii="Times New Roman"/>
          <w:b w:val="false"/>
          <w:i w:val="false"/>
          <w:color w:val="000000"/>
          <w:sz w:val="28"/>
        </w:rPr>
        <w:t>
      Настоящий отчет касается исключительно МФАФС. Тем не менее, его необходимо всегда рассматривать неразрывно с экспертным отчетом (экспертными отчетами) по критической оценке регистрационного досье лекарственного препарата, к которому он (они) относится (относятся).</w:t>
      </w:r>
    </w:p>
    <w:bookmarkEnd w:id="4354"/>
    <w:bookmarkStart w:name="z4470" w:id="4355"/>
    <w:p>
      <w:pPr>
        <w:spacing w:after="0"/>
        <w:ind w:left="0"/>
        <w:jc w:val="both"/>
      </w:pPr>
      <w:r>
        <w:rPr>
          <w:rFonts w:ascii="Times New Roman"/>
          <w:b w:val="false"/>
          <w:i w:val="false"/>
          <w:color w:val="000000"/>
          <w:sz w:val="28"/>
        </w:rPr>
        <w:t>
      МФАФС в формате общего технического документа был предоставлен (держателем МФАФС) для (АФС):</w:t>
      </w:r>
    </w:p>
    <w:bookmarkEnd w:id="4355"/>
    <w:bookmarkStart w:name="z4471" w:id="4356"/>
    <w:p>
      <w:pPr>
        <w:spacing w:after="0"/>
        <w:ind w:left="0"/>
        <w:jc w:val="both"/>
      </w:pPr>
      <w:r>
        <w:rPr>
          <w:rFonts w:ascii="Times New Roman"/>
          <w:b w:val="false"/>
          <w:i w:val="false"/>
          <w:color w:val="000000"/>
          <w:sz w:val="28"/>
        </w:rPr>
        <w:t>
      _____________________________________________________________________________________________________________________</w:t>
      </w:r>
    </w:p>
    <w:bookmarkEnd w:id="4356"/>
    <w:bookmarkStart w:name="z4472" w:id="4357"/>
    <w:p>
      <w:pPr>
        <w:spacing w:after="0"/>
        <w:ind w:left="0"/>
        <w:jc w:val="both"/>
      </w:pPr>
      <w:r>
        <w:rPr>
          <w:rFonts w:ascii="Times New Roman"/>
          <w:b w:val="false"/>
          <w:i w:val="false"/>
          <w:color w:val="000000"/>
          <w:sz w:val="28"/>
        </w:rPr>
        <w:t>
      _____________________________________________________________________________________________________________________</w:t>
      </w:r>
    </w:p>
    <w:bookmarkEnd w:id="4357"/>
    <w:bookmarkStart w:name="z4473" w:id="4358"/>
    <w:p>
      <w:pPr>
        <w:spacing w:after="0"/>
        <w:ind w:left="0"/>
        <w:jc w:val="both"/>
      </w:pPr>
      <w:r>
        <w:rPr>
          <w:rFonts w:ascii="Times New Roman"/>
          <w:b w:val="false"/>
          <w:i w:val="false"/>
          <w:color w:val="000000"/>
          <w:sz w:val="28"/>
        </w:rPr>
        <w:t>
      _____________________________________________________________________________________________________________________</w:t>
      </w:r>
    </w:p>
    <w:bookmarkEnd w:id="4358"/>
    <w:p>
      <w:pPr>
        <w:spacing w:after="0"/>
        <w:ind w:left="0"/>
        <w:jc w:val="both"/>
      </w:pPr>
      <w:bookmarkStart w:name="z4474" w:id="4359"/>
      <w:r>
        <w:rPr>
          <w:rFonts w:ascii="Times New Roman"/>
          <w:b w:val="false"/>
          <w:i w:val="false"/>
          <w:color w:val="000000"/>
          <w:sz w:val="28"/>
        </w:rPr>
        <w:t xml:space="preserve">
      {Номер версии части заявителя} </w:t>
      </w:r>
    </w:p>
    <w:bookmarkEnd w:id="4359"/>
    <w:p>
      <w:pPr>
        <w:spacing w:after="0"/>
        <w:ind w:left="0"/>
        <w:jc w:val="both"/>
      </w:pPr>
      <w:r>
        <w:rPr>
          <w:rFonts w:ascii="Times New Roman"/>
          <w:b w:val="false"/>
          <w:i w:val="false"/>
          <w:color w:val="000000"/>
          <w:sz w:val="28"/>
        </w:rPr>
        <w:t>{Номер версии закрытой части} </w:t>
      </w:r>
    </w:p>
    <w:bookmarkStart w:name="z4475" w:id="4360"/>
    <w:p>
      <w:pPr>
        <w:spacing w:after="0"/>
        <w:ind w:left="0"/>
        <w:jc w:val="both"/>
      </w:pPr>
      <w:r>
        <w:rPr>
          <w:rFonts w:ascii="Times New Roman"/>
          <w:b w:val="false"/>
          <w:i w:val="false"/>
          <w:color w:val="000000"/>
          <w:sz w:val="28"/>
        </w:rPr>
        <w:t>
      S.1 Общая информация.</w:t>
      </w:r>
    </w:p>
    <w:bookmarkEnd w:id="4360"/>
    <w:bookmarkStart w:name="z4476" w:id="4361"/>
    <w:p>
      <w:pPr>
        <w:spacing w:after="0"/>
        <w:ind w:left="0"/>
        <w:jc w:val="both"/>
      </w:pPr>
      <w:r>
        <w:rPr>
          <w:rFonts w:ascii="Times New Roman"/>
          <w:b w:val="false"/>
          <w:i w:val="false"/>
          <w:color w:val="000000"/>
          <w:sz w:val="28"/>
        </w:rPr>
        <w:t>
       </w:t>
      </w:r>
    </w:p>
    <w:bookmarkEnd w:id="4361"/>
    <w:bookmarkStart w:name="z4477" w:id="4362"/>
    <w:p>
      <w:pPr>
        <w:spacing w:after="0"/>
        <w:ind w:left="0"/>
        <w:jc w:val="both"/>
      </w:pPr>
      <w:r>
        <w:rPr>
          <w:rFonts w:ascii="Times New Roman"/>
          <w:b w:val="false"/>
          <w:i w:val="false"/>
          <w:color w:val="000000"/>
          <w:sz w:val="28"/>
        </w:rPr>
        <w:t>
      ___________________________________________________________________________</w:t>
      </w:r>
    </w:p>
    <w:bookmarkEnd w:id="4362"/>
    <w:bookmarkStart w:name="z4478" w:id="4363"/>
    <w:p>
      <w:pPr>
        <w:spacing w:after="0"/>
        <w:ind w:left="0"/>
        <w:jc w:val="both"/>
      </w:pPr>
      <w:r>
        <w:rPr>
          <w:rFonts w:ascii="Times New Roman"/>
          <w:b w:val="false"/>
          <w:i w:val="false"/>
          <w:color w:val="000000"/>
          <w:sz w:val="28"/>
        </w:rPr>
        <w:t>
      ___________________________________________________________________________</w:t>
      </w:r>
    </w:p>
    <w:bookmarkEnd w:id="4363"/>
    <w:bookmarkStart w:name="z4479" w:id="4364"/>
    <w:p>
      <w:pPr>
        <w:spacing w:after="0"/>
        <w:ind w:left="0"/>
        <w:jc w:val="both"/>
      </w:pPr>
      <w:r>
        <w:rPr>
          <w:rFonts w:ascii="Times New Roman"/>
          <w:b w:val="false"/>
          <w:i w:val="false"/>
          <w:color w:val="000000"/>
          <w:sz w:val="28"/>
        </w:rPr>
        <w:t>
      ___________________________________________________________________________</w:t>
      </w:r>
    </w:p>
    <w:bookmarkEnd w:id="4364"/>
    <w:bookmarkStart w:name="z4480" w:id="4365"/>
    <w:p>
      <w:pPr>
        <w:spacing w:after="0"/>
        <w:ind w:left="0"/>
        <w:jc w:val="both"/>
      </w:pPr>
      <w:r>
        <w:rPr>
          <w:rFonts w:ascii="Times New Roman"/>
          <w:b w:val="false"/>
          <w:i w:val="false"/>
          <w:color w:val="000000"/>
          <w:sz w:val="28"/>
        </w:rPr>
        <w:t>
       </w:t>
      </w:r>
    </w:p>
    <w:bookmarkEnd w:id="4365"/>
    <w:bookmarkStart w:name="z4481" w:id="4366"/>
    <w:p>
      <w:pPr>
        <w:spacing w:after="0"/>
        <w:ind w:left="0"/>
        <w:jc w:val="both"/>
      </w:pPr>
      <w:r>
        <w:rPr>
          <w:rFonts w:ascii="Times New Roman"/>
          <w:b w:val="false"/>
          <w:i w:val="false"/>
          <w:color w:val="000000"/>
          <w:sz w:val="28"/>
        </w:rPr>
        <w:t>
      S.2 Производство.</w:t>
      </w:r>
    </w:p>
    <w:bookmarkEnd w:id="4366"/>
    <w:bookmarkStart w:name="z4482" w:id="4367"/>
    <w:p>
      <w:pPr>
        <w:spacing w:after="0"/>
        <w:ind w:left="0"/>
        <w:jc w:val="both"/>
      </w:pPr>
      <w:r>
        <w:rPr>
          <w:rFonts w:ascii="Times New Roman"/>
          <w:b w:val="false"/>
          <w:i w:val="false"/>
          <w:color w:val="000000"/>
          <w:sz w:val="28"/>
        </w:rPr>
        <w:t>
      S.2.1. Производитель (наименование и адрес производителя АФС).</w:t>
      </w:r>
    </w:p>
    <w:bookmarkEnd w:id="4367"/>
    <w:bookmarkStart w:name="z4483" w:id="4368"/>
    <w:p>
      <w:pPr>
        <w:spacing w:after="0"/>
        <w:ind w:left="0"/>
        <w:jc w:val="both"/>
      </w:pPr>
      <w:r>
        <w:rPr>
          <w:rFonts w:ascii="Times New Roman"/>
          <w:b w:val="false"/>
          <w:i w:val="false"/>
          <w:color w:val="000000"/>
          <w:sz w:val="28"/>
        </w:rPr>
        <w:t>
       </w:t>
      </w:r>
    </w:p>
    <w:bookmarkEnd w:id="4368"/>
    <w:bookmarkStart w:name="z4484" w:id="4369"/>
    <w:p>
      <w:pPr>
        <w:spacing w:after="0"/>
        <w:ind w:left="0"/>
        <w:jc w:val="both"/>
      </w:pPr>
      <w:r>
        <w:rPr>
          <w:rFonts w:ascii="Times New Roman"/>
          <w:b w:val="false"/>
          <w:i w:val="false"/>
          <w:color w:val="000000"/>
          <w:sz w:val="28"/>
        </w:rPr>
        <w:t>
      ___________________________________________________________________________</w:t>
      </w:r>
    </w:p>
    <w:bookmarkEnd w:id="4369"/>
    <w:bookmarkStart w:name="z4485" w:id="4370"/>
    <w:p>
      <w:pPr>
        <w:spacing w:after="0"/>
        <w:ind w:left="0"/>
        <w:jc w:val="both"/>
      </w:pPr>
      <w:r>
        <w:rPr>
          <w:rFonts w:ascii="Times New Roman"/>
          <w:b w:val="false"/>
          <w:i w:val="false"/>
          <w:color w:val="000000"/>
          <w:sz w:val="28"/>
        </w:rPr>
        <w:t>
      ___________________________________________________________________________</w:t>
      </w:r>
    </w:p>
    <w:bookmarkEnd w:id="4370"/>
    <w:bookmarkStart w:name="z4486" w:id="4371"/>
    <w:p>
      <w:pPr>
        <w:spacing w:after="0"/>
        <w:ind w:left="0"/>
        <w:jc w:val="both"/>
      </w:pPr>
      <w:r>
        <w:rPr>
          <w:rFonts w:ascii="Times New Roman"/>
          <w:b w:val="false"/>
          <w:i w:val="false"/>
          <w:color w:val="000000"/>
          <w:sz w:val="28"/>
        </w:rPr>
        <w:t>
      ___________________________________________________________________________</w:t>
      </w:r>
    </w:p>
    <w:bookmarkEnd w:id="4371"/>
    <w:bookmarkStart w:name="z4487" w:id="4372"/>
    <w:p>
      <w:pPr>
        <w:spacing w:after="0"/>
        <w:ind w:left="0"/>
        <w:jc w:val="both"/>
      </w:pPr>
      <w:r>
        <w:rPr>
          <w:rFonts w:ascii="Times New Roman"/>
          <w:b w:val="false"/>
          <w:i w:val="false"/>
          <w:color w:val="000000"/>
          <w:sz w:val="28"/>
        </w:rPr>
        <w:t>
       </w:t>
      </w:r>
    </w:p>
    <w:bookmarkEnd w:id="4372"/>
    <w:bookmarkStart w:name="z4488" w:id="4373"/>
    <w:p>
      <w:pPr>
        <w:spacing w:after="0"/>
        <w:ind w:left="0"/>
        <w:jc w:val="both"/>
      </w:pPr>
      <w:r>
        <w:rPr>
          <w:rFonts w:ascii="Times New Roman"/>
          <w:b w:val="false"/>
          <w:i w:val="false"/>
          <w:color w:val="000000"/>
          <w:sz w:val="28"/>
        </w:rPr>
        <w:t>
      S.2.2. Описание производственного процесса и его контроля (краткий обзор).</w:t>
      </w:r>
    </w:p>
    <w:bookmarkEnd w:id="4373"/>
    <w:bookmarkStart w:name="z4489" w:id="4374"/>
    <w:p>
      <w:pPr>
        <w:spacing w:after="0"/>
        <w:ind w:left="0"/>
        <w:jc w:val="both"/>
      </w:pPr>
      <w:r>
        <w:rPr>
          <w:rFonts w:ascii="Times New Roman"/>
          <w:b w:val="false"/>
          <w:i w:val="false"/>
          <w:color w:val="000000"/>
          <w:sz w:val="28"/>
        </w:rPr>
        <w:t>
       </w:t>
      </w:r>
    </w:p>
    <w:bookmarkEnd w:id="4374"/>
    <w:bookmarkStart w:name="z4490" w:id="4375"/>
    <w:p>
      <w:pPr>
        <w:spacing w:after="0"/>
        <w:ind w:left="0"/>
        <w:jc w:val="both"/>
      </w:pPr>
      <w:r>
        <w:rPr>
          <w:rFonts w:ascii="Times New Roman"/>
          <w:b w:val="false"/>
          <w:i w:val="false"/>
          <w:color w:val="000000"/>
          <w:sz w:val="28"/>
        </w:rPr>
        <w:t>
      ___________________________________________________________________________</w:t>
      </w:r>
    </w:p>
    <w:bookmarkEnd w:id="4375"/>
    <w:bookmarkStart w:name="z4491" w:id="4376"/>
    <w:p>
      <w:pPr>
        <w:spacing w:after="0"/>
        <w:ind w:left="0"/>
        <w:jc w:val="both"/>
      </w:pPr>
      <w:r>
        <w:rPr>
          <w:rFonts w:ascii="Times New Roman"/>
          <w:b w:val="false"/>
          <w:i w:val="false"/>
          <w:color w:val="000000"/>
          <w:sz w:val="28"/>
        </w:rPr>
        <w:t>
      ___________________________________________________________________________</w:t>
      </w:r>
    </w:p>
    <w:bookmarkEnd w:id="4376"/>
    <w:bookmarkStart w:name="z4492" w:id="4377"/>
    <w:p>
      <w:pPr>
        <w:spacing w:after="0"/>
        <w:ind w:left="0"/>
        <w:jc w:val="both"/>
      </w:pPr>
      <w:r>
        <w:rPr>
          <w:rFonts w:ascii="Times New Roman"/>
          <w:b w:val="false"/>
          <w:i w:val="false"/>
          <w:color w:val="000000"/>
          <w:sz w:val="28"/>
        </w:rPr>
        <w:t>
      ___________________________________________________________________________</w:t>
      </w:r>
    </w:p>
    <w:bookmarkEnd w:id="4377"/>
    <w:bookmarkStart w:name="z4493" w:id="4378"/>
    <w:p>
      <w:pPr>
        <w:spacing w:after="0"/>
        <w:ind w:left="0"/>
        <w:jc w:val="both"/>
      </w:pPr>
      <w:r>
        <w:rPr>
          <w:rFonts w:ascii="Times New Roman"/>
          <w:b w:val="false"/>
          <w:i w:val="false"/>
          <w:color w:val="000000"/>
          <w:sz w:val="28"/>
        </w:rPr>
        <w:t>
       </w:t>
      </w:r>
    </w:p>
    <w:bookmarkEnd w:id="4378"/>
    <w:bookmarkStart w:name="z4494" w:id="4379"/>
    <w:p>
      <w:pPr>
        <w:spacing w:after="0"/>
        <w:ind w:left="0"/>
        <w:jc w:val="both"/>
      </w:pPr>
      <w:r>
        <w:rPr>
          <w:rFonts w:ascii="Times New Roman"/>
          <w:b w:val="false"/>
          <w:i w:val="false"/>
          <w:color w:val="000000"/>
          <w:sz w:val="28"/>
        </w:rPr>
        <w:t>
      S.3. Описание характеристик.</w:t>
      </w:r>
    </w:p>
    <w:bookmarkEnd w:id="4379"/>
    <w:bookmarkStart w:name="z4495" w:id="4380"/>
    <w:p>
      <w:pPr>
        <w:spacing w:after="0"/>
        <w:ind w:left="0"/>
        <w:jc w:val="both"/>
      </w:pPr>
      <w:r>
        <w:rPr>
          <w:rFonts w:ascii="Times New Roman"/>
          <w:b w:val="false"/>
          <w:i w:val="false"/>
          <w:color w:val="000000"/>
          <w:sz w:val="28"/>
        </w:rPr>
        <w:t>
       </w:t>
      </w:r>
    </w:p>
    <w:bookmarkEnd w:id="4380"/>
    <w:bookmarkStart w:name="z4496" w:id="4381"/>
    <w:p>
      <w:pPr>
        <w:spacing w:after="0"/>
        <w:ind w:left="0"/>
        <w:jc w:val="both"/>
      </w:pPr>
      <w:r>
        <w:rPr>
          <w:rFonts w:ascii="Times New Roman"/>
          <w:b w:val="false"/>
          <w:i w:val="false"/>
          <w:color w:val="000000"/>
          <w:sz w:val="28"/>
        </w:rPr>
        <w:t>
      ___________________________________________________________________________</w:t>
      </w:r>
    </w:p>
    <w:bookmarkEnd w:id="4381"/>
    <w:bookmarkStart w:name="z4497" w:id="4382"/>
    <w:p>
      <w:pPr>
        <w:spacing w:after="0"/>
        <w:ind w:left="0"/>
        <w:jc w:val="both"/>
      </w:pPr>
      <w:r>
        <w:rPr>
          <w:rFonts w:ascii="Times New Roman"/>
          <w:b w:val="false"/>
          <w:i w:val="false"/>
          <w:color w:val="000000"/>
          <w:sz w:val="28"/>
        </w:rPr>
        <w:t>
      ___________________________________________________________________________</w:t>
      </w:r>
    </w:p>
    <w:bookmarkEnd w:id="4382"/>
    <w:bookmarkStart w:name="z4498" w:id="4383"/>
    <w:p>
      <w:pPr>
        <w:spacing w:after="0"/>
        <w:ind w:left="0"/>
        <w:jc w:val="both"/>
      </w:pPr>
      <w:r>
        <w:rPr>
          <w:rFonts w:ascii="Times New Roman"/>
          <w:b w:val="false"/>
          <w:i w:val="false"/>
          <w:color w:val="000000"/>
          <w:sz w:val="28"/>
        </w:rPr>
        <w:t>
      ___________________________________________________________________________</w:t>
      </w:r>
    </w:p>
    <w:bookmarkEnd w:id="4383"/>
    <w:bookmarkStart w:name="z4499" w:id="4384"/>
    <w:p>
      <w:pPr>
        <w:spacing w:after="0"/>
        <w:ind w:left="0"/>
        <w:jc w:val="both"/>
      </w:pPr>
      <w:r>
        <w:rPr>
          <w:rFonts w:ascii="Times New Roman"/>
          <w:b w:val="false"/>
          <w:i w:val="false"/>
          <w:color w:val="000000"/>
          <w:sz w:val="28"/>
        </w:rPr>
        <w:t>
       </w:t>
      </w:r>
    </w:p>
    <w:bookmarkEnd w:id="4384"/>
    <w:bookmarkStart w:name="z4500" w:id="4385"/>
    <w:p>
      <w:pPr>
        <w:spacing w:after="0"/>
        <w:ind w:left="0"/>
        <w:jc w:val="both"/>
      </w:pPr>
      <w:r>
        <w:rPr>
          <w:rFonts w:ascii="Times New Roman"/>
          <w:b w:val="false"/>
          <w:i w:val="false"/>
          <w:color w:val="000000"/>
          <w:sz w:val="28"/>
        </w:rPr>
        <w:t>
      S.3.1. Подтверждение структуры и других характеристик.</w:t>
      </w:r>
    </w:p>
    <w:bookmarkEnd w:id="4385"/>
    <w:bookmarkStart w:name="z4501" w:id="4386"/>
    <w:p>
      <w:pPr>
        <w:spacing w:after="0"/>
        <w:ind w:left="0"/>
        <w:jc w:val="both"/>
      </w:pPr>
      <w:r>
        <w:rPr>
          <w:rFonts w:ascii="Times New Roman"/>
          <w:b w:val="false"/>
          <w:i w:val="false"/>
          <w:color w:val="000000"/>
          <w:sz w:val="28"/>
        </w:rPr>
        <w:t>
       </w:t>
      </w:r>
    </w:p>
    <w:bookmarkEnd w:id="4386"/>
    <w:bookmarkStart w:name="z4502" w:id="4387"/>
    <w:p>
      <w:pPr>
        <w:spacing w:after="0"/>
        <w:ind w:left="0"/>
        <w:jc w:val="both"/>
      </w:pPr>
      <w:r>
        <w:rPr>
          <w:rFonts w:ascii="Times New Roman"/>
          <w:b w:val="false"/>
          <w:i w:val="false"/>
          <w:color w:val="000000"/>
          <w:sz w:val="28"/>
        </w:rPr>
        <w:t>
      ___________________________________________________________________________</w:t>
      </w:r>
    </w:p>
    <w:bookmarkEnd w:id="4387"/>
    <w:bookmarkStart w:name="z4503" w:id="4388"/>
    <w:p>
      <w:pPr>
        <w:spacing w:after="0"/>
        <w:ind w:left="0"/>
        <w:jc w:val="both"/>
      </w:pPr>
      <w:r>
        <w:rPr>
          <w:rFonts w:ascii="Times New Roman"/>
          <w:b w:val="false"/>
          <w:i w:val="false"/>
          <w:color w:val="000000"/>
          <w:sz w:val="28"/>
        </w:rPr>
        <w:t>
      ___________________________________________________________________________</w:t>
      </w:r>
    </w:p>
    <w:bookmarkEnd w:id="4388"/>
    <w:bookmarkStart w:name="z4504" w:id="4389"/>
    <w:p>
      <w:pPr>
        <w:spacing w:after="0"/>
        <w:ind w:left="0"/>
        <w:jc w:val="both"/>
      </w:pPr>
      <w:r>
        <w:rPr>
          <w:rFonts w:ascii="Times New Roman"/>
          <w:b w:val="false"/>
          <w:i w:val="false"/>
          <w:color w:val="000000"/>
          <w:sz w:val="28"/>
        </w:rPr>
        <w:t>
      ___________________________________________________________________________</w:t>
      </w:r>
    </w:p>
    <w:bookmarkEnd w:id="4389"/>
    <w:bookmarkStart w:name="z4505" w:id="4390"/>
    <w:p>
      <w:pPr>
        <w:spacing w:after="0"/>
        <w:ind w:left="0"/>
        <w:jc w:val="both"/>
      </w:pPr>
      <w:r>
        <w:rPr>
          <w:rFonts w:ascii="Times New Roman"/>
          <w:b w:val="false"/>
          <w:i w:val="false"/>
          <w:color w:val="000000"/>
          <w:sz w:val="28"/>
        </w:rPr>
        <w:t>
       </w:t>
      </w:r>
    </w:p>
    <w:bookmarkEnd w:id="4390"/>
    <w:bookmarkStart w:name="z4506" w:id="4391"/>
    <w:p>
      <w:pPr>
        <w:spacing w:after="0"/>
        <w:ind w:left="0"/>
        <w:jc w:val="both"/>
      </w:pPr>
      <w:r>
        <w:rPr>
          <w:rFonts w:ascii="Times New Roman"/>
          <w:b w:val="false"/>
          <w:i w:val="false"/>
          <w:color w:val="000000"/>
          <w:sz w:val="28"/>
        </w:rPr>
        <w:t>
      S.3.2. Примеси.</w:t>
      </w:r>
    </w:p>
    <w:bookmarkEnd w:id="4391"/>
    <w:bookmarkStart w:name="z4507" w:id="4392"/>
    <w:p>
      <w:pPr>
        <w:spacing w:after="0"/>
        <w:ind w:left="0"/>
        <w:jc w:val="both"/>
      </w:pPr>
      <w:r>
        <w:rPr>
          <w:rFonts w:ascii="Times New Roman"/>
          <w:b w:val="false"/>
          <w:i w:val="false"/>
          <w:color w:val="000000"/>
          <w:sz w:val="28"/>
        </w:rPr>
        <w:t>
       </w:t>
      </w:r>
    </w:p>
    <w:bookmarkEnd w:id="4392"/>
    <w:bookmarkStart w:name="z4508" w:id="4393"/>
    <w:p>
      <w:pPr>
        <w:spacing w:after="0"/>
        <w:ind w:left="0"/>
        <w:jc w:val="both"/>
      </w:pPr>
      <w:r>
        <w:rPr>
          <w:rFonts w:ascii="Times New Roman"/>
          <w:b w:val="false"/>
          <w:i w:val="false"/>
          <w:color w:val="000000"/>
          <w:sz w:val="28"/>
        </w:rPr>
        <w:t>
      ___________________________________________________________________________</w:t>
      </w:r>
    </w:p>
    <w:bookmarkEnd w:id="4393"/>
    <w:bookmarkStart w:name="z4509" w:id="4394"/>
    <w:p>
      <w:pPr>
        <w:spacing w:after="0"/>
        <w:ind w:left="0"/>
        <w:jc w:val="both"/>
      </w:pPr>
      <w:r>
        <w:rPr>
          <w:rFonts w:ascii="Times New Roman"/>
          <w:b w:val="false"/>
          <w:i w:val="false"/>
          <w:color w:val="000000"/>
          <w:sz w:val="28"/>
        </w:rPr>
        <w:t>
      ___________________________________________________________________________</w:t>
      </w:r>
    </w:p>
    <w:bookmarkEnd w:id="4394"/>
    <w:bookmarkStart w:name="z4510" w:id="4395"/>
    <w:p>
      <w:pPr>
        <w:spacing w:after="0"/>
        <w:ind w:left="0"/>
        <w:jc w:val="both"/>
      </w:pPr>
      <w:r>
        <w:rPr>
          <w:rFonts w:ascii="Times New Roman"/>
          <w:b w:val="false"/>
          <w:i w:val="false"/>
          <w:color w:val="000000"/>
          <w:sz w:val="28"/>
        </w:rPr>
        <w:t>
      ___________________________________________________________________________</w:t>
      </w:r>
    </w:p>
    <w:bookmarkEnd w:id="4395"/>
    <w:bookmarkStart w:name="z4511" w:id="4396"/>
    <w:p>
      <w:pPr>
        <w:spacing w:after="0"/>
        <w:ind w:left="0"/>
        <w:jc w:val="both"/>
      </w:pPr>
      <w:r>
        <w:rPr>
          <w:rFonts w:ascii="Times New Roman"/>
          <w:b w:val="false"/>
          <w:i w:val="false"/>
          <w:color w:val="000000"/>
          <w:sz w:val="28"/>
        </w:rPr>
        <w:t>
       </w:t>
      </w:r>
    </w:p>
    <w:bookmarkEnd w:id="4396"/>
    <w:bookmarkStart w:name="z4512" w:id="4397"/>
    <w:p>
      <w:pPr>
        <w:spacing w:after="0"/>
        <w:ind w:left="0"/>
        <w:jc w:val="both"/>
      </w:pPr>
      <w:r>
        <w:rPr>
          <w:rFonts w:ascii="Times New Roman"/>
          <w:b w:val="false"/>
          <w:i w:val="false"/>
          <w:color w:val="000000"/>
          <w:sz w:val="28"/>
        </w:rPr>
        <w:t>
      S.4. Контроль качества.</w:t>
      </w:r>
    </w:p>
    <w:bookmarkEnd w:id="4397"/>
    <w:bookmarkStart w:name="z4513" w:id="4398"/>
    <w:p>
      <w:pPr>
        <w:spacing w:after="0"/>
        <w:ind w:left="0"/>
        <w:jc w:val="both"/>
      </w:pPr>
      <w:r>
        <w:rPr>
          <w:rFonts w:ascii="Times New Roman"/>
          <w:b w:val="false"/>
          <w:i w:val="false"/>
          <w:color w:val="000000"/>
          <w:sz w:val="28"/>
        </w:rPr>
        <w:t>
      S.4.1. Спецификация.</w:t>
      </w:r>
    </w:p>
    <w:bookmarkEnd w:id="4398"/>
    <w:bookmarkStart w:name="z4514" w:id="4399"/>
    <w:p>
      <w:pPr>
        <w:spacing w:after="0"/>
        <w:ind w:left="0"/>
        <w:jc w:val="both"/>
      </w:pPr>
      <w:r>
        <w:rPr>
          <w:rFonts w:ascii="Times New Roman"/>
          <w:b w:val="false"/>
          <w:i w:val="false"/>
          <w:color w:val="000000"/>
          <w:sz w:val="28"/>
        </w:rPr>
        <w:t>
       </w:t>
      </w:r>
    </w:p>
    <w:bookmarkEnd w:id="4399"/>
    <w:bookmarkStart w:name="z4515" w:id="4400"/>
    <w:p>
      <w:pPr>
        <w:spacing w:after="0"/>
        <w:ind w:left="0"/>
        <w:jc w:val="both"/>
      </w:pPr>
      <w:r>
        <w:rPr>
          <w:rFonts w:ascii="Times New Roman"/>
          <w:b w:val="false"/>
          <w:i w:val="false"/>
          <w:color w:val="000000"/>
          <w:sz w:val="28"/>
        </w:rPr>
        <w:t>
      ___________________________________________________________________________</w:t>
      </w:r>
    </w:p>
    <w:bookmarkEnd w:id="4400"/>
    <w:bookmarkStart w:name="z4516" w:id="4401"/>
    <w:p>
      <w:pPr>
        <w:spacing w:after="0"/>
        <w:ind w:left="0"/>
        <w:jc w:val="both"/>
      </w:pPr>
      <w:r>
        <w:rPr>
          <w:rFonts w:ascii="Times New Roman"/>
          <w:b w:val="false"/>
          <w:i w:val="false"/>
          <w:color w:val="000000"/>
          <w:sz w:val="28"/>
        </w:rPr>
        <w:t>
      ___________________________________________________________________________</w:t>
      </w:r>
    </w:p>
    <w:bookmarkEnd w:id="4401"/>
    <w:bookmarkStart w:name="z4517" w:id="4402"/>
    <w:p>
      <w:pPr>
        <w:spacing w:after="0"/>
        <w:ind w:left="0"/>
        <w:jc w:val="both"/>
      </w:pPr>
      <w:r>
        <w:rPr>
          <w:rFonts w:ascii="Times New Roman"/>
          <w:b w:val="false"/>
          <w:i w:val="false"/>
          <w:color w:val="000000"/>
          <w:sz w:val="28"/>
        </w:rPr>
        <w:t>
      ___________________________________________________________________________</w:t>
      </w:r>
    </w:p>
    <w:bookmarkEnd w:id="4402"/>
    <w:bookmarkStart w:name="z4518" w:id="4403"/>
    <w:p>
      <w:pPr>
        <w:spacing w:after="0"/>
        <w:ind w:left="0"/>
        <w:jc w:val="both"/>
      </w:pPr>
      <w:r>
        <w:rPr>
          <w:rFonts w:ascii="Times New Roman"/>
          <w:b w:val="false"/>
          <w:i w:val="false"/>
          <w:color w:val="000000"/>
          <w:sz w:val="28"/>
        </w:rPr>
        <w:t>
       </w:t>
      </w:r>
    </w:p>
    <w:bookmarkEnd w:id="4403"/>
    <w:bookmarkStart w:name="z4519" w:id="4404"/>
    <w:p>
      <w:pPr>
        <w:spacing w:after="0"/>
        <w:ind w:left="0"/>
        <w:jc w:val="both"/>
      </w:pPr>
      <w:r>
        <w:rPr>
          <w:rFonts w:ascii="Times New Roman"/>
          <w:b w:val="false"/>
          <w:i w:val="false"/>
          <w:color w:val="000000"/>
          <w:sz w:val="28"/>
        </w:rPr>
        <w:t>
      S.4.2. Аналитические методики.</w:t>
      </w:r>
    </w:p>
    <w:bookmarkEnd w:id="4404"/>
    <w:bookmarkStart w:name="z4520" w:id="4405"/>
    <w:p>
      <w:pPr>
        <w:spacing w:after="0"/>
        <w:ind w:left="0"/>
        <w:jc w:val="both"/>
      </w:pPr>
      <w:r>
        <w:rPr>
          <w:rFonts w:ascii="Times New Roman"/>
          <w:b w:val="false"/>
          <w:i w:val="false"/>
          <w:color w:val="000000"/>
          <w:sz w:val="28"/>
        </w:rPr>
        <w:t>
       </w:t>
      </w:r>
    </w:p>
    <w:bookmarkEnd w:id="4405"/>
    <w:bookmarkStart w:name="z4521" w:id="4406"/>
    <w:p>
      <w:pPr>
        <w:spacing w:after="0"/>
        <w:ind w:left="0"/>
        <w:jc w:val="both"/>
      </w:pPr>
      <w:r>
        <w:rPr>
          <w:rFonts w:ascii="Times New Roman"/>
          <w:b w:val="false"/>
          <w:i w:val="false"/>
          <w:color w:val="000000"/>
          <w:sz w:val="28"/>
        </w:rPr>
        <w:t>
      ___________________________________________________________________________</w:t>
      </w:r>
    </w:p>
    <w:bookmarkEnd w:id="4406"/>
    <w:bookmarkStart w:name="z4522" w:id="4407"/>
    <w:p>
      <w:pPr>
        <w:spacing w:after="0"/>
        <w:ind w:left="0"/>
        <w:jc w:val="both"/>
      </w:pPr>
      <w:r>
        <w:rPr>
          <w:rFonts w:ascii="Times New Roman"/>
          <w:b w:val="false"/>
          <w:i w:val="false"/>
          <w:color w:val="000000"/>
          <w:sz w:val="28"/>
        </w:rPr>
        <w:t>
      ___________________________________________________________________________</w:t>
      </w:r>
    </w:p>
    <w:bookmarkEnd w:id="4407"/>
    <w:bookmarkStart w:name="z4523" w:id="4408"/>
    <w:p>
      <w:pPr>
        <w:spacing w:after="0"/>
        <w:ind w:left="0"/>
        <w:jc w:val="both"/>
      </w:pPr>
      <w:r>
        <w:rPr>
          <w:rFonts w:ascii="Times New Roman"/>
          <w:b w:val="false"/>
          <w:i w:val="false"/>
          <w:color w:val="000000"/>
          <w:sz w:val="28"/>
        </w:rPr>
        <w:t>
      ___________________________________________________________________________</w:t>
      </w:r>
    </w:p>
    <w:bookmarkEnd w:id="4408"/>
    <w:bookmarkStart w:name="z4524" w:id="4409"/>
    <w:p>
      <w:pPr>
        <w:spacing w:after="0"/>
        <w:ind w:left="0"/>
        <w:jc w:val="both"/>
      </w:pPr>
      <w:r>
        <w:rPr>
          <w:rFonts w:ascii="Times New Roman"/>
          <w:b w:val="false"/>
          <w:i w:val="false"/>
          <w:color w:val="000000"/>
          <w:sz w:val="28"/>
        </w:rPr>
        <w:t>
       </w:t>
      </w:r>
    </w:p>
    <w:bookmarkEnd w:id="4409"/>
    <w:bookmarkStart w:name="z4525" w:id="4410"/>
    <w:p>
      <w:pPr>
        <w:spacing w:after="0"/>
        <w:ind w:left="0"/>
        <w:jc w:val="both"/>
      </w:pPr>
      <w:r>
        <w:rPr>
          <w:rFonts w:ascii="Times New Roman"/>
          <w:b w:val="false"/>
          <w:i w:val="false"/>
          <w:color w:val="000000"/>
          <w:sz w:val="28"/>
        </w:rPr>
        <w:t>
      S.4.3. Валидация аналитических методик.</w:t>
      </w:r>
    </w:p>
    <w:bookmarkEnd w:id="4410"/>
    <w:bookmarkStart w:name="z4526" w:id="4411"/>
    <w:p>
      <w:pPr>
        <w:spacing w:after="0"/>
        <w:ind w:left="0"/>
        <w:jc w:val="both"/>
      </w:pPr>
      <w:r>
        <w:rPr>
          <w:rFonts w:ascii="Times New Roman"/>
          <w:b w:val="false"/>
          <w:i w:val="false"/>
          <w:color w:val="000000"/>
          <w:sz w:val="28"/>
        </w:rPr>
        <w:t>
       </w:t>
      </w:r>
    </w:p>
    <w:bookmarkEnd w:id="4411"/>
    <w:bookmarkStart w:name="z4527" w:id="4412"/>
    <w:p>
      <w:pPr>
        <w:spacing w:after="0"/>
        <w:ind w:left="0"/>
        <w:jc w:val="both"/>
      </w:pPr>
      <w:r>
        <w:rPr>
          <w:rFonts w:ascii="Times New Roman"/>
          <w:b w:val="false"/>
          <w:i w:val="false"/>
          <w:color w:val="000000"/>
          <w:sz w:val="28"/>
        </w:rPr>
        <w:t>
      ___________________________________________________________________________</w:t>
      </w:r>
    </w:p>
    <w:bookmarkEnd w:id="4412"/>
    <w:bookmarkStart w:name="z4528" w:id="4413"/>
    <w:p>
      <w:pPr>
        <w:spacing w:after="0"/>
        <w:ind w:left="0"/>
        <w:jc w:val="both"/>
      </w:pPr>
      <w:r>
        <w:rPr>
          <w:rFonts w:ascii="Times New Roman"/>
          <w:b w:val="false"/>
          <w:i w:val="false"/>
          <w:color w:val="000000"/>
          <w:sz w:val="28"/>
        </w:rPr>
        <w:t>
      ___________________________________________________________________________</w:t>
      </w:r>
    </w:p>
    <w:bookmarkEnd w:id="4413"/>
    <w:bookmarkStart w:name="z4529" w:id="4414"/>
    <w:p>
      <w:pPr>
        <w:spacing w:after="0"/>
        <w:ind w:left="0"/>
        <w:jc w:val="both"/>
      </w:pPr>
      <w:r>
        <w:rPr>
          <w:rFonts w:ascii="Times New Roman"/>
          <w:b w:val="false"/>
          <w:i w:val="false"/>
          <w:color w:val="000000"/>
          <w:sz w:val="28"/>
        </w:rPr>
        <w:t>
      ___________________________________________________________________________</w:t>
      </w:r>
    </w:p>
    <w:bookmarkEnd w:id="4414"/>
    <w:bookmarkStart w:name="z4530" w:id="4415"/>
    <w:p>
      <w:pPr>
        <w:spacing w:after="0"/>
        <w:ind w:left="0"/>
        <w:jc w:val="both"/>
      </w:pPr>
      <w:r>
        <w:rPr>
          <w:rFonts w:ascii="Times New Roman"/>
          <w:b w:val="false"/>
          <w:i w:val="false"/>
          <w:color w:val="000000"/>
          <w:sz w:val="28"/>
        </w:rPr>
        <w:t>
       </w:t>
      </w:r>
    </w:p>
    <w:bookmarkEnd w:id="4415"/>
    <w:bookmarkStart w:name="z4531" w:id="4416"/>
    <w:p>
      <w:pPr>
        <w:spacing w:after="0"/>
        <w:ind w:left="0"/>
        <w:jc w:val="both"/>
      </w:pPr>
      <w:r>
        <w:rPr>
          <w:rFonts w:ascii="Times New Roman"/>
          <w:b w:val="false"/>
          <w:i w:val="false"/>
          <w:color w:val="000000"/>
          <w:sz w:val="28"/>
        </w:rPr>
        <w:t>
      S.4.4. Анализы серий.</w:t>
      </w:r>
    </w:p>
    <w:bookmarkEnd w:id="4416"/>
    <w:bookmarkStart w:name="z4532" w:id="4417"/>
    <w:p>
      <w:pPr>
        <w:spacing w:after="0"/>
        <w:ind w:left="0"/>
        <w:jc w:val="both"/>
      </w:pPr>
      <w:r>
        <w:rPr>
          <w:rFonts w:ascii="Times New Roman"/>
          <w:b w:val="false"/>
          <w:i w:val="false"/>
          <w:color w:val="000000"/>
          <w:sz w:val="28"/>
        </w:rPr>
        <w:t>
       </w:t>
      </w:r>
    </w:p>
    <w:bookmarkEnd w:id="4417"/>
    <w:bookmarkStart w:name="z4533" w:id="4418"/>
    <w:p>
      <w:pPr>
        <w:spacing w:after="0"/>
        <w:ind w:left="0"/>
        <w:jc w:val="both"/>
      </w:pPr>
      <w:r>
        <w:rPr>
          <w:rFonts w:ascii="Times New Roman"/>
          <w:b w:val="false"/>
          <w:i w:val="false"/>
          <w:color w:val="000000"/>
          <w:sz w:val="28"/>
        </w:rPr>
        <w:t>
      ___________________________________________________________________________</w:t>
      </w:r>
    </w:p>
    <w:bookmarkEnd w:id="4418"/>
    <w:bookmarkStart w:name="z4534" w:id="4419"/>
    <w:p>
      <w:pPr>
        <w:spacing w:after="0"/>
        <w:ind w:left="0"/>
        <w:jc w:val="both"/>
      </w:pPr>
      <w:r>
        <w:rPr>
          <w:rFonts w:ascii="Times New Roman"/>
          <w:b w:val="false"/>
          <w:i w:val="false"/>
          <w:color w:val="000000"/>
          <w:sz w:val="28"/>
        </w:rPr>
        <w:t>
      ___________________________________________________________________________</w:t>
      </w:r>
    </w:p>
    <w:bookmarkEnd w:id="4419"/>
    <w:bookmarkStart w:name="z4535" w:id="4420"/>
    <w:p>
      <w:pPr>
        <w:spacing w:after="0"/>
        <w:ind w:left="0"/>
        <w:jc w:val="both"/>
      </w:pPr>
      <w:r>
        <w:rPr>
          <w:rFonts w:ascii="Times New Roman"/>
          <w:b w:val="false"/>
          <w:i w:val="false"/>
          <w:color w:val="000000"/>
          <w:sz w:val="28"/>
        </w:rPr>
        <w:t>
      ___________________________________________________________________________</w:t>
      </w:r>
    </w:p>
    <w:bookmarkEnd w:id="4420"/>
    <w:bookmarkStart w:name="z4536" w:id="4421"/>
    <w:p>
      <w:pPr>
        <w:spacing w:after="0"/>
        <w:ind w:left="0"/>
        <w:jc w:val="both"/>
      </w:pPr>
      <w:r>
        <w:rPr>
          <w:rFonts w:ascii="Times New Roman"/>
          <w:b w:val="false"/>
          <w:i w:val="false"/>
          <w:color w:val="000000"/>
          <w:sz w:val="28"/>
        </w:rPr>
        <w:t>
       </w:t>
      </w:r>
    </w:p>
    <w:bookmarkEnd w:id="4421"/>
    <w:bookmarkStart w:name="z4537" w:id="4422"/>
    <w:p>
      <w:pPr>
        <w:spacing w:after="0"/>
        <w:ind w:left="0"/>
        <w:jc w:val="both"/>
      </w:pPr>
      <w:r>
        <w:rPr>
          <w:rFonts w:ascii="Times New Roman"/>
          <w:b w:val="false"/>
          <w:i w:val="false"/>
          <w:color w:val="000000"/>
          <w:sz w:val="28"/>
        </w:rPr>
        <w:t>
      S.4.5. Обоснование спецификации.</w:t>
      </w:r>
    </w:p>
    <w:bookmarkEnd w:id="4422"/>
    <w:bookmarkStart w:name="z4538" w:id="4423"/>
    <w:p>
      <w:pPr>
        <w:spacing w:after="0"/>
        <w:ind w:left="0"/>
        <w:jc w:val="both"/>
      </w:pPr>
      <w:r>
        <w:rPr>
          <w:rFonts w:ascii="Times New Roman"/>
          <w:b w:val="false"/>
          <w:i w:val="false"/>
          <w:color w:val="000000"/>
          <w:sz w:val="28"/>
        </w:rPr>
        <w:t>
       </w:t>
      </w:r>
    </w:p>
    <w:bookmarkEnd w:id="4423"/>
    <w:bookmarkStart w:name="z4539" w:id="4424"/>
    <w:p>
      <w:pPr>
        <w:spacing w:after="0"/>
        <w:ind w:left="0"/>
        <w:jc w:val="both"/>
      </w:pPr>
      <w:r>
        <w:rPr>
          <w:rFonts w:ascii="Times New Roman"/>
          <w:b w:val="false"/>
          <w:i w:val="false"/>
          <w:color w:val="000000"/>
          <w:sz w:val="28"/>
        </w:rPr>
        <w:t>
      ___________________________________________________________________________</w:t>
      </w:r>
    </w:p>
    <w:bookmarkEnd w:id="4424"/>
    <w:bookmarkStart w:name="z4540" w:id="4425"/>
    <w:p>
      <w:pPr>
        <w:spacing w:after="0"/>
        <w:ind w:left="0"/>
        <w:jc w:val="both"/>
      </w:pPr>
      <w:r>
        <w:rPr>
          <w:rFonts w:ascii="Times New Roman"/>
          <w:b w:val="false"/>
          <w:i w:val="false"/>
          <w:color w:val="000000"/>
          <w:sz w:val="28"/>
        </w:rPr>
        <w:t>
      ___________________________________________________________________________</w:t>
      </w:r>
    </w:p>
    <w:bookmarkEnd w:id="4425"/>
    <w:bookmarkStart w:name="z4541" w:id="4426"/>
    <w:p>
      <w:pPr>
        <w:spacing w:after="0"/>
        <w:ind w:left="0"/>
        <w:jc w:val="both"/>
      </w:pPr>
      <w:r>
        <w:rPr>
          <w:rFonts w:ascii="Times New Roman"/>
          <w:b w:val="false"/>
          <w:i w:val="false"/>
          <w:color w:val="000000"/>
          <w:sz w:val="28"/>
        </w:rPr>
        <w:t>
      ___________________________________________________________________________</w:t>
      </w:r>
    </w:p>
    <w:bookmarkEnd w:id="4426"/>
    <w:bookmarkStart w:name="z4542" w:id="4427"/>
    <w:p>
      <w:pPr>
        <w:spacing w:after="0"/>
        <w:ind w:left="0"/>
        <w:jc w:val="both"/>
      </w:pPr>
      <w:r>
        <w:rPr>
          <w:rFonts w:ascii="Times New Roman"/>
          <w:b w:val="false"/>
          <w:i w:val="false"/>
          <w:color w:val="000000"/>
          <w:sz w:val="28"/>
        </w:rPr>
        <w:t>
       </w:t>
      </w:r>
    </w:p>
    <w:bookmarkEnd w:id="4427"/>
    <w:bookmarkStart w:name="z4543" w:id="4428"/>
    <w:p>
      <w:pPr>
        <w:spacing w:after="0"/>
        <w:ind w:left="0"/>
        <w:jc w:val="both"/>
      </w:pPr>
      <w:r>
        <w:rPr>
          <w:rFonts w:ascii="Times New Roman"/>
          <w:b w:val="false"/>
          <w:i w:val="false"/>
          <w:color w:val="000000"/>
          <w:sz w:val="28"/>
        </w:rPr>
        <w:t>
      S.5. Стандартные образцы или материалы.</w:t>
      </w:r>
    </w:p>
    <w:bookmarkEnd w:id="4428"/>
    <w:bookmarkStart w:name="z4544" w:id="4429"/>
    <w:p>
      <w:pPr>
        <w:spacing w:after="0"/>
        <w:ind w:left="0"/>
        <w:jc w:val="both"/>
      </w:pPr>
      <w:r>
        <w:rPr>
          <w:rFonts w:ascii="Times New Roman"/>
          <w:b w:val="false"/>
          <w:i w:val="false"/>
          <w:color w:val="000000"/>
          <w:sz w:val="28"/>
        </w:rPr>
        <w:t>
       </w:t>
      </w:r>
    </w:p>
    <w:bookmarkEnd w:id="4429"/>
    <w:bookmarkStart w:name="z4545" w:id="4430"/>
    <w:p>
      <w:pPr>
        <w:spacing w:after="0"/>
        <w:ind w:left="0"/>
        <w:jc w:val="both"/>
      </w:pPr>
      <w:r>
        <w:rPr>
          <w:rFonts w:ascii="Times New Roman"/>
          <w:b w:val="false"/>
          <w:i w:val="false"/>
          <w:color w:val="000000"/>
          <w:sz w:val="28"/>
        </w:rPr>
        <w:t>
      ___________________________________________________________________________</w:t>
      </w:r>
    </w:p>
    <w:bookmarkEnd w:id="4430"/>
    <w:bookmarkStart w:name="z4546" w:id="4431"/>
    <w:p>
      <w:pPr>
        <w:spacing w:after="0"/>
        <w:ind w:left="0"/>
        <w:jc w:val="both"/>
      </w:pPr>
      <w:r>
        <w:rPr>
          <w:rFonts w:ascii="Times New Roman"/>
          <w:b w:val="false"/>
          <w:i w:val="false"/>
          <w:color w:val="000000"/>
          <w:sz w:val="28"/>
        </w:rPr>
        <w:t>
      ___________________________________________________________________________</w:t>
      </w:r>
    </w:p>
    <w:bookmarkEnd w:id="4431"/>
    <w:bookmarkStart w:name="z4547" w:id="4432"/>
    <w:p>
      <w:pPr>
        <w:spacing w:after="0"/>
        <w:ind w:left="0"/>
        <w:jc w:val="both"/>
      </w:pPr>
      <w:r>
        <w:rPr>
          <w:rFonts w:ascii="Times New Roman"/>
          <w:b w:val="false"/>
          <w:i w:val="false"/>
          <w:color w:val="000000"/>
          <w:sz w:val="28"/>
        </w:rPr>
        <w:t>
      ___________________________________________________________________________</w:t>
      </w:r>
    </w:p>
    <w:bookmarkEnd w:id="4432"/>
    <w:bookmarkStart w:name="z4548" w:id="4433"/>
    <w:p>
      <w:pPr>
        <w:spacing w:after="0"/>
        <w:ind w:left="0"/>
        <w:jc w:val="both"/>
      </w:pPr>
      <w:r>
        <w:rPr>
          <w:rFonts w:ascii="Times New Roman"/>
          <w:b w:val="false"/>
          <w:i w:val="false"/>
          <w:color w:val="000000"/>
          <w:sz w:val="28"/>
        </w:rPr>
        <w:t>
       </w:t>
      </w:r>
    </w:p>
    <w:bookmarkEnd w:id="4433"/>
    <w:bookmarkStart w:name="z4549" w:id="4434"/>
    <w:p>
      <w:pPr>
        <w:spacing w:after="0"/>
        <w:ind w:left="0"/>
        <w:jc w:val="both"/>
      </w:pPr>
      <w:r>
        <w:rPr>
          <w:rFonts w:ascii="Times New Roman"/>
          <w:b w:val="false"/>
          <w:i w:val="false"/>
          <w:color w:val="000000"/>
          <w:sz w:val="28"/>
        </w:rPr>
        <w:t>
      S.6. Система упаковки (укупорки).</w:t>
      </w:r>
    </w:p>
    <w:bookmarkEnd w:id="4434"/>
    <w:bookmarkStart w:name="z4550" w:id="4435"/>
    <w:p>
      <w:pPr>
        <w:spacing w:after="0"/>
        <w:ind w:left="0"/>
        <w:jc w:val="both"/>
      </w:pPr>
      <w:r>
        <w:rPr>
          <w:rFonts w:ascii="Times New Roman"/>
          <w:b w:val="false"/>
          <w:i w:val="false"/>
          <w:color w:val="000000"/>
          <w:sz w:val="28"/>
        </w:rPr>
        <w:t>
       </w:t>
      </w:r>
    </w:p>
    <w:bookmarkEnd w:id="4435"/>
    <w:bookmarkStart w:name="z4551" w:id="4436"/>
    <w:p>
      <w:pPr>
        <w:spacing w:after="0"/>
        <w:ind w:left="0"/>
        <w:jc w:val="both"/>
      </w:pPr>
      <w:r>
        <w:rPr>
          <w:rFonts w:ascii="Times New Roman"/>
          <w:b w:val="false"/>
          <w:i w:val="false"/>
          <w:color w:val="000000"/>
          <w:sz w:val="28"/>
        </w:rPr>
        <w:t>
      ___________________________________________________________________________</w:t>
      </w:r>
    </w:p>
    <w:bookmarkEnd w:id="4436"/>
    <w:bookmarkStart w:name="z4552" w:id="4437"/>
    <w:p>
      <w:pPr>
        <w:spacing w:after="0"/>
        <w:ind w:left="0"/>
        <w:jc w:val="both"/>
      </w:pPr>
      <w:r>
        <w:rPr>
          <w:rFonts w:ascii="Times New Roman"/>
          <w:b w:val="false"/>
          <w:i w:val="false"/>
          <w:color w:val="000000"/>
          <w:sz w:val="28"/>
        </w:rPr>
        <w:t>
      ___________________________________________________________________________</w:t>
      </w:r>
    </w:p>
    <w:bookmarkEnd w:id="4437"/>
    <w:bookmarkStart w:name="z4553" w:id="4438"/>
    <w:p>
      <w:pPr>
        <w:spacing w:after="0"/>
        <w:ind w:left="0"/>
        <w:jc w:val="both"/>
      </w:pPr>
      <w:r>
        <w:rPr>
          <w:rFonts w:ascii="Times New Roman"/>
          <w:b w:val="false"/>
          <w:i w:val="false"/>
          <w:color w:val="000000"/>
          <w:sz w:val="28"/>
        </w:rPr>
        <w:t>
      ___________________________________________________________________________</w:t>
      </w:r>
    </w:p>
    <w:bookmarkEnd w:id="4438"/>
    <w:bookmarkStart w:name="z4554" w:id="4439"/>
    <w:p>
      <w:pPr>
        <w:spacing w:after="0"/>
        <w:ind w:left="0"/>
        <w:jc w:val="both"/>
      </w:pPr>
      <w:r>
        <w:rPr>
          <w:rFonts w:ascii="Times New Roman"/>
          <w:b w:val="false"/>
          <w:i w:val="false"/>
          <w:color w:val="000000"/>
          <w:sz w:val="28"/>
        </w:rPr>
        <w:t>
       </w:t>
      </w:r>
    </w:p>
    <w:bookmarkEnd w:id="4439"/>
    <w:bookmarkStart w:name="z4555" w:id="4440"/>
    <w:p>
      <w:pPr>
        <w:spacing w:after="0"/>
        <w:ind w:left="0"/>
        <w:jc w:val="both"/>
      </w:pPr>
      <w:r>
        <w:rPr>
          <w:rFonts w:ascii="Times New Roman"/>
          <w:b w:val="false"/>
          <w:i w:val="false"/>
          <w:color w:val="000000"/>
          <w:sz w:val="28"/>
        </w:rPr>
        <w:t>
      S.7. Стабильность.</w:t>
      </w:r>
    </w:p>
    <w:bookmarkEnd w:id="4440"/>
    <w:bookmarkStart w:name="z4556" w:id="4441"/>
    <w:p>
      <w:pPr>
        <w:spacing w:after="0"/>
        <w:ind w:left="0"/>
        <w:jc w:val="both"/>
      </w:pPr>
      <w:r>
        <w:rPr>
          <w:rFonts w:ascii="Times New Roman"/>
          <w:b w:val="false"/>
          <w:i w:val="false"/>
          <w:color w:val="000000"/>
          <w:sz w:val="28"/>
        </w:rPr>
        <w:t>
      S.7.1. Резюме об испытаниях стабильности и заключение о стабильности.</w:t>
      </w:r>
    </w:p>
    <w:bookmarkEnd w:id="4441"/>
    <w:bookmarkStart w:name="z4557" w:id="4442"/>
    <w:p>
      <w:pPr>
        <w:spacing w:after="0"/>
        <w:ind w:left="0"/>
        <w:jc w:val="both"/>
      </w:pPr>
      <w:r>
        <w:rPr>
          <w:rFonts w:ascii="Times New Roman"/>
          <w:b w:val="false"/>
          <w:i w:val="false"/>
          <w:color w:val="000000"/>
          <w:sz w:val="28"/>
        </w:rPr>
        <w:t>
       </w:t>
      </w:r>
    </w:p>
    <w:bookmarkEnd w:id="4442"/>
    <w:bookmarkStart w:name="z4558" w:id="4443"/>
    <w:p>
      <w:pPr>
        <w:spacing w:after="0"/>
        <w:ind w:left="0"/>
        <w:jc w:val="both"/>
      </w:pPr>
      <w:r>
        <w:rPr>
          <w:rFonts w:ascii="Times New Roman"/>
          <w:b w:val="false"/>
          <w:i w:val="false"/>
          <w:color w:val="000000"/>
          <w:sz w:val="28"/>
        </w:rPr>
        <w:t>
      ___________________________________________________________________________</w:t>
      </w:r>
    </w:p>
    <w:bookmarkEnd w:id="4443"/>
    <w:bookmarkStart w:name="z4559" w:id="4444"/>
    <w:p>
      <w:pPr>
        <w:spacing w:after="0"/>
        <w:ind w:left="0"/>
        <w:jc w:val="both"/>
      </w:pPr>
      <w:r>
        <w:rPr>
          <w:rFonts w:ascii="Times New Roman"/>
          <w:b w:val="false"/>
          <w:i w:val="false"/>
          <w:color w:val="000000"/>
          <w:sz w:val="28"/>
        </w:rPr>
        <w:t>
      ___________________________________________________________________________</w:t>
      </w:r>
    </w:p>
    <w:bookmarkEnd w:id="4444"/>
    <w:bookmarkStart w:name="z4560" w:id="4445"/>
    <w:p>
      <w:pPr>
        <w:spacing w:after="0"/>
        <w:ind w:left="0"/>
        <w:jc w:val="both"/>
      </w:pPr>
      <w:r>
        <w:rPr>
          <w:rFonts w:ascii="Times New Roman"/>
          <w:b w:val="false"/>
          <w:i w:val="false"/>
          <w:color w:val="000000"/>
          <w:sz w:val="28"/>
        </w:rPr>
        <w:t>
      ___________________________________________________________________________</w:t>
      </w:r>
    </w:p>
    <w:bookmarkEnd w:id="4445"/>
    <w:bookmarkStart w:name="z4561" w:id="4446"/>
    <w:p>
      <w:pPr>
        <w:spacing w:after="0"/>
        <w:ind w:left="0"/>
        <w:jc w:val="both"/>
      </w:pPr>
      <w:r>
        <w:rPr>
          <w:rFonts w:ascii="Times New Roman"/>
          <w:b w:val="false"/>
          <w:i w:val="false"/>
          <w:color w:val="000000"/>
          <w:sz w:val="28"/>
        </w:rPr>
        <w:t>
       </w:t>
      </w:r>
    </w:p>
    <w:bookmarkEnd w:id="4446"/>
    <w:bookmarkStart w:name="z4562" w:id="4447"/>
    <w:p>
      <w:pPr>
        <w:spacing w:after="0"/>
        <w:ind w:left="0"/>
        <w:jc w:val="both"/>
      </w:pPr>
      <w:r>
        <w:rPr>
          <w:rFonts w:ascii="Times New Roman"/>
          <w:b w:val="false"/>
          <w:i w:val="false"/>
          <w:color w:val="000000"/>
          <w:sz w:val="28"/>
        </w:rPr>
        <w:t>
      S.7.2. Программа пострегистрационных испытаний стабильности и обязательства относительно стабильности.</w:t>
      </w:r>
    </w:p>
    <w:bookmarkEnd w:id="4447"/>
    <w:bookmarkStart w:name="z4563" w:id="4448"/>
    <w:p>
      <w:pPr>
        <w:spacing w:after="0"/>
        <w:ind w:left="0"/>
        <w:jc w:val="both"/>
      </w:pPr>
      <w:r>
        <w:rPr>
          <w:rFonts w:ascii="Times New Roman"/>
          <w:b w:val="false"/>
          <w:i w:val="false"/>
          <w:color w:val="000000"/>
          <w:sz w:val="28"/>
        </w:rPr>
        <w:t>
       </w:t>
      </w:r>
    </w:p>
    <w:bookmarkEnd w:id="4448"/>
    <w:bookmarkStart w:name="z4564" w:id="4449"/>
    <w:p>
      <w:pPr>
        <w:spacing w:after="0"/>
        <w:ind w:left="0"/>
        <w:jc w:val="both"/>
      </w:pPr>
      <w:r>
        <w:rPr>
          <w:rFonts w:ascii="Times New Roman"/>
          <w:b w:val="false"/>
          <w:i w:val="false"/>
          <w:color w:val="000000"/>
          <w:sz w:val="28"/>
        </w:rPr>
        <w:t>
      ___________________________________________________________________________</w:t>
      </w:r>
    </w:p>
    <w:bookmarkEnd w:id="4449"/>
    <w:bookmarkStart w:name="z4565" w:id="4450"/>
    <w:p>
      <w:pPr>
        <w:spacing w:after="0"/>
        <w:ind w:left="0"/>
        <w:jc w:val="both"/>
      </w:pPr>
      <w:r>
        <w:rPr>
          <w:rFonts w:ascii="Times New Roman"/>
          <w:b w:val="false"/>
          <w:i w:val="false"/>
          <w:color w:val="000000"/>
          <w:sz w:val="28"/>
        </w:rPr>
        <w:t>
      ___________________________________________________________________________</w:t>
      </w:r>
    </w:p>
    <w:bookmarkEnd w:id="4450"/>
    <w:bookmarkStart w:name="z4566" w:id="4451"/>
    <w:p>
      <w:pPr>
        <w:spacing w:after="0"/>
        <w:ind w:left="0"/>
        <w:jc w:val="both"/>
      </w:pPr>
      <w:r>
        <w:rPr>
          <w:rFonts w:ascii="Times New Roman"/>
          <w:b w:val="false"/>
          <w:i w:val="false"/>
          <w:color w:val="000000"/>
          <w:sz w:val="28"/>
        </w:rPr>
        <w:t>
      ___________________________________________________________________________</w:t>
      </w:r>
    </w:p>
    <w:bookmarkEnd w:id="4451"/>
    <w:bookmarkStart w:name="z4567" w:id="4452"/>
    <w:p>
      <w:pPr>
        <w:spacing w:after="0"/>
        <w:ind w:left="0"/>
        <w:jc w:val="both"/>
      </w:pPr>
      <w:r>
        <w:rPr>
          <w:rFonts w:ascii="Times New Roman"/>
          <w:b w:val="false"/>
          <w:i w:val="false"/>
          <w:color w:val="000000"/>
          <w:sz w:val="28"/>
        </w:rPr>
        <w:t>
       </w:t>
      </w:r>
    </w:p>
    <w:bookmarkEnd w:id="4452"/>
    <w:bookmarkStart w:name="z4568" w:id="4453"/>
    <w:p>
      <w:pPr>
        <w:spacing w:after="0"/>
        <w:ind w:left="0"/>
        <w:jc w:val="both"/>
      </w:pPr>
      <w:r>
        <w:rPr>
          <w:rFonts w:ascii="Times New Roman"/>
          <w:b w:val="false"/>
          <w:i w:val="false"/>
          <w:color w:val="000000"/>
          <w:sz w:val="28"/>
        </w:rPr>
        <w:t>
      S.7.3. Данные испытаний о стабильности.</w:t>
      </w:r>
    </w:p>
    <w:bookmarkEnd w:id="4453"/>
    <w:bookmarkStart w:name="z4569" w:id="4454"/>
    <w:p>
      <w:pPr>
        <w:spacing w:after="0"/>
        <w:ind w:left="0"/>
        <w:jc w:val="both"/>
      </w:pPr>
      <w:r>
        <w:rPr>
          <w:rFonts w:ascii="Times New Roman"/>
          <w:b w:val="false"/>
          <w:i w:val="false"/>
          <w:color w:val="000000"/>
          <w:sz w:val="28"/>
        </w:rPr>
        <w:t>
       </w:t>
      </w:r>
    </w:p>
    <w:bookmarkEnd w:id="4454"/>
    <w:bookmarkStart w:name="z4570" w:id="4455"/>
    <w:p>
      <w:pPr>
        <w:spacing w:after="0"/>
        <w:ind w:left="0"/>
        <w:jc w:val="both"/>
      </w:pPr>
      <w:r>
        <w:rPr>
          <w:rFonts w:ascii="Times New Roman"/>
          <w:b w:val="false"/>
          <w:i w:val="false"/>
          <w:color w:val="000000"/>
          <w:sz w:val="28"/>
        </w:rPr>
        <w:t>
      ___________________________________________________________________________</w:t>
      </w:r>
    </w:p>
    <w:bookmarkEnd w:id="4455"/>
    <w:bookmarkStart w:name="z4571" w:id="4456"/>
    <w:p>
      <w:pPr>
        <w:spacing w:after="0"/>
        <w:ind w:left="0"/>
        <w:jc w:val="both"/>
      </w:pPr>
      <w:r>
        <w:rPr>
          <w:rFonts w:ascii="Times New Roman"/>
          <w:b w:val="false"/>
          <w:i w:val="false"/>
          <w:color w:val="000000"/>
          <w:sz w:val="28"/>
        </w:rPr>
        <w:t>
      ___________________________________________________________________________</w:t>
      </w:r>
    </w:p>
    <w:bookmarkEnd w:id="4456"/>
    <w:bookmarkStart w:name="z4572" w:id="4457"/>
    <w:p>
      <w:pPr>
        <w:spacing w:after="0"/>
        <w:ind w:left="0"/>
        <w:jc w:val="both"/>
      </w:pPr>
      <w:r>
        <w:rPr>
          <w:rFonts w:ascii="Times New Roman"/>
          <w:b w:val="false"/>
          <w:i w:val="false"/>
          <w:color w:val="000000"/>
          <w:sz w:val="28"/>
        </w:rPr>
        <w:t>
      ___________________________________________________________________________</w:t>
      </w:r>
    </w:p>
    <w:bookmarkEnd w:id="4457"/>
    <w:bookmarkStart w:name="z4573" w:id="4458"/>
    <w:p>
      <w:pPr>
        <w:spacing w:after="0"/>
        <w:ind w:left="0"/>
        <w:jc w:val="left"/>
      </w:pPr>
      <w:r>
        <w:rPr>
          <w:rFonts w:ascii="Times New Roman"/>
          <w:b/>
          <w:i w:val="false"/>
          <w:color w:val="000000"/>
        </w:rPr>
        <w:t xml:space="preserve"> ОБЩЕЕ ЗАКЛЮЧЕНИЕ по части МФАФС заявителя</w:t>
      </w:r>
    </w:p>
    <w:bookmarkEnd w:id="4458"/>
    <w:bookmarkStart w:name="z4574" w:id="4459"/>
    <w:p>
      <w:pPr>
        <w:spacing w:after="0"/>
        <w:ind w:left="0"/>
        <w:jc w:val="both"/>
      </w:pPr>
      <w:r>
        <w:rPr>
          <w:rFonts w:ascii="Times New Roman"/>
          <w:b w:val="false"/>
          <w:i w:val="false"/>
          <w:color w:val="000000"/>
          <w:sz w:val="28"/>
        </w:rPr>
        <w:t>
      ___________________________________________________________________________</w:t>
      </w:r>
    </w:p>
    <w:bookmarkEnd w:id="4459"/>
    <w:bookmarkStart w:name="z4575" w:id="4460"/>
    <w:p>
      <w:pPr>
        <w:spacing w:after="0"/>
        <w:ind w:left="0"/>
        <w:jc w:val="both"/>
      </w:pPr>
      <w:r>
        <w:rPr>
          <w:rFonts w:ascii="Times New Roman"/>
          <w:b w:val="false"/>
          <w:i w:val="false"/>
          <w:color w:val="000000"/>
          <w:sz w:val="28"/>
        </w:rPr>
        <w:t>
      ___________________________________________________________________________</w:t>
      </w:r>
    </w:p>
    <w:bookmarkEnd w:id="4460"/>
    <w:bookmarkStart w:name="z4576" w:id="4461"/>
    <w:p>
      <w:pPr>
        <w:spacing w:after="0"/>
        <w:ind w:left="0"/>
        <w:jc w:val="both"/>
      </w:pPr>
      <w:r>
        <w:rPr>
          <w:rFonts w:ascii="Times New Roman"/>
          <w:b w:val="false"/>
          <w:i w:val="false"/>
          <w:color w:val="000000"/>
          <w:sz w:val="28"/>
        </w:rPr>
        <w:t>
      ___________________________________________________________________________</w:t>
      </w:r>
    </w:p>
    <w:bookmarkEnd w:id="4461"/>
    <w:bookmarkStart w:name="z4577" w:id="4462"/>
    <w:p>
      <w:pPr>
        <w:spacing w:after="0"/>
        <w:ind w:left="0"/>
        <w:jc w:val="both"/>
      </w:pPr>
      <w:r>
        <w:rPr>
          <w:rFonts w:ascii="Times New Roman"/>
          <w:b w:val="false"/>
          <w:i w:val="false"/>
          <w:color w:val="000000"/>
          <w:sz w:val="28"/>
        </w:rPr>
        <w:t>
       </w:t>
      </w:r>
    </w:p>
    <w:bookmarkEnd w:id="4462"/>
    <w:bookmarkStart w:name="z4578" w:id="4463"/>
    <w:p>
      <w:pPr>
        <w:spacing w:after="0"/>
        <w:ind w:left="0"/>
        <w:jc w:val="left"/>
      </w:pPr>
      <w:r>
        <w:rPr>
          <w:rFonts w:ascii="Times New Roman"/>
          <w:b/>
          <w:i w:val="false"/>
          <w:color w:val="000000"/>
        </w:rPr>
        <w:t xml:space="preserve"> ПЕРЕЧЕНЬ ЗАМЕЧАНИЙ к части МФАФС заявителя </w:t>
      </w:r>
    </w:p>
    <w:bookmarkEnd w:id="4463"/>
    <w:bookmarkStart w:name="z4579" w:id="4464"/>
    <w:p>
      <w:pPr>
        <w:spacing w:after="0"/>
        <w:ind w:left="0"/>
        <w:jc w:val="both"/>
      </w:pPr>
      <w:r>
        <w:rPr>
          <w:rFonts w:ascii="Times New Roman"/>
          <w:b w:val="false"/>
          <w:i w:val="false"/>
          <w:color w:val="000000"/>
          <w:sz w:val="28"/>
        </w:rPr>
        <w:t>
       </w:t>
      </w:r>
    </w:p>
    <w:bookmarkEnd w:id="4464"/>
    <w:bookmarkStart w:name="z4580" w:id="4465"/>
    <w:p>
      <w:pPr>
        <w:spacing w:after="0"/>
        <w:ind w:left="0"/>
        <w:jc w:val="both"/>
      </w:pPr>
      <w:r>
        <w:rPr>
          <w:rFonts w:ascii="Times New Roman"/>
          <w:b w:val="false"/>
          <w:i w:val="false"/>
          <w:color w:val="000000"/>
          <w:sz w:val="28"/>
        </w:rPr>
        <w:t>
      Критические замечания:</w:t>
      </w:r>
    </w:p>
    <w:bookmarkEnd w:id="4465"/>
    <w:bookmarkStart w:name="z4581" w:id="4466"/>
    <w:p>
      <w:pPr>
        <w:spacing w:after="0"/>
        <w:ind w:left="0"/>
        <w:jc w:val="both"/>
      </w:pPr>
      <w:r>
        <w:rPr>
          <w:rFonts w:ascii="Times New Roman"/>
          <w:b w:val="false"/>
          <w:i w:val="false"/>
          <w:color w:val="000000"/>
          <w:sz w:val="28"/>
        </w:rPr>
        <w:t>
       </w:t>
      </w:r>
    </w:p>
    <w:bookmarkEnd w:id="4466"/>
    <w:bookmarkStart w:name="z4582" w:id="4467"/>
    <w:p>
      <w:pPr>
        <w:spacing w:after="0"/>
        <w:ind w:left="0"/>
        <w:jc w:val="both"/>
      </w:pPr>
      <w:r>
        <w:rPr>
          <w:rFonts w:ascii="Times New Roman"/>
          <w:b w:val="false"/>
          <w:i w:val="false"/>
          <w:color w:val="000000"/>
          <w:sz w:val="28"/>
        </w:rPr>
        <w:t>
      ___________________________________________________________________________</w:t>
      </w:r>
    </w:p>
    <w:bookmarkEnd w:id="4467"/>
    <w:bookmarkStart w:name="z4583" w:id="4468"/>
    <w:p>
      <w:pPr>
        <w:spacing w:after="0"/>
        <w:ind w:left="0"/>
        <w:jc w:val="both"/>
      </w:pPr>
      <w:r>
        <w:rPr>
          <w:rFonts w:ascii="Times New Roman"/>
          <w:b w:val="false"/>
          <w:i w:val="false"/>
          <w:color w:val="000000"/>
          <w:sz w:val="28"/>
        </w:rPr>
        <w:t>
      ___________________________________________________________________________</w:t>
      </w:r>
    </w:p>
    <w:bookmarkEnd w:id="4468"/>
    <w:bookmarkStart w:name="z4584" w:id="4469"/>
    <w:p>
      <w:pPr>
        <w:spacing w:after="0"/>
        <w:ind w:left="0"/>
        <w:jc w:val="both"/>
      </w:pPr>
      <w:r>
        <w:rPr>
          <w:rFonts w:ascii="Times New Roman"/>
          <w:b w:val="false"/>
          <w:i w:val="false"/>
          <w:color w:val="000000"/>
          <w:sz w:val="28"/>
        </w:rPr>
        <w:t>
      ___________________________________________________________________________</w:t>
      </w:r>
    </w:p>
    <w:bookmarkEnd w:id="4469"/>
    <w:bookmarkStart w:name="z4585" w:id="4470"/>
    <w:p>
      <w:pPr>
        <w:spacing w:after="0"/>
        <w:ind w:left="0"/>
        <w:jc w:val="both"/>
      </w:pPr>
      <w:r>
        <w:rPr>
          <w:rFonts w:ascii="Times New Roman"/>
          <w:b w:val="false"/>
          <w:i w:val="false"/>
          <w:color w:val="000000"/>
          <w:sz w:val="28"/>
        </w:rPr>
        <w:t>
       </w:t>
      </w:r>
    </w:p>
    <w:bookmarkEnd w:id="4470"/>
    <w:bookmarkStart w:name="z4586" w:id="4471"/>
    <w:p>
      <w:pPr>
        <w:spacing w:after="0"/>
        <w:ind w:left="0"/>
        <w:jc w:val="both"/>
      </w:pPr>
      <w:r>
        <w:rPr>
          <w:rFonts w:ascii="Times New Roman"/>
          <w:b w:val="false"/>
          <w:i w:val="false"/>
          <w:color w:val="000000"/>
          <w:sz w:val="28"/>
        </w:rPr>
        <w:t>
      Прочие замечания:</w:t>
      </w:r>
    </w:p>
    <w:bookmarkEnd w:id="4471"/>
    <w:bookmarkStart w:name="z4587" w:id="4472"/>
    <w:p>
      <w:pPr>
        <w:spacing w:after="0"/>
        <w:ind w:left="0"/>
        <w:jc w:val="both"/>
      </w:pPr>
      <w:r>
        <w:rPr>
          <w:rFonts w:ascii="Times New Roman"/>
          <w:b w:val="false"/>
          <w:i w:val="false"/>
          <w:color w:val="000000"/>
          <w:sz w:val="28"/>
        </w:rPr>
        <w:t>
       </w:t>
      </w:r>
    </w:p>
    <w:bookmarkEnd w:id="4472"/>
    <w:bookmarkStart w:name="z4588" w:id="4473"/>
    <w:p>
      <w:pPr>
        <w:spacing w:after="0"/>
        <w:ind w:left="0"/>
        <w:jc w:val="both"/>
      </w:pPr>
      <w:r>
        <w:rPr>
          <w:rFonts w:ascii="Times New Roman"/>
          <w:b w:val="false"/>
          <w:i w:val="false"/>
          <w:color w:val="000000"/>
          <w:sz w:val="28"/>
        </w:rPr>
        <w:t>
      ___________________________________________________________________________</w:t>
      </w:r>
    </w:p>
    <w:bookmarkEnd w:id="4473"/>
    <w:bookmarkStart w:name="z4589" w:id="4474"/>
    <w:p>
      <w:pPr>
        <w:spacing w:after="0"/>
        <w:ind w:left="0"/>
        <w:jc w:val="both"/>
      </w:pPr>
      <w:r>
        <w:rPr>
          <w:rFonts w:ascii="Times New Roman"/>
          <w:b w:val="false"/>
          <w:i w:val="false"/>
          <w:color w:val="000000"/>
          <w:sz w:val="28"/>
        </w:rPr>
        <w:t>
      ___________________________________________________________________________</w:t>
      </w:r>
    </w:p>
    <w:bookmarkEnd w:id="4474"/>
    <w:bookmarkStart w:name="z4590" w:id="4475"/>
    <w:p>
      <w:pPr>
        <w:spacing w:after="0"/>
        <w:ind w:left="0"/>
        <w:jc w:val="both"/>
      </w:pPr>
      <w:r>
        <w:rPr>
          <w:rFonts w:ascii="Times New Roman"/>
          <w:b w:val="false"/>
          <w:i w:val="false"/>
          <w:color w:val="000000"/>
          <w:sz w:val="28"/>
        </w:rPr>
        <w:t>
      ___________________________________________________________________________</w:t>
      </w:r>
    </w:p>
    <w:bookmarkEnd w:id="4475"/>
    <w:bookmarkStart w:name="z4591" w:id="4476"/>
    <w:p>
      <w:pPr>
        <w:spacing w:after="0"/>
        <w:ind w:left="0"/>
        <w:jc w:val="both"/>
      </w:pPr>
      <w:r>
        <w:rPr>
          <w:rFonts w:ascii="Times New Roman"/>
          <w:b w:val="false"/>
          <w:i w:val="false"/>
          <w:color w:val="000000"/>
          <w:sz w:val="28"/>
        </w:rPr>
        <w:t>
       </w:t>
      </w:r>
    </w:p>
    <w:bookmarkEnd w:id="4476"/>
    <w:bookmarkStart w:name="z4592" w:id="4477"/>
    <w:p>
      <w:pPr>
        <w:spacing w:after="0"/>
        <w:ind w:left="0"/>
        <w:jc w:val="left"/>
      </w:pPr>
      <w:r>
        <w:rPr>
          <w:rFonts w:ascii="Times New Roman"/>
          <w:b/>
          <w:i w:val="false"/>
          <w:color w:val="000000"/>
        </w:rPr>
        <w:t xml:space="preserve"> ОЦЕНКА ОТВЕТОВ</w:t>
      </w:r>
      <w:r>
        <w:br/>
      </w:r>
      <w:r>
        <w:rPr>
          <w:rFonts w:ascii="Times New Roman"/>
          <w:b/>
          <w:i w:val="false"/>
          <w:color w:val="000000"/>
        </w:rPr>
        <w:t xml:space="preserve">на перечень замечаний к части МФАФС заявителя </w:t>
      </w:r>
    </w:p>
    <w:bookmarkEnd w:id="4477"/>
    <w:bookmarkStart w:name="z4593" w:id="4478"/>
    <w:p>
      <w:pPr>
        <w:spacing w:after="0"/>
        <w:ind w:left="0"/>
        <w:jc w:val="both"/>
      </w:pPr>
      <w:r>
        <w:rPr>
          <w:rFonts w:ascii="Times New Roman"/>
          <w:b w:val="false"/>
          <w:i w:val="false"/>
          <w:color w:val="000000"/>
          <w:sz w:val="28"/>
        </w:rPr>
        <w:t>
       </w:t>
      </w:r>
    </w:p>
    <w:bookmarkEnd w:id="4478"/>
    <w:bookmarkStart w:name="z4594" w:id="4479"/>
    <w:p>
      <w:pPr>
        <w:spacing w:after="0"/>
        <w:ind w:left="0"/>
        <w:jc w:val="both"/>
      </w:pPr>
      <w:r>
        <w:rPr>
          <w:rFonts w:ascii="Times New Roman"/>
          <w:b w:val="false"/>
          <w:i w:val="false"/>
          <w:color w:val="000000"/>
          <w:sz w:val="28"/>
        </w:rPr>
        <w:t>
      Критические замечания:</w:t>
      </w:r>
    </w:p>
    <w:bookmarkEnd w:id="4479"/>
    <w:bookmarkStart w:name="z4595" w:id="4480"/>
    <w:p>
      <w:pPr>
        <w:spacing w:after="0"/>
        <w:ind w:left="0"/>
        <w:jc w:val="both"/>
      </w:pPr>
      <w:r>
        <w:rPr>
          <w:rFonts w:ascii="Times New Roman"/>
          <w:b w:val="false"/>
          <w:i w:val="false"/>
          <w:color w:val="000000"/>
          <w:sz w:val="28"/>
        </w:rPr>
        <w:t>
      Вопрос ____________________________________________________________________</w:t>
      </w:r>
    </w:p>
    <w:bookmarkEnd w:id="4480"/>
    <w:bookmarkStart w:name="z4596" w:id="4481"/>
    <w:p>
      <w:pPr>
        <w:spacing w:after="0"/>
        <w:ind w:left="0"/>
        <w:jc w:val="both"/>
      </w:pPr>
      <w:r>
        <w:rPr>
          <w:rFonts w:ascii="Times New Roman"/>
          <w:b w:val="false"/>
          <w:i w:val="false"/>
          <w:color w:val="000000"/>
          <w:sz w:val="28"/>
        </w:rPr>
        <w:t>
      ___________________________________________________________________________</w:t>
      </w:r>
    </w:p>
    <w:bookmarkEnd w:id="4481"/>
    <w:bookmarkStart w:name="z4597" w:id="4482"/>
    <w:p>
      <w:pPr>
        <w:spacing w:after="0"/>
        <w:ind w:left="0"/>
        <w:jc w:val="both"/>
      </w:pPr>
      <w:r>
        <w:rPr>
          <w:rFonts w:ascii="Times New Roman"/>
          <w:b w:val="false"/>
          <w:i w:val="false"/>
          <w:color w:val="000000"/>
          <w:sz w:val="28"/>
        </w:rPr>
        <w:t>
      Резюме ответа заявителя _____________________________________________________</w:t>
      </w:r>
    </w:p>
    <w:bookmarkEnd w:id="4482"/>
    <w:bookmarkStart w:name="z4598" w:id="4483"/>
    <w:p>
      <w:pPr>
        <w:spacing w:after="0"/>
        <w:ind w:left="0"/>
        <w:jc w:val="both"/>
      </w:pPr>
      <w:r>
        <w:rPr>
          <w:rFonts w:ascii="Times New Roman"/>
          <w:b w:val="false"/>
          <w:i w:val="false"/>
          <w:color w:val="000000"/>
          <w:sz w:val="28"/>
        </w:rPr>
        <w:t>
      ___________________________________________________________________________</w:t>
      </w:r>
    </w:p>
    <w:bookmarkEnd w:id="4483"/>
    <w:bookmarkStart w:name="z4599" w:id="4484"/>
    <w:p>
      <w:pPr>
        <w:spacing w:after="0"/>
        <w:ind w:left="0"/>
        <w:jc w:val="both"/>
      </w:pPr>
      <w:r>
        <w:rPr>
          <w:rFonts w:ascii="Times New Roman"/>
          <w:b w:val="false"/>
          <w:i w:val="false"/>
          <w:color w:val="000000"/>
          <w:sz w:val="28"/>
        </w:rPr>
        <w:t>
      Оценка ответа заявителя _____________________________________________________</w:t>
      </w:r>
    </w:p>
    <w:bookmarkEnd w:id="4484"/>
    <w:bookmarkStart w:name="z4600" w:id="4485"/>
    <w:p>
      <w:pPr>
        <w:spacing w:after="0"/>
        <w:ind w:left="0"/>
        <w:jc w:val="both"/>
      </w:pPr>
      <w:r>
        <w:rPr>
          <w:rFonts w:ascii="Times New Roman"/>
          <w:b w:val="false"/>
          <w:i w:val="false"/>
          <w:color w:val="000000"/>
          <w:sz w:val="28"/>
        </w:rPr>
        <w:t>
      ___________________________________________________________________________</w:t>
      </w:r>
    </w:p>
    <w:bookmarkEnd w:id="4485"/>
    <w:bookmarkStart w:name="z4601" w:id="4486"/>
    <w:p>
      <w:pPr>
        <w:spacing w:after="0"/>
        <w:ind w:left="0"/>
        <w:jc w:val="both"/>
      </w:pPr>
      <w:r>
        <w:rPr>
          <w:rFonts w:ascii="Times New Roman"/>
          <w:b w:val="false"/>
          <w:i w:val="false"/>
          <w:color w:val="000000"/>
          <w:sz w:val="28"/>
        </w:rPr>
        <w:t>
      Общее резюме и заключение __________________________________________________</w:t>
      </w:r>
    </w:p>
    <w:bookmarkEnd w:id="4486"/>
    <w:bookmarkStart w:name="z4602" w:id="4487"/>
    <w:p>
      <w:pPr>
        <w:spacing w:after="0"/>
        <w:ind w:left="0"/>
        <w:jc w:val="both"/>
      </w:pPr>
      <w:r>
        <w:rPr>
          <w:rFonts w:ascii="Times New Roman"/>
          <w:b w:val="false"/>
          <w:i w:val="false"/>
          <w:color w:val="000000"/>
          <w:sz w:val="28"/>
        </w:rPr>
        <w:t>
      ___________________________________________________________________________</w:t>
      </w:r>
    </w:p>
    <w:bookmarkEnd w:id="4487"/>
    <w:bookmarkStart w:name="z4603" w:id="4488"/>
    <w:p>
      <w:pPr>
        <w:spacing w:after="0"/>
        <w:ind w:left="0"/>
        <w:jc w:val="both"/>
      </w:pPr>
      <w:r>
        <w:rPr>
          <w:rFonts w:ascii="Times New Roman"/>
          <w:b w:val="false"/>
          <w:i w:val="false"/>
          <w:color w:val="000000"/>
          <w:sz w:val="28"/>
        </w:rPr>
        <w:t>
      Прочие замечания:</w:t>
      </w:r>
    </w:p>
    <w:bookmarkEnd w:id="4488"/>
    <w:bookmarkStart w:name="z4604" w:id="4489"/>
    <w:p>
      <w:pPr>
        <w:spacing w:after="0"/>
        <w:ind w:left="0"/>
        <w:jc w:val="both"/>
      </w:pPr>
      <w:r>
        <w:rPr>
          <w:rFonts w:ascii="Times New Roman"/>
          <w:b w:val="false"/>
          <w:i w:val="false"/>
          <w:color w:val="000000"/>
          <w:sz w:val="28"/>
        </w:rPr>
        <w:t>
      Вопрос ____________________________________________________________________</w:t>
      </w:r>
    </w:p>
    <w:bookmarkEnd w:id="4489"/>
    <w:bookmarkStart w:name="z4605" w:id="4490"/>
    <w:p>
      <w:pPr>
        <w:spacing w:after="0"/>
        <w:ind w:left="0"/>
        <w:jc w:val="both"/>
      </w:pPr>
      <w:r>
        <w:rPr>
          <w:rFonts w:ascii="Times New Roman"/>
          <w:b w:val="false"/>
          <w:i w:val="false"/>
          <w:color w:val="000000"/>
          <w:sz w:val="28"/>
        </w:rPr>
        <w:t>
      ___________________________________________________________________________</w:t>
      </w:r>
    </w:p>
    <w:bookmarkEnd w:id="4490"/>
    <w:bookmarkStart w:name="z4606" w:id="4491"/>
    <w:p>
      <w:pPr>
        <w:spacing w:after="0"/>
        <w:ind w:left="0"/>
        <w:jc w:val="both"/>
      </w:pPr>
      <w:r>
        <w:rPr>
          <w:rFonts w:ascii="Times New Roman"/>
          <w:b w:val="false"/>
          <w:i w:val="false"/>
          <w:color w:val="000000"/>
          <w:sz w:val="28"/>
        </w:rPr>
        <w:t>
      Резюме ответа заявителя _____________________________________________________</w:t>
      </w:r>
    </w:p>
    <w:bookmarkEnd w:id="4491"/>
    <w:bookmarkStart w:name="z4607" w:id="4492"/>
    <w:p>
      <w:pPr>
        <w:spacing w:after="0"/>
        <w:ind w:left="0"/>
        <w:jc w:val="both"/>
      </w:pPr>
      <w:r>
        <w:rPr>
          <w:rFonts w:ascii="Times New Roman"/>
          <w:b w:val="false"/>
          <w:i w:val="false"/>
          <w:color w:val="000000"/>
          <w:sz w:val="28"/>
        </w:rPr>
        <w:t>
      ___________________________________________________________________________</w:t>
      </w:r>
    </w:p>
    <w:bookmarkEnd w:id="4492"/>
    <w:bookmarkStart w:name="z4608" w:id="4493"/>
    <w:p>
      <w:pPr>
        <w:spacing w:after="0"/>
        <w:ind w:left="0"/>
        <w:jc w:val="both"/>
      </w:pPr>
      <w:r>
        <w:rPr>
          <w:rFonts w:ascii="Times New Roman"/>
          <w:b w:val="false"/>
          <w:i w:val="false"/>
          <w:color w:val="000000"/>
          <w:sz w:val="28"/>
        </w:rPr>
        <w:t>
      Оценка ответа заявителя _____________________________________________________</w:t>
      </w:r>
    </w:p>
    <w:bookmarkEnd w:id="4493"/>
    <w:bookmarkStart w:name="z4609" w:id="4494"/>
    <w:p>
      <w:pPr>
        <w:spacing w:after="0"/>
        <w:ind w:left="0"/>
        <w:jc w:val="both"/>
      </w:pPr>
      <w:r>
        <w:rPr>
          <w:rFonts w:ascii="Times New Roman"/>
          <w:b w:val="false"/>
          <w:i w:val="false"/>
          <w:color w:val="000000"/>
          <w:sz w:val="28"/>
        </w:rPr>
        <w:t>
      ___________________________________________________________________________</w:t>
      </w:r>
    </w:p>
    <w:bookmarkEnd w:id="4494"/>
    <w:bookmarkStart w:name="z4610" w:id="4495"/>
    <w:p>
      <w:pPr>
        <w:spacing w:after="0"/>
        <w:ind w:left="0"/>
        <w:jc w:val="both"/>
      </w:pPr>
      <w:r>
        <w:rPr>
          <w:rFonts w:ascii="Times New Roman"/>
          <w:b w:val="false"/>
          <w:i w:val="false"/>
          <w:color w:val="000000"/>
          <w:sz w:val="28"/>
        </w:rPr>
        <w:t>
      Общее резюме и заключение __________________________________________________</w:t>
      </w:r>
    </w:p>
    <w:bookmarkEnd w:id="4495"/>
    <w:bookmarkStart w:name="z4611" w:id="4496"/>
    <w:p>
      <w:pPr>
        <w:spacing w:after="0"/>
        <w:ind w:left="0"/>
        <w:jc w:val="both"/>
      </w:pPr>
      <w:r>
        <w:rPr>
          <w:rFonts w:ascii="Times New Roman"/>
          <w:b w:val="false"/>
          <w:i w:val="false"/>
          <w:color w:val="000000"/>
          <w:sz w:val="28"/>
        </w:rPr>
        <w:t>
      ___________________________________________________________________________</w:t>
      </w:r>
    </w:p>
    <w:bookmarkEnd w:id="4496"/>
    <w:bookmarkStart w:name="z4612" w:id="4497"/>
    <w:p>
      <w:pPr>
        <w:spacing w:after="0"/>
        <w:ind w:left="0"/>
        <w:jc w:val="left"/>
      </w:pPr>
      <w:r>
        <w:rPr>
          <w:rFonts w:ascii="Times New Roman"/>
          <w:b/>
          <w:i w:val="false"/>
          <w:color w:val="000000"/>
        </w:rPr>
        <w:t xml:space="preserve"> ОБЩЕЕ ЗАКЛЮЧЕНИЕ по части МФАФС заявителя</w:t>
      </w:r>
    </w:p>
    <w:bookmarkEnd w:id="4497"/>
    <w:bookmarkStart w:name="z4613" w:id="4498"/>
    <w:p>
      <w:pPr>
        <w:spacing w:after="0"/>
        <w:ind w:left="0"/>
        <w:jc w:val="both"/>
      </w:pPr>
      <w:r>
        <w:rPr>
          <w:rFonts w:ascii="Times New Roman"/>
          <w:b w:val="false"/>
          <w:i w:val="false"/>
          <w:color w:val="000000"/>
          <w:sz w:val="28"/>
        </w:rPr>
        <w:t>
      ___________________________________________________________________________</w:t>
      </w:r>
    </w:p>
    <w:bookmarkEnd w:id="4498"/>
    <w:bookmarkStart w:name="z4614" w:id="4499"/>
    <w:p>
      <w:pPr>
        <w:spacing w:after="0"/>
        <w:ind w:left="0"/>
        <w:jc w:val="both"/>
      </w:pPr>
      <w:r>
        <w:rPr>
          <w:rFonts w:ascii="Times New Roman"/>
          <w:b w:val="false"/>
          <w:i w:val="false"/>
          <w:color w:val="000000"/>
          <w:sz w:val="28"/>
        </w:rPr>
        <w:t>
      ___________________________________________________________________________</w:t>
      </w:r>
    </w:p>
    <w:bookmarkEnd w:id="4499"/>
    <w:bookmarkStart w:name="z4615" w:id="4500"/>
    <w:p>
      <w:pPr>
        <w:spacing w:after="0"/>
        <w:ind w:left="0"/>
        <w:jc w:val="both"/>
      </w:pPr>
      <w:r>
        <w:rPr>
          <w:rFonts w:ascii="Times New Roman"/>
          <w:b w:val="false"/>
          <w:i w:val="false"/>
          <w:color w:val="000000"/>
          <w:sz w:val="28"/>
        </w:rPr>
        <w:t>
      ___________________________________________________________________________</w:t>
      </w:r>
    </w:p>
    <w:bookmarkEnd w:id="4500"/>
    <w:bookmarkStart w:name="z4616" w:id="4501"/>
    <w:p>
      <w:pPr>
        <w:spacing w:after="0"/>
        <w:ind w:left="0"/>
        <w:jc w:val="both"/>
      </w:pPr>
      <w:r>
        <w:rPr>
          <w:rFonts w:ascii="Times New Roman"/>
          <w:b w:val="false"/>
          <w:i w:val="false"/>
          <w:color w:val="000000"/>
          <w:sz w:val="28"/>
        </w:rPr>
        <w:t>
      ___________________________________________________________________________</w:t>
      </w:r>
    </w:p>
    <w:bookmarkEnd w:id="4501"/>
    <w:bookmarkStart w:name="z4617" w:id="4502"/>
    <w:p>
      <w:pPr>
        <w:spacing w:after="0"/>
        <w:ind w:left="0"/>
        <w:jc w:val="both"/>
      </w:pPr>
      <w:r>
        <w:rPr>
          <w:rFonts w:ascii="Times New Roman"/>
          <w:b w:val="false"/>
          <w:i w:val="false"/>
          <w:color w:val="000000"/>
          <w:sz w:val="28"/>
        </w:rPr>
        <w:t>
      ___________________________________________________________________________</w:t>
      </w:r>
    </w:p>
    <w:bookmarkEnd w:id="4502"/>
    <w:bookmarkStart w:name="z4618" w:id="4503"/>
    <w:p>
      <w:pPr>
        <w:spacing w:after="0"/>
        <w:ind w:left="0"/>
        <w:jc w:val="both"/>
      </w:pPr>
      <w:r>
        <w:rPr>
          <w:rFonts w:ascii="Times New Roman"/>
          <w:b w:val="false"/>
          <w:i w:val="false"/>
          <w:color w:val="000000"/>
          <w:sz w:val="28"/>
        </w:rPr>
        <w:t>
      ___________________________________________________________________________</w:t>
      </w:r>
    </w:p>
    <w:bookmarkEnd w:id="4503"/>
    <w:bookmarkStart w:name="z4619" w:id="4504"/>
    <w:p>
      <w:pPr>
        <w:spacing w:after="0"/>
        <w:ind w:left="0"/>
        <w:jc w:val="both"/>
      </w:pPr>
      <w:r>
        <w:rPr>
          <w:rFonts w:ascii="Times New Roman"/>
          <w:b w:val="false"/>
          <w:i w:val="false"/>
          <w:color w:val="000000"/>
          <w:sz w:val="28"/>
        </w:rPr>
        <w:t>
      ___________________________________________________________________________</w:t>
      </w:r>
    </w:p>
    <w:bookmarkEnd w:id="4504"/>
    <w:bookmarkStart w:name="z4620" w:id="4505"/>
    <w:p>
      <w:pPr>
        <w:spacing w:after="0"/>
        <w:ind w:left="0"/>
        <w:jc w:val="both"/>
      </w:pPr>
      <w:r>
        <w:rPr>
          <w:rFonts w:ascii="Times New Roman"/>
          <w:b w:val="false"/>
          <w:i w:val="false"/>
          <w:color w:val="000000"/>
          <w:sz w:val="28"/>
        </w:rPr>
        <w:t>
      ___________________________________________________________________________</w:t>
      </w:r>
    </w:p>
    <w:bookmarkEnd w:id="4505"/>
    <w:bookmarkStart w:name="z4621" w:id="4506"/>
    <w:p>
      <w:pPr>
        <w:spacing w:after="0"/>
        <w:ind w:left="0"/>
        <w:jc w:val="both"/>
      </w:pPr>
      <w:r>
        <w:rPr>
          <w:rFonts w:ascii="Times New Roman"/>
          <w:b w:val="false"/>
          <w:i w:val="false"/>
          <w:color w:val="000000"/>
          <w:sz w:val="28"/>
        </w:rPr>
        <w:t>
      ___________________________________________________________________________</w:t>
      </w:r>
    </w:p>
    <w:bookmarkEnd w:id="4506"/>
    <w:bookmarkStart w:name="z4622" w:id="4507"/>
    <w:p>
      <w:pPr>
        <w:spacing w:after="0"/>
        <w:ind w:left="0"/>
        <w:jc w:val="both"/>
      </w:pPr>
      <w:r>
        <w:rPr>
          <w:rFonts w:ascii="Times New Roman"/>
          <w:b w:val="false"/>
          <w:i w:val="false"/>
          <w:color w:val="000000"/>
          <w:sz w:val="28"/>
        </w:rPr>
        <w:t>
      ___________________________________________________________________________</w:t>
      </w:r>
    </w:p>
    <w:bookmarkEnd w:id="4507"/>
    <w:bookmarkStart w:name="z4623" w:id="4508"/>
    <w:p>
      <w:pPr>
        <w:spacing w:after="0"/>
        <w:ind w:left="0"/>
        <w:jc w:val="both"/>
      </w:pPr>
      <w:r>
        <w:rPr>
          <w:rFonts w:ascii="Times New Roman"/>
          <w:b w:val="false"/>
          <w:i w:val="false"/>
          <w:color w:val="000000"/>
          <w:sz w:val="28"/>
        </w:rPr>
        <w:t>
      ___________________________________________________________________________</w:t>
      </w:r>
    </w:p>
    <w:bookmarkEnd w:id="4508"/>
    <w:bookmarkStart w:name="z4624" w:id="4509"/>
    <w:p>
      <w:pPr>
        <w:spacing w:after="0"/>
        <w:ind w:left="0"/>
        <w:jc w:val="both"/>
      </w:pPr>
      <w:r>
        <w:rPr>
          <w:rFonts w:ascii="Times New Roman"/>
          <w:b w:val="false"/>
          <w:i w:val="false"/>
          <w:color w:val="000000"/>
          <w:sz w:val="28"/>
        </w:rPr>
        <w:t>
       </w:t>
      </w:r>
    </w:p>
    <w:bookmarkEnd w:id="4509"/>
    <w:bookmarkStart w:name="z4625" w:id="4510"/>
    <w:p>
      <w:pPr>
        <w:spacing w:after="0"/>
        <w:ind w:left="0"/>
        <w:jc w:val="left"/>
      </w:pPr>
      <w:r>
        <w:rPr>
          <w:rFonts w:ascii="Times New Roman"/>
          <w:b/>
          <w:i w:val="false"/>
          <w:color w:val="000000"/>
        </w:rPr>
        <w:t xml:space="preserve"> 10.3. Экспертный отчет и вопросы по части МФАФС, закрытой для заявителя</w:t>
      </w:r>
    </w:p>
    <w:bookmarkEnd w:id="4510"/>
    <w:bookmarkStart w:name="z4626" w:id="4511"/>
    <w:p>
      <w:pPr>
        <w:spacing w:after="0"/>
        <w:ind w:left="0"/>
        <w:jc w:val="left"/>
      </w:pPr>
      <w:r>
        <w:rPr>
          <w:rFonts w:ascii="Times New Roman"/>
          <w:b/>
          <w:i w:val="false"/>
          <w:color w:val="000000"/>
        </w:rPr>
        <w:t xml:space="preserve"> КОНФИДЕНЦИАЛЬНО</w:t>
      </w:r>
    </w:p>
    <w:bookmarkEnd w:id="4511"/>
    <w:bookmarkStart w:name="z4627" w:id="4512"/>
    <w:p>
      <w:pPr>
        <w:spacing w:after="0"/>
        <w:ind w:left="0"/>
        <w:jc w:val="left"/>
      </w:pPr>
      <w:r>
        <w:rPr>
          <w:rFonts w:ascii="Times New Roman"/>
          <w:b/>
          <w:i w:val="false"/>
          <w:color w:val="000000"/>
        </w:rPr>
        <w:t xml:space="preserve"> НАСТОЯЩИЙ РАЗДЕЛ ЗАКЛЮЧЕНИЯ НЕ ДОПУСКАЕТСЯ ПЕРЕДАВАТЬ ЗАЯВИТЕЛЮ</w:t>
      </w:r>
    </w:p>
    <w:bookmarkEnd w:id="4512"/>
    <w:bookmarkStart w:name="z4628" w:id="4513"/>
    <w:p>
      <w:pPr>
        <w:spacing w:after="0"/>
        <w:ind w:left="0"/>
        <w:jc w:val="left"/>
      </w:pPr>
      <w:r>
        <w:rPr>
          <w:rFonts w:ascii="Times New Roman"/>
          <w:b/>
          <w:i w:val="false"/>
          <w:color w:val="000000"/>
        </w:rPr>
        <w:t xml:space="preserve"> {Регистрационный номер} (при наличии)</w:t>
      </w:r>
    </w:p>
    <w:bookmarkEnd w:id="4513"/>
    <w:bookmarkStart w:name="z4629" w:id="4514"/>
    <w:p>
      <w:pPr>
        <w:spacing w:after="0"/>
        <w:ind w:left="0"/>
        <w:jc w:val="left"/>
      </w:pPr>
      <w:r>
        <w:rPr>
          <w:rFonts w:ascii="Times New Roman"/>
          <w:b/>
          <w:i w:val="false"/>
          <w:color w:val="000000"/>
        </w:rPr>
        <w:t xml:space="preserve"> {(Номер версии части заявителя, дата, номер версии служебной части) дата} </w:t>
      </w:r>
    </w:p>
    <w:bookmarkEnd w:id="4514"/>
    <w:bookmarkStart w:name="z4630" w:id="4515"/>
    <w:p>
      <w:pPr>
        <w:spacing w:after="0"/>
        <w:ind w:left="0"/>
        <w:jc w:val="left"/>
      </w:pPr>
      <w:r>
        <w:rPr>
          <w:rFonts w:ascii="Times New Roman"/>
          <w:b/>
          <w:i w:val="false"/>
          <w:color w:val="000000"/>
        </w:rPr>
        <w:t xml:space="preserve"> 10.4. Административная информация </w:t>
      </w:r>
    </w:p>
    <w:bookmarkEnd w:id="4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4516"/>
          <w:p>
            <w:pPr>
              <w:spacing w:after="20"/>
              <w:ind w:left="20"/>
              <w:jc w:val="both"/>
            </w:pPr>
            <w:r>
              <w:rPr>
                <w:rFonts w:ascii="Times New Roman"/>
                <w:b w:val="false"/>
                <w:i w:val="false"/>
                <w:color w:val="000000"/>
                <w:sz w:val="20"/>
              </w:rPr>
              <w:t xml:space="preserve">
Идентификационный номер: </w:t>
            </w:r>
          </w:p>
          <w:bookmarkEnd w:id="4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4517"/>
          <w:p>
            <w:pPr>
              <w:spacing w:after="20"/>
              <w:ind w:left="20"/>
              <w:jc w:val="both"/>
            </w:pPr>
            <w:r>
              <w:rPr>
                <w:rFonts w:ascii="Times New Roman"/>
                <w:b w:val="false"/>
                <w:i w:val="false"/>
                <w:color w:val="000000"/>
                <w:sz w:val="20"/>
              </w:rPr>
              <w:t xml:space="preserve">
Международное непатентованное наименование (МНН) (общепринятое наименование) активной фармацевтической субстанции (активных фармацевтических субстанций): </w:t>
            </w:r>
          </w:p>
          <w:bookmarkEnd w:id="4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4518"/>
          <w:p>
            <w:pPr>
              <w:spacing w:after="20"/>
              <w:ind w:left="20"/>
              <w:jc w:val="both"/>
            </w:pPr>
            <w:r>
              <w:rPr>
                <w:rFonts w:ascii="Times New Roman"/>
                <w:b w:val="false"/>
                <w:i w:val="false"/>
                <w:color w:val="000000"/>
                <w:sz w:val="20"/>
              </w:rPr>
              <w:t xml:space="preserve">
Внутренний код производителя активной фармацевтической субстанции (если применяется): </w:t>
            </w:r>
          </w:p>
          <w:bookmarkEnd w:id="4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4519"/>
          <w:p>
            <w:pPr>
              <w:spacing w:after="20"/>
              <w:ind w:left="20"/>
              <w:jc w:val="both"/>
            </w:pPr>
            <w:r>
              <w:rPr>
                <w:rFonts w:ascii="Times New Roman"/>
                <w:b w:val="false"/>
                <w:i w:val="false"/>
                <w:color w:val="000000"/>
                <w:sz w:val="20"/>
              </w:rPr>
              <w:t xml:space="preserve">
Наименования и адреса производственных площадок производителя активной фармацевтической субстанции </w:t>
            </w:r>
          </w:p>
          <w:bookmarkEnd w:id="4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
контактное лицо:</w:t>
            </w:r>
          </w:p>
          <w:p>
            <w:pPr>
              <w:spacing w:after="20"/>
              <w:ind w:left="20"/>
              <w:jc w:val="both"/>
            </w:pPr>
            <w:r>
              <w:rPr>
                <w:rFonts w:ascii="Times New Roman"/>
                <w:b w:val="false"/>
                <w:i w:val="false"/>
                <w:color w:val="000000"/>
                <w:sz w:val="20"/>
              </w:rPr>
              <w:t>номер телефона:</w:t>
            </w:r>
          </w:p>
          <w:p>
            <w:pPr>
              <w:spacing w:after="20"/>
              <w:ind w:left="20"/>
              <w:jc w:val="both"/>
            </w:pPr>
            <w:r>
              <w:rPr>
                <w:rFonts w:ascii="Times New Roman"/>
                <w:b w:val="false"/>
                <w:i w:val="false"/>
                <w:color w:val="000000"/>
                <w:sz w:val="20"/>
              </w:rPr>
              <w:t xml:space="preserve">номер факса: </w:t>
            </w:r>
          </w:p>
          <w:p>
            <w:pPr>
              <w:spacing w:after="20"/>
              <w:ind w:left="20"/>
              <w:jc w:val="both"/>
            </w:pP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4520"/>
          <w:p>
            <w:pPr>
              <w:spacing w:after="20"/>
              <w:ind w:left="20"/>
              <w:jc w:val="both"/>
            </w:pPr>
            <w:r>
              <w:rPr>
                <w:rFonts w:ascii="Times New Roman"/>
                <w:b w:val="false"/>
                <w:i w:val="false"/>
                <w:color w:val="000000"/>
                <w:sz w:val="20"/>
              </w:rPr>
              <w:t xml:space="preserve">
Дата экспертного отчета по оценке мастер-файла на активную фармацевтическую субстанцию </w:t>
            </w:r>
          </w:p>
          <w:bookmarkEnd w:id="4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Регистрационная процедура (регистрация, внесение изменений): </w:t>
            </w:r>
          </w:p>
        </w:tc>
      </w:tr>
    </w:tbl>
    <w:bookmarkStart w:name="z4636" w:id="4521"/>
    <w:p>
      <w:pPr>
        <w:spacing w:after="0"/>
        <w:ind w:left="0"/>
        <w:jc w:val="both"/>
      </w:pPr>
      <w:r>
        <w:rPr>
          <w:rFonts w:ascii="Times New Roman"/>
          <w:b w:val="false"/>
          <w:i w:val="false"/>
          <w:color w:val="000000"/>
          <w:sz w:val="28"/>
        </w:rPr>
        <w:t>
      Примечание. Структура отчета должна отражать соответствующие части модуля 3.2.S.</w:t>
      </w:r>
    </w:p>
    <w:bookmarkEnd w:id="4521"/>
    <w:bookmarkStart w:name="z4637" w:id="4522"/>
    <w:p>
      <w:pPr>
        <w:spacing w:after="0"/>
        <w:ind w:left="0"/>
        <w:jc w:val="both"/>
      </w:pPr>
      <w:r>
        <w:rPr>
          <w:rFonts w:ascii="Times New Roman"/>
          <w:b w:val="false"/>
          <w:i w:val="false"/>
          <w:color w:val="000000"/>
          <w:sz w:val="28"/>
        </w:rPr>
        <w:t>
       </w:t>
      </w:r>
    </w:p>
    <w:bookmarkEnd w:id="4522"/>
    <w:bookmarkStart w:name="z4638" w:id="4523"/>
    <w:p>
      <w:pPr>
        <w:spacing w:after="0"/>
        <w:ind w:left="0"/>
        <w:jc w:val="left"/>
      </w:pPr>
      <w:r>
        <w:rPr>
          <w:rFonts w:ascii="Times New Roman"/>
          <w:b/>
          <w:i w:val="false"/>
          <w:color w:val="000000"/>
        </w:rPr>
        <w:t xml:space="preserve"> S.2. Производство</w:t>
      </w:r>
    </w:p>
    <w:bookmarkEnd w:id="4523"/>
    <w:bookmarkStart w:name="z4639" w:id="4524"/>
    <w:p>
      <w:pPr>
        <w:spacing w:after="0"/>
        <w:ind w:left="0"/>
        <w:jc w:val="both"/>
      </w:pPr>
      <w:r>
        <w:rPr>
          <w:rFonts w:ascii="Times New Roman"/>
          <w:b w:val="false"/>
          <w:i w:val="false"/>
          <w:color w:val="000000"/>
          <w:sz w:val="28"/>
        </w:rPr>
        <w:t>
      S.2.1. Производитель АФС (наименование, адрес и ответственность каждой стороны, включая подрядные организации, вовлеченных в цепь производства).</w:t>
      </w:r>
    </w:p>
    <w:bookmarkEnd w:id="4524"/>
    <w:bookmarkStart w:name="z4640" w:id="4525"/>
    <w:p>
      <w:pPr>
        <w:spacing w:after="0"/>
        <w:ind w:left="0"/>
        <w:jc w:val="both"/>
      </w:pPr>
      <w:r>
        <w:rPr>
          <w:rFonts w:ascii="Times New Roman"/>
          <w:b w:val="false"/>
          <w:i w:val="false"/>
          <w:color w:val="000000"/>
          <w:sz w:val="28"/>
        </w:rPr>
        <w:t>
       </w:t>
      </w:r>
    </w:p>
    <w:bookmarkEnd w:id="4525"/>
    <w:bookmarkStart w:name="z4641" w:id="4526"/>
    <w:p>
      <w:pPr>
        <w:spacing w:after="0"/>
        <w:ind w:left="0"/>
        <w:jc w:val="both"/>
      </w:pPr>
      <w:r>
        <w:rPr>
          <w:rFonts w:ascii="Times New Roman"/>
          <w:b w:val="false"/>
          <w:i w:val="false"/>
          <w:color w:val="000000"/>
          <w:sz w:val="28"/>
        </w:rPr>
        <w:t>
      ___________________________________________________________________________</w:t>
      </w:r>
    </w:p>
    <w:bookmarkEnd w:id="4526"/>
    <w:bookmarkStart w:name="z4642" w:id="4527"/>
    <w:p>
      <w:pPr>
        <w:spacing w:after="0"/>
        <w:ind w:left="0"/>
        <w:jc w:val="both"/>
      </w:pPr>
      <w:r>
        <w:rPr>
          <w:rFonts w:ascii="Times New Roman"/>
          <w:b w:val="false"/>
          <w:i w:val="false"/>
          <w:color w:val="000000"/>
          <w:sz w:val="28"/>
        </w:rPr>
        <w:t>
      ___________________________________________________________________________</w:t>
      </w:r>
    </w:p>
    <w:bookmarkEnd w:id="4527"/>
    <w:bookmarkStart w:name="z4643" w:id="4528"/>
    <w:p>
      <w:pPr>
        <w:spacing w:after="0"/>
        <w:ind w:left="0"/>
        <w:jc w:val="both"/>
      </w:pPr>
      <w:r>
        <w:rPr>
          <w:rFonts w:ascii="Times New Roman"/>
          <w:b w:val="false"/>
          <w:i w:val="false"/>
          <w:color w:val="000000"/>
          <w:sz w:val="28"/>
        </w:rPr>
        <w:t>
      ___________________________________________________________________________</w:t>
      </w:r>
    </w:p>
    <w:bookmarkEnd w:id="4528"/>
    <w:bookmarkStart w:name="z4644" w:id="4529"/>
    <w:p>
      <w:pPr>
        <w:spacing w:after="0"/>
        <w:ind w:left="0"/>
        <w:jc w:val="both"/>
      </w:pPr>
      <w:r>
        <w:rPr>
          <w:rFonts w:ascii="Times New Roman"/>
          <w:b w:val="false"/>
          <w:i w:val="false"/>
          <w:color w:val="000000"/>
          <w:sz w:val="28"/>
        </w:rPr>
        <w:t>
       </w:t>
      </w:r>
    </w:p>
    <w:bookmarkEnd w:id="4529"/>
    <w:bookmarkStart w:name="z4645" w:id="4530"/>
    <w:p>
      <w:pPr>
        <w:spacing w:after="0"/>
        <w:ind w:left="0"/>
        <w:jc w:val="both"/>
      </w:pPr>
      <w:r>
        <w:rPr>
          <w:rFonts w:ascii="Times New Roman"/>
          <w:b w:val="false"/>
          <w:i w:val="false"/>
          <w:color w:val="000000"/>
          <w:sz w:val="28"/>
        </w:rPr>
        <w:t>
      S.2.2. Описание производственного процесса и его контроля (подробная информация).</w:t>
      </w:r>
    </w:p>
    <w:bookmarkEnd w:id="4530"/>
    <w:bookmarkStart w:name="z4646" w:id="4531"/>
    <w:p>
      <w:pPr>
        <w:spacing w:after="0"/>
        <w:ind w:left="0"/>
        <w:jc w:val="both"/>
      </w:pPr>
      <w:r>
        <w:rPr>
          <w:rFonts w:ascii="Times New Roman"/>
          <w:b w:val="false"/>
          <w:i w:val="false"/>
          <w:color w:val="000000"/>
          <w:sz w:val="28"/>
        </w:rPr>
        <w:t>
       </w:t>
      </w:r>
    </w:p>
    <w:bookmarkEnd w:id="4531"/>
    <w:bookmarkStart w:name="z4647" w:id="4532"/>
    <w:p>
      <w:pPr>
        <w:spacing w:after="0"/>
        <w:ind w:left="0"/>
        <w:jc w:val="both"/>
      </w:pPr>
      <w:r>
        <w:rPr>
          <w:rFonts w:ascii="Times New Roman"/>
          <w:b w:val="false"/>
          <w:i w:val="false"/>
          <w:color w:val="000000"/>
          <w:sz w:val="28"/>
        </w:rPr>
        <w:t>
      ___________________________________________________________________________</w:t>
      </w:r>
    </w:p>
    <w:bookmarkEnd w:id="4532"/>
    <w:bookmarkStart w:name="z4648" w:id="4533"/>
    <w:p>
      <w:pPr>
        <w:spacing w:after="0"/>
        <w:ind w:left="0"/>
        <w:jc w:val="both"/>
      </w:pPr>
      <w:r>
        <w:rPr>
          <w:rFonts w:ascii="Times New Roman"/>
          <w:b w:val="false"/>
          <w:i w:val="false"/>
          <w:color w:val="000000"/>
          <w:sz w:val="28"/>
        </w:rPr>
        <w:t>
      ___________________________________________________________________________</w:t>
      </w:r>
    </w:p>
    <w:bookmarkEnd w:id="4533"/>
    <w:bookmarkStart w:name="z4649" w:id="4534"/>
    <w:p>
      <w:pPr>
        <w:spacing w:after="0"/>
        <w:ind w:left="0"/>
        <w:jc w:val="both"/>
      </w:pPr>
      <w:r>
        <w:rPr>
          <w:rFonts w:ascii="Times New Roman"/>
          <w:b w:val="false"/>
          <w:i w:val="false"/>
          <w:color w:val="000000"/>
          <w:sz w:val="28"/>
        </w:rPr>
        <w:t>
      ___________________________________________________________________________</w:t>
      </w:r>
    </w:p>
    <w:bookmarkEnd w:id="4534"/>
    <w:bookmarkStart w:name="z4650" w:id="4535"/>
    <w:p>
      <w:pPr>
        <w:spacing w:after="0"/>
        <w:ind w:left="0"/>
        <w:jc w:val="both"/>
      </w:pPr>
      <w:r>
        <w:rPr>
          <w:rFonts w:ascii="Times New Roman"/>
          <w:b w:val="false"/>
          <w:i w:val="false"/>
          <w:color w:val="000000"/>
          <w:sz w:val="28"/>
        </w:rPr>
        <w:t>
       </w:t>
      </w:r>
    </w:p>
    <w:bookmarkEnd w:id="4535"/>
    <w:bookmarkStart w:name="z4651" w:id="4536"/>
    <w:p>
      <w:pPr>
        <w:spacing w:after="0"/>
        <w:ind w:left="0"/>
        <w:jc w:val="both"/>
      </w:pPr>
      <w:r>
        <w:rPr>
          <w:rFonts w:ascii="Times New Roman"/>
          <w:b w:val="false"/>
          <w:i w:val="false"/>
          <w:color w:val="000000"/>
          <w:sz w:val="28"/>
        </w:rPr>
        <w:t>
      S.2.3. Контроль качества исходных материалов.</w:t>
      </w:r>
    </w:p>
    <w:bookmarkEnd w:id="4536"/>
    <w:bookmarkStart w:name="z4652" w:id="4537"/>
    <w:p>
      <w:pPr>
        <w:spacing w:after="0"/>
        <w:ind w:left="0"/>
        <w:jc w:val="both"/>
      </w:pPr>
      <w:r>
        <w:rPr>
          <w:rFonts w:ascii="Times New Roman"/>
          <w:b w:val="false"/>
          <w:i w:val="false"/>
          <w:color w:val="000000"/>
          <w:sz w:val="28"/>
        </w:rPr>
        <w:t>
       </w:t>
      </w:r>
    </w:p>
    <w:bookmarkEnd w:id="4537"/>
    <w:bookmarkStart w:name="z4653" w:id="4538"/>
    <w:p>
      <w:pPr>
        <w:spacing w:after="0"/>
        <w:ind w:left="0"/>
        <w:jc w:val="both"/>
      </w:pPr>
      <w:r>
        <w:rPr>
          <w:rFonts w:ascii="Times New Roman"/>
          <w:b w:val="false"/>
          <w:i w:val="false"/>
          <w:color w:val="000000"/>
          <w:sz w:val="28"/>
        </w:rPr>
        <w:t>
      ___________________________________________________________________________</w:t>
      </w:r>
    </w:p>
    <w:bookmarkEnd w:id="4538"/>
    <w:bookmarkStart w:name="z4654" w:id="4539"/>
    <w:p>
      <w:pPr>
        <w:spacing w:after="0"/>
        <w:ind w:left="0"/>
        <w:jc w:val="both"/>
      </w:pPr>
      <w:r>
        <w:rPr>
          <w:rFonts w:ascii="Times New Roman"/>
          <w:b w:val="false"/>
          <w:i w:val="false"/>
          <w:color w:val="000000"/>
          <w:sz w:val="28"/>
        </w:rPr>
        <w:t>
      ___________________________________________________________________________</w:t>
      </w:r>
    </w:p>
    <w:bookmarkEnd w:id="4539"/>
    <w:bookmarkStart w:name="z4655" w:id="4540"/>
    <w:p>
      <w:pPr>
        <w:spacing w:after="0"/>
        <w:ind w:left="0"/>
        <w:jc w:val="both"/>
      </w:pPr>
      <w:r>
        <w:rPr>
          <w:rFonts w:ascii="Times New Roman"/>
          <w:b w:val="false"/>
          <w:i w:val="false"/>
          <w:color w:val="000000"/>
          <w:sz w:val="28"/>
        </w:rPr>
        <w:t>
      ___________________________________________________________________________</w:t>
      </w:r>
    </w:p>
    <w:bookmarkEnd w:id="4540"/>
    <w:bookmarkStart w:name="z4656" w:id="4541"/>
    <w:p>
      <w:pPr>
        <w:spacing w:after="0"/>
        <w:ind w:left="0"/>
        <w:jc w:val="both"/>
      </w:pPr>
      <w:r>
        <w:rPr>
          <w:rFonts w:ascii="Times New Roman"/>
          <w:b w:val="false"/>
          <w:i w:val="false"/>
          <w:color w:val="000000"/>
          <w:sz w:val="28"/>
        </w:rPr>
        <w:t>
       </w:t>
      </w:r>
    </w:p>
    <w:bookmarkEnd w:id="4541"/>
    <w:bookmarkStart w:name="z4657" w:id="4542"/>
    <w:p>
      <w:pPr>
        <w:spacing w:after="0"/>
        <w:ind w:left="0"/>
        <w:jc w:val="both"/>
      </w:pPr>
      <w:r>
        <w:rPr>
          <w:rFonts w:ascii="Times New Roman"/>
          <w:b w:val="false"/>
          <w:i w:val="false"/>
          <w:color w:val="000000"/>
          <w:sz w:val="28"/>
        </w:rPr>
        <w:t>
      S.2.4. Контроль критических стадий и промежуточной продукции.</w:t>
      </w:r>
    </w:p>
    <w:bookmarkEnd w:id="4542"/>
    <w:bookmarkStart w:name="z4658" w:id="4543"/>
    <w:p>
      <w:pPr>
        <w:spacing w:after="0"/>
        <w:ind w:left="0"/>
        <w:jc w:val="both"/>
      </w:pPr>
      <w:r>
        <w:rPr>
          <w:rFonts w:ascii="Times New Roman"/>
          <w:b w:val="false"/>
          <w:i w:val="false"/>
          <w:color w:val="000000"/>
          <w:sz w:val="28"/>
        </w:rPr>
        <w:t>
       </w:t>
      </w:r>
    </w:p>
    <w:bookmarkEnd w:id="4543"/>
    <w:bookmarkStart w:name="z4659" w:id="4544"/>
    <w:p>
      <w:pPr>
        <w:spacing w:after="0"/>
        <w:ind w:left="0"/>
        <w:jc w:val="both"/>
      </w:pPr>
      <w:r>
        <w:rPr>
          <w:rFonts w:ascii="Times New Roman"/>
          <w:b w:val="false"/>
          <w:i w:val="false"/>
          <w:color w:val="000000"/>
          <w:sz w:val="28"/>
        </w:rPr>
        <w:t>
      ___________________________________________________________________________</w:t>
      </w:r>
    </w:p>
    <w:bookmarkEnd w:id="4544"/>
    <w:bookmarkStart w:name="z4660" w:id="4545"/>
    <w:p>
      <w:pPr>
        <w:spacing w:after="0"/>
        <w:ind w:left="0"/>
        <w:jc w:val="both"/>
      </w:pPr>
      <w:r>
        <w:rPr>
          <w:rFonts w:ascii="Times New Roman"/>
          <w:b w:val="false"/>
          <w:i w:val="false"/>
          <w:color w:val="000000"/>
          <w:sz w:val="28"/>
        </w:rPr>
        <w:t>
      ___________________________________________________________________________</w:t>
      </w:r>
    </w:p>
    <w:bookmarkEnd w:id="4545"/>
    <w:bookmarkStart w:name="z4661" w:id="4546"/>
    <w:p>
      <w:pPr>
        <w:spacing w:after="0"/>
        <w:ind w:left="0"/>
        <w:jc w:val="both"/>
      </w:pPr>
      <w:r>
        <w:rPr>
          <w:rFonts w:ascii="Times New Roman"/>
          <w:b w:val="false"/>
          <w:i w:val="false"/>
          <w:color w:val="000000"/>
          <w:sz w:val="28"/>
        </w:rPr>
        <w:t>
      ___________________________________________________________________________</w:t>
      </w:r>
    </w:p>
    <w:bookmarkEnd w:id="4546"/>
    <w:bookmarkStart w:name="z4662" w:id="4547"/>
    <w:p>
      <w:pPr>
        <w:spacing w:after="0"/>
        <w:ind w:left="0"/>
        <w:jc w:val="both"/>
      </w:pPr>
      <w:r>
        <w:rPr>
          <w:rFonts w:ascii="Times New Roman"/>
          <w:b w:val="false"/>
          <w:i w:val="false"/>
          <w:color w:val="000000"/>
          <w:sz w:val="28"/>
        </w:rPr>
        <w:t>
       </w:t>
      </w:r>
    </w:p>
    <w:bookmarkEnd w:id="4547"/>
    <w:bookmarkStart w:name="z4663" w:id="4548"/>
    <w:p>
      <w:pPr>
        <w:spacing w:after="0"/>
        <w:ind w:left="0"/>
        <w:jc w:val="both"/>
      </w:pPr>
      <w:r>
        <w:rPr>
          <w:rFonts w:ascii="Times New Roman"/>
          <w:b w:val="false"/>
          <w:i w:val="false"/>
          <w:color w:val="000000"/>
          <w:sz w:val="28"/>
        </w:rPr>
        <w:t>
      S.2.5. Валидация производственного процесса и (или) его оценка.</w:t>
      </w:r>
    </w:p>
    <w:bookmarkEnd w:id="4548"/>
    <w:bookmarkStart w:name="z4664" w:id="4549"/>
    <w:p>
      <w:pPr>
        <w:spacing w:after="0"/>
        <w:ind w:left="0"/>
        <w:jc w:val="both"/>
      </w:pPr>
      <w:r>
        <w:rPr>
          <w:rFonts w:ascii="Times New Roman"/>
          <w:b w:val="false"/>
          <w:i w:val="false"/>
          <w:color w:val="000000"/>
          <w:sz w:val="28"/>
        </w:rPr>
        <w:t>
       </w:t>
      </w:r>
    </w:p>
    <w:bookmarkEnd w:id="4549"/>
    <w:bookmarkStart w:name="z4665" w:id="4550"/>
    <w:p>
      <w:pPr>
        <w:spacing w:after="0"/>
        <w:ind w:left="0"/>
        <w:jc w:val="both"/>
      </w:pPr>
      <w:r>
        <w:rPr>
          <w:rFonts w:ascii="Times New Roman"/>
          <w:b w:val="false"/>
          <w:i w:val="false"/>
          <w:color w:val="000000"/>
          <w:sz w:val="28"/>
        </w:rPr>
        <w:t>
      ___________________________________________________________________________</w:t>
      </w:r>
    </w:p>
    <w:bookmarkEnd w:id="4550"/>
    <w:bookmarkStart w:name="z4666" w:id="4551"/>
    <w:p>
      <w:pPr>
        <w:spacing w:after="0"/>
        <w:ind w:left="0"/>
        <w:jc w:val="both"/>
      </w:pPr>
      <w:r>
        <w:rPr>
          <w:rFonts w:ascii="Times New Roman"/>
          <w:b w:val="false"/>
          <w:i w:val="false"/>
          <w:color w:val="000000"/>
          <w:sz w:val="28"/>
        </w:rPr>
        <w:t>
      ___________________________________________________________________________</w:t>
      </w:r>
    </w:p>
    <w:bookmarkEnd w:id="4551"/>
    <w:bookmarkStart w:name="z4667" w:id="4552"/>
    <w:p>
      <w:pPr>
        <w:spacing w:after="0"/>
        <w:ind w:left="0"/>
        <w:jc w:val="both"/>
      </w:pPr>
      <w:r>
        <w:rPr>
          <w:rFonts w:ascii="Times New Roman"/>
          <w:b w:val="false"/>
          <w:i w:val="false"/>
          <w:color w:val="000000"/>
          <w:sz w:val="28"/>
        </w:rPr>
        <w:t>
      ___________________________________________________________________________</w:t>
      </w:r>
    </w:p>
    <w:bookmarkEnd w:id="4552"/>
    <w:bookmarkStart w:name="z4668" w:id="4553"/>
    <w:p>
      <w:pPr>
        <w:spacing w:after="0"/>
        <w:ind w:left="0"/>
        <w:jc w:val="both"/>
      </w:pPr>
      <w:r>
        <w:rPr>
          <w:rFonts w:ascii="Times New Roman"/>
          <w:b w:val="false"/>
          <w:i w:val="false"/>
          <w:color w:val="000000"/>
          <w:sz w:val="28"/>
        </w:rPr>
        <w:t>
       </w:t>
      </w:r>
    </w:p>
    <w:bookmarkEnd w:id="4553"/>
    <w:bookmarkStart w:name="z4669" w:id="4554"/>
    <w:p>
      <w:pPr>
        <w:spacing w:after="0"/>
        <w:ind w:left="0"/>
        <w:jc w:val="both"/>
      </w:pPr>
      <w:r>
        <w:rPr>
          <w:rFonts w:ascii="Times New Roman"/>
          <w:b w:val="false"/>
          <w:i w:val="false"/>
          <w:color w:val="000000"/>
          <w:sz w:val="28"/>
        </w:rPr>
        <w:t>
      S.2.6. Разработка производственного процесса.</w:t>
      </w:r>
    </w:p>
    <w:bookmarkEnd w:id="4554"/>
    <w:bookmarkStart w:name="z4670" w:id="4555"/>
    <w:p>
      <w:pPr>
        <w:spacing w:after="0"/>
        <w:ind w:left="0"/>
        <w:jc w:val="both"/>
      </w:pPr>
      <w:r>
        <w:rPr>
          <w:rFonts w:ascii="Times New Roman"/>
          <w:b w:val="false"/>
          <w:i w:val="false"/>
          <w:color w:val="000000"/>
          <w:sz w:val="28"/>
        </w:rPr>
        <w:t>
       </w:t>
      </w:r>
    </w:p>
    <w:bookmarkEnd w:id="4555"/>
    <w:bookmarkStart w:name="z4671" w:id="4556"/>
    <w:p>
      <w:pPr>
        <w:spacing w:after="0"/>
        <w:ind w:left="0"/>
        <w:jc w:val="both"/>
      </w:pPr>
      <w:r>
        <w:rPr>
          <w:rFonts w:ascii="Times New Roman"/>
          <w:b w:val="false"/>
          <w:i w:val="false"/>
          <w:color w:val="000000"/>
          <w:sz w:val="28"/>
        </w:rPr>
        <w:t>
      ___________________________________________________________________________</w:t>
      </w:r>
    </w:p>
    <w:bookmarkEnd w:id="4556"/>
    <w:bookmarkStart w:name="z4672" w:id="4557"/>
    <w:p>
      <w:pPr>
        <w:spacing w:after="0"/>
        <w:ind w:left="0"/>
        <w:jc w:val="both"/>
      </w:pPr>
      <w:r>
        <w:rPr>
          <w:rFonts w:ascii="Times New Roman"/>
          <w:b w:val="false"/>
          <w:i w:val="false"/>
          <w:color w:val="000000"/>
          <w:sz w:val="28"/>
        </w:rPr>
        <w:t>
      ___________________________________________________________________________</w:t>
      </w:r>
    </w:p>
    <w:bookmarkEnd w:id="4557"/>
    <w:bookmarkStart w:name="z4673" w:id="4558"/>
    <w:p>
      <w:pPr>
        <w:spacing w:after="0"/>
        <w:ind w:left="0"/>
        <w:jc w:val="both"/>
      </w:pPr>
      <w:r>
        <w:rPr>
          <w:rFonts w:ascii="Times New Roman"/>
          <w:b w:val="false"/>
          <w:i w:val="false"/>
          <w:color w:val="000000"/>
          <w:sz w:val="28"/>
        </w:rPr>
        <w:t>
      ___________________________________________________________________________</w:t>
      </w:r>
    </w:p>
    <w:bookmarkEnd w:id="4558"/>
    <w:bookmarkStart w:name="z4674" w:id="4559"/>
    <w:p>
      <w:pPr>
        <w:spacing w:after="0"/>
        <w:ind w:left="0"/>
        <w:jc w:val="both"/>
      </w:pPr>
      <w:r>
        <w:rPr>
          <w:rFonts w:ascii="Times New Roman"/>
          <w:b w:val="false"/>
          <w:i w:val="false"/>
          <w:color w:val="000000"/>
          <w:sz w:val="28"/>
        </w:rPr>
        <w:t>
       </w:t>
      </w:r>
    </w:p>
    <w:bookmarkEnd w:id="4559"/>
    <w:bookmarkStart w:name="z4675" w:id="4560"/>
    <w:p>
      <w:pPr>
        <w:spacing w:after="0"/>
        <w:ind w:left="0"/>
        <w:jc w:val="left"/>
      </w:pPr>
      <w:r>
        <w:rPr>
          <w:rFonts w:ascii="Times New Roman"/>
          <w:b/>
          <w:i w:val="false"/>
          <w:color w:val="000000"/>
        </w:rPr>
        <w:t xml:space="preserve"> S.3. Описание характеристик</w:t>
      </w:r>
    </w:p>
    <w:bookmarkEnd w:id="4560"/>
    <w:bookmarkStart w:name="z4676" w:id="4561"/>
    <w:p>
      <w:pPr>
        <w:spacing w:after="0"/>
        <w:ind w:left="0"/>
        <w:jc w:val="both"/>
      </w:pPr>
      <w:r>
        <w:rPr>
          <w:rFonts w:ascii="Times New Roman"/>
          <w:b w:val="false"/>
          <w:i w:val="false"/>
          <w:color w:val="000000"/>
          <w:sz w:val="28"/>
        </w:rPr>
        <w:t>
      ___________________________________________________________________________</w:t>
      </w:r>
    </w:p>
    <w:bookmarkEnd w:id="4561"/>
    <w:bookmarkStart w:name="z4677" w:id="4562"/>
    <w:p>
      <w:pPr>
        <w:spacing w:after="0"/>
        <w:ind w:left="0"/>
        <w:jc w:val="both"/>
      </w:pPr>
      <w:r>
        <w:rPr>
          <w:rFonts w:ascii="Times New Roman"/>
          <w:b w:val="false"/>
          <w:i w:val="false"/>
          <w:color w:val="000000"/>
          <w:sz w:val="28"/>
        </w:rPr>
        <w:t>
      ___________________________________________________________________________</w:t>
      </w:r>
    </w:p>
    <w:bookmarkEnd w:id="4562"/>
    <w:bookmarkStart w:name="z4678" w:id="4563"/>
    <w:p>
      <w:pPr>
        <w:spacing w:after="0"/>
        <w:ind w:left="0"/>
        <w:jc w:val="both"/>
      </w:pPr>
      <w:r>
        <w:rPr>
          <w:rFonts w:ascii="Times New Roman"/>
          <w:b w:val="false"/>
          <w:i w:val="false"/>
          <w:color w:val="000000"/>
          <w:sz w:val="28"/>
        </w:rPr>
        <w:t>
      ___________________________________________________________________________</w:t>
      </w:r>
    </w:p>
    <w:bookmarkEnd w:id="4563"/>
    <w:bookmarkStart w:name="z4679" w:id="4564"/>
    <w:p>
      <w:pPr>
        <w:spacing w:after="0"/>
        <w:ind w:left="0"/>
        <w:jc w:val="both"/>
      </w:pPr>
      <w:r>
        <w:rPr>
          <w:rFonts w:ascii="Times New Roman"/>
          <w:b w:val="false"/>
          <w:i w:val="false"/>
          <w:color w:val="000000"/>
          <w:sz w:val="28"/>
        </w:rPr>
        <w:t>
       </w:t>
      </w:r>
    </w:p>
    <w:bookmarkEnd w:id="4564"/>
    <w:bookmarkStart w:name="z4680" w:id="4565"/>
    <w:p>
      <w:pPr>
        <w:spacing w:after="0"/>
        <w:ind w:left="0"/>
        <w:jc w:val="both"/>
      </w:pPr>
      <w:r>
        <w:rPr>
          <w:rFonts w:ascii="Times New Roman"/>
          <w:b w:val="false"/>
          <w:i w:val="false"/>
          <w:color w:val="000000"/>
          <w:sz w:val="28"/>
        </w:rPr>
        <w:t>
      S.3.2. Примеси (в соответствии с приложением № 10 к Правилам регистрации и экспертизы лекарственных препаратов в рамках Евразийского экономического союза, утверждаемым Евразийской экономической комиссией (если применимо)).</w:t>
      </w:r>
    </w:p>
    <w:bookmarkEnd w:id="4565"/>
    <w:bookmarkStart w:name="z4681" w:id="4566"/>
    <w:p>
      <w:pPr>
        <w:spacing w:after="0"/>
        <w:ind w:left="0"/>
        <w:jc w:val="both"/>
      </w:pPr>
      <w:r>
        <w:rPr>
          <w:rFonts w:ascii="Times New Roman"/>
          <w:b w:val="false"/>
          <w:i w:val="false"/>
          <w:color w:val="000000"/>
          <w:sz w:val="28"/>
        </w:rPr>
        <w:t>
       </w:t>
      </w:r>
    </w:p>
    <w:bookmarkEnd w:id="4566"/>
    <w:bookmarkStart w:name="z4682" w:id="4567"/>
    <w:p>
      <w:pPr>
        <w:spacing w:after="0"/>
        <w:ind w:left="0"/>
        <w:jc w:val="both"/>
      </w:pPr>
      <w:r>
        <w:rPr>
          <w:rFonts w:ascii="Times New Roman"/>
          <w:b w:val="false"/>
          <w:i w:val="false"/>
          <w:color w:val="000000"/>
          <w:sz w:val="28"/>
        </w:rPr>
        <w:t>
      ___________________________________________________________________________</w:t>
      </w:r>
    </w:p>
    <w:bookmarkEnd w:id="4567"/>
    <w:bookmarkStart w:name="z4683" w:id="4568"/>
    <w:p>
      <w:pPr>
        <w:spacing w:after="0"/>
        <w:ind w:left="0"/>
        <w:jc w:val="both"/>
      </w:pPr>
      <w:r>
        <w:rPr>
          <w:rFonts w:ascii="Times New Roman"/>
          <w:b w:val="false"/>
          <w:i w:val="false"/>
          <w:color w:val="000000"/>
          <w:sz w:val="28"/>
        </w:rPr>
        <w:t>
      ___________________________________________________________________________</w:t>
      </w:r>
    </w:p>
    <w:bookmarkEnd w:id="4568"/>
    <w:bookmarkStart w:name="z4684" w:id="4569"/>
    <w:p>
      <w:pPr>
        <w:spacing w:after="0"/>
        <w:ind w:left="0"/>
        <w:jc w:val="both"/>
      </w:pPr>
      <w:r>
        <w:rPr>
          <w:rFonts w:ascii="Times New Roman"/>
          <w:b w:val="false"/>
          <w:i w:val="false"/>
          <w:color w:val="000000"/>
          <w:sz w:val="28"/>
        </w:rPr>
        <w:t>
      ___________________________________________________________________________</w:t>
      </w:r>
    </w:p>
    <w:bookmarkEnd w:id="4569"/>
    <w:bookmarkStart w:name="z4685" w:id="4570"/>
    <w:p>
      <w:pPr>
        <w:spacing w:after="0"/>
        <w:ind w:left="0"/>
        <w:jc w:val="both"/>
      </w:pPr>
      <w:r>
        <w:rPr>
          <w:rFonts w:ascii="Times New Roman"/>
          <w:b w:val="false"/>
          <w:i w:val="false"/>
          <w:color w:val="000000"/>
          <w:sz w:val="28"/>
        </w:rPr>
        <w:t>
       </w:t>
      </w:r>
    </w:p>
    <w:bookmarkEnd w:id="4570"/>
    <w:bookmarkStart w:name="z4686" w:id="4571"/>
    <w:p>
      <w:pPr>
        <w:spacing w:after="0"/>
        <w:ind w:left="0"/>
        <w:jc w:val="left"/>
      </w:pPr>
      <w:r>
        <w:rPr>
          <w:rFonts w:ascii="Times New Roman"/>
          <w:b/>
          <w:i w:val="false"/>
          <w:color w:val="000000"/>
        </w:rPr>
        <w:t xml:space="preserve"> S.4. Контроль АФИ</w:t>
      </w:r>
    </w:p>
    <w:bookmarkEnd w:id="4571"/>
    <w:bookmarkStart w:name="z4687" w:id="4572"/>
    <w:p>
      <w:pPr>
        <w:spacing w:after="0"/>
        <w:ind w:left="0"/>
        <w:jc w:val="both"/>
      </w:pPr>
      <w:r>
        <w:rPr>
          <w:rFonts w:ascii="Times New Roman"/>
          <w:b w:val="false"/>
          <w:i w:val="false"/>
          <w:color w:val="000000"/>
          <w:sz w:val="28"/>
        </w:rPr>
        <w:t>
      ___________________________________________________________________________</w:t>
      </w:r>
    </w:p>
    <w:bookmarkEnd w:id="4572"/>
    <w:bookmarkStart w:name="z4688" w:id="4573"/>
    <w:p>
      <w:pPr>
        <w:spacing w:after="0"/>
        <w:ind w:left="0"/>
        <w:jc w:val="both"/>
      </w:pPr>
      <w:r>
        <w:rPr>
          <w:rFonts w:ascii="Times New Roman"/>
          <w:b w:val="false"/>
          <w:i w:val="false"/>
          <w:color w:val="000000"/>
          <w:sz w:val="28"/>
        </w:rPr>
        <w:t>
      ___________________________________________________________________________</w:t>
      </w:r>
    </w:p>
    <w:bookmarkEnd w:id="4573"/>
    <w:bookmarkStart w:name="z4689" w:id="4574"/>
    <w:p>
      <w:pPr>
        <w:spacing w:after="0"/>
        <w:ind w:left="0"/>
        <w:jc w:val="both"/>
      </w:pPr>
      <w:r>
        <w:rPr>
          <w:rFonts w:ascii="Times New Roman"/>
          <w:b w:val="false"/>
          <w:i w:val="false"/>
          <w:color w:val="000000"/>
          <w:sz w:val="28"/>
        </w:rPr>
        <w:t>
      ___________________________________________________________________________</w:t>
      </w:r>
    </w:p>
    <w:bookmarkEnd w:id="4574"/>
    <w:bookmarkStart w:name="z4690" w:id="4575"/>
    <w:p>
      <w:pPr>
        <w:spacing w:after="0"/>
        <w:ind w:left="0"/>
        <w:jc w:val="both"/>
      </w:pPr>
      <w:r>
        <w:rPr>
          <w:rFonts w:ascii="Times New Roman"/>
          <w:b w:val="false"/>
          <w:i w:val="false"/>
          <w:color w:val="000000"/>
          <w:sz w:val="28"/>
        </w:rPr>
        <w:t>
       </w:t>
      </w:r>
    </w:p>
    <w:bookmarkEnd w:id="4575"/>
    <w:bookmarkStart w:name="z4691" w:id="4576"/>
    <w:p>
      <w:pPr>
        <w:spacing w:after="0"/>
        <w:ind w:left="0"/>
        <w:jc w:val="both"/>
      </w:pPr>
      <w:r>
        <w:rPr>
          <w:rFonts w:ascii="Times New Roman"/>
          <w:b w:val="false"/>
          <w:i w:val="false"/>
          <w:color w:val="000000"/>
          <w:sz w:val="28"/>
        </w:rPr>
        <w:t>
      S.4.5. Обоснование спецификации (в соответствии с приложением № 10 к Правилам регистрации и экспертизы лекарственных препаратов в рамках Евразийского экономического союза, утверждаемым Евразийской экономической комиссией (если применимо)).</w:t>
      </w:r>
    </w:p>
    <w:bookmarkEnd w:id="4576"/>
    <w:bookmarkStart w:name="z4692" w:id="4577"/>
    <w:p>
      <w:pPr>
        <w:spacing w:after="0"/>
        <w:ind w:left="0"/>
        <w:jc w:val="both"/>
      </w:pPr>
      <w:r>
        <w:rPr>
          <w:rFonts w:ascii="Times New Roman"/>
          <w:b w:val="false"/>
          <w:i w:val="false"/>
          <w:color w:val="000000"/>
          <w:sz w:val="28"/>
        </w:rPr>
        <w:t>
       </w:t>
      </w:r>
    </w:p>
    <w:bookmarkEnd w:id="4577"/>
    <w:bookmarkStart w:name="z4693" w:id="4578"/>
    <w:p>
      <w:pPr>
        <w:spacing w:after="0"/>
        <w:ind w:left="0"/>
        <w:jc w:val="both"/>
      </w:pPr>
      <w:r>
        <w:rPr>
          <w:rFonts w:ascii="Times New Roman"/>
          <w:b w:val="false"/>
          <w:i w:val="false"/>
          <w:color w:val="000000"/>
          <w:sz w:val="28"/>
        </w:rPr>
        <w:t>
      ___________________________________________________________________________</w:t>
      </w:r>
    </w:p>
    <w:bookmarkEnd w:id="4578"/>
    <w:bookmarkStart w:name="z4694" w:id="4579"/>
    <w:p>
      <w:pPr>
        <w:spacing w:after="0"/>
        <w:ind w:left="0"/>
        <w:jc w:val="both"/>
      </w:pPr>
      <w:r>
        <w:rPr>
          <w:rFonts w:ascii="Times New Roman"/>
          <w:b w:val="false"/>
          <w:i w:val="false"/>
          <w:color w:val="000000"/>
          <w:sz w:val="28"/>
        </w:rPr>
        <w:t>
      ___________________________________________________________________________</w:t>
      </w:r>
    </w:p>
    <w:bookmarkEnd w:id="4579"/>
    <w:bookmarkStart w:name="z4695" w:id="4580"/>
    <w:p>
      <w:pPr>
        <w:spacing w:after="0"/>
        <w:ind w:left="0"/>
        <w:jc w:val="both"/>
      </w:pPr>
      <w:r>
        <w:rPr>
          <w:rFonts w:ascii="Times New Roman"/>
          <w:b w:val="false"/>
          <w:i w:val="false"/>
          <w:color w:val="000000"/>
          <w:sz w:val="28"/>
        </w:rPr>
        <w:t>
      ___________________________________________________________________________</w:t>
      </w:r>
    </w:p>
    <w:bookmarkEnd w:id="4580"/>
    <w:bookmarkStart w:name="z4696" w:id="4581"/>
    <w:p>
      <w:pPr>
        <w:spacing w:after="0"/>
        <w:ind w:left="0"/>
        <w:jc w:val="both"/>
      </w:pPr>
      <w:r>
        <w:rPr>
          <w:rFonts w:ascii="Times New Roman"/>
          <w:b w:val="false"/>
          <w:i w:val="false"/>
          <w:color w:val="000000"/>
          <w:sz w:val="28"/>
        </w:rPr>
        <w:t>
       </w:t>
      </w:r>
    </w:p>
    <w:bookmarkEnd w:id="4581"/>
    <w:bookmarkStart w:name="z4697" w:id="4582"/>
    <w:p>
      <w:pPr>
        <w:spacing w:after="0"/>
        <w:ind w:left="0"/>
        <w:jc w:val="left"/>
      </w:pPr>
      <w:r>
        <w:rPr>
          <w:rFonts w:ascii="Times New Roman"/>
          <w:b/>
          <w:i w:val="false"/>
          <w:color w:val="000000"/>
        </w:rPr>
        <w:t xml:space="preserve"> ОБЩЕЕ ЗАКЛЮЧЕНИЕ по закрытой части МФАФС</w:t>
      </w:r>
    </w:p>
    <w:bookmarkEnd w:id="4582"/>
    <w:bookmarkStart w:name="z4698" w:id="4583"/>
    <w:p>
      <w:pPr>
        <w:spacing w:after="0"/>
        <w:ind w:left="0"/>
        <w:jc w:val="both"/>
      </w:pPr>
      <w:r>
        <w:rPr>
          <w:rFonts w:ascii="Times New Roman"/>
          <w:b w:val="false"/>
          <w:i w:val="false"/>
          <w:color w:val="000000"/>
          <w:sz w:val="28"/>
        </w:rPr>
        <w:t>
      ___________________________________________________________________________</w:t>
      </w:r>
    </w:p>
    <w:bookmarkEnd w:id="4583"/>
    <w:bookmarkStart w:name="z4699" w:id="4584"/>
    <w:p>
      <w:pPr>
        <w:spacing w:after="0"/>
        <w:ind w:left="0"/>
        <w:jc w:val="both"/>
      </w:pPr>
      <w:r>
        <w:rPr>
          <w:rFonts w:ascii="Times New Roman"/>
          <w:b w:val="false"/>
          <w:i w:val="false"/>
          <w:color w:val="000000"/>
          <w:sz w:val="28"/>
        </w:rPr>
        <w:t>
      ___________________________________________________________________________</w:t>
      </w:r>
    </w:p>
    <w:bookmarkEnd w:id="4584"/>
    <w:bookmarkStart w:name="z4700" w:id="4585"/>
    <w:p>
      <w:pPr>
        <w:spacing w:after="0"/>
        <w:ind w:left="0"/>
        <w:jc w:val="both"/>
      </w:pPr>
      <w:r>
        <w:rPr>
          <w:rFonts w:ascii="Times New Roman"/>
          <w:b w:val="false"/>
          <w:i w:val="false"/>
          <w:color w:val="000000"/>
          <w:sz w:val="28"/>
        </w:rPr>
        <w:t>
      ___________________________________________________________________________</w:t>
      </w:r>
    </w:p>
    <w:bookmarkEnd w:id="4585"/>
    <w:bookmarkStart w:name="z4701" w:id="4586"/>
    <w:p>
      <w:pPr>
        <w:spacing w:after="0"/>
        <w:ind w:left="0"/>
        <w:jc w:val="both"/>
      </w:pPr>
      <w:r>
        <w:rPr>
          <w:rFonts w:ascii="Times New Roman"/>
          <w:b w:val="false"/>
          <w:i w:val="false"/>
          <w:color w:val="000000"/>
          <w:sz w:val="28"/>
        </w:rPr>
        <w:t>
       </w:t>
      </w:r>
    </w:p>
    <w:bookmarkEnd w:id="4586"/>
    <w:bookmarkStart w:name="z4702" w:id="4587"/>
    <w:p>
      <w:pPr>
        <w:spacing w:after="0"/>
        <w:ind w:left="0"/>
        <w:jc w:val="left"/>
      </w:pPr>
      <w:r>
        <w:rPr>
          <w:rFonts w:ascii="Times New Roman"/>
          <w:b/>
          <w:i w:val="false"/>
          <w:color w:val="000000"/>
        </w:rPr>
        <w:t xml:space="preserve"> ПЕРЕЧЕНЬ ЗАМЕЧАНИЙ к закрытой части МФАФС </w:t>
      </w:r>
    </w:p>
    <w:bookmarkEnd w:id="4587"/>
    <w:bookmarkStart w:name="z4703" w:id="4588"/>
    <w:p>
      <w:pPr>
        <w:spacing w:after="0"/>
        <w:ind w:left="0"/>
        <w:jc w:val="both"/>
      </w:pPr>
      <w:r>
        <w:rPr>
          <w:rFonts w:ascii="Times New Roman"/>
          <w:b w:val="false"/>
          <w:i w:val="false"/>
          <w:color w:val="000000"/>
          <w:sz w:val="28"/>
        </w:rPr>
        <w:t>
      Критические замечания:</w:t>
      </w:r>
    </w:p>
    <w:bookmarkEnd w:id="4588"/>
    <w:bookmarkStart w:name="z4704" w:id="4589"/>
    <w:p>
      <w:pPr>
        <w:spacing w:after="0"/>
        <w:ind w:left="0"/>
        <w:jc w:val="both"/>
      </w:pPr>
      <w:r>
        <w:rPr>
          <w:rFonts w:ascii="Times New Roman"/>
          <w:b w:val="false"/>
          <w:i w:val="false"/>
          <w:color w:val="000000"/>
          <w:sz w:val="28"/>
        </w:rPr>
        <w:t>
       </w:t>
      </w:r>
    </w:p>
    <w:bookmarkEnd w:id="4589"/>
    <w:bookmarkStart w:name="z4705" w:id="4590"/>
    <w:p>
      <w:pPr>
        <w:spacing w:after="0"/>
        <w:ind w:left="0"/>
        <w:jc w:val="both"/>
      </w:pPr>
      <w:r>
        <w:rPr>
          <w:rFonts w:ascii="Times New Roman"/>
          <w:b w:val="false"/>
          <w:i w:val="false"/>
          <w:color w:val="000000"/>
          <w:sz w:val="28"/>
        </w:rPr>
        <w:t>
      ___________________________________________________________________________</w:t>
      </w:r>
    </w:p>
    <w:bookmarkEnd w:id="4590"/>
    <w:bookmarkStart w:name="z4706" w:id="4591"/>
    <w:p>
      <w:pPr>
        <w:spacing w:after="0"/>
        <w:ind w:left="0"/>
        <w:jc w:val="both"/>
      </w:pPr>
      <w:r>
        <w:rPr>
          <w:rFonts w:ascii="Times New Roman"/>
          <w:b w:val="false"/>
          <w:i w:val="false"/>
          <w:color w:val="000000"/>
          <w:sz w:val="28"/>
        </w:rPr>
        <w:t>
      ___________________________________________________________________________</w:t>
      </w:r>
    </w:p>
    <w:bookmarkEnd w:id="4591"/>
    <w:bookmarkStart w:name="z4707" w:id="4592"/>
    <w:p>
      <w:pPr>
        <w:spacing w:after="0"/>
        <w:ind w:left="0"/>
        <w:jc w:val="both"/>
      </w:pPr>
      <w:r>
        <w:rPr>
          <w:rFonts w:ascii="Times New Roman"/>
          <w:b w:val="false"/>
          <w:i w:val="false"/>
          <w:color w:val="000000"/>
          <w:sz w:val="28"/>
        </w:rPr>
        <w:t>
      ___________________________________________________________________________</w:t>
      </w:r>
    </w:p>
    <w:bookmarkEnd w:id="4592"/>
    <w:bookmarkStart w:name="z4708" w:id="4593"/>
    <w:p>
      <w:pPr>
        <w:spacing w:after="0"/>
        <w:ind w:left="0"/>
        <w:jc w:val="both"/>
      </w:pPr>
      <w:r>
        <w:rPr>
          <w:rFonts w:ascii="Times New Roman"/>
          <w:b w:val="false"/>
          <w:i w:val="false"/>
          <w:color w:val="000000"/>
          <w:sz w:val="28"/>
        </w:rPr>
        <w:t>
       </w:t>
      </w:r>
    </w:p>
    <w:bookmarkEnd w:id="4593"/>
    <w:bookmarkStart w:name="z4709" w:id="4594"/>
    <w:p>
      <w:pPr>
        <w:spacing w:after="0"/>
        <w:ind w:left="0"/>
        <w:jc w:val="both"/>
      </w:pPr>
      <w:r>
        <w:rPr>
          <w:rFonts w:ascii="Times New Roman"/>
          <w:b w:val="false"/>
          <w:i w:val="false"/>
          <w:color w:val="000000"/>
          <w:sz w:val="28"/>
        </w:rPr>
        <w:t>
      Прочие замечания:</w:t>
      </w:r>
    </w:p>
    <w:bookmarkEnd w:id="4594"/>
    <w:bookmarkStart w:name="z4710" w:id="4595"/>
    <w:p>
      <w:pPr>
        <w:spacing w:after="0"/>
        <w:ind w:left="0"/>
        <w:jc w:val="both"/>
      </w:pPr>
      <w:r>
        <w:rPr>
          <w:rFonts w:ascii="Times New Roman"/>
          <w:b w:val="false"/>
          <w:i w:val="false"/>
          <w:color w:val="000000"/>
          <w:sz w:val="28"/>
        </w:rPr>
        <w:t>
       </w:t>
      </w:r>
    </w:p>
    <w:bookmarkEnd w:id="4595"/>
    <w:bookmarkStart w:name="z4711" w:id="4596"/>
    <w:p>
      <w:pPr>
        <w:spacing w:after="0"/>
        <w:ind w:left="0"/>
        <w:jc w:val="both"/>
      </w:pPr>
      <w:r>
        <w:rPr>
          <w:rFonts w:ascii="Times New Roman"/>
          <w:b w:val="false"/>
          <w:i w:val="false"/>
          <w:color w:val="000000"/>
          <w:sz w:val="28"/>
        </w:rPr>
        <w:t>
      ___________________________________________________________________________</w:t>
      </w:r>
    </w:p>
    <w:bookmarkEnd w:id="4596"/>
    <w:bookmarkStart w:name="z4712" w:id="4597"/>
    <w:p>
      <w:pPr>
        <w:spacing w:after="0"/>
        <w:ind w:left="0"/>
        <w:jc w:val="both"/>
      </w:pPr>
      <w:r>
        <w:rPr>
          <w:rFonts w:ascii="Times New Roman"/>
          <w:b w:val="false"/>
          <w:i w:val="false"/>
          <w:color w:val="000000"/>
          <w:sz w:val="28"/>
        </w:rPr>
        <w:t>
      ___________________________________________________________________________</w:t>
      </w:r>
    </w:p>
    <w:bookmarkEnd w:id="4597"/>
    <w:bookmarkStart w:name="z4713" w:id="4598"/>
    <w:p>
      <w:pPr>
        <w:spacing w:after="0"/>
        <w:ind w:left="0"/>
        <w:jc w:val="both"/>
      </w:pPr>
      <w:r>
        <w:rPr>
          <w:rFonts w:ascii="Times New Roman"/>
          <w:b w:val="false"/>
          <w:i w:val="false"/>
          <w:color w:val="000000"/>
          <w:sz w:val="28"/>
        </w:rPr>
        <w:t>
      ___________________________________________________________________________</w:t>
      </w:r>
    </w:p>
    <w:bookmarkEnd w:id="4598"/>
    <w:bookmarkStart w:name="z4714" w:id="4599"/>
    <w:p>
      <w:pPr>
        <w:spacing w:after="0"/>
        <w:ind w:left="0"/>
        <w:jc w:val="left"/>
      </w:pPr>
      <w:r>
        <w:rPr>
          <w:rFonts w:ascii="Times New Roman"/>
          <w:b/>
          <w:i w:val="false"/>
          <w:color w:val="000000"/>
        </w:rPr>
        <w:t xml:space="preserve"> ОЦЕНКА ОТВЕТОВ</w:t>
      </w:r>
      <w:r>
        <w:br/>
      </w:r>
      <w:r>
        <w:rPr>
          <w:rFonts w:ascii="Times New Roman"/>
          <w:b/>
          <w:i w:val="false"/>
          <w:color w:val="000000"/>
        </w:rPr>
        <w:t xml:space="preserve">на перечень замечаний к закрытой части МФАФС </w:t>
      </w:r>
    </w:p>
    <w:bookmarkEnd w:id="4599"/>
    <w:bookmarkStart w:name="z4715" w:id="4600"/>
    <w:p>
      <w:pPr>
        <w:spacing w:after="0"/>
        <w:ind w:left="0"/>
        <w:jc w:val="both"/>
      </w:pPr>
      <w:r>
        <w:rPr>
          <w:rFonts w:ascii="Times New Roman"/>
          <w:b w:val="false"/>
          <w:i w:val="false"/>
          <w:color w:val="000000"/>
          <w:sz w:val="28"/>
        </w:rPr>
        <w:t>
      Критические замечания:</w:t>
      </w:r>
    </w:p>
    <w:bookmarkEnd w:id="4600"/>
    <w:bookmarkStart w:name="z4716" w:id="4601"/>
    <w:p>
      <w:pPr>
        <w:spacing w:after="0"/>
        <w:ind w:left="0"/>
        <w:jc w:val="both"/>
      </w:pPr>
      <w:r>
        <w:rPr>
          <w:rFonts w:ascii="Times New Roman"/>
          <w:b w:val="false"/>
          <w:i w:val="false"/>
          <w:color w:val="000000"/>
          <w:sz w:val="28"/>
        </w:rPr>
        <w:t>
       </w:t>
      </w:r>
    </w:p>
    <w:bookmarkEnd w:id="4601"/>
    <w:bookmarkStart w:name="z4717" w:id="4602"/>
    <w:p>
      <w:pPr>
        <w:spacing w:after="0"/>
        <w:ind w:left="0"/>
        <w:jc w:val="both"/>
      </w:pPr>
      <w:r>
        <w:rPr>
          <w:rFonts w:ascii="Times New Roman"/>
          <w:b w:val="false"/>
          <w:i w:val="false"/>
          <w:color w:val="000000"/>
          <w:sz w:val="28"/>
        </w:rPr>
        <w:t>
      Вопрос ________________________________________________________________</w:t>
      </w:r>
    </w:p>
    <w:bookmarkEnd w:id="4602"/>
    <w:bookmarkStart w:name="z4718" w:id="4603"/>
    <w:p>
      <w:pPr>
        <w:spacing w:after="0"/>
        <w:ind w:left="0"/>
        <w:jc w:val="both"/>
      </w:pPr>
      <w:r>
        <w:rPr>
          <w:rFonts w:ascii="Times New Roman"/>
          <w:b w:val="false"/>
          <w:i w:val="false"/>
          <w:color w:val="000000"/>
          <w:sz w:val="28"/>
        </w:rPr>
        <w:t>
      ___________________________________________________________________________</w:t>
      </w:r>
    </w:p>
    <w:bookmarkEnd w:id="4603"/>
    <w:bookmarkStart w:name="z4719" w:id="4604"/>
    <w:p>
      <w:pPr>
        <w:spacing w:after="0"/>
        <w:ind w:left="0"/>
        <w:jc w:val="both"/>
      </w:pPr>
      <w:r>
        <w:rPr>
          <w:rFonts w:ascii="Times New Roman"/>
          <w:b w:val="false"/>
          <w:i w:val="false"/>
          <w:color w:val="000000"/>
          <w:sz w:val="28"/>
        </w:rPr>
        <w:t>
      Резюме ответа держателя МФАФС _________________________________________</w:t>
      </w:r>
    </w:p>
    <w:bookmarkEnd w:id="4604"/>
    <w:bookmarkStart w:name="z4720" w:id="4605"/>
    <w:p>
      <w:pPr>
        <w:spacing w:after="0"/>
        <w:ind w:left="0"/>
        <w:jc w:val="both"/>
      </w:pPr>
      <w:r>
        <w:rPr>
          <w:rFonts w:ascii="Times New Roman"/>
          <w:b w:val="false"/>
          <w:i w:val="false"/>
          <w:color w:val="000000"/>
          <w:sz w:val="28"/>
        </w:rPr>
        <w:t>
      ___________________________________________________________________________</w:t>
      </w:r>
    </w:p>
    <w:bookmarkEnd w:id="4605"/>
    <w:bookmarkStart w:name="z4721" w:id="4606"/>
    <w:p>
      <w:pPr>
        <w:spacing w:after="0"/>
        <w:ind w:left="0"/>
        <w:jc w:val="both"/>
      </w:pPr>
      <w:r>
        <w:rPr>
          <w:rFonts w:ascii="Times New Roman"/>
          <w:b w:val="false"/>
          <w:i w:val="false"/>
          <w:color w:val="000000"/>
          <w:sz w:val="28"/>
        </w:rPr>
        <w:t>
      Оценка ответа держателя МФАФС _________________________________________</w:t>
      </w:r>
    </w:p>
    <w:bookmarkEnd w:id="4606"/>
    <w:bookmarkStart w:name="z4722" w:id="4607"/>
    <w:p>
      <w:pPr>
        <w:spacing w:after="0"/>
        <w:ind w:left="0"/>
        <w:jc w:val="both"/>
      </w:pPr>
      <w:r>
        <w:rPr>
          <w:rFonts w:ascii="Times New Roman"/>
          <w:b w:val="false"/>
          <w:i w:val="false"/>
          <w:color w:val="000000"/>
          <w:sz w:val="28"/>
        </w:rPr>
        <w:t>
      ___________________________________________________________________________</w:t>
      </w:r>
    </w:p>
    <w:bookmarkEnd w:id="4607"/>
    <w:bookmarkStart w:name="z4723" w:id="4608"/>
    <w:p>
      <w:pPr>
        <w:spacing w:after="0"/>
        <w:ind w:left="0"/>
        <w:jc w:val="both"/>
      </w:pPr>
      <w:r>
        <w:rPr>
          <w:rFonts w:ascii="Times New Roman"/>
          <w:b w:val="false"/>
          <w:i w:val="false"/>
          <w:color w:val="000000"/>
          <w:sz w:val="28"/>
        </w:rPr>
        <w:t>
      Общее резюме и заключение _____________________________________________</w:t>
      </w:r>
    </w:p>
    <w:bookmarkEnd w:id="4608"/>
    <w:bookmarkStart w:name="z4724" w:id="4609"/>
    <w:p>
      <w:pPr>
        <w:spacing w:after="0"/>
        <w:ind w:left="0"/>
        <w:jc w:val="both"/>
      </w:pPr>
      <w:r>
        <w:rPr>
          <w:rFonts w:ascii="Times New Roman"/>
          <w:b w:val="false"/>
          <w:i w:val="false"/>
          <w:color w:val="000000"/>
          <w:sz w:val="28"/>
        </w:rPr>
        <w:t>
      ___________________________________________________________________________</w:t>
      </w:r>
    </w:p>
    <w:bookmarkEnd w:id="4609"/>
    <w:bookmarkStart w:name="z4725" w:id="4610"/>
    <w:p>
      <w:pPr>
        <w:spacing w:after="0"/>
        <w:ind w:left="0"/>
        <w:jc w:val="both"/>
      </w:pPr>
      <w:r>
        <w:rPr>
          <w:rFonts w:ascii="Times New Roman"/>
          <w:b w:val="false"/>
          <w:i w:val="false"/>
          <w:color w:val="000000"/>
          <w:sz w:val="28"/>
        </w:rPr>
        <w:t>
       </w:t>
      </w:r>
    </w:p>
    <w:bookmarkEnd w:id="4610"/>
    <w:bookmarkStart w:name="z4726" w:id="4611"/>
    <w:p>
      <w:pPr>
        <w:spacing w:after="0"/>
        <w:ind w:left="0"/>
        <w:jc w:val="both"/>
      </w:pPr>
      <w:r>
        <w:rPr>
          <w:rFonts w:ascii="Times New Roman"/>
          <w:b w:val="false"/>
          <w:i w:val="false"/>
          <w:color w:val="000000"/>
          <w:sz w:val="28"/>
        </w:rPr>
        <w:t>
      Прочие замечания:</w:t>
      </w:r>
    </w:p>
    <w:bookmarkEnd w:id="4611"/>
    <w:bookmarkStart w:name="z4727" w:id="4612"/>
    <w:p>
      <w:pPr>
        <w:spacing w:after="0"/>
        <w:ind w:left="0"/>
        <w:jc w:val="both"/>
      </w:pPr>
      <w:r>
        <w:rPr>
          <w:rFonts w:ascii="Times New Roman"/>
          <w:b w:val="false"/>
          <w:i w:val="false"/>
          <w:color w:val="000000"/>
          <w:sz w:val="28"/>
        </w:rPr>
        <w:t>
       </w:t>
      </w:r>
    </w:p>
    <w:bookmarkEnd w:id="4612"/>
    <w:bookmarkStart w:name="z4728" w:id="4613"/>
    <w:p>
      <w:pPr>
        <w:spacing w:after="0"/>
        <w:ind w:left="0"/>
        <w:jc w:val="both"/>
      </w:pPr>
      <w:r>
        <w:rPr>
          <w:rFonts w:ascii="Times New Roman"/>
          <w:b w:val="false"/>
          <w:i w:val="false"/>
          <w:color w:val="000000"/>
          <w:sz w:val="28"/>
        </w:rPr>
        <w:t>
      Вопрос ________________________________________________________________</w:t>
      </w:r>
    </w:p>
    <w:bookmarkEnd w:id="4613"/>
    <w:bookmarkStart w:name="z4729" w:id="4614"/>
    <w:p>
      <w:pPr>
        <w:spacing w:after="0"/>
        <w:ind w:left="0"/>
        <w:jc w:val="both"/>
      </w:pPr>
      <w:r>
        <w:rPr>
          <w:rFonts w:ascii="Times New Roman"/>
          <w:b w:val="false"/>
          <w:i w:val="false"/>
          <w:color w:val="000000"/>
          <w:sz w:val="28"/>
        </w:rPr>
        <w:t>
      ___________________________________________________________________________</w:t>
      </w:r>
    </w:p>
    <w:bookmarkEnd w:id="4614"/>
    <w:bookmarkStart w:name="z4730" w:id="4615"/>
    <w:p>
      <w:pPr>
        <w:spacing w:after="0"/>
        <w:ind w:left="0"/>
        <w:jc w:val="both"/>
      </w:pPr>
      <w:r>
        <w:rPr>
          <w:rFonts w:ascii="Times New Roman"/>
          <w:b w:val="false"/>
          <w:i w:val="false"/>
          <w:color w:val="000000"/>
          <w:sz w:val="28"/>
        </w:rPr>
        <w:t>
      Резюме ответа держателя МФАФС _________________________________________</w:t>
      </w:r>
    </w:p>
    <w:bookmarkEnd w:id="4615"/>
    <w:bookmarkStart w:name="z4731" w:id="4616"/>
    <w:p>
      <w:pPr>
        <w:spacing w:after="0"/>
        <w:ind w:left="0"/>
        <w:jc w:val="both"/>
      </w:pPr>
      <w:r>
        <w:rPr>
          <w:rFonts w:ascii="Times New Roman"/>
          <w:b w:val="false"/>
          <w:i w:val="false"/>
          <w:color w:val="000000"/>
          <w:sz w:val="28"/>
        </w:rPr>
        <w:t>
      ___________________________________________________________________________</w:t>
      </w:r>
    </w:p>
    <w:bookmarkEnd w:id="4616"/>
    <w:bookmarkStart w:name="z4732" w:id="4617"/>
    <w:p>
      <w:pPr>
        <w:spacing w:after="0"/>
        <w:ind w:left="0"/>
        <w:jc w:val="both"/>
      </w:pPr>
      <w:r>
        <w:rPr>
          <w:rFonts w:ascii="Times New Roman"/>
          <w:b w:val="false"/>
          <w:i w:val="false"/>
          <w:color w:val="000000"/>
          <w:sz w:val="28"/>
        </w:rPr>
        <w:t>
      Оценка ответа держателя МФАФС _________________________________________</w:t>
      </w:r>
    </w:p>
    <w:bookmarkEnd w:id="4617"/>
    <w:bookmarkStart w:name="z4733" w:id="4618"/>
    <w:p>
      <w:pPr>
        <w:spacing w:after="0"/>
        <w:ind w:left="0"/>
        <w:jc w:val="both"/>
      </w:pPr>
      <w:r>
        <w:rPr>
          <w:rFonts w:ascii="Times New Roman"/>
          <w:b w:val="false"/>
          <w:i w:val="false"/>
          <w:color w:val="000000"/>
          <w:sz w:val="28"/>
        </w:rPr>
        <w:t>
      ___________________________________________________________________________</w:t>
      </w:r>
    </w:p>
    <w:bookmarkEnd w:id="4618"/>
    <w:bookmarkStart w:name="z4734" w:id="4619"/>
    <w:p>
      <w:pPr>
        <w:spacing w:after="0"/>
        <w:ind w:left="0"/>
        <w:jc w:val="both"/>
      </w:pPr>
      <w:r>
        <w:rPr>
          <w:rFonts w:ascii="Times New Roman"/>
          <w:b w:val="false"/>
          <w:i w:val="false"/>
          <w:color w:val="000000"/>
          <w:sz w:val="28"/>
        </w:rPr>
        <w:t>
      Общее резюме и заключение _____________________________________________</w:t>
      </w:r>
    </w:p>
    <w:bookmarkEnd w:id="4619"/>
    <w:bookmarkStart w:name="z4735" w:id="4620"/>
    <w:p>
      <w:pPr>
        <w:spacing w:after="0"/>
        <w:ind w:left="0"/>
        <w:jc w:val="both"/>
      </w:pPr>
      <w:r>
        <w:rPr>
          <w:rFonts w:ascii="Times New Roman"/>
          <w:b w:val="false"/>
          <w:i w:val="false"/>
          <w:color w:val="000000"/>
          <w:sz w:val="28"/>
        </w:rPr>
        <w:t>
      ___________________________________________________________________________</w:t>
      </w:r>
    </w:p>
    <w:bookmarkEnd w:id="4620"/>
    <w:bookmarkStart w:name="z4736" w:id="4621"/>
    <w:p>
      <w:pPr>
        <w:spacing w:after="0"/>
        <w:ind w:left="0"/>
        <w:jc w:val="left"/>
      </w:pPr>
      <w:r>
        <w:rPr>
          <w:rFonts w:ascii="Times New Roman"/>
          <w:b/>
          <w:i w:val="false"/>
          <w:color w:val="000000"/>
        </w:rPr>
        <w:t xml:space="preserve"> ОБЩЕЕ ЗАКЛЮЧЕНИЕ по закрытой части МФАФС</w:t>
      </w:r>
    </w:p>
    <w:bookmarkEnd w:id="4621"/>
    <w:bookmarkStart w:name="z4737" w:id="4622"/>
    <w:p>
      <w:pPr>
        <w:spacing w:after="0"/>
        <w:ind w:left="0"/>
        <w:jc w:val="both"/>
      </w:pPr>
      <w:r>
        <w:rPr>
          <w:rFonts w:ascii="Times New Roman"/>
          <w:b w:val="false"/>
          <w:i w:val="false"/>
          <w:color w:val="000000"/>
          <w:sz w:val="28"/>
        </w:rPr>
        <w:t>
      ___________________________________________________________________________</w:t>
      </w:r>
    </w:p>
    <w:bookmarkEnd w:id="4622"/>
    <w:bookmarkStart w:name="z4738" w:id="4623"/>
    <w:p>
      <w:pPr>
        <w:spacing w:after="0"/>
        <w:ind w:left="0"/>
        <w:jc w:val="both"/>
      </w:pPr>
      <w:r>
        <w:rPr>
          <w:rFonts w:ascii="Times New Roman"/>
          <w:b w:val="false"/>
          <w:i w:val="false"/>
          <w:color w:val="000000"/>
          <w:sz w:val="28"/>
        </w:rPr>
        <w:t>
      ___________________________________________________________________________</w:t>
      </w:r>
    </w:p>
    <w:bookmarkEnd w:id="4623"/>
    <w:bookmarkStart w:name="z4739" w:id="4624"/>
    <w:p>
      <w:pPr>
        <w:spacing w:after="0"/>
        <w:ind w:left="0"/>
        <w:jc w:val="both"/>
      </w:pPr>
      <w:r>
        <w:rPr>
          <w:rFonts w:ascii="Times New Roman"/>
          <w:b w:val="false"/>
          <w:i w:val="false"/>
          <w:color w:val="000000"/>
          <w:sz w:val="28"/>
        </w:rPr>
        <w:t>
      ___________________________________________________________________________</w:t>
      </w:r>
    </w:p>
    <w:bookmarkEnd w:id="4624"/>
    <w:bookmarkStart w:name="z4740" w:id="4625"/>
    <w:p>
      <w:pPr>
        <w:spacing w:after="0"/>
        <w:ind w:left="0"/>
        <w:jc w:val="left"/>
      </w:pPr>
      <w:r>
        <w:rPr>
          <w:rFonts w:ascii="Times New Roman"/>
          <w:b/>
          <w:i w:val="false"/>
          <w:color w:val="000000"/>
        </w:rPr>
        <w:t xml:space="preserve"> 11. Дополнение 2.</w:t>
      </w:r>
    </w:p>
    <w:bookmarkEnd w:id="4625"/>
    <w:bookmarkStart w:name="z4741" w:id="4626"/>
    <w:p>
      <w:pPr>
        <w:spacing w:after="0"/>
        <w:ind w:left="0"/>
        <w:jc w:val="left"/>
      </w:pPr>
      <w:r>
        <w:rPr>
          <w:rFonts w:ascii="Times New Roman"/>
          <w:b/>
          <w:i w:val="false"/>
          <w:color w:val="000000"/>
        </w:rPr>
        <w:t xml:space="preserve"> Проектное поле и протоколы управления изменениями (если применимо) </w:t>
      </w:r>
    </w:p>
    <w:bookmarkEnd w:id="4626"/>
    <w:bookmarkStart w:name="z4742" w:id="4627"/>
    <w:p>
      <w:pPr>
        <w:spacing w:after="0"/>
        <w:ind w:left="0"/>
        <w:jc w:val="both"/>
      </w:pPr>
      <w:r>
        <w:rPr>
          <w:rFonts w:ascii="Times New Roman"/>
          <w:b w:val="false"/>
          <w:i w:val="false"/>
          <w:color w:val="000000"/>
          <w:sz w:val="28"/>
        </w:rPr>
        <w:t>
      В данном разделе отчета следует кратко обобщить все аспекты разработки и проектирования лекарственной формы данного лекарственного препарата, его качества, безопасности и эффективности, согласованные в регистрационном досье и необходимые для обеспечения гибкого управления ими на пострегистрационном этапе. Дополнение в последующем может использоваться экспертами и фармацевтическими инспекторами в качестве основы для оценки пострегистрационных заявлений на внесение изменений.</w:t>
      </w:r>
    </w:p>
    <w:bookmarkEnd w:id="4627"/>
    <w:bookmarkStart w:name="z4743" w:id="4628"/>
    <w:p>
      <w:pPr>
        <w:spacing w:after="0"/>
        <w:ind w:left="0"/>
        <w:jc w:val="left"/>
      </w:pPr>
      <w:r>
        <w:rPr>
          <w:rFonts w:ascii="Times New Roman"/>
          <w:b/>
          <w:i w:val="false"/>
          <w:color w:val="000000"/>
        </w:rPr>
        <w:t xml:space="preserve"> 1. Активная фармацевтическая субстанция </w:t>
      </w:r>
    </w:p>
    <w:bookmarkEnd w:id="4628"/>
    <w:bookmarkStart w:name="z4744" w:id="4629"/>
    <w:p>
      <w:pPr>
        <w:spacing w:after="0"/>
        <w:ind w:left="0"/>
        <w:jc w:val="both"/>
      </w:pPr>
      <w:r>
        <w:rPr>
          <w:rFonts w:ascii="Times New Roman"/>
          <w:b w:val="false"/>
          <w:i w:val="false"/>
          <w:color w:val="000000"/>
          <w:sz w:val="28"/>
        </w:rPr>
        <w:t>
      1.1. Проектное поле для АФС.</w:t>
      </w:r>
    </w:p>
    <w:bookmarkEnd w:id="4629"/>
    <w:bookmarkStart w:name="z4745" w:id="4630"/>
    <w:p>
      <w:pPr>
        <w:spacing w:after="0"/>
        <w:ind w:left="0"/>
        <w:jc w:val="both"/>
      </w:pPr>
      <w:r>
        <w:rPr>
          <w:rFonts w:ascii="Times New Roman"/>
          <w:b w:val="false"/>
          <w:i w:val="false"/>
          <w:color w:val="000000"/>
          <w:sz w:val="28"/>
        </w:rPr>
        <w:t>
      Следует представить проектного поля (характеристики и соответствующие диапазоны их изменений) в табличном формате.</w:t>
      </w:r>
    </w:p>
    <w:bookmarkEnd w:id="4630"/>
    <w:bookmarkStart w:name="z4746" w:id="4631"/>
    <w:p>
      <w:pPr>
        <w:spacing w:after="0"/>
        <w:ind w:left="0"/>
        <w:jc w:val="both"/>
      </w:pPr>
      <w:r>
        <w:rPr>
          <w:rFonts w:ascii="Times New Roman"/>
          <w:b w:val="false"/>
          <w:i w:val="false"/>
          <w:color w:val="000000"/>
          <w:sz w:val="28"/>
        </w:rPr>
        <w:t>
      1.2. Протоколы управления изменениями для АФС.</w:t>
      </w:r>
    </w:p>
    <w:bookmarkEnd w:id="4631"/>
    <w:bookmarkStart w:name="z4747" w:id="4632"/>
    <w:p>
      <w:pPr>
        <w:spacing w:after="0"/>
        <w:ind w:left="0"/>
        <w:jc w:val="both"/>
      </w:pPr>
      <w:r>
        <w:rPr>
          <w:rFonts w:ascii="Times New Roman"/>
          <w:b w:val="false"/>
          <w:i w:val="false"/>
          <w:color w:val="000000"/>
          <w:sz w:val="28"/>
        </w:rPr>
        <w:t>
      Следует описать изменения, включенные в согласованный протокол, а также категории согласованных пределов отклонений для отчетности по внедрению изменений.</w:t>
      </w:r>
    </w:p>
    <w:bookmarkEnd w:id="4632"/>
    <w:bookmarkStart w:name="z4748" w:id="4633"/>
    <w:p>
      <w:pPr>
        <w:spacing w:after="0"/>
        <w:ind w:left="0"/>
        <w:jc w:val="left"/>
      </w:pPr>
      <w:r>
        <w:rPr>
          <w:rFonts w:ascii="Times New Roman"/>
          <w:b/>
          <w:i w:val="false"/>
          <w:color w:val="000000"/>
        </w:rPr>
        <w:t xml:space="preserve"> 2. Лекарственный препарат </w:t>
      </w:r>
    </w:p>
    <w:bookmarkEnd w:id="4633"/>
    <w:bookmarkStart w:name="z4749" w:id="4634"/>
    <w:p>
      <w:pPr>
        <w:spacing w:after="0"/>
        <w:ind w:left="0"/>
        <w:jc w:val="both"/>
      </w:pPr>
      <w:r>
        <w:rPr>
          <w:rFonts w:ascii="Times New Roman"/>
          <w:b w:val="false"/>
          <w:i w:val="false"/>
          <w:color w:val="000000"/>
          <w:sz w:val="28"/>
        </w:rPr>
        <w:t>
      2.1. Проектное поле для лекарственного препарата.</w:t>
      </w:r>
    </w:p>
    <w:bookmarkEnd w:id="4634"/>
    <w:bookmarkStart w:name="z4750" w:id="4635"/>
    <w:p>
      <w:pPr>
        <w:spacing w:after="0"/>
        <w:ind w:left="0"/>
        <w:jc w:val="both"/>
      </w:pPr>
      <w:r>
        <w:rPr>
          <w:rFonts w:ascii="Times New Roman"/>
          <w:b w:val="false"/>
          <w:i w:val="false"/>
          <w:color w:val="000000"/>
          <w:sz w:val="28"/>
        </w:rPr>
        <w:t>
      Представление проектного поля (характеристики и соответствующие диапазоны их изменений) в табличном формате.</w:t>
      </w:r>
    </w:p>
    <w:bookmarkEnd w:id="4635"/>
    <w:bookmarkStart w:name="z4751" w:id="4636"/>
    <w:p>
      <w:pPr>
        <w:spacing w:after="0"/>
        <w:ind w:left="0"/>
        <w:jc w:val="both"/>
      </w:pPr>
      <w:r>
        <w:rPr>
          <w:rFonts w:ascii="Times New Roman"/>
          <w:b w:val="false"/>
          <w:i w:val="false"/>
          <w:color w:val="000000"/>
          <w:sz w:val="28"/>
        </w:rPr>
        <w:t>
      2.2. Протоколы управления изменениями в отношении лекарственного препарата.</w:t>
      </w:r>
    </w:p>
    <w:bookmarkEnd w:id="4636"/>
    <w:bookmarkStart w:name="z4752" w:id="4637"/>
    <w:p>
      <w:pPr>
        <w:spacing w:after="0"/>
        <w:ind w:left="0"/>
        <w:jc w:val="both"/>
      </w:pPr>
      <w:r>
        <w:rPr>
          <w:rFonts w:ascii="Times New Roman"/>
          <w:b w:val="false"/>
          <w:i w:val="false"/>
          <w:color w:val="000000"/>
          <w:sz w:val="28"/>
        </w:rPr>
        <w:t>
      Описание изменений, включенных в согласованный протокол, а также категории согласованных вариаций для отчетности по внедрению изменений.</w:t>
      </w:r>
    </w:p>
    <w:bookmarkEnd w:id="4637"/>
    <w:bookmarkStart w:name="z4753" w:id="4638"/>
    <w:p>
      <w:pPr>
        <w:spacing w:after="0"/>
        <w:ind w:left="0"/>
        <w:jc w:val="both"/>
      </w:pPr>
      <w:r>
        <w:rPr>
          <w:rFonts w:ascii="Times New Roman"/>
          <w:b w:val="false"/>
          <w:i w:val="false"/>
          <w:color w:val="000000"/>
          <w:sz w:val="28"/>
        </w:rPr>
        <w:t>
       </w:t>
      </w:r>
    </w:p>
    <w:bookmarkEnd w:id="4638"/>
    <w:bookmarkStart w:name="z4754" w:id="4639"/>
    <w:p>
      <w:pPr>
        <w:spacing w:after="0"/>
        <w:ind w:left="0"/>
        <w:jc w:val="both"/>
      </w:pPr>
      <w:r>
        <w:rPr>
          <w:rFonts w:ascii="Times New Roman"/>
          <w:b w:val="false"/>
          <w:i w:val="false"/>
          <w:color w:val="000000"/>
          <w:sz w:val="28"/>
        </w:rPr>
        <w:t>
       </w:t>
      </w:r>
    </w:p>
    <w:bookmarkEnd w:id="4639"/>
    <w:bookmarkStart w:name="z4755" w:id="4640"/>
    <w:p>
      <w:pPr>
        <w:spacing w:after="0"/>
        <w:ind w:left="0"/>
        <w:jc w:val="both"/>
      </w:pPr>
      <w:r>
        <w:rPr>
          <w:rFonts w:ascii="Times New Roman"/>
          <w:b w:val="false"/>
          <w:i w:val="false"/>
          <w:color w:val="000000"/>
          <w:sz w:val="28"/>
        </w:rPr>
        <w:t>
       </w:t>
      </w:r>
    </w:p>
    <w:bookmarkEnd w:id="4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4757" w:id="4641"/>
    <w:p>
      <w:pPr>
        <w:spacing w:after="0"/>
        <w:ind w:left="0"/>
        <w:jc w:val="both"/>
      </w:pPr>
      <w:r>
        <w:rPr>
          <w:rFonts w:ascii="Times New Roman"/>
          <w:b w:val="false"/>
          <w:i w:val="false"/>
          <w:color w:val="000000"/>
          <w:sz w:val="28"/>
        </w:rPr>
        <w:t>
       </w:t>
      </w:r>
    </w:p>
    <w:bookmarkEnd w:id="4641"/>
    <w:bookmarkStart w:name="z4758" w:id="4642"/>
    <w:p>
      <w:pPr>
        <w:spacing w:after="0"/>
        <w:ind w:left="0"/>
        <w:jc w:val="left"/>
      </w:pPr>
      <w:r>
        <w:rPr>
          <w:rFonts w:ascii="Times New Roman"/>
          <w:b/>
          <w:i w:val="false"/>
          <w:color w:val="000000"/>
        </w:rPr>
        <w:t xml:space="preserve"> ФОРМА ЭКСПЕРТНОГО ОТЧЕТА ПО ПРИСВОЕНИЮ СТАТУСА НОВОЙ АКТИВНОЙ ФАРМАЦЕВТИЧЕСКОЙ СУБСТАНЦИИ </w:t>
      </w:r>
    </w:p>
    <w:bookmarkEnd w:id="4642"/>
    <w:bookmarkStart w:name="z4759" w:id="4643"/>
    <w:p>
      <w:pPr>
        <w:spacing w:after="0"/>
        <w:ind w:left="0"/>
        <w:jc w:val="both"/>
      </w:pPr>
      <w:r>
        <w:rPr>
          <w:rFonts w:ascii="Times New Roman"/>
          <w:b w:val="false"/>
          <w:i w:val="false"/>
          <w:color w:val="000000"/>
          <w:sz w:val="28"/>
        </w:rPr>
        <w:t>
      Указания по заполнению: при использовании готовых шаблонов текста они выделены в настоящей форме знаками &lt; &gt; и курсивом; фрагменты шаблонов текста, заполнение которых производится путем ввода определенных вариантов текста по указанному свойству (параметру) приведены в фигурных скобках { } с указанием свойства (параметра) который необходимо внести курсивом, если в форме предлагается выбор нескольких вариантов готовых фрагментов текста, условия выбора приведены в квадратных скобках [ ] обычным шрифтом.</w:t>
      </w:r>
    </w:p>
    <w:bookmarkEnd w:id="4643"/>
    <w:bookmarkStart w:name="z4760" w:id="4644"/>
    <w:p>
      <w:pPr>
        <w:spacing w:after="0"/>
        <w:ind w:left="0"/>
        <w:jc w:val="both"/>
      </w:pPr>
      <w:r>
        <w:rPr>
          <w:rFonts w:ascii="Times New Roman"/>
          <w:b w:val="false"/>
          <w:i w:val="false"/>
          <w:color w:val="000000"/>
          <w:sz w:val="28"/>
        </w:rPr>
        <w:t>
       </w:t>
      </w:r>
    </w:p>
    <w:bookmarkEnd w:id="4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62" w:id="4645"/>
    <w:p>
      <w:pPr>
        <w:spacing w:after="0"/>
        <w:ind w:left="0"/>
        <w:jc w:val="both"/>
      </w:pPr>
      <w:r>
        <w:rPr>
          <w:rFonts w:ascii="Times New Roman"/>
          <w:b w:val="false"/>
          <w:i w:val="false"/>
          <w:color w:val="000000"/>
          <w:sz w:val="28"/>
        </w:rPr>
        <w:t>
       </w:t>
      </w:r>
    </w:p>
    <w:bookmarkEnd w:id="4645"/>
    <w:bookmarkStart w:name="z4763" w:id="4646"/>
    <w:p>
      <w:pPr>
        <w:spacing w:after="0"/>
        <w:ind w:left="0"/>
        <w:jc w:val="left"/>
      </w:pPr>
      <w:r>
        <w:rPr>
          <w:rFonts w:ascii="Times New Roman"/>
          <w:b/>
          <w:i w:val="false"/>
          <w:color w:val="000000"/>
        </w:rPr>
        <w:t xml:space="preserve"> ЭКСПЕРТНЫЙ ОТЧЕТ </w:t>
      </w:r>
    </w:p>
    <w:bookmarkEnd w:id="4646"/>
    <w:bookmarkStart w:name="z4764" w:id="4647"/>
    <w:p>
      <w:pPr>
        <w:spacing w:after="0"/>
        <w:ind w:left="0"/>
        <w:jc w:val="both"/>
      </w:pPr>
      <w:r>
        <w:rPr>
          <w:rFonts w:ascii="Times New Roman"/>
          <w:b w:val="false"/>
          <w:i w:val="false"/>
          <w:color w:val="000000"/>
          <w:sz w:val="28"/>
        </w:rPr>
        <w:t>
       </w:t>
      </w:r>
    </w:p>
    <w:bookmarkEnd w:id="4647"/>
    <w:bookmarkStart w:name="z4765" w:id="4648"/>
    <w:p>
      <w:pPr>
        <w:spacing w:after="0"/>
        <w:ind w:left="0"/>
        <w:jc w:val="both"/>
      </w:pPr>
      <w:r>
        <w:rPr>
          <w:rFonts w:ascii="Times New Roman"/>
          <w:b w:val="false"/>
          <w:i w:val="false"/>
          <w:color w:val="000000"/>
          <w:sz w:val="28"/>
        </w:rPr>
        <w:t>
      по присвоению _______________________________________,</w:t>
      </w:r>
    </w:p>
    <w:bookmarkEnd w:id="4648"/>
    <w:bookmarkStart w:name="z4766" w:id="4649"/>
    <w:p>
      <w:pPr>
        <w:spacing w:after="0"/>
        <w:ind w:left="0"/>
        <w:jc w:val="both"/>
      </w:pPr>
      <w:r>
        <w:rPr>
          <w:rFonts w:ascii="Times New Roman"/>
          <w:b w:val="false"/>
          <w:i w:val="false"/>
          <w:color w:val="000000"/>
          <w:sz w:val="28"/>
        </w:rPr>
        <w:t>
       (наименование активной фармацевтической</w:t>
      </w:r>
    </w:p>
    <w:bookmarkEnd w:id="4649"/>
    <w:bookmarkStart w:name="z4767" w:id="4650"/>
    <w:p>
      <w:pPr>
        <w:spacing w:after="0"/>
        <w:ind w:left="0"/>
        <w:jc w:val="both"/>
      </w:pPr>
      <w:r>
        <w:rPr>
          <w:rFonts w:ascii="Times New Roman"/>
          <w:b w:val="false"/>
          <w:i w:val="false"/>
          <w:color w:val="000000"/>
          <w:sz w:val="28"/>
        </w:rPr>
        <w:t>
       субстанции)</w:t>
      </w:r>
    </w:p>
    <w:bookmarkEnd w:id="4650"/>
    <w:bookmarkStart w:name="z4768" w:id="4651"/>
    <w:p>
      <w:pPr>
        <w:spacing w:after="0"/>
        <w:ind w:left="0"/>
        <w:jc w:val="both"/>
      </w:pPr>
      <w:r>
        <w:rPr>
          <w:rFonts w:ascii="Times New Roman"/>
          <w:b w:val="false"/>
          <w:i w:val="false"/>
          <w:color w:val="000000"/>
          <w:sz w:val="28"/>
        </w:rPr>
        <w:t>
       входящей в состав _________________________________________________</w:t>
      </w:r>
    </w:p>
    <w:bookmarkEnd w:id="4651"/>
    <w:bookmarkStart w:name="z4769" w:id="4652"/>
    <w:p>
      <w:pPr>
        <w:spacing w:after="0"/>
        <w:ind w:left="0"/>
        <w:jc w:val="both"/>
      </w:pPr>
      <w:r>
        <w:rPr>
          <w:rFonts w:ascii="Times New Roman"/>
          <w:b w:val="false"/>
          <w:i w:val="false"/>
          <w:color w:val="000000"/>
          <w:sz w:val="28"/>
        </w:rPr>
        <w:t>
       (наименование лекарственного препарата)</w:t>
      </w:r>
    </w:p>
    <w:bookmarkEnd w:id="4652"/>
    <w:bookmarkStart w:name="z4770" w:id="4653"/>
    <w:p>
      <w:pPr>
        <w:spacing w:after="0"/>
        <w:ind w:left="0"/>
        <w:jc w:val="both"/>
      </w:pPr>
      <w:r>
        <w:rPr>
          <w:rFonts w:ascii="Times New Roman"/>
          <w:b w:val="false"/>
          <w:i w:val="false"/>
          <w:color w:val="000000"/>
          <w:sz w:val="28"/>
        </w:rPr>
        <w:t>
       статуса новой активной фармацевтической субстанции (НАФС)</w:t>
      </w:r>
    </w:p>
    <w:bookmarkEnd w:id="4653"/>
    <w:bookmarkStart w:name="z4771" w:id="4654"/>
    <w:p>
      <w:pPr>
        <w:spacing w:after="0"/>
        <w:ind w:left="0"/>
        <w:jc w:val="both"/>
      </w:pPr>
      <w:r>
        <w:rPr>
          <w:rFonts w:ascii="Times New Roman"/>
          <w:b w:val="false"/>
          <w:i w:val="false"/>
          <w:color w:val="000000"/>
          <w:sz w:val="28"/>
        </w:rPr>
        <w:t>
       </w:t>
      </w:r>
    </w:p>
    <w:bookmarkEnd w:id="4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4655"/>
          <w:p>
            <w:pPr>
              <w:spacing w:after="20"/>
              <w:ind w:left="20"/>
              <w:jc w:val="both"/>
            </w:pPr>
            <w:r>
              <w:rPr>
                <w:rFonts w:ascii="Times New Roman"/>
                <w:b w:val="false"/>
                <w:i w:val="false"/>
                <w:color w:val="000000"/>
                <w:sz w:val="20"/>
              </w:rPr>
              <w:t xml:space="preserve">
Эксперт: </w:t>
            </w:r>
          </w:p>
          <w:bookmarkEnd w:id="4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4656"/>
          <w:p>
            <w:pPr>
              <w:spacing w:after="20"/>
              <w:ind w:left="20"/>
              <w:jc w:val="both"/>
            </w:pPr>
            <w:r>
              <w:rPr>
                <w:rFonts w:ascii="Times New Roman"/>
                <w:b w:val="false"/>
                <w:i w:val="false"/>
                <w:color w:val="000000"/>
                <w:sz w:val="20"/>
              </w:rPr>
              <w:t xml:space="preserve">
Начало процедуры: </w:t>
            </w:r>
          </w:p>
          <w:bookmarkEnd w:id="4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4657"/>
          <w:p>
            <w:pPr>
              <w:spacing w:after="20"/>
              <w:ind w:left="20"/>
              <w:jc w:val="both"/>
            </w:pPr>
            <w:r>
              <w:rPr>
                <w:rFonts w:ascii="Times New Roman"/>
                <w:b w:val="false"/>
                <w:i w:val="false"/>
                <w:color w:val="000000"/>
                <w:sz w:val="20"/>
              </w:rPr>
              <w:t xml:space="preserve">
Дата настоящего отчета: </w:t>
            </w:r>
          </w:p>
          <w:bookmarkEnd w:id="4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4658"/>
          <w:p>
            <w:pPr>
              <w:spacing w:after="20"/>
              <w:ind w:left="20"/>
              <w:jc w:val="both"/>
            </w:pPr>
            <w:r>
              <w:rPr>
                <w:rFonts w:ascii="Times New Roman"/>
                <w:b w:val="false"/>
                <w:i w:val="false"/>
                <w:color w:val="000000"/>
                <w:sz w:val="20"/>
              </w:rPr>
              <w:t xml:space="preserve">
Окончательный срок для комментариев: </w:t>
            </w:r>
          </w:p>
          <w:bookmarkEnd w:id="4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6" w:id="4659"/>
    <w:p>
      <w:pPr>
        <w:spacing w:after="0"/>
        <w:ind w:left="0"/>
        <w:jc w:val="both"/>
      </w:pPr>
      <w:r>
        <w:rPr>
          <w:rFonts w:ascii="Times New Roman"/>
          <w:b w:val="false"/>
          <w:i w:val="false"/>
          <w:color w:val="000000"/>
          <w:sz w:val="28"/>
        </w:rPr>
        <w:t>
       </w:t>
      </w:r>
    </w:p>
    <w:bookmarkEnd w:id="4659"/>
    <w:bookmarkStart w:name="z4777" w:id="4660"/>
    <w:p>
      <w:pPr>
        <w:spacing w:after="0"/>
        <w:ind w:left="0"/>
        <w:jc w:val="left"/>
      </w:pPr>
      <w:r>
        <w:rPr>
          <w:rFonts w:ascii="Times New Roman"/>
          <w:b/>
          <w:i w:val="false"/>
          <w:color w:val="000000"/>
        </w:rPr>
        <w:t xml:space="preserve"> Административная информация </w:t>
      </w:r>
    </w:p>
    <w:bookmarkEnd w:id="4660"/>
    <w:bookmarkStart w:name="z4778" w:id="4661"/>
    <w:p>
      <w:pPr>
        <w:spacing w:after="0"/>
        <w:ind w:left="0"/>
        <w:jc w:val="both"/>
      </w:pPr>
      <w:r>
        <w:rPr>
          <w:rFonts w:ascii="Times New Roman"/>
          <w:b w:val="false"/>
          <w:i w:val="false"/>
          <w:color w:val="000000"/>
          <w:sz w:val="28"/>
        </w:rPr>
        <w:t>
       </w:t>
      </w:r>
    </w:p>
    <w:bookmarkEnd w:id="4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4662"/>
          <w:p>
            <w:pPr>
              <w:spacing w:after="20"/>
              <w:ind w:left="20"/>
              <w:jc w:val="both"/>
            </w:pPr>
            <w:r>
              <w:rPr>
                <w:rFonts w:ascii="Times New Roman"/>
                <w:b w:val="false"/>
                <w:i w:val="false"/>
                <w:color w:val="000000"/>
                <w:sz w:val="20"/>
              </w:rPr>
              <w:t xml:space="preserve">
Идентификационный номер заявления на регистрацию </w:t>
            </w:r>
          </w:p>
          <w:bookmarkEnd w:id="4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4663"/>
          <w:p>
            <w:pPr>
              <w:spacing w:after="20"/>
              <w:ind w:left="20"/>
              <w:jc w:val="both"/>
            </w:pPr>
            <w:r>
              <w:rPr>
                <w:rFonts w:ascii="Times New Roman"/>
                <w:b w:val="false"/>
                <w:i w:val="false"/>
                <w:color w:val="000000"/>
                <w:sz w:val="20"/>
              </w:rPr>
              <w:t xml:space="preserve">
Торговое наименование лекарственного средства </w:t>
            </w:r>
          </w:p>
          <w:bookmarkEnd w:id="4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4664"/>
          <w:p>
            <w:pPr>
              <w:spacing w:after="20"/>
              <w:ind w:left="20"/>
              <w:jc w:val="both"/>
            </w:pPr>
            <w:r>
              <w:rPr>
                <w:rFonts w:ascii="Times New Roman"/>
                <w:b w:val="false"/>
                <w:i w:val="false"/>
                <w:color w:val="000000"/>
                <w:sz w:val="20"/>
              </w:rPr>
              <w:t xml:space="preserve">
Активная фармацевтическая субстанция </w:t>
            </w:r>
          </w:p>
          <w:bookmarkEnd w:id="4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4665"/>
          <w:p>
            <w:pPr>
              <w:spacing w:after="20"/>
              <w:ind w:left="20"/>
              <w:jc w:val="both"/>
            </w:pPr>
            <w:r>
              <w:rPr>
                <w:rFonts w:ascii="Times New Roman"/>
                <w:b w:val="false"/>
                <w:i w:val="false"/>
                <w:color w:val="000000"/>
                <w:sz w:val="20"/>
              </w:rPr>
              <w:t xml:space="preserve">
Международное непатентованное наименование (МНН) или общепринятое наименование активной фармацевтической субстанции </w:t>
            </w:r>
          </w:p>
          <w:bookmarkEnd w:id="4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4666"/>
          <w:p>
            <w:pPr>
              <w:spacing w:after="20"/>
              <w:ind w:left="20"/>
              <w:jc w:val="both"/>
            </w:pPr>
            <w:r>
              <w:rPr>
                <w:rFonts w:ascii="Times New Roman"/>
                <w:b w:val="false"/>
                <w:i w:val="false"/>
                <w:color w:val="000000"/>
                <w:sz w:val="20"/>
              </w:rPr>
              <w:t xml:space="preserve">
Заявитель </w:t>
            </w:r>
          </w:p>
          <w:bookmarkEnd w:id="4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4667"/>
          <w:p>
            <w:pPr>
              <w:spacing w:after="20"/>
              <w:ind w:left="20"/>
              <w:jc w:val="both"/>
            </w:pPr>
            <w:r>
              <w:rPr>
                <w:rFonts w:ascii="Times New Roman"/>
                <w:b w:val="false"/>
                <w:i w:val="false"/>
                <w:color w:val="000000"/>
                <w:sz w:val="20"/>
              </w:rPr>
              <w:t xml:space="preserve">
Заявленные показания к применению </w:t>
            </w:r>
          </w:p>
          <w:bookmarkEnd w:id="4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4668"/>
          <w:p>
            <w:pPr>
              <w:spacing w:after="20"/>
              <w:ind w:left="20"/>
              <w:jc w:val="both"/>
            </w:pPr>
            <w:r>
              <w:rPr>
                <w:rFonts w:ascii="Times New Roman"/>
                <w:b w:val="false"/>
                <w:i w:val="false"/>
                <w:color w:val="000000"/>
                <w:sz w:val="20"/>
              </w:rPr>
              <w:t xml:space="preserve">
Фармакотерапевтическая группа (АТХ-код) </w:t>
            </w:r>
          </w:p>
          <w:bookmarkEnd w:id="4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4669"/>
          <w:p>
            <w:pPr>
              <w:spacing w:after="20"/>
              <w:ind w:left="20"/>
              <w:jc w:val="both"/>
            </w:pPr>
            <w:r>
              <w:rPr>
                <w:rFonts w:ascii="Times New Roman"/>
                <w:b w:val="false"/>
                <w:i w:val="false"/>
                <w:color w:val="000000"/>
                <w:sz w:val="20"/>
              </w:rPr>
              <w:t xml:space="preserve">
Лекарственная форма и дозировки </w:t>
            </w:r>
          </w:p>
          <w:bookmarkEnd w:id="4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4670"/>
          <w:p>
            <w:pPr>
              <w:spacing w:after="20"/>
              <w:ind w:left="20"/>
              <w:jc w:val="both"/>
            </w:pPr>
            <w:r>
              <w:rPr>
                <w:rFonts w:ascii="Times New Roman"/>
                <w:b w:val="false"/>
                <w:i w:val="false"/>
                <w:color w:val="000000"/>
                <w:sz w:val="20"/>
              </w:rPr>
              <w:t>
Данные экспертов</w:t>
            </w:r>
          </w:p>
          <w:bookmarkEnd w:id="4670"/>
          <w:p>
            <w:pPr>
              <w:spacing w:after="20"/>
              <w:ind w:left="20"/>
              <w:jc w:val="both"/>
            </w:pPr>
            <w:r>
              <w:rPr>
                <w:rFonts w:ascii="Times New Roman"/>
                <w:b w:val="false"/>
                <w:i w:val="false"/>
                <w:color w:val="000000"/>
                <w:sz w:val="20"/>
              </w:rPr>
              <w:t xml:space="preserve">(внутренний эксперт и независимый эксперт)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3:</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4:</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5:</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bl>
    <w:bookmarkStart w:name="z4790" w:id="4671"/>
    <w:p>
      <w:pPr>
        <w:spacing w:after="0"/>
        <w:ind w:left="0"/>
        <w:jc w:val="left"/>
      </w:pPr>
      <w:r>
        <w:rPr>
          <w:rFonts w:ascii="Times New Roman"/>
          <w:b/>
          <w:i w:val="false"/>
          <w:color w:val="000000"/>
        </w:rPr>
        <w:t xml:space="preserve"> 1. Рекомендация </w:t>
      </w:r>
    </w:p>
    <w:bookmarkEnd w:id="4671"/>
    <w:bookmarkStart w:name="z4791" w:id="4672"/>
    <w:p>
      <w:pPr>
        <w:spacing w:after="0"/>
        <w:ind w:left="0"/>
        <w:jc w:val="both"/>
      </w:pPr>
      <w:r>
        <w:rPr>
          <w:rFonts w:ascii="Times New Roman"/>
          <w:b w:val="false"/>
          <w:i w:val="false"/>
          <w:color w:val="000000"/>
          <w:sz w:val="28"/>
        </w:rPr>
        <w:t>
      На основании обзора данных эксперт считает, что активная фармацевтическая субстанция (действующее вещество) &lt;наименование активной фармацевтической субстанции&gt;, содержащееся в лекарственном препарате &lt;наименование лекарственного препарата&gt;</w:t>
      </w:r>
    </w:p>
    <w:bookmarkEnd w:id="4672"/>
    <w:bookmarkStart w:name="z4792" w:id="4673"/>
    <w:p>
      <w:pPr>
        <w:spacing w:after="0"/>
        <w:ind w:left="0"/>
        <w:jc w:val="both"/>
      </w:pPr>
      <w:r>
        <w:rPr>
          <w:rFonts w:ascii="Times New Roman"/>
          <w:b w:val="false"/>
          <w:i w:val="false"/>
          <w:color w:val="000000"/>
          <w:sz w:val="28"/>
        </w:rPr>
        <w:t>
      &lt;может квалифицироваться как новая &lt;самостоятельная&gt; активная фармацевтическая субстанция &lt;в сравнении с известным &lt;зарегистрированным изомером (смесью изомеров, комплексом, производным, солью {МНН (соль)} ранее зарегистрированной в Союзе &lt;активной фармацевтической субстанцией&gt;, поскольку она значительно отличается по свойствам от ранее зарегистрированной субстанции с точки зрения безопасности и эффективности.&gt;</w:t>
      </w:r>
    </w:p>
    <w:bookmarkEnd w:id="4673"/>
    <w:bookmarkStart w:name="z4793" w:id="4674"/>
    <w:p>
      <w:pPr>
        <w:spacing w:after="0"/>
        <w:ind w:left="0"/>
        <w:jc w:val="both"/>
      </w:pPr>
      <w:r>
        <w:rPr>
          <w:rFonts w:ascii="Times New Roman"/>
          <w:b w:val="false"/>
          <w:i w:val="false"/>
          <w:color w:val="000000"/>
          <w:sz w:val="28"/>
        </w:rPr>
        <w:t>
      &lt;может квалифицироваться как новая &lt;самостоятельная&gt; активная фармацевтическая субстанция &lt;в сравнении с &lt;известным&gt;, &lt;зарегистрированным изомером (смесью изомеров, комплексом, производным, солью {МНН (соль)}) ранее зарегистрированной в Союзе&gt;&gt; как {наименование зарегистрированного лекарственного препарата}, &lt;при условии, что даны удовлетворительные ответы на замечания, которые подробно изложены в Перечне замечаний.&gt;</w:t>
      </w:r>
    </w:p>
    <w:bookmarkEnd w:id="4674"/>
    <w:bookmarkStart w:name="z4794" w:id="4675"/>
    <w:p>
      <w:pPr>
        <w:spacing w:after="0"/>
        <w:ind w:left="0"/>
        <w:jc w:val="both"/>
      </w:pPr>
      <w:r>
        <w:rPr>
          <w:rFonts w:ascii="Times New Roman"/>
          <w:b w:val="false"/>
          <w:i w:val="false"/>
          <w:color w:val="000000"/>
          <w:sz w:val="28"/>
        </w:rPr>
        <w:t>
      &lt;не квалифицируется как новая &lt;самостоятельная&gt; активная фармацевтическая субстанция &lt;в сравнении с известным &lt;зарегистрированным изомером (смесью изомеров, комплексом, производным, солью {МНН (соль)} ранее зарегистрированной в Союзе как {наименование зарегистрированного лекарственного препарата}, поскольку она значимо не отличается по свойствам от ранее зарегистрированной субстанции с точки зрения безопасности и эффективности.&gt; Замечания, препятствующие квалификации активной фармацевтической субстанции в качестве новой, подробно изложены в Перечне замечаний.&gt;</w:t>
      </w:r>
    </w:p>
    <w:bookmarkEnd w:id="4675"/>
    <w:bookmarkStart w:name="z4795" w:id="4676"/>
    <w:p>
      <w:pPr>
        <w:spacing w:after="0"/>
        <w:ind w:left="0"/>
        <w:jc w:val="left"/>
      </w:pPr>
      <w:r>
        <w:rPr>
          <w:rFonts w:ascii="Times New Roman"/>
          <w:b/>
          <w:i w:val="false"/>
          <w:color w:val="000000"/>
        </w:rPr>
        <w:t xml:space="preserve"> 2. Сводное резюме</w:t>
      </w:r>
    </w:p>
    <w:bookmarkEnd w:id="4676"/>
    <w:bookmarkStart w:name="z4796" w:id="4677"/>
    <w:p>
      <w:pPr>
        <w:spacing w:after="0"/>
        <w:ind w:left="0"/>
        <w:jc w:val="left"/>
      </w:pPr>
      <w:r>
        <w:rPr>
          <w:rFonts w:ascii="Times New Roman"/>
          <w:b/>
          <w:i w:val="false"/>
          <w:color w:val="000000"/>
        </w:rPr>
        <w:t xml:space="preserve"> 2.1. Формулировка проблемы </w:t>
      </w:r>
    </w:p>
    <w:bookmarkEnd w:id="4677"/>
    <w:bookmarkStart w:name="z4797" w:id="4678"/>
    <w:p>
      <w:pPr>
        <w:spacing w:after="0"/>
        <w:ind w:left="0"/>
        <w:jc w:val="both"/>
      </w:pPr>
      <w:r>
        <w:rPr>
          <w:rFonts w:ascii="Times New Roman"/>
          <w:b w:val="false"/>
          <w:i w:val="false"/>
          <w:color w:val="000000"/>
          <w:sz w:val="28"/>
        </w:rPr>
        <w:t>
      Заявление о регистрации было принято на рассмотрение в соответствии с Правилами регистрации и экспертизы лекарственных препаратов в рамках Евразийского экономического союза, и включает обоснование и анализ причин отнесения активной фармацевтической субстанции &lt;наименование активной фармацевтической субстанции&gt; к новой активной фармацевтической субстанции.</w:t>
      </w:r>
    </w:p>
    <w:bookmarkEnd w:id="4678"/>
    <w:bookmarkStart w:name="z4798" w:id="4679"/>
    <w:p>
      <w:pPr>
        <w:spacing w:after="0"/>
        <w:ind w:left="0"/>
        <w:jc w:val="both"/>
      </w:pPr>
      <w:r>
        <w:rPr>
          <w:rFonts w:ascii="Times New Roman"/>
          <w:b w:val="false"/>
          <w:i w:val="false"/>
          <w:color w:val="000000"/>
          <w:sz w:val="28"/>
        </w:rPr>
        <w:t>
      Заявитель сделал запрос об отнесении активной фармацевтической субстанции &lt;наименование активной фармацевтической субстанции&gt;, содержащейся в вышеуказанном лекарственном препарате к &lt;самостоятельной&gt; новой активной фармацевтической субстанции &lt;в сравнении с известным &lt;зарегистрированным изомером (смесью изомеров, комплексом, производным, солью {МНН (соль)} ранее зарегистрированной в Союзе как {наименование зарегистрированного лекарственного препарата}, и заявил о том, что &lt;активная фармацевтическая субстанция&gt; значимо отличается по свойствам от ранее зарегистрированной субстанции с точки зрения безопасности и эффективности.&gt;</w:t>
      </w:r>
    </w:p>
    <w:bookmarkEnd w:id="4679"/>
    <w:bookmarkStart w:name="z4799" w:id="4680"/>
    <w:p>
      <w:pPr>
        <w:spacing w:after="0"/>
        <w:ind w:left="0"/>
        <w:jc w:val="both"/>
      </w:pPr>
      <w:r>
        <w:rPr>
          <w:rFonts w:ascii="Times New Roman"/>
          <w:b w:val="false"/>
          <w:i w:val="false"/>
          <w:color w:val="000000"/>
          <w:sz w:val="28"/>
        </w:rPr>
        <w:t>
       </w:t>
      </w:r>
    </w:p>
    <w:bookmarkEnd w:id="4680"/>
    <w:bookmarkStart w:name="z4800" w:id="4681"/>
    <w:p>
      <w:pPr>
        <w:spacing w:after="0"/>
        <w:ind w:left="0"/>
        <w:jc w:val="left"/>
      </w:pPr>
      <w:r>
        <w:rPr>
          <w:rFonts w:ascii="Times New Roman"/>
          <w:b/>
          <w:i w:val="false"/>
          <w:color w:val="000000"/>
        </w:rPr>
        <w:t xml:space="preserve"> 3. Экспертная научная оценка </w:t>
      </w:r>
    </w:p>
    <w:bookmarkEnd w:id="4681"/>
    <w:bookmarkStart w:name="z4801" w:id="4682"/>
    <w:p>
      <w:pPr>
        <w:spacing w:after="0"/>
        <w:ind w:left="0"/>
        <w:jc w:val="both"/>
      </w:pPr>
      <w:r>
        <w:rPr>
          <w:rFonts w:ascii="Times New Roman"/>
          <w:b w:val="false"/>
          <w:i w:val="false"/>
          <w:color w:val="000000"/>
          <w:sz w:val="28"/>
        </w:rPr>
        <w:t>
       </w:t>
      </w:r>
    </w:p>
    <w:bookmarkEnd w:id="4682"/>
    <w:bookmarkStart w:name="z4802" w:id="4683"/>
    <w:p>
      <w:pPr>
        <w:spacing w:after="0"/>
        <w:ind w:left="0"/>
        <w:jc w:val="both"/>
      </w:pPr>
      <w:r>
        <w:rPr>
          <w:rFonts w:ascii="Times New Roman"/>
          <w:b w:val="false"/>
          <w:i w:val="false"/>
          <w:color w:val="000000"/>
          <w:sz w:val="28"/>
        </w:rPr>
        <w:t>
      3.1. Аспекты качества</w:t>
      </w:r>
    </w:p>
    <w:bookmarkEnd w:id="4683"/>
    <w:bookmarkStart w:name="z4803" w:id="4684"/>
    <w:p>
      <w:pPr>
        <w:spacing w:after="0"/>
        <w:ind w:left="0"/>
        <w:jc w:val="both"/>
      </w:pPr>
      <w:r>
        <w:rPr>
          <w:rFonts w:ascii="Times New Roman"/>
          <w:b w:val="false"/>
          <w:i w:val="false"/>
          <w:color w:val="000000"/>
          <w:sz w:val="28"/>
        </w:rPr>
        <w:t>
       </w:t>
      </w:r>
    </w:p>
    <w:bookmarkEnd w:id="4684"/>
    <w:bookmarkStart w:name="z4804" w:id="4685"/>
    <w:p>
      <w:pPr>
        <w:spacing w:after="0"/>
        <w:ind w:left="0"/>
        <w:jc w:val="both"/>
      </w:pPr>
      <w:r>
        <w:rPr>
          <w:rFonts w:ascii="Times New Roman"/>
          <w:b w:val="false"/>
          <w:i w:val="false"/>
          <w:color w:val="000000"/>
          <w:sz w:val="28"/>
        </w:rPr>
        <w:t>
      ___________________________________________________________________________</w:t>
      </w:r>
    </w:p>
    <w:bookmarkEnd w:id="4685"/>
    <w:bookmarkStart w:name="z4805" w:id="4686"/>
    <w:p>
      <w:pPr>
        <w:spacing w:after="0"/>
        <w:ind w:left="0"/>
        <w:jc w:val="both"/>
      </w:pPr>
      <w:r>
        <w:rPr>
          <w:rFonts w:ascii="Times New Roman"/>
          <w:b w:val="false"/>
          <w:i w:val="false"/>
          <w:color w:val="000000"/>
          <w:sz w:val="28"/>
        </w:rPr>
        <w:t>
      ___________________________________________________________________________</w:t>
      </w:r>
    </w:p>
    <w:bookmarkEnd w:id="4686"/>
    <w:bookmarkStart w:name="z4806" w:id="4687"/>
    <w:p>
      <w:pPr>
        <w:spacing w:after="0"/>
        <w:ind w:left="0"/>
        <w:jc w:val="both"/>
      </w:pPr>
      <w:r>
        <w:rPr>
          <w:rFonts w:ascii="Times New Roman"/>
          <w:b w:val="false"/>
          <w:i w:val="false"/>
          <w:color w:val="000000"/>
          <w:sz w:val="28"/>
        </w:rPr>
        <w:t>
      ___________________________________________________________________________</w:t>
      </w:r>
    </w:p>
    <w:bookmarkEnd w:id="4687"/>
    <w:bookmarkStart w:name="z4807" w:id="4688"/>
    <w:p>
      <w:pPr>
        <w:spacing w:after="0"/>
        <w:ind w:left="0"/>
        <w:jc w:val="both"/>
      </w:pPr>
      <w:r>
        <w:rPr>
          <w:rFonts w:ascii="Times New Roman"/>
          <w:b w:val="false"/>
          <w:i w:val="false"/>
          <w:color w:val="000000"/>
          <w:sz w:val="28"/>
        </w:rPr>
        <w:t>
       </w:t>
      </w:r>
    </w:p>
    <w:bookmarkEnd w:id="4688"/>
    <w:bookmarkStart w:name="z4808" w:id="4689"/>
    <w:p>
      <w:pPr>
        <w:spacing w:after="0"/>
        <w:ind w:left="0"/>
        <w:jc w:val="both"/>
      </w:pPr>
      <w:r>
        <w:rPr>
          <w:rFonts w:ascii="Times New Roman"/>
          <w:b w:val="false"/>
          <w:i w:val="false"/>
          <w:color w:val="000000"/>
          <w:sz w:val="28"/>
        </w:rPr>
        <w:t>
      Анализ по аспектам качества</w:t>
      </w:r>
    </w:p>
    <w:bookmarkEnd w:id="4689"/>
    <w:bookmarkStart w:name="z4809" w:id="4690"/>
    <w:p>
      <w:pPr>
        <w:spacing w:after="0"/>
        <w:ind w:left="0"/>
        <w:jc w:val="both"/>
      </w:pPr>
      <w:r>
        <w:rPr>
          <w:rFonts w:ascii="Times New Roman"/>
          <w:b w:val="false"/>
          <w:i w:val="false"/>
          <w:color w:val="000000"/>
          <w:sz w:val="28"/>
        </w:rPr>
        <w:t>
       </w:t>
      </w:r>
    </w:p>
    <w:bookmarkEnd w:id="4690"/>
    <w:bookmarkStart w:name="z4810" w:id="4691"/>
    <w:p>
      <w:pPr>
        <w:spacing w:after="0"/>
        <w:ind w:left="0"/>
        <w:jc w:val="both"/>
      </w:pPr>
      <w:r>
        <w:rPr>
          <w:rFonts w:ascii="Times New Roman"/>
          <w:b w:val="false"/>
          <w:i w:val="false"/>
          <w:color w:val="000000"/>
          <w:sz w:val="28"/>
        </w:rPr>
        <w:t>
      ___________________________________________________________________________</w:t>
      </w:r>
    </w:p>
    <w:bookmarkEnd w:id="4691"/>
    <w:bookmarkStart w:name="z4811" w:id="4692"/>
    <w:p>
      <w:pPr>
        <w:spacing w:after="0"/>
        <w:ind w:left="0"/>
        <w:jc w:val="both"/>
      </w:pPr>
      <w:r>
        <w:rPr>
          <w:rFonts w:ascii="Times New Roman"/>
          <w:b w:val="false"/>
          <w:i w:val="false"/>
          <w:color w:val="000000"/>
          <w:sz w:val="28"/>
        </w:rPr>
        <w:t>
      ___________________________________________________________________________</w:t>
      </w:r>
    </w:p>
    <w:bookmarkEnd w:id="4692"/>
    <w:bookmarkStart w:name="z4812" w:id="4693"/>
    <w:p>
      <w:pPr>
        <w:spacing w:after="0"/>
        <w:ind w:left="0"/>
        <w:jc w:val="both"/>
      </w:pPr>
      <w:r>
        <w:rPr>
          <w:rFonts w:ascii="Times New Roman"/>
          <w:b w:val="false"/>
          <w:i w:val="false"/>
          <w:color w:val="000000"/>
          <w:sz w:val="28"/>
        </w:rPr>
        <w:t>
      ___________________________________________________________________________</w:t>
      </w:r>
    </w:p>
    <w:bookmarkEnd w:id="4693"/>
    <w:bookmarkStart w:name="z4813" w:id="4694"/>
    <w:p>
      <w:pPr>
        <w:spacing w:after="0"/>
        <w:ind w:left="0"/>
        <w:jc w:val="both"/>
      </w:pPr>
      <w:r>
        <w:rPr>
          <w:rFonts w:ascii="Times New Roman"/>
          <w:b w:val="false"/>
          <w:i w:val="false"/>
          <w:color w:val="000000"/>
          <w:sz w:val="28"/>
        </w:rPr>
        <w:t>
       </w:t>
      </w:r>
    </w:p>
    <w:bookmarkEnd w:id="4694"/>
    <w:bookmarkStart w:name="z4814" w:id="4695"/>
    <w:p>
      <w:pPr>
        <w:spacing w:after="0"/>
        <w:ind w:left="0"/>
        <w:jc w:val="both"/>
      </w:pPr>
      <w:r>
        <w:rPr>
          <w:rFonts w:ascii="Times New Roman"/>
          <w:b w:val="false"/>
          <w:i w:val="false"/>
          <w:color w:val="000000"/>
          <w:sz w:val="28"/>
        </w:rPr>
        <w:t>
      Заключения по аспектам качества</w:t>
      </w:r>
    </w:p>
    <w:bookmarkEnd w:id="4695"/>
    <w:bookmarkStart w:name="z4815" w:id="4696"/>
    <w:p>
      <w:pPr>
        <w:spacing w:after="0"/>
        <w:ind w:left="0"/>
        <w:jc w:val="both"/>
      </w:pPr>
      <w:r>
        <w:rPr>
          <w:rFonts w:ascii="Times New Roman"/>
          <w:b w:val="false"/>
          <w:i w:val="false"/>
          <w:color w:val="000000"/>
          <w:sz w:val="28"/>
        </w:rPr>
        <w:t>
       </w:t>
      </w:r>
    </w:p>
    <w:bookmarkEnd w:id="4696"/>
    <w:bookmarkStart w:name="z4816" w:id="4697"/>
    <w:p>
      <w:pPr>
        <w:spacing w:after="0"/>
        <w:ind w:left="0"/>
        <w:jc w:val="both"/>
      </w:pPr>
      <w:r>
        <w:rPr>
          <w:rFonts w:ascii="Times New Roman"/>
          <w:b w:val="false"/>
          <w:i w:val="false"/>
          <w:color w:val="000000"/>
          <w:sz w:val="28"/>
        </w:rPr>
        <w:t>
      ___________________________________________________________________________</w:t>
      </w:r>
    </w:p>
    <w:bookmarkEnd w:id="4697"/>
    <w:bookmarkStart w:name="z4817" w:id="4698"/>
    <w:p>
      <w:pPr>
        <w:spacing w:after="0"/>
        <w:ind w:left="0"/>
        <w:jc w:val="both"/>
      </w:pPr>
      <w:r>
        <w:rPr>
          <w:rFonts w:ascii="Times New Roman"/>
          <w:b w:val="false"/>
          <w:i w:val="false"/>
          <w:color w:val="000000"/>
          <w:sz w:val="28"/>
        </w:rPr>
        <w:t>
      ___________________________________________________________________________</w:t>
      </w:r>
    </w:p>
    <w:bookmarkEnd w:id="4698"/>
    <w:bookmarkStart w:name="z4818" w:id="4699"/>
    <w:p>
      <w:pPr>
        <w:spacing w:after="0"/>
        <w:ind w:left="0"/>
        <w:jc w:val="both"/>
      </w:pPr>
      <w:r>
        <w:rPr>
          <w:rFonts w:ascii="Times New Roman"/>
          <w:b w:val="false"/>
          <w:i w:val="false"/>
          <w:color w:val="000000"/>
          <w:sz w:val="28"/>
        </w:rPr>
        <w:t>
      ___________________________________________________________________________</w:t>
      </w:r>
    </w:p>
    <w:bookmarkEnd w:id="4699"/>
    <w:bookmarkStart w:name="z4819" w:id="4700"/>
    <w:p>
      <w:pPr>
        <w:spacing w:after="0"/>
        <w:ind w:left="0"/>
        <w:jc w:val="both"/>
      </w:pPr>
      <w:r>
        <w:rPr>
          <w:rFonts w:ascii="Times New Roman"/>
          <w:b w:val="false"/>
          <w:i w:val="false"/>
          <w:color w:val="000000"/>
          <w:sz w:val="28"/>
        </w:rPr>
        <w:t>
       </w:t>
      </w:r>
    </w:p>
    <w:bookmarkEnd w:id="4700"/>
    <w:bookmarkStart w:name="z4820" w:id="4701"/>
    <w:p>
      <w:pPr>
        <w:spacing w:after="0"/>
        <w:ind w:left="0"/>
        <w:jc w:val="both"/>
      </w:pPr>
      <w:r>
        <w:rPr>
          <w:rFonts w:ascii="Times New Roman"/>
          <w:b w:val="false"/>
          <w:i w:val="false"/>
          <w:color w:val="000000"/>
          <w:sz w:val="28"/>
        </w:rPr>
        <w:t>
      Доклинические аспекты</w:t>
      </w:r>
    </w:p>
    <w:bookmarkEnd w:id="4701"/>
    <w:bookmarkStart w:name="z4821" w:id="4702"/>
    <w:p>
      <w:pPr>
        <w:spacing w:after="0"/>
        <w:ind w:left="0"/>
        <w:jc w:val="both"/>
      </w:pPr>
      <w:r>
        <w:rPr>
          <w:rFonts w:ascii="Times New Roman"/>
          <w:b w:val="false"/>
          <w:i w:val="false"/>
          <w:color w:val="000000"/>
          <w:sz w:val="28"/>
        </w:rPr>
        <w:t>
       </w:t>
      </w:r>
    </w:p>
    <w:bookmarkEnd w:id="4702"/>
    <w:bookmarkStart w:name="z4822" w:id="4703"/>
    <w:p>
      <w:pPr>
        <w:spacing w:after="0"/>
        <w:ind w:left="0"/>
        <w:jc w:val="both"/>
      </w:pPr>
      <w:r>
        <w:rPr>
          <w:rFonts w:ascii="Times New Roman"/>
          <w:b w:val="false"/>
          <w:i w:val="false"/>
          <w:color w:val="000000"/>
          <w:sz w:val="28"/>
        </w:rPr>
        <w:t>
      ___________________________________________________________________________</w:t>
      </w:r>
    </w:p>
    <w:bookmarkEnd w:id="4703"/>
    <w:bookmarkStart w:name="z4823" w:id="4704"/>
    <w:p>
      <w:pPr>
        <w:spacing w:after="0"/>
        <w:ind w:left="0"/>
        <w:jc w:val="both"/>
      </w:pPr>
      <w:r>
        <w:rPr>
          <w:rFonts w:ascii="Times New Roman"/>
          <w:b w:val="false"/>
          <w:i w:val="false"/>
          <w:color w:val="000000"/>
          <w:sz w:val="28"/>
        </w:rPr>
        <w:t>
      ___________________________________________________________________________</w:t>
      </w:r>
    </w:p>
    <w:bookmarkEnd w:id="4704"/>
    <w:bookmarkStart w:name="z4824" w:id="4705"/>
    <w:p>
      <w:pPr>
        <w:spacing w:after="0"/>
        <w:ind w:left="0"/>
        <w:jc w:val="both"/>
      </w:pPr>
      <w:r>
        <w:rPr>
          <w:rFonts w:ascii="Times New Roman"/>
          <w:b w:val="false"/>
          <w:i w:val="false"/>
          <w:color w:val="000000"/>
          <w:sz w:val="28"/>
        </w:rPr>
        <w:t>
      ___________________________________________________________________________</w:t>
      </w:r>
    </w:p>
    <w:bookmarkEnd w:id="4705"/>
    <w:bookmarkStart w:name="z4825" w:id="4706"/>
    <w:p>
      <w:pPr>
        <w:spacing w:after="0"/>
        <w:ind w:left="0"/>
        <w:jc w:val="both"/>
      </w:pPr>
      <w:r>
        <w:rPr>
          <w:rFonts w:ascii="Times New Roman"/>
          <w:b w:val="false"/>
          <w:i w:val="false"/>
          <w:color w:val="000000"/>
          <w:sz w:val="28"/>
        </w:rPr>
        <w:t>
       </w:t>
      </w:r>
    </w:p>
    <w:bookmarkEnd w:id="4706"/>
    <w:bookmarkStart w:name="z4826" w:id="4707"/>
    <w:p>
      <w:pPr>
        <w:spacing w:after="0"/>
        <w:ind w:left="0"/>
        <w:jc w:val="both"/>
      </w:pPr>
      <w:r>
        <w:rPr>
          <w:rFonts w:ascii="Times New Roman"/>
          <w:b w:val="false"/>
          <w:i w:val="false"/>
          <w:color w:val="000000"/>
          <w:sz w:val="28"/>
        </w:rPr>
        <w:t>
      Анализ по доклиническим аспектам</w:t>
      </w:r>
    </w:p>
    <w:bookmarkEnd w:id="4707"/>
    <w:bookmarkStart w:name="z4827" w:id="4708"/>
    <w:p>
      <w:pPr>
        <w:spacing w:after="0"/>
        <w:ind w:left="0"/>
        <w:jc w:val="both"/>
      </w:pPr>
      <w:r>
        <w:rPr>
          <w:rFonts w:ascii="Times New Roman"/>
          <w:b w:val="false"/>
          <w:i w:val="false"/>
          <w:color w:val="000000"/>
          <w:sz w:val="28"/>
        </w:rPr>
        <w:t>
       </w:t>
      </w:r>
    </w:p>
    <w:bookmarkEnd w:id="4708"/>
    <w:bookmarkStart w:name="z4828" w:id="4709"/>
    <w:p>
      <w:pPr>
        <w:spacing w:after="0"/>
        <w:ind w:left="0"/>
        <w:jc w:val="both"/>
      </w:pPr>
      <w:r>
        <w:rPr>
          <w:rFonts w:ascii="Times New Roman"/>
          <w:b w:val="false"/>
          <w:i w:val="false"/>
          <w:color w:val="000000"/>
          <w:sz w:val="28"/>
        </w:rPr>
        <w:t>
      ___________________________________________________________________________</w:t>
      </w:r>
    </w:p>
    <w:bookmarkEnd w:id="4709"/>
    <w:bookmarkStart w:name="z4829" w:id="4710"/>
    <w:p>
      <w:pPr>
        <w:spacing w:after="0"/>
        <w:ind w:left="0"/>
        <w:jc w:val="both"/>
      </w:pPr>
      <w:r>
        <w:rPr>
          <w:rFonts w:ascii="Times New Roman"/>
          <w:b w:val="false"/>
          <w:i w:val="false"/>
          <w:color w:val="000000"/>
          <w:sz w:val="28"/>
        </w:rPr>
        <w:t>
      ___________________________________________________________________________</w:t>
      </w:r>
    </w:p>
    <w:bookmarkEnd w:id="4710"/>
    <w:bookmarkStart w:name="z4830" w:id="4711"/>
    <w:p>
      <w:pPr>
        <w:spacing w:after="0"/>
        <w:ind w:left="0"/>
        <w:jc w:val="both"/>
      </w:pPr>
      <w:r>
        <w:rPr>
          <w:rFonts w:ascii="Times New Roman"/>
          <w:b w:val="false"/>
          <w:i w:val="false"/>
          <w:color w:val="000000"/>
          <w:sz w:val="28"/>
        </w:rPr>
        <w:t>
      ___________________________________________________________________________</w:t>
      </w:r>
    </w:p>
    <w:bookmarkEnd w:id="4711"/>
    <w:bookmarkStart w:name="z4831" w:id="4712"/>
    <w:p>
      <w:pPr>
        <w:spacing w:after="0"/>
        <w:ind w:left="0"/>
        <w:jc w:val="both"/>
      </w:pPr>
      <w:r>
        <w:rPr>
          <w:rFonts w:ascii="Times New Roman"/>
          <w:b w:val="false"/>
          <w:i w:val="false"/>
          <w:color w:val="000000"/>
          <w:sz w:val="28"/>
        </w:rPr>
        <w:t>
       </w:t>
      </w:r>
    </w:p>
    <w:bookmarkEnd w:id="4712"/>
    <w:bookmarkStart w:name="z4832" w:id="4713"/>
    <w:p>
      <w:pPr>
        <w:spacing w:after="0"/>
        <w:ind w:left="0"/>
        <w:jc w:val="both"/>
      </w:pPr>
      <w:r>
        <w:rPr>
          <w:rFonts w:ascii="Times New Roman"/>
          <w:b w:val="false"/>
          <w:i w:val="false"/>
          <w:color w:val="000000"/>
          <w:sz w:val="28"/>
        </w:rPr>
        <w:t>
      Заключение по доклиническим аспектам</w:t>
      </w:r>
    </w:p>
    <w:bookmarkEnd w:id="4713"/>
    <w:bookmarkStart w:name="z4833" w:id="4714"/>
    <w:p>
      <w:pPr>
        <w:spacing w:after="0"/>
        <w:ind w:left="0"/>
        <w:jc w:val="both"/>
      </w:pPr>
      <w:r>
        <w:rPr>
          <w:rFonts w:ascii="Times New Roman"/>
          <w:b w:val="false"/>
          <w:i w:val="false"/>
          <w:color w:val="000000"/>
          <w:sz w:val="28"/>
        </w:rPr>
        <w:t>
       </w:t>
      </w:r>
    </w:p>
    <w:bookmarkEnd w:id="4714"/>
    <w:bookmarkStart w:name="z4834" w:id="4715"/>
    <w:p>
      <w:pPr>
        <w:spacing w:after="0"/>
        <w:ind w:left="0"/>
        <w:jc w:val="both"/>
      </w:pPr>
      <w:r>
        <w:rPr>
          <w:rFonts w:ascii="Times New Roman"/>
          <w:b w:val="false"/>
          <w:i w:val="false"/>
          <w:color w:val="000000"/>
          <w:sz w:val="28"/>
        </w:rPr>
        <w:t>
      ___________________________________________________________________________</w:t>
      </w:r>
    </w:p>
    <w:bookmarkEnd w:id="4715"/>
    <w:bookmarkStart w:name="z4835" w:id="4716"/>
    <w:p>
      <w:pPr>
        <w:spacing w:after="0"/>
        <w:ind w:left="0"/>
        <w:jc w:val="both"/>
      </w:pPr>
      <w:r>
        <w:rPr>
          <w:rFonts w:ascii="Times New Roman"/>
          <w:b w:val="false"/>
          <w:i w:val="false"/>
          <w:color w:val="000000"/>
          <w:sz w:val="28"/>
        </w:rPr>
        <w:t>
      ___________________________________________________________________________</w:t>
      </w:r>
    </w:p>
    <w:bookmarkEnd w:id="4716"/>
    <w:bookmarkStart w:name="z4836" w:id="4717"/>
    <w:p>
      <w:pPr>
        <w:spacing w:after="0"/>
        <w:ind w:left="0"/>
        <w:jc w:val="both"/>
      </w:pPr>
      <w:r>
        <w:rPr>
          <w:rFonts w:ascii="Times New Roman"/>
          <w:b w:val="false"/>
          <w:i w:val="false"/>
          <w:color w:val="000000"/>
          <w:sz w:val="28"/>
        </w:rPr>
        <w:t>
      ___________________________________________________________________________</w:t>
      </w:r>
    </w:p>
    <w:bookmarkEnd w:id="4717"/>
    <w:bookmarkStart w:name="z4837" w:id="4718"/>
    <w:p>
      <w:pPr>
        <w:spacing w:after="0"/>
        <w:ind w:left="0"/>
        <w:jc w:val="both"/>
      </w:pPr>
      <w:r>
        <w:rPr>
          <w:rFonts w:ascii="Times New Roman"/>
          <w:b w:val="false"/>
          <w:i w:val="false"/>
          <w:color w:val="000000"/>
          <w:sz w:val="28"/>
        </w:rPr>
        <w:t>
       </w:t>
      </w:r>
    </w:p>
    <w:bookmarkEnd w:id="4718"/>
    <w:bookmarkStart w:name="z4838" w:id="4719"/>
    <w:p>
      <w:pPr>
        <w:spacing w:after="0"/>
        <w:ind w:left="0"/>
        <w:jc w:val="both"/>
      </w:pPr>
      <w:r>
        <w:rPr>
          <w:rFonts w:ascii="Times New Roman"/>
          <w:b w:val="false"/>
          <w:i w:val="false"/>
          <w:color w:val="000000"/>
          <w:sz w:val="28"/>
        </w:rPr>
        <w:t>
      3.2. Клинические аспекты</w:t>
      </w:r>
    </w:p>
    <w:bookmarkEnd w:id="4719"/>
    <w:bookmarkStart w:name="z4839" w:id="4720"/>
    <w:p>
      <w:pPr>
        <w:spacing w:after="0"/>
        <w:ind w:left="0"/>
        <w:jc w:val="both"/>
      </w:pPr>
      <w:r>
        <w:rPr>
          <w:rFonts w:ascii="Times New Roman"/>
          <w:b w:val="false"/>
          <w:i w:val="false"/>
          <w:color w:val="000000"/>
          <w:sz w:val="28"/>
        </w:rPr>
        <w:t>
       </w:t>
      </w:r>
    </w:p>
    <w:bookmarkEnd w:id="4720"/>
    <w:bookmarkStart w:name="z4840" w:id="4721"/>
    <w:p>
      <w:pPr>
        <w:spacing w:after="0"/>
        <w:ind w:left="0"/>
        <w:jc w:val="both"/>
      </w:pPr>
      <w:r>
        <w:rPr>
          <w:rFonts w:ascii="Times New Roman"/>
          <w:b w:val="false"/>
          <w:i w:val="false"/>
          <w:color w:val="000000"/>
          <w:sz w:val="28"/>
        </w:rPr>
        <w:t>
      ___________________________________________________________________________</w:t>
      </w:r>
    </w:p>
    <w:bookmarkEnd w:id="4721"/>
    <w:bookmarkStart w:name="z4841" w:id="4722"/>
    <w:p>
      <w:pPr>
        <w:spacing w:after="0"/>
        <w:ind w:left="0"/>
        <w:jc w:val="both"/>
      </w:pPr>
      <w:r>
        <w:rPr>
          <w:rFonts w:ascii="Times New Roman"/>
          <w:b w:val="false"/>
          <w:i w:val="false"/>
          <w:color w:val="000000"/>
          <w:sz w:val="28"/>
        </w:rPr>
        <w:t>
      ___________________________________________________________________________</w:t>
      </w:r>
    </w:p>
    <w:bookmarkEnd w:id="4722"/>
    <w:bookmarkStart w:name="z4842" w:id="4723"/>
    <w:p>
      <w:pPr>
        <w:spacing w:after="0"/>
        <w:ind w:left="0"/>
        <w:jc w:val="both"/>
      </w:pPr>
      <w:r>
        <w:rPr>
          <w:rFonts w:ascii="Times New Roman"/>
          <w:b w:val="false"/>
          <w:i w:val="false"/>
          <w:color w:val="000000"/>
          <w:sz w:val="28"/>
        </w:rPr>
        <w:t>
      ___________________________________________________________________________</w:t>
      </w:r>
    </w:p>
    <w:bookmarkEnd w:id="4723"/>
    <w:bookmarkStart w:name="z4843" w:id="4724"/>
    <w:p>
      <w:pPr>
        <w:spacing w:after="0"/>
        <w:ind w:left="0"/>
        <w:jc w:val="both"/>
      </w:pPr>
      <w:r>
        <w:rPr>
          <w:rFonts w:ascii="Times New Roman"/>
          <w:b w:val="false"/>
          <w:i w:val="false"/>
          <w:color w:val="000000"/>
          <w:sz w:val="28"/>
        </w:rPr>
        <w:t>
       </w:t>
      </w:r>
    </w:p>
    <w:bookmarkEnd w:id="4724"/>
    <w:bookmarkStart w:name="z4844" w:id="4725"/>
    <w:p>
      <w:pPr>
        <w:spacing w:after="0"/>
        <w:ind w:left="0"/>
        <w:jc w:val="both"/>
      </w:pPr>
      <w:r>
        <w:rPr>
          <w:rFonts w:ascii="Times New Roman"/>
          <w:b w:val="false"/>
          <w:i w:val="false"/>
          <w:color w:val="000000"/>
          <w:sz w:val="28"/>
        </w:rPr>
        <w:t>
      Анализ по клиническим аспектам</w:t>
      </w:r>
    </w:p>
    <w:bookmarkEnd w:id="4725"/>
    <w:bookmarkStart w:name="z4845" w:id="4726"/>
    <w:p>
      <w:pPr>
        <w:spacing w:after="0"/>
        <w:ind w:left="0"/>
        <w:jc w:val="both"/>
      </w:pPr>
      <w:r>
        <w:rPr>
          <w:rFonts w:ascii="Times New Roman"/>
          <w:b w:val="false"/>
          <w:i w:val="false"/>
          <w:color w:val="000000"/>
          <w:sz w:val="28"/>
        </w:rPr>
        <w:t>
       </w:t>
      </w:r>
    </w:p>
    <w:bookmarkEnd w:id="4726"/>
    <w:bookmarkStart w:name="z4846" w:id="4727"/>
    <w:p>
      <w:pPr>
        <w:spacing w:after="0"/>
        <w:ind w:left="0"/>
        <w:jc w:val="both"/>
      </w:pPr>
      <w:r>
        <w:rPr>
          <w:rFonts w:ascii="Times New Roman"/>
          <w:b w:val="false"/>
          <w:i w:val="false"/>
          <w:color w:val="000000"/>
          <w:sz w:val="28"/>
        </w:rPr>
        <w:t>
      ___________________________________________________________________________</w:t>
      </w:r>
    </w:p>
    <w:bookmarkEnd w:id="4727"/>
    <w:bookmarkStart w:name="z4847" w:id="4728"/>
    <w:p>
      <w:pPr>
        <w:spacing w:after="0"/>
        <w:ind w:left="0"/>
        <w:jc w:val="both"/>
      </w:pPr>
      <w:r>
        <w:rPr>
          <w:rFonts w:ascii="Times New Roman"/>
          <w:b w:val="false"/>
          <w:i w:val="false"/>
          <w:color w:val="000000"/>
          <w:sz w:val="28"/>
        </w:rPr>
        <w:t>
      ___________________________________________________________________________</w:t>
      </w:r>
    </w:p>
    <w:bookmarkEnd w:id="4728"/>
    <w:bookmarkStart w:name="z4848" w:id="4729"/>
    <w:p>
      <w:pPr>
        <w:spacing w:after="0"/>
        <w:ind w:left="0"/>
        <w:jc w:val="both"/>
      </w:pPr>
      <w:r>
        <w:rPr>
          <w:rFonts w:ascii="Times New Roman"/>
          <w:b w:val="false"/>
          <w:i w:val="false"/>
          <w:color w:val="000000"/>
          <w:sz w:val="28"/>
        </w:rPr>
        <w:t>
      ___________________________________________________________________________</w:t>
      </w:r>
    </w:p>
    <w:bookmarkEnd w:id="4729"/>
    <w:bookmarkStart w:name="z4849" w:id="4730"/>
    <w:p>
      <w:pPr>
        <w:spacing w:after="0"/>
        <w:ind w:left="0"/>
        <w:jc w:val="both"/>
      </w:pPr>
      <w:r>
        <w:rPr>
          <w:rFonts w:ascii="Times New Roman"/>
          <w:b w:val="false"/>
          <w:i w:val="false"/>
          <w:color w:val="000000"/>
          <w:sz w:val="28"/>
        </w:rPr>
        <w:t>
       </w:t>
      </w:r>
    </w:p>
    <w:bookmarkEnd w:id="4730"/>
    <w:bookmarkStart w:name="z4850" w:id="4731"/>
    <w:p>
      <w:pPr>
        <w:spacing w:after="0"/>
        <w:ind w:left="0"/>
        <w:jc w:val="both"/>
      </w:pPr>
      <w:r>
        <w:rPr>
          <w:rFonts w:ascii="Times New Roman"/>
          <w:b w:val="false"/>
          <w:i w:val="false"/>
          <w:color w:val="000000"/>
          <w:sz w:val="28"/>
        </w:rPr>
        <w:t>
      Заключения по клиническим аспектам</w:t>
      </w:r>
    </w:p>
    <w:bookmarkEnd w:id="4731"/>
    <w:bookmarkStart w:name="z4851" w:id="4732"/>
    <w:p>
      <w:pPr>
        <w:spacing w:after="0"/>
        <w:ind w:left="0"/>
        <w:jc w:val="both"/>
      </w:pPr>
      <w:r>
        <w:rPr>
          <w:rFonts w:ascii="Times New Roman"/>
          <w:b w:val="false"/>
          <w:i w:val="false"/>
          <w:color w:val="000000"/>
          <w:sz w:val="28"/>
        </w:rPr>
        <w:t>
       </w:t>
      </w:r>
    </w:p>
    <w:bookmarkEnd w:id="4732"/>
    <w:bookmarkStart w:name="z4852" w:id="4733"/>
    <w:p>
      <w:pPr>
        <w:spacing w:after="0"/>
        <w:ind w:left="0"/>
        <w:jc w:val="both"/>
      </w:pPr>
      <w:r>
        <w:rPr>
          <w:rFonts w:ascii="Times New Roman"/>
          <w:b w:val="false"/>
          <w:i w:val="false"/>
          <w:color w:val="000000"/>
          <w:sz w:val="28"/>
        </w:rPr>
        <w:t>
      ___________________________________________________________________________</w:t>
      </w:r>
    </w:p>
    <w:bookmarkEnd w:id="4733"/>
    <w:bookmarkStart w:name="z4853" w:id="4734"/>
    <w:p>
      <w:pPr>
        <w:spacing w:after="0"/>
        <w:ind w:left="0"/>
        <w:jc w:val="both"/>
      </w:pPr>
      <w:r>
        <w:rPr>
          <w:rFonts w:ascii="Times New Roman"/>
          <w:b w:val="false"/>
          <w:i w:val="false"/>
          <w:color w:val="000000"/>
          <w:sz w:val="28"/>
        </w:rPr>
        <w:t>
      ___________________________________________________________________________</w:t>
      </w:r>
    </w:p>
    <w:bookmarkEnd w:id="4734"/>
    <w:bookmarkStart w:name="z4854" w:id="4735"/>
    <w:p>
      <w:pPr>
        <w:spacing w:after="0"/>
        <w:ind w:left="0"/>
        <w:jc w:val="both"/>
      </w:pPr>
      <w:r>
        <w:rPr>
          <w:rFonts w:ascii="Times New Roman"/>
          <w:b w:val="false"/>
          <w:i w:val="false"/>
          <w:color w:val="000000"/>
          <w:sz w:val="28"/>
        </w:rPr>
        <w:t>
      ___________________________________________________________________________</w:t>
      </w:r>
    </w:p>
    <w:bookmarkEnd w:id="4735"/>
    <w:bookmarkStart w:name="z4855" w:id="4736"/>
    <w:p>
      <w:pPr>
        <w:spacing w:after="0"/>
        <w:ind w:left="0"/>
        <w:jc w:val="both"/>
      </w:pPr>
      <w:r>
        <w:rPr>
          <w:rFonts w:ascii="Times New Roman"/>
          <w:b w:val="false"/>
          <w:i w:val="false"/>
          <w:color w:val="000000"/>
          <w:sz w:val="28"/>
        </w:rPr>
        <w:t>
       </w:t>
      </w:r>
    </w:p>
    <w:bookmarkEnd w:id="4736"/>
    <w:bookmarkStart w:name="z4856" w:id="4737"/>
    <w:p>
      <w:pPr>
        <w:spacing w:after="0"/>
        <w:ind w:left="0"/>
        <w:jc w:val="left"/>
      </w:pPr>
      <w:r>
        <w:rPr>
          <w:rFonts w:ascii="Times New Roman"/>
          <w:b/>
          <w:i w:val="false"/>
          <w:color w:val="000000"/>
        </w:rPr>
        <w:t xml:space="preserve"> 4. Общее заключение </w:t>
      </w:r>
    </w:p>
    <w:bookmarkEnd w:id="4737"/>
    <w:bookmarkStart w:name="z4857" w:id="4738"/>
    <w:p>
      <w:pPr>
        <w:spacing w:after="0"/>
        <w:ind w:left="0"/>
        <w:jc w:val="both"/>
      </w:pPr>
      <w:r>
        <w:rPr>
          <w:rFonts w:ascii="Times New Roman"/>
          <w:b w:val="false"/>
          <w:i w:val="false"/>
          <w:color w:val="000000"/>
          <w:sz w:val="28"/>
        </w:rPr>
        <w:t>
      [Если сделано заключение, что заявитель должен представить дополнительные сведения, указать следующее]</w:t>
      </w:r>
    </w:p>
    <w:bookmarkEnd w:id="4738"/>
    <w:bookmarkStart w:name="z4858" w:id="4739"/>
    <w:p>
      <w:pPr>
        <w:spacing w:after="0"/>
        <w:ind w:left="0"/>
        <w:jc w:val="both"/>
      </w:pPr>
      <w:r>
        <w:rPr>
          <w:rFonts w:ascii="Times New Roman"/>
          <w:b w:val="false"/>
          <w:i w:val="false"/>
          <w:color w:val="000000"/>
          <w:sz w:val="28"/>
        </w:rPr>
        <w:t>
      &lt;На основании обзора данных по качеству, доклинических и клинических свойств активной фармацевтической субстанции эксперт считает, что заявитель должен предоставить дополнительное подтверждение того, что &lt;наименование активной фармацевтической субстанции&gt; должна квалифицироваться как новая активная фармацевтическая субстанция. Необходимо предоставить удовлетворительные ответы на замечания, которые изложены в Перечне замечаний.&gt;</w:t>
      </w:r>
    </w:p>
    <w:bookmarkEnd w:id="4739"/>
    <w:bookmarkStart w:name="z4859" w:id="4740"/>
    <w:p>
      <w:pPr>
        <w:spacing w:after="0"/>
        <w:ind w:left="0"/>
        <w:jc w:val="both"/>
      </w:pPr>
      <w:r>
        <w:rPr>
          <w:rFonts w:ascii="Times New Roman"/>
          <w:b w:val="false"/>
          <w:i w:val="false"/>
          <w:color w:val="000000"/>
          <w:sz w:val="28"/>
        </w:rPr>
        <w:t>
      [Если сделанное заключение не предполагает представление заявителем дополнительных сведений, и заявитель утверждает, что соединение является самостоятельной новой активной фармацевтической субстанцией, указать следующее]</w:t>
      </w:r>
    </w:p>
    <w:bookmarkEnd w:id="4740"/>
    <w:bookmarkStart w:name="z4860" w:id="4741"/>
    <w:p>
      <w:pPr>
        <w:spacing w:after="0"/>
        <w:ind w:left="0"/>
        <w:jc w:val="both"/>
      </w:pPr>
      <w:r>
        <w:rPr>
          <w:rFonts w:ascii="Times New Roman"/>
          <w:b w:val="false"/>
          <w:i w:val="false"/>
          <w:color w:val="000000"/>
          <w:sz w:val="28"/>
        </w:rPr>
        <w:t>
      &lt;На основании обзора данных по качеству, доклинических и клинических свойств активной фармацевтической субстанции эксперт считает, что &lt;наименование активной фармацевтической субстанции&gt; &lt;не&gt; квалифицируется в качестве новой активной фармацевтической субстанции.&gt;</w:t>
      </w:r>
    </w:p>
    <w:bookmarkEnd w:id="4741"/>
    <w:bookmarkStart w:name="z4861" w:id="4742"/>
    <w:p>
      <w:pPr>
        <w:spacing w:after="0"/>
        <w:ind w:left="0"/>
        <w:jc w:val="both"/>
      </w:pPr>
      <w:r>
        <w:rPr>
          <w:rFonts w:ascii="Times New Roman"/>
          <w:b w:val="false"/>
          <w:i w:val="false"/>
          <w:color w:val="000000"/>
          <w:sz w:val="28"/>
        </w:rPr>
        <w:t>
      [Если сделанное заключение не предполагает представление заявителем дополнительных сведений, и заявитель утверждает, что соединение является новой активной фармацевтической субстанцией в сравнении с известным изомером (смесью изомеров, комплексом, производным, солью) химического вещества, ранее зарегистрированного в Евразийском экономическом союзе лекарственного препарата, указать следующее]</w:t>
      </w:r>
    </w:p>
    <w:bookmarkEnd w:id="4742"/>
    <w:bookmarkStart w:name="z4862" w:id="4743"/>
    <w:p>
      <w:pPr>
        <w:spacing w:after="0"/>
        <w:ind w:left="0"/>
        <w:jc w:val="both"/>
      </w:pPr>
      <w:r>
        <w:rPr>
          <w:rFonts w:ascii="Times New Roman"/>
          <w:b w:val="false"/>
          <w:i w:val="false"/>
          <w:color w:val="000000"/>
          <w:sz w:val="28"/>
        </w:rPr>
        <w:t>
      &lt;На основании обзора данных по качеству, доклинических и клинических свойств активной фармацевтической субстанции эксперт считает, что &lt;изомер (смесь изомеров, комплекс, производное, соль) {МНН (соль) заявителя} в сравнении с известным &lt;изомером (смесью изомеров, комплексом, производным, солью) {одобренное МНН (соль)} &lt;не&gt; квалифицируется, как новая активная фармацевтическая субстанция, &lt;отличается&gt;, значимо &lt;не отличается&gt; по свойствам от ранее зарегистрированной субстанции с точки зрения безопасности и эффективности.&gt;</w:t>
      </w:r>
    </w:p>
    <w:bookmarkEnd w:id="4743"/>
    <w:bookmarkStart w:name="z4863" w:id="4744"/>
    <w:p>
      <w:pPr>
        <w:spacing w:after="0"/>
        <w:ind w:left="0"/>
        <w:jc w:val="left"/>
      </w:pPr>
      <w:r>
        <w:rPr>
          <w:rFonts w:ascii="Times New Roman"/>
          <w:b/>
          <w:i w:val="false"/>
          <w:color w:val="000000"/>
        </w:rPr>
        <w:t xml:space="preserve"> 5. Перечень замечаний</w:t>
      </w:r>
    </w:p>
    <w:bookmarkEnd w:id="4744"/>
    <w:bookmarkStart w:name="z4864" w:id="4745"/>
    <w:p>
      <w:pPr>
        <w:spacing w:after="0"/>
        <w:ind w:left="0"/>
        <w:jc w:val="both"/>
      </w:pPr>
      <w:r>
        <w:rPr>
          <w:rFonts w:ascii="Times New Roman"/>
          <w:b w:val="false"/>
          <w:i w:val="false"/>
          <w:color w:val="000000"/>
          <w:sz w:val="28"/>
        </w:rPr>
        <w:t>
      ___________________________________________________________________________</w:t>
      </w:r>
    </w:p>
    <w:bookmarkEnd w:id="4745"/>
    <w:bookmarkStart w:name="z4865" w:id="4746"/>
    <w:p>
      <w:pPr>
        <w:spacing w:after="0"/>
        <w:ind w:left="0"/>
        <w:jc w:val="both"/>
      </w:pPr>
      <w:r>
        <w:rPr>
          <w:rFonts w:ascii="Times New Roman"/>
          <w:b w:val="false"/>
          <w:i w:val="false"/>
          <w:color w:val="000000"/>
          <w:sz w:val="28"/>
        </w:rPr>
        <w:t>
      ___________________________________________________________________________</w:t>
      </w:r>
    </w:p>
    <w:bookmarkEnd w:id="4746"/>
    <w:bookmarkStart w:name="z4866" w:id="4747"/>
    <w:p>
      <w:pPr>
        <w:spacing w:after="0"/>
        <w:ind w:left="0"/>
        <w:jc w:val="both"/>
      </w:pPr>
      <w:r>
        <w:rPr>
          <w:rFonts w:ascii="Times New Roman"/>
          <w:b w:val="false"/>
          <w:i w:val="false"/>
          <w:color w:val="000000"/>
          <w:sz w:val="28"/>
        </w:rPr>
        <w:t>
      ___________________________________________________________________________</w:t>
      </w:r>
    </w:p>
    <w:bookmarkEnd w:id="4747"/>
    <w:bookmarkStart w:name="z4867" w:id="4748"/>
    <w:p>
      <w:pPr>
        <w:spacing w:after="0"/>
        <w:ind w:left="0"/>
        <w:jc w:val="both"/>
      </w:pPr>
      <w:r>
        <w:rPr>
          <w:rFonts w:ascii="Times New Roman"/>
          <w:b w:val="false"/>
          <w:i w:val="false"/>
          <w:color w:val="000000"/>
          <w:sz w:val="28"/>
        </w:rPr>
        <w:t>
      ___________________________________________________________________________</w:t>
      </w:r>
    </w:p>
    <w:bookmarkEnd w:id="4748"/>
    <w:bookmarkStart w:name="z4868" w:id="4749"/>
    <w:p>
      <w:pPr>
        <w:spacing w:after="0"/>
        <w:ind w:left="0"/>
        <w:jc w:val="both"/>
      </w:pPr>
      <w:r>
        <w:rPr>
          <w:rFonts w:ascii="Times New Roman"/>
          <w:b w:val="false"/>
          <w:i w:val="false"/>
          <w:color w:val="000000"/>
          <w:sz w:val="28"/>
        </w:rPr>
        <w:t>
      ___________________________________________________________________________</w:t>
      </w:r>
    </w:p>
    <w:bookmarkEnd w:id="4749"/>
    <w:bookmarkStart w:name="z4869" w:id="4750"/>
    <w:p>
      <w:pPr>
        <w:spacing w:after="0"/>
        <w:ind w:left="0"/>
        <w:jc w:val="both"/>
      </w:pPr>
      <w:r>
        <w:rPr>
          <w:rFonts w:ascii="Times New Roman"/>
          <w:b w:val="false"/>
          <w:i w:val="false"/>
          <w:color w:val="000000"/>
          <w:sz w:val="28"/>
        </w:rPr>
        <w:t>
      ___________________________________________________________________________</w:t>
      </w:r>
    </w:p>
    <w:bookmarkEnd w:id="4750"/>
    <w:bookmarkStart w:name="z4870" w:id="4751"/>
    <w:p>
      <w:pPr>
        <w:spacing w:after="0"/>
        <w:ind w:left="0"/>
        <w:jc w:val="both"/>
      </w:pPr>
      <w:r>
        <w:rPr>
          <w:rFonts w:ascii="Times New Roman"/>
          <w:b w:val="false"/>
          <w:i w:val="false"/>
          <w:color w:val="000000"/>
          <w:sz w:val="28"/>
        </w:rPr>
        <w:t>
      ___________________________________________________________________________</w:t>
      </w:r>
    </w:p>
    <w:bookmarkEnd w:id="4751"/>
    <w:bookmarkStart w:name="z4871" w:id="4752"/>
    <w:p>
      <w:pPr>
        <w:spacing w:after="0"/>
        <w:ind w:left="0"/>
        <w:jc w:val="both"/>
      </w:pPr>
      <w:r>
        <w:rPr>
          <w:rFonts w:ascii="Times New Roman"/>
          <w:b w:val="false"/>
          <w:i w:val="false"/>
          <w:color w:val="000000"/>
          <w:sz w:val="28"/>
        </w:rPr>
        <w:t>
      ___________________________________________________________________________</w:t>
      </w:r>
    </w:p>
    <w:bookmarkEnd w:id="4752"/>
    <w:bookmarkStart w:name="z4872" w:id="4753"/>
    <w:p>
      <w:pPr>
        <w:spacing w:after="0"/>
        <w:ind w:left="0"/>
        <w:jc w:val="both"/>
      </w:pPr>
      <w:r>
        <w:rPr>
          <w:rFonts w:ascii="Times New Roman"/>
          <w:b w:val="false"/>
          <w:i w:val="false"/>
          <w:color w:val="000000"/>
          <w:sz w:val="28"/>
        </w:rPr>
        <w:t>
      ___________________________________________________________________________</w:t>
      </w:r>
    </w:p>
    <w:bookmarkEnd w:id="4753"/>
    <w:bookmarkStart w:name="z4873" w:id="4754"/>
    <w:p>
      <w:pPr>
        <w:spacing w:after="0"/>
        <w:ind w:left="0"/>
        <w:jc w:val="both"/>
      </w:pPr>
      <w:r>
        <w:rPr>
          <w:rFonts w:ascii="Times New Roman"/>
          <w:b w:val="false"/>
          <w:i w:val="false"/>
          <w:color w:val="000000"/>
          <w:sz w:val="28"/>
        </w:rPr>
        <w:t>
      ___________________________________________________________________________</w:t>
      </w:r>
    </w:p>
    <w:bookmarkEnd w:id="4754"/>
    <w:bookmarkStart w:name="z4874" w:id="4755"/>
    <w:p>
      <w:pPr>
        <w:spacing w:after="0"/>
        <w:ind w:left="0"/>
        <w:jc w:val="both"/>
      </w:pPr>
      <w:r>
        <w:rPr>
          <w:rFonts w:ascii="Times New Roman"/>
          <w:b w:val="false"/>
          <w:i w:val="false"/>
          <w:color w:val="000000"/>
          <w:sz w:val="28"/>
        </w:rPr>
        <w:t>
      ___________________________________________________________________________</w:t>
      </w:r>
    </w:p>
    <w:bookmarkEnd w:id="4755"/>
    <w:bookmarkStart w:name="z4875" w:id="4756"/>
    <w:p>
      <w:pPr>
        <w:spacing w:after="0"/>
        <w:ind w:left="0"/>
        <w:jc w:val="both"/>
      </w:pPr>
      <w:r>
        <w:rPr>
          <w:rFonts w:ascii="Times New Roman"/>
          <w:b w:val="false"/>
          <w:i w:val="false"/>
          <w:color w:val="000000"/>
          <w:sz w:val="28"/>
        </w:rPr>
        <w:t>
      ___________________________________________________________________________</w:t>
      </w:r>
    </w:p>
    <w:bookmarkEnd w:id="4756"/>
    <w:bookmarkStart w:name="z4876" w:id="4757"/>
    <w:p>
      <w:pPr>
        <w:spacing w:after="0"/>
        <w:ind w:left="0"/>
        <w:jc w:val="both"/>
      </w:pPr>
      <w:r>
        <w:rPr>
          <w:rFonts w:ascii="Times New Roman"/>
          <w:b w:val="false"/>
          <w:i w:val="false"/>
          <w:color w:val="000000"/>
          <w:sz w:val="28"/>
        </w:rPr>
        <w:t>
       </w:t>
      </w:r>
    </w:p>
    <w:bookmarkEnd w:id="4757"/>
    <w:bookmarkStart w:name="z4877" w:id="4758"/>
    <w:p>
      <w:pPr>
        <w:spacing w:after="0"/>
        <w:ind w:left="0"/>
        <w:jc w:val="both"/>
      </w:pPr>
      <w:r>
        <w:rPr>
          <w:rFonts w:ascii="Times New Roman"/>
          <w:b w:val="false"/>
          <w:i w:val="false"/>
          <w:color w:val="000000"/>
          <w:sz w:val="28"/>
        </w:rPr>
        <w:t>
       </w:t>
      </w:r>
    </w:p>
    <w:bookmarkEnd w:id="4758"/>
    <w:bookmarkStart w:name="z4878" w:id="4759"/>
    <w:p>
      <w:pPr>
        <w:spacing w:after="0"/>
        <w:ind w:left="0"/>
        <w:jc w:val="both"/>
      </w:pPr>
      <w:r>
        <w:rPr>
          <w:rFonts w:ascii="Times New Roman"/>
          <w:b w:val="false"/>
          <w:i w:val="false"/>
          <w:color w:val="000000"/>
          <w:sz w:val="28"/>
        </w:rPr>
        <w:t>
       </w:t>
      </w:r>
    </w:p>
    <w:bookmarkEnd w:id="4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10 с изменениями, внесенными решениями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20.10.2023 </w:t>
      </w:r>
      <w:r>
        <w:rPr>
          <w:rFonts w:ascii="Times New Roman"/>
          <w:b w:val="false"/>
          <w:i w:val="false"/>
          <w:color w:val="ff0000"/>
          <w:sz w:val="28"/>
        </w:rPr>
        <w:t>№ 114</w:t>
      </w:r>
      <w:r>
        <w:rPr>
          <w:rFonts w:ascii="Times New Roman"/>
          <w:b w:val="false"/>
          <w:i w:val="false"/>
          <w:color w:val="ff0000"/>
          <w:sz w:val="28"/>
        </w:rPr>
        <w:t xml:space="preserve"> (вступает в силу с 20.12.2023).</w:t>
      </w:r>
    </w:p>
    <w:bookmarkStart w:name="z4880" w:id="4760"/>
    <w:p>
      <w:pPr>
        <w:spacing w:after="0"/>
        <w:ind w:left="0"/>
        <w:jc w:val="both"/>
      </w:pPr>
      <w:r>
        <w:rPr>
          <w:rFonts w:ascii="Times New Roman"/>
          <w:b w:val="false"/>
          <w:i w:val="false"/>
          <w:color w:val="000000"/>
          <w:sz w:val="28"/>
        </w:rPr>
        <w:t>
       </w:t>
      </w:r>
    </w:p>
    <w:bookmarkEnd w:id="4760"/>
    <w:bookmarkStart w:name="z4881" w:id="4761"/>
    <w:p>
      <w:pPr>
        <w:spacing w:after="0"/>
        <w:ind w:left="0"/>
        <w:jc w:val="left"/>
      </w:pPr>
      <w:r>
        <w:rPr>
          <w:rFonts w:ascii="Times New Roman"/>
          <w:b/>
          <w:i w:val="false"/>
          <w:color w:val="000000"/>
        </w:rPr>
        <w:t xml:space="preserve"> ПРОЦЕДУРА</w:t>
      </w:r>
      <w:r>
        <w:br/>
      </w:r>
      <w:r>
        <w:rPr>
          <w:rFonts w:ascii="Times New Roman"/>
          <w:b/>
          <w:i w:val="false"/>
          <w:color w:val="000000"/>
        </w:rPr>
        <w:t xml:space="preserve">РАБОТЫ С МАСТЕР-ФАЙЛОМ НА АКТИВНУЮ ФАРМАЦЕВТИЧЕСКУЮ СУБСТАНЦИЮ </w:t>
      </w:r>
    </w:p>
    <w:bookmarkEnd w:id="4761"/>
    <w:bookmarkStart w:name="z4882" w:id="4762"/>
    <w:p>
      <w:pPr>
        <w:spacing w:after="0"/>
        <w:ind w:left="0"/>
        <w:jc w:val="left"/>
      </w:pPr>
      <w:r>
        <w:rPr>
          <w:rFonts w:ascii="Times New Roman"/>
          <w:b/>
          <w:i w:val="false"/>
          <w:color w:val="000000"/>
        </w:rPr>
        <w:t xml:space="preserve"> I. Введение </w:t>
      </w:r>
    </w:p>
    <w:bookmarkEnd w:id="4762"/>
    <w:bookmarkStart w:name="z4883" w:id="4763"/>
    <w:p>
      <w:pPr>
        <w:spacing w:after="0"/>
        <w:ind w:left="0"/>
        <w:jc w:val="both"/>
      </w:pPr>
      <w:r>
        <w:rPr>
          <w:rFonts w:ascii="Times New Roman"/>
          <w:b w:val="false"/>
          <w:i w:val="false"/>
          <w:color w:val="000000"/>
          <w:sz w:val="28"/>
        </w:rPr>
        <w:t>
      Основная цель процедуры мастер-файла активной фармацевтической субстанции (далее - МФАФС) заключается в защите ценной конфиденциальной интеллектуальной собственности или ноу-хау производителя активной фармацевтической субстанции (далее - ПАФС), позволяя в то же самое время заявителю или держателю регистрационного удостоверения (далее - РУ) взять полную ответственность за лекарственный препарат, а также качество и контроль качества активной фармацевтической субстанции. Благодаря этой процедуре, уполномоченные органы государств - членов Евразийского экономического союза (далее соответственно - государство-член, Союз) имеют полный доступ к сведениям, необходимым для экспертизы пригодности активной фармацевтической субстанции к применению в составе лекарственного препарата.</w:t>
      </w:r>
    </w:p>
    <w:bookmarkEnd w:id="4763"/>
    <w:bookmarkStart w:name="z4884" w:id="4764"/>
    <w:p>
      <w:pPr>
        <w:spacing w:after="0"/>
        <w:ind w:left="0"/>
        <w:jc w:val="both"/>
      </w:pPr>
      <w:r>
        <w:rPr>
          <w:rFonts w:ascii="Times New Roman"/>
          <w:b w:val="false"/>
          <w:i w:val="false"/>
          <w:color w:val="000000"/>
          <w:sz w:val="28"/>
        </w:rPr>
        <w:t>
       </w:t>
      </w:r>
    </w:p>
    <w:bookmarkEnd w:id="4764"/>
    <w:bookmarkStart w:name="z4885" w:id="4765"/>
    <w:p>
      <w:pPr>
        <w:spacing w:after="0"/>
        <w:ind w:left="0"/>
        <w:jc w:val="left"/>
      </w:pPr>
      <w:r>
        <w:rPr>
          <w:rFonts w:ascii="Times New Roman"/>
          <w:b/>
          <w:i w:val="false"/>
          <w:color w:val="000000"/>
        </w:rPr>
        <w:t xml:space="preserve"> II. Сфера применения </w:t>
      </w:r>
    </w:p>
    <w:bookmarkEnd w:id="4765"/>
    <w:bookmarkStart w:name="z4886" w:id="4766"/>
    <w:p>
      <w:pPr>
        <w:spacing w:after="0"/>
        <w:ind w:left="0"/>
        <w:jc w:val="both"/>
      </w:pPr>
      <w:r>
        <w:rPr>
          <w:rFonts w:ascii="Times New Roman"/>
          <w:b w:val="false"/>
          <w:i w:val="false"/>
          <w:color w:val="000000"/>
          <w:sz w:val="28"/>
        </w:rPr>
        <w:t>
       </w:t>
      </w:r>
    </w:p>
    <w:bookmarkEnd w:id="4766"/>
    <w:bookmarkStart w:name="z4887" w:id="4767"/>
    <w:p>
      <w:pPr>
        <w:spacing w:after="0"/>
        <w:ind w:left="0"/>
        <w:jc w:val="both"/>
      </w:pPr>
      <w:r>
        <w:rPr>
          <w:rFonts w:ascii="Times New Roman"/>
          <w:b w:val="false"/>
          <w:i w:val="false"/>
          <w:color w:val="000000"/>
          <w:sz w:val="28"/>
        </w:rPr>
        <w:t>
      Настоящее Приложение предназначено для содействия заявителям (держателям РУ) в составлении раздела по активной фармацевтической субстанции регистрационного досье лекарственного препарата или досье на внесение изменений в регистрационное досье зарегистрированного лекарственного препарата (досье на изменение) (раздел 3.2.S). Оно также направлено на содействие держателям МФАФС в составлении МФАФС.</w:t>
      </w:r>
    </w:p>
    <w:bookmarkEnd w:id="4767"/>
    <w:bookmarkStart w:name="z4888" w:id="4768"/>
    <w:p>
      <w:pPr>
        <w:spacing w:after="0"/>
        <w:ind w:left="0"/>
        <w:jc w:val="both"/>
      </w:pPr>
      <w:r>
        <w:rPr>
          <w:rFonts w:ascii="Times New Roman"/>
          <w:b w:val="false"/>
          <w:i w:val="false"/>
          <w:color w:val="000000"/>
          <w:sz w:val="28"/>
        </w:rPr>
        <w:t>
       </w:t>
      </w:r>
    </w:p>
    <w:bookmarkEnd w:id="4768"/>
    <w:bookmarkStart w:name="z4889" w:id="4769"/>
    <w:p>
      <w:pPr>
        <w:spacing w:after="0"/>
        <w:ind w:left="0"/>
        <w:jc w:val="left"/>
      </w:pPr>
      <w:r>
        <w:rPr>
          <w:rFonts w:ascii="Times New Roman"/>
          <w:b/>
          <w:i w:val="false"/>
          <w:color w:val="000000"/>
        </w:rPr>
        <w:t xml:space="preserve"> III. Содержание мастер-файла активной фармацевтической субстанции </w:t>
      </w:r>
    </w:p>
    <w:bookmarkEnd w:id="4769"/>
    <w:bookmarkStart w:name="z4890" w:id="4770"/>
    <w:p>
      <w:pPr>
        <w:spacing w:after="0"/>
        <w:ind w:left="0"/>
        <w:jc w:val="both"/>
      </w:pPr>
      <w:r>
        <w:rPr>
          <w:rFonts w:ascii="Times New Roman"/>
          <w:b w:val="false"/>
          <w:i w:val="false"/>
          <w:color w:val="000000"/>
          <w:sz w:val="28"/>
        </w:rPr>
        <w:t>
      МФАФС должен содержать подробные научные сведения, обозначенные под различными заголовками модуля 3 регистрационного досье в формате общего технического документа (таблица 1).</w:t>
      </w:r>
    </w:p>
    <w:bookmarkEnd w:id="4770"/>
    <w:bookmarkStart w:name="z4891" w:id="4771"/>
    <w:p>
      <w:pPr>
        <w:spacing w:after="0"/>
        <w:ind w:left="0"/>
        <w:jc w:val="both"/>
      </w:pPr>
      <w:r>
        <w:rPr>
          <w:rFonts w:ascii="Times New Roman"/>
          <w:b w:val="false"/>
          <w:i w:val="false"/>
          <w:color w:val="000000"/>
          <w:sz w:val="28"/>
        </w:rPr>
        <w:t>
      Научные сведения в МФАФС необходимо физически разделить на две части, а именно: часть заявителя (далее - ЧЗ) и закрытую часть (далее - ЗЧ). ЧЗ содержит сведения, которые держатель МФАФС не считает конфиденциальными для заявителя (держателя РУ), тогда как ЗЧ содержит сведения, которые держатель МФАФС считает конфиденциальными (дополнение № 1 к настоящему приложению). Следует отметить, что ЧЗ все же является конфиденциальным документом, и его нельзя передавать третьим лицам без письменного согласия держателя МФАФС. Во всех случаях ЧЗ должна содержать достаточные сведения, чтобы заявитель (держатель РУ) мог взять полную ответственность за оценку пригодности спецификации на активную фармацевтическую субстанцию, контролировать качество такой активной фармацевтической субстанции в целях ее использования в производстве определенного лекарственного препарата.</w:t>
      </w:r>
    </w:p>
    <w:bookmarkEnd w:id="4771"/>
    <w:bookmarkStart w:name="z4892" w:id="4772"/>
    <w:p>
      <w:pPr>
        <w:spacing w:after="0"/>
        <w:ind w:left="0"/>
        <w:jc w:val="both"/>
      </w:pPr>
      <w:r>
        <w:rPr>
          <w:rFonts w:ascii="Times New Roman"/>
          <w:b w:val="false"/>
          <w:i w:val="false"/>
          <w:color w:val="000000"/>
          <w:sz w:val="28"/>
        </w:rPr>
        <w:t>
      ЗЧ может содержать оставшиеся сведения, такие как подробные сведения об отдельных стадиях производства (условия протекания реакций, температура, валидация и оценка данных критических стадий производства) и контроля качества в ходе производства активной фармацевтической субстанции. Уполномоченные органы государств-членов вправе не согласиться с тем, что определенные сведения МФАФС не были переданы заявителю (держателю РУ). В таких случаях уполномоченные органы государства-члена вправе потребовать исправления ЧЗ.</w:t>
      </w:r>
    </w:p>
    <w:bookmarkEnd w:id="4772"/>
    <w:bookmarkStart w:name="z4893" w:id="4773"/>
    <w:p>
      <w:pPr>
        <w:spacing w:after="0"/>
        <w:ind w:left="0"/>
        <w:jc w:val="both"/>
      </w:pPr>
      <w:r>
        <w:rPr>
          <w:rFonts w:ascii="Times New Roman"/>
          <w:b w:val="false"/>
          <w:i w:val="false"/>
          <w:color w:val="000000"/>
          <w:sz w:val="28"/>
        </w:rPr>
        <w:t>
      В дополнение к ЧЗ и ЗЧ МФАФС должен иметь содержание, отдельные общие резюме по качеству для ЧЗ и ЗЧ. Каждая версия ЧЗ и ЗЧ должна иметь уникальные и независимые контрольные номера версий.</w:t>
      </w:r>
    </w:p>
    <w:bookmarkEnd w:id="4773"/>
    <w:bookmarkStart w:name="z4894" w:id="4774"/>
    <w:p>
      <w:pPr>
        <w:spacing w:after="0"/>
        <w:ind w:left="0"/>
        <w:jc w:val="left"/>
      </w:pPr>
      <w:r>
        <w:rPr>
          <w:rFonts w:ascii="Times New Roman"/>
          <w:b/>
          <w:i w:val="false"/>
          <w:color w:val="000000"/>
        </w:rPr>
        <w:t xml:space="preserve"> IV. Использование процедуры мастер-файла активной фармацевтической субстанции </w:t>
      </w:r>
    </w:p>
    <w:bookmarkEnd w:id="4774"/>
    <w:bookmarkStart w:name="z4895" w:id="4775"/>
    <w:p>
      <w:pPr>
        <w:spacing w:after="0"/>
        <w:ind w:left="0"/>
        <w:jc w:val="both"/>
      </w:pPr>
      <w:r>
        <w:rPr>
          <w:rFonts w:ascii="Times New Roman"/>
          <w:b w:val="false"/>
          <w:i w:val="false"/>
          <w:color w:val="000000"/>
          <w:sz w:val="28"/>
        </w:rPr>
        <w:t>
      МФАФС допускается подавать лишь в обоснование регистрации лекарственного препарата в Союзе или внесения изменений в регистрационное досье зарегистрированного в Союзе лекарственного препарата. Зависимость между качеством активной фармацевтической субстанции и ее использованием в составе лекарственного препарата необходимо обосновать в регистрационном досье или досье на изменение.</w:t>
      </w:r>
    </w:p>
    <w:bookmarkEnd w:id="4775"/>
    <w:bookmarkStart w:name="z4896" w:id="4776"/>
    <w:p>
      <w:pPr>
        <w:spacing w:after="0"/>
        <w:ind w:left="0"/>
        <w:jc w:val="both"/>
      </w:pPr>
      <w:r>
        <w:rPr>
          <w:rFonts w:ascii="Times New Roman"/>
          <w:b w:val="false"/>
          <w:i w:val="false"/>
          <w:color w:val="000000"/>
          <w:sz w:val="28"/>
        </w:rPr>
        <w:t>
      Несмотря на то что процедура МФАФС разработана в целях охраны интеллектуальной собственности ПАФС, ею также разрешается пользоваться в отсутствие конфиденциальности между заявителем (держателем РУ) и ПАФС (например, когда заявитель (держатель РУ) самостоятельно синтезирует активную фармацевтическую субстанцию). ПАФС должен являться держателем МФАФС.</w:t>
      </w:r>
    </w:p>
    <w:bookmarkEnd w:id="4776"/>
    <w:bookmarkStart w:name="z4897" w:id="4777"/>
    <w:p>
      <w:pPr>
        <w:spacing w:after="0"/>
        <w:ind w:left="0"/>
        <w:jc w:val="both"/>
      </w:pPr>
      <w:r>
        <w:rPr>
          <w:rFonts w:ascii="Times New Roman"/>
          <w:b w:val="false"/>
          <w:i w:val="false"/>
          <w:color w:val="000000"/>
          <w:sz w:val="28"/>
        </w:rPr>
        <w:t>
      Процедура МФАФС используется в отношении следующих активных фармацевтических субстанций, включая лекарственное растительное сырье (растительные фармацевтические субстанции):</w:t>
      </w:r>
    </w:p>
    <w:bookmarkEnd w:id="4777"/>
    <w:bookmarkStart w:name="z4898" w:id="4778"/>
    <w:p>
      <w:pPr>
        <w:spacing w:after="0"/>
        <w:ind w:left="0"/>
        <w:jc w:val="both"/>
      </w:pPr>
      <w:r>
        <w:rPr>
          <w:rFonts w:ascii="Times New Roman"/>
          <w:b w:val="false"/>
          <w:i w:val="false"/>
          <w:color w:val="000000"/>
          <w:sz w:val="28"/>
        </w:rPr>
        <w:t>
      новые активные фармацевтические субстанции;</w:t>
      </w:r>
    </w:p>
    <w:bookmarkEnd w:id="4778"/>
    <w:bookmarkStart w:name="z4899" w:id="4779"/>
    <w:p>
      <w:pPr>
        <w:spacing w:after="0"/>
        <w:ind w:left="0"/>
        <w:jc w:val="both"/>
      </w:pPr>
      <w:r>
        <w:rPr>
          <w:rFonts w:ascii="Times New Roman"/>
          <w:b w:val="false"/>
          <w:i w:val="false"/>
          <w:color w:val="000000"/>
          <w:sz w:val="28"/>
        </w:rPr>
        <w:t>
      известные активные фармацевтические субстанции, не включенные в Фармакопею Союза или фармакопею государства-члена;</w:t>
      </w:r>
    </w:p>
    <w:bookmarkEnd w:id="4779"/>
    <w:bookmarkStart w:name="z4900" w:id="4780"/>
    <w:p>
      <w:pPr>
        <w:spacing w:after="0"/>
        <w:ind w:left="0"/>
        <w:jc w:val="both"/>
      </w:pPr>
      <w:r>
        <w:rPr>
          <w:rFonts w:ascii="Times New Roman"/>
          <w:b w:val="false"/>
          <w:i w:val="false"/>
          <w:color w:val="000000"/>
          <w:sz w:val="28"/>
        </w:rPr>
        <w:t>
      фармакопейные активные фармацевтические субстанции, включенные в Фармакопею Союза или фармакопею государства-члена.</w:t>
      </w:r>
    </w:p>
    <w:bookmarkEnd w:id="4780"/>
    <w:bookmarkStart w:name="z4901" w:id="4781"/>
    <w:p>
      <w:pPr>
        <w:spacing w:after="0"/>
        <w:ind w:left="0"/>
        <w:jc w:val="both"/>
      </w:pPr>
      <w:r>
        <w:rPr>
          <w:rFonts w:ascii="Times New Roman"/>
          <w:b w:val="false"/>
          <w:i w:val="false"/>
          <w:color w:val="000000"/>
          <w:sz w:val="28"/>
        </w:rPr>
        <w:t>
      Процедуру МФАФС не допускается использовать в отношении биологических активных фармацевтических субстанций (дополнение № 5 к настоящему приложению).</w:t>
      </w:r>
    </w:p>
    <w:bookmarkEnd w:id="4781"/>
    <w:bookmarkStart w:name="z4902" w:id="4782"/>
    <w:p>
      <w:pPr>
        <w:spacing w:after="0"/>
        <w:ind w:left="0"/>
        <w:jc w:val="both"/>
      </w:pPr>
      <w:r>
        <w:rPr>
          <w:rFonts w:ascii="Times New Roman"/>
          <w:b w:val="false"/>
          <w:i w:val="false"/>
          <w:color w:val="000000"/>
          <w:sz w:val="28"/>
        </w:rPr>
        <w:t>
      Держатель МФАФС может иметь МФАФС, а также сертификат CEP, выданный на отдельную активную фармацевтическую субстанцию. Однако, в целом, недопустимо, чтобы заявитель (держатель РУ) ссылался и на МФАФС, и на CEP в отношении одной и той же активной фармацевтической субстанции в одном регистрационном досье (досье на изменение). Если CEP содержит недостаточно сведений (например, по стабильности), уполномоченные органы государств-членов вправе потребовать включения в досье дополнительных сведений. В этом случае допускается ссылаться как на МФАФС, так и CEP.</w:t>
      </w:r>
    </w:p>
    <w:bookmarkEnd w:id="4782"/>
    <w:bookmarkStart w:name="z4903" w:id="4783"/>
    <w:p>
      <w:pPr>
        <w:spacing w:after="0"/>
        <w:ind w:left="0"/>
        <w:jc w:val="both"/>
      </w:pPr>
      <w:r>
        <w:rPr>
          <w:rFonts w:ascii="Times New Roman"/>
          <w:b w:val="false"/>
          <w:i w:val="false"/>
          <w:color w:val="000000"/>
          <w:sz w:val="28"/>
        </w:rPr>
        <w:t>
      Держатель МФАФС должен дать разрешение уполномоченным органам государств-членов на экспертизу данных МФАФС во взаимосвязи с конкретным регистрационным досье (досье на изменение) в форме "Разрешения на доступ" (дополнение № 2 к настоящему приложению).</w:t>
      </w:r>
    </w:p>
    <w:bookmarkEnd w:id="4783"/>
    <w:bookmarkStart w:name="z4904" w:id="4784"/>
    <w:p>
      <w:pPr>
        <w:spacing w:after="0"/>
        <w:ind w:left="0"/>
        <w:jc w:val="both"/>
      </w:pPr>
      <w:r>
        <w:rPr>
          <w:rFonts w:ascii="Times New Roman"/>
          <w:b w:val="false"/>
          <w:i w:val="false"/>
          <w:color w:val="000000"/>
          <w:sz w:val="28"/>
        </w:rPr>
        <w:t>
      Держатель МФАФС должен предоставить заявителю (держателю РУ) следующие документы:</w:t>
      </w:r>
    </w:p>
    <w:bookmarkEnd w:id="4784"/>
    <w:bookmarkStart w:name="z4905" w:id="4785"/>
    <w:p>
      <w:pPr>
        <w:spacing w:after="0"/>
        <w:ind w:left="0"/>
        <w:jc w:val="both"/>
      </w:pPr>
      <w:r>
        <w:rPr>
          <w:rFonts w:ascii="Times New Roman"/>
          <w:b w:val="false"/>
          <w:i w:val="false"/>
          <w:color w:val="000000"/>
          <w:sz w:val="28"/>
        </w:rPr>
        <w:t>
      копию последней версии ЧЗ (и, если применимо, уведомление уполномоченного органа государства-члена о недостаточности данных в ЧЗ, если они еще не были включены в ЧЗ);</w:t>
      </w:r>
    </w:p>
    <w:bookmarkEnd w:id="4785"/>
    <w:bookmarkStart w:name="z4906" w:id="4786"/>
    <w:p>
      <w:pPr>
        <w:spacing w:after="0"/>
        <w:ind w:left="0"/>
        <w:jc w:val="both"/>
      </w:pPr>
      <w:r>
        <w:rPr>
          <w:rFonts w:ascii="Times New Roman"/>
          <w:b w:val="false"/>
          <w:i w:val="false"/>
          <w:color w:val="000000"/>
          <w:sz w:val="28"/>
        </w:rPr>
        <w:t>
      копию общее резюме по качеству на последнюю версию ЧЗ;</w:t>
      </w:r>
    </w:p>
    <w:bookmarkEnd w:id="4786"/>
    <w:bookmarkStart w:name="z4907" w:id="4787"/>
    <w:p>
      <w:pPr>
        <w:spacing w:after="0"/>
        <w:ind w:left="0"/>
        <w:jc w:val="both"/>
      </w:pPr>
      <w:r>
        <w:rPr>
          <w:rFonts w:ascii="Times New Roman"/>
          <w:b w:val="false"/>
          <w:i w:val="false"/>
          <w:color w:val="000000"/>
          <w:sz w:val="28"/>
        </w:rPr>
        <w:t>
      копию Разрешения на доступ, если такое разрешение в отношении рассматриваемого лекарственного препарата не было передано ранее.</w:t>
      </w:r>
    </w:p>
    <w:bookmarkEnd w:id="4787"/>
    <w:bookmarkStart w:name="z4908" w:id="4788"/>
    <w:p>
      <w:pPr>
        <w:spacing w:after="0"/>
        <w:ind w:left="0"/>
        <w:jc w:val="both"/>
      </w:pPr>
      <w:r>
        <w:rPr>
          <w:rFonts w:ascii="Times New Roman"/>
          <w:b w:val="false"/>
          <w:i w:val="false"/>
          <w:color w:val="000000"/>
          <w:sz w:val="28"/>
        </w:rPr>
        <w:t>
      Кроме того, обязательным требованием является подача держателем МФАФС во все уполномоченные органы государств-членов, вовлеченные в процедуру регистрации (внесения изменений в регистрационное досье):</w:t>
      </w:r>
    </w:p>
    <w:bookmarkEnd w:id="4788"/>
    <w:bookmarkStart w:name="z4909" w:id="4789"/>
    <w:p>
      <w:pPr>
        <w:spacing w:after="0"/>
        <w:ind w:left="0"/>
        <w:jc w:val="both"/>
      </w:pPr>
      <w:r>
        <w:rPr>
          <w:rFonts w:ascii="Times New Roman"/>
          <w:b w:val="false"/>
          <w:i w:val="false"/>
          <w:color w:val="000000"/>
          <w:sz w:val="28"/>
        </w:rPr>
        <w:t>
      МФАФС (и, если применимо, ответы на уведомления уполномоченного органа государства-члена о недостаточности данных, если они еще не были включены в МФАФС) вместе с направительным письмом и административными данными, (дополнение № 3 к настоящему приложению). Это требование также распространяется на ответы держателя МФАФС на уведомления уполномоченного органа государства-члена о недостаточности данных;</w:t>
      </w:r>
    </w:p>
    <w:bookmarkEnd w:id="4789"/>
    <w:bookmarkStart w:name="z4910" w:id="4790"/>
    <w:p>
      <w:pPr>
        <w:spacing w:after="0"/>
        <w:ind w:left="0"/>
        <w:jc w:val="both"/>
      </w:pPr>
      <w:r>
        <w:rPr>
          <w:rFonts w:ascii="Times New Roman"/>
          <w:b w:val="false"/>
          <w:i w:val="false"/>
          <w:color w:val="000000"/>
          <w:sz w:val="28"/>
        </w:rPr>
        <w:t>
      разрешение на доступ, если такое разрешение в отношении рассматриваемого лекарственного препарата не было подано ранее.</w:t>
      </w:r>
    </w:p>
    <w:bookmarkEnd w:id="4790"/>
    <w:bookmarkStart w:name="z4911" w:id="4791"/>
    <w:p>
      <w:pPr>
        <w:spacing w:after="0"/>
        <w:ind w:left="0"/>
        <w:jc w:val="both"/>
      </w:pPr>
      <w:r>
        <w:rPr>
          <w:rFonts w:ascii="Times New Roman"/>
          <w:b w:val="false"/>
          <w:i w:val="false"/>
          <w:color w:val="000000"/>
          <w:sz w:val="28"/>
        </w:rPr>
        <w:t>
      Держатель МФАФС должен подавать МФАФС в уполномоченный орган государства-члена однократно. Держатель МФАФС должен синхронизировать подачу соответствующей документации уполномоченному органу государства-члена с подачей регистрационного досье (досье на изменение): документы должны прийти не ранее и не позднее, чем через 1 месяц после подачи соответствующего регистрационного досье (досье на изменение).</w:t>
      </w:r>
    </w:p>
    <w:bookmarkEnd w:id="4791"/>
    <w:bookmarkStart w:name="z4912" w:id="4792"/>
    <w:p>
      <w:pPr>
        <w:spacing w:after="0"/>
        <w:ind w:left="0"/>
        <w:jc w:val="both"/>
      </w:pPr>
      <w:r>
        <w:rPr>
          <w:rFonts w:ascii="Times New Roman"/>
          <w:b w:val="false"/>
          <w:i w:val="false"/>
          <w:color w:val="000000"/>
          <w:sz w:val="28"/>
        </w:rPr>
        <w:t>
      При использовании процедуры МФАФС заявитель (держатель РУ) должен подать регистрационное досье или досье на изменение уполномоченному органу референтного государства вместе с Разрешением на доступ, если в отношении рассматриваемого лекарственного препарата оно не было подано ранее самим держателем РУ (заявителем) или держателем МФАФС.</w:t>
      </w:r>
    </w:p>
    <w:bookmarkEnd w:id="4792"/>
    <w:bookmarkStart w:name="z4913" w:id="4793"/>
    <w:p>
      <w:pPr>
        <w:spacing w:after="0"/>
        <w:ind w:left="0"/>
        <w:jc w:val="both"/>
      </w:pPr>
      <w:r>
        <w:rPr>
          <w:rFonts w:ascii="Times New Roman"/>
          <w:b w:val="false"/>
          <w:i w:val="false"/>
          <w:color w:val="000000"/>
          <w:sz w:val="28"/>
        </w:rPr>
        <w:t>
      Если одна и та же активная фармацевтическая субстанция используется в нескольких досье на различные лекарственные препараты в одной или более государствах-членах, держатель МФАФС должен представить идентичную документацию каждому уполномоченному органу государства-члена. Впоследствии уполномоченные органы государств-членов вправе потребовать, чтобы любые обновления МФАФС, произведенные в отношении одного регистрационного досье, были применены в отношении остальных. Обязанностью держателя МФАФС является уведомление заинтересованных держателей РУ и уполномоченных органов государств-членов о любых изменениях в ЧЗ и (или) ЗЧ, чтобы держатели РУ могли соответствующим образом обновить все затронутые регистрационные досье лекарственных препаратов.</w:t>
      </w:r>
    </w:p>
    <w:bookmarkEnd w:id="4793"/>
    <w:bookmarkStart w:name="z4914" w:id="4794"/>
    <w:p>
      <w:pPr>
        <w:spacing w:after="0"/>
        <w:ind w:left="0"/>
        <w:jc w:val="left"/>
      </w:pPr>
      <w:r>
        <w:rPr>
          <w:rFonts w:ascii="Times New Roman"/>
          <w:b/>
          <w:i w:val="false"/>
          <w:color w:val="000000"/>
        </w:rPr>
        <w:t xml:space="preserve"> V. Содержание регистрационного досье при использовании процедуры мастер-файла активной фармацевтической субстанции </w:t>
      </w:r>
    </w:p>
    <w:bookmarkEnd w:id="4794"/>
    <w:bookmarkStart w:name="z4915" w:id="4795"/>
    <w:p>
      <w:pPr>
        <w:spacing w:after="0"/>
        <w:ind w:left="0"/>
        <w:jc w:val="both"/>
      </w:pPr>
      <w:r>
        <w:rPr>
          <w:rFonts w:ascii="Times New Roman"/>
          <w:b w:val="false"/>
          <w:i w:val="false"/>
          <w:color w:val="000000"/>
          <w:sz w:val="28"/>
        </w:rPr>
        <w:t>
      Заявитель (держатель РУ) отвечает за обеспечение наличия у него доступа ко всем необходимым сведениям о фактическом производстве активной фармацевтической субстанции.</w:t>
      </w:r>
    </w:p>
    <w:bookmarkEnd w:id="4795"/>
    <w:bookmarkStart w:name="z4916" w:id="4796"/>
    <w:p>
      <w:pPr>
        <w:spacing w:after="0"/>
        <w:ind w:left="0"/>
        <w:jc w:val="both"/>
      </w:pPr>
      <w:r>
        <w:rPr>
          <w:rFonts w:ascii="Times New Roman"/>
          <w:b w:val="false"/>
          <w:i w:val="false"/>
          <w:color w:val="000000"/>
          <w:sz w:val="28"/>
        </w:rPr>
        <w:t>
      В регистрационном досье необходимо однозначно представить спецификацию, используемую заявителем (держателем РУ) для контроля качества активной фармацевтической субстанции (раздел 3.2.S.4.1 или 3.2.S.4.2 формата ОТД). Заявитель (держатель РУ) должен включить копию ЧЗ в регистрационное досье (раздел 3.2.S формата ОТД). Версия ЧЗ в регистрационном досье должна быть наиболее свежей и идентичной ЧЗ, поданной держателем МФАФС уполномоченному органу государства-члена как часть МФАФС. Заявитель (держатель РУ) должен перенести все необходимые сведения из ЧЗ в общее резюме по качеству (модуль 2.3) регистрационного досье. В общем резюме по качеству регистрационного досье необходимо осветить разделы МФАФС, которые специфичны для рассматриваемого лекарственного препарата.</w:t>
      </w:r>
    </w:p>
    <w:bookmarkEnd w:id="4796"/>
    <w:bookmarkStart w:name="z4917" w:id="4797"/>
    <w:p>
      <w:pPr>
        <w:spacing w:after="0"/>
        <w:ind w:left="0"/>
        <w:jc w:val="both"/>
      </w:pPr>
      <w:r>
        <w:rPr>
          <w:rFonts w:ascii="Times New Roman"/>
          <w:b w:val="false"/>
          <w:i w:val="false"/>
          <w:color w:val="000000"/>
          <w:sz w:val="28"/>
        </w:rPr>
        <w:t>
      В случае одного поставщика и использовании процедуры МФАФС или CEP, спецификация на активную фармацевтическую субстанцию, включаемая заявителем (держателем РУ) в регистрационное досье, должна, в принципе, быть идентичной таковой держателя МФАФС или CEP. Однако заявитель (держатель РУ) не обязаны соглашаться на избыточные испытания в спецификации, необоснованно строгие пределы спецификации и устаревшие аналитические методики.</w:t>
      </w:r>
    </w:p>
    <w:bookmarkEnd w:id="4797"/>
    <w:bookmarkStart w:name="z4918" w:id="4798"/>
    <w:p>
      <w:pPr>
        <w:spacing w:after="0"/>
        <w:ind w:left="0"/>
        <w:jc w:val="both"/>
      </w:pPr>
      <w:r>
        <w:rPr>
          <w:rFonts w:ascii="Times New Roman"/>
          <w:b w:val="false"/>
          <w:i w:val="false"/>
          <w:color w:val="000000"/>
          <w:sz w:val="28"/>
        </w:rPr>
        <w:t>
      Если заявитель (держатель РУ) использует отличную от описанного в МФАФС аналитическую методику, необходимо валидировать обе методики. Технические испытания спецификации, которые значимы для лекарственного препарата, но которые обычно не являются частью спецификации МФАФС (например, размер частиц), должны быть частью спецификации заявителя (держателя РУ).</w:t>
      </w:r>
    </w:p>
    <w:bookmarkEnd w:id="4798"/>
    <w:bookmarkStart w:name="z4919" w:id="4799"/>
    <w:p>
      <w:pPr>
        <w:spacing w:after="0"/>
        <w:ind w:left="0"/>
        <w:jc w:val="both"/>
      </w:pPr>
      <w:r>
        <w:rPr>
          <w:rFonts w:ascii="Times New Roman"/>
          <w:b w:val="false"/>
          <w:i w:val="false"/>
          <w:color w:val="000000"/>
          <w:sz w:val="28"/>
        </w:rPr>
        <w:t>
      При наличии нескольких поставщиков заявитель (держатель РУ) должен располагать единой объединенной спецификацией, которая идентична для каждого поставщика. В спецификации допускается указывать более одного критерия приемлемости и (или) аналитической методики для одного и того же показателя качества с указанием "если проверяется" (например, в отношении остаточных растворителей).</w:t>
      </w:r>
    </w:p>
    <w:bookmarkEnd w:id="4799"/>
    <w:bookmarkStart w:name="z4920" w:id="4800"/>
    <w:p>
      <w:pPr>
        <w:spacing w:after="0"/>
        <w:ind w:left="0"/>
        <w:jc w:val="left"/>
      </w:pPr>
      <w:r>
        <w:rPr>
          <w:rFonts w:ascii="Times New Roman"/>
          <w:b/>
          <w:i w:val="false"/>
          <w:color w:val="000000"/>
        </w:rPr>
        <w:t xml:space="preserve"> VI. Изменение и обновление мастер-файла активной фармацевтической субстанции </w:t>
      </w:r>
    </w:p>
    <w:bookmarkEnd w:id="4800"/>
    <w:bookmarkStart w:name="z4921" w:id="4801"/>
    <w:p>
      <w:pPr>
        <w:spacing w:after="0"/>
        <w:ind w:left="0"/>
        <w:jc w:val="both"/>
      </w:pPr>
      <w:r>
        <w:rPr>
          <w:rFonts w:ascii="Times New Roman"/>
          <w:b w:val="false"/>
          <w:i w:val="false"/>
          <w:color w:val="000000"/>
          <w:sz w:val="28"/>
        </w:rPr>
        <w:t>
      В отношении лекарственных препаратов держатели МФАФС должны обеспечивать постоянное обновление своих МФАФС в части фактического синтеза (процесса производства). Методы контроля качества должны соответствовать действующим регуляторным и научным требованиям.</w:t>
      </w:r>
    </w:p>
    <w:bookmarkEnd w:id="4801"/>
    <w:bookmarkStart w:name="z4922" w:id="4802"/>
    <w:p>
      <w:pPr>
        <w:spacing w:after="0"/>
        <w:ind w:left="0"/>
        <w:jc w:val="both"/>
      </w:pPr>
      <w:r>
        <w:rPr>
          <w:rFonts w:ascii="Times New Roman"/>
          <w:b w:val="false"/>
          <w:i w:val="false"/>
          <w:color w:val="000000"/>
          <w:sz w:val="28"/>
        </w:rPr>
        <w:t>
      Держатели МФАФС не вправе изменять содержимое своих МФАФС (например, процесс производства или спецификации) без уведомления каждого заявителя (держателя РУ) и каждого уполномоченного органа государства-члена. Это обязательство имеет силу, пока Разрешение на доступ не отозвано держателем МФАФС (дополнение № 4 к настоящему приложению). Держатели МФАФС должны предоставлять обновленный МФАФС всем заинтересованным сторонам с указанием исправленного номера версии.</w:t>
      </w:r>
    </w:p>
    <w:bookmarkEnd w:id="4802"/>
    <w:bookmarkStart w:name="z4923" w:id="4803"/>
    <w:p>
      <w:pPr>
        <w:spacing w:after="0"/>
        <w:ind w:left="0"/>
        <w:jc w:val="both"/>
      </w:pPr>
      <w:r>
        <w:rPr>
          <w:rFonts w:ascii="Times New Roman"/>
          <w:b w:val="false"/>
          <w:i w:val="false"/>
          <w:color w:val="000000"/>
          <w:sz w:val="28"/>
        </w:rPr>
        <w:t>
      Держатель РУ должен сообщать соответствующему уполномоченному органу государства-члена о любом изменении МФАФС посредством соответствующей процедуры внесения изменений. Необходимо представить Направительное письмо (дополнение № 3 к настоящему приложению).</w:t>
      </w:r>
    </w:p>
    <w:bookmarkEnd w:id="4803"/>
    <w:bookmarkStart w:name="z4924" w:id="4804"/>
    <w:p>
      <w:pPr>
        <w:spacing w:after="0"/>
        <w:ind w:left="0"/>
        <w:jc w:val="both"/>
      </w:pPr>
      <w:r>
        <w:rPr>
          <w:rFonts w:ascii="Times New Roman"/>
          <w:b w:val="false"/>
          <w:i w:val="false"/>
          <w:color w:val="000000"/>
          <w:sz w:val="28"/>
        </w:rPr>
        <w:t>
      Если содержимое МФАФС невозможно изменить в течение определенного периода времени вследствие процессуальных причин (т.е. главным образом вследствие протекающих процедур взаимного признания), держатель МФАФС все же должен представить вышеупомянутые данные держателю РУ и уполномоченным органам государств-членов, указав на это и запросив более поздний срок реализации изменений.</w:t>
      </w:r>
    </w:p>
    <w:bookmarkEnd w:id="4804"/>
    <w:bookmarkStart w:name="z4925" w:id="4805"/>
    <w:p>
      <w:pPr>
        <w:spacing w:after="0"/>
        <w:ind w:left="0"/>
        <w:jc w:val="both"/>
      </w:pPr>
      <w:r>
        <w:rPr>
          <w:rFonts w:ascii="Times New Roman"/>
          <w:b w:val="false"/>
          <w:i w:val="false"/>
          <w:color w:val="000000"/>
          <w:sz w:val="28"/>
        </w:rPr>
        <w:t>
      При подтверждении регистрации лекарственного препарата держатели РУ должны задекларировать, что качество лекарственного препарата в части методов производства и контроля подвергалось регулярному обновлению посредством процедуры внесения изменений в целях учета технического и научного прогресса, и что лекарственный препарат соответствует действующим документам Союза, регламентирующим качество лекарственных средств. Они также должны задекларировать, что никакие данные о лекарственном препарате, за исключением разрешенных уполномоченным органом государства-члена, не менялись.</w:t>
      </w:r>
    </w:p>
    <w:bookmarkEnd w:id="4805"/>
    <w:bookmarkStart w:name="z4926" w:id="4806"/>
    <w:p>
      <w:pPr>
        <w:spacing w:after="0"/>
        <w:ind w:left="0"/>
        <w:jc w:val="both"/>
      </w:pPr>
      <w:r>
        <w:rPr>
          <w:rFonts w:ascii="Times New Roman"/>
          <w:b w:val="false"/>
          <w:i w:val="false"/>
          <w:color w:val="000000"/>
          <w:sz w:val="28"/>
        </w:rPr>
        <w:t>
      В связи с этим держатели РУ должны сверять со своими держателями МФАФС правильность вышеуказанной декларации в отношении данных об активной фармацевтической субстанции. Если держатель РУ и уполномоченный орган государства-члена не уведомлены об изменениях, необходимо без промедления начать соответствующую процедуру внесения изменений в регистрационное досье зарегистрированного лекарственного препарата.</w:t>
      </w:r>
    </w:p>
    <w:bookmarkEnd w:id="4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Дополнение № 1 </w:t>
            </w:r>
          </w:p>
        </w:tc>
      </w:tr>
    </w:tbl>
    <w:bookmarkStart w:name="z4928" w:id="4807"/>
    <w:p>
      <w:pPr>
        <w:spacing w:after="0"/>
        <w:ind w:left="0"/>
        <w:jc w:val="left"/>
      </w:pPr>
      <w:r>
        <w:rPr>
          <w:rFonts w:ascii="Times New Roman"/>
          <w:b/>
          <w:i w:val="false"/>
          <w:color w:val="000000"/>
        </w:rPr>
        <w:t xml:space="preserve"> ОБЗОР СОДЕРЖАНИЯ МФАФС </w:t>
      </w:r>
    </w:p>
    <w:bookmarkEnd w:id="4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4808"/>
          <w:p>
            <w:pPr>
              <w:spacing w:after="20"/>
              <w:ind w:left="20"/>
              <w:jc w:val="both"/>
            </w:pPr>
            <w:r>
              <w:rPr>
                <w:rFonts w:ascii="Times New Roman"/>
                <w:b w:val="false"/>
                <w:i w:val="false"/>
                <w:color w:val="000000"/>
                <w:sz w:val="20"/>
              </w:rPr>
              <w:t xml:space="preserve">
Часть модуля досье </w:t>
            </w:r>
          </w:p>
          <w:bookmarkEnd w:id="4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ОТД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Часть заявителя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часть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4809"/>
          <w:p>
            <w:pPr>
              <w:spacing w:after="20"/>
              <w:ind w:left="20"/>
              <w:jc w:val="both"/>
            </w:pPr>
            <w:r>
              <w:rPr>
                <w:rFonts w:ascii="Times New Roman"/>
                <w:b w:val="false"/>
                <w:i w:val="false"/>
                <w:color w:val="000000"/>
                <w:sz w:val="20"/>
              </w:rPr>
              <w:t xml:space="preserve">
3.2.S.1 </w:t>
            </w:r>
          </w:p>
          <w:bookmarkEnd w:id="4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4810"/>
          <w:p>
            <w:pPr>
              <w:spacing w:after="20"/>
              <w:ind w:left="20"/>
              <w:jc w:val="both"/>
            </w:pPr>
            <w:r>
              <w:rPr>
                <w:rFonts w:ascii="Times New Roman"/>
                <w:b w:val="false"/>
                <w:i w:val="false"/>
                <w:color w:val="000000"/>
                <w:sz w:val="20"/>
              </w:rPr>
              <w:t xml:space="preserve">
3.2.S.1.1 </w:t>
            </w:r>
          </w:p>
          <w:bookmarkEnd w:id="4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4811"/>
          <w:p>
            <w:pPr>
              <w:spacing w:after="20"/>
              <w:ind w:left="20"/>
              <w:jc w:val="both"/>
            </w:pPr>
            <w:r>
              <w:rPr>
                <w:rFonts w:ascii="Times New Roman"/>
                <w:b w:val="false"/>
                <w:i w:val="false"/>
                <w:color w:val="000000"/>
                <w:sz w:val="20"/>
              </w:rPr>
              <w:t xml:space="preserve">
3.2.S.1.2 </w:t>
            </w:r>
          </w:p>
          <w:bookmarkEnd w:id="4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4812"/>
          <w:p>
            <w:pPr>
              <w:spacing w:after="20"/>
              <w:ind w:left="20"/>
              <w:jc w:val="both"/>
            </w:pPr>
            <w:r>
              <w:rPr>
                <w:rFonts w:ascii="Times New Roman"/>
                <w:b w:val="false"/>
                <w:i w:val="false"/>
                <w:color w:val="000000"/>
                <w:sz w:val="20"/>
              </w:rPr>
              <w:t xml:space="preserve">
3.2.S.1.3 </w:t>
            </w:r>
          </w:p>
          <w:bookmarkEnd w:id="4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свойства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4813"/>
          <w:p>
            <w:pPr>
              <w:spacing w:after="20"/>
              <w:ind w:left="20"/>
              <w:jc w:val="both"/>
            </w:pPr>
            <w:r>
              <w:rPr>
                <w:rFonts w:ascii="Times New Roman"/>
                <w:b w:val="false"/>
                <w:i w:val="false"/>
                <w:color w:val="000000"/>
                <w:sz w:val="20"/>
              </w:rPr>
              <w:t xml:space="preserve">
3.2.S.2 </w:t>
            </w:r>
          </w:p>
          <w:bookmarkEnd w:id="4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4814"/>
          <w:p>
            <w:pPr>
              <w:spacing w:after="20"/>
              <w:ind w:left="20"/>
              <w:jc w:val="both"/>
            </w:pPr>
            <w:r>
              <w:rPr>
                <w:rFonts w:ascii="Times New Roman"/>
                <w:b w:val="false"/>
                <w:i w:val="false"/>
                <w:color w:val="000000"/>
                <w:sz w:val="20"/>
              </w:rPr>
              <w:t xml:space="preserve">
3.2.S.2.1 </w:t>
            </w:r>
          </w:p>
          <w:bookmarkEnd w:id="4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Производители (включая все компании, вовлеченные в производство активной фармацевтической субстанции, в том числе площадки по контролю качества (внутрипроизводственным испытаниям), производители промежуточных продуктов, площадки по измельчению и стерилизации)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4815"/>
          <w:p>
            <w:pPr>
              <w:spacing w:after="20"/>
              <w:ind w:left="20"/>
              <w:jc w:val="both"/>
            </w:pPr>
            <w:r>
              <w:rPr>
                <w:rFonts w:ascii="Times New Roman"/>
                <w:b w:val="false"/>
                <w:i w:val="false"/>
                <w:color w:val="000000"/>
                <w:sz w:val="20"/>
              </w:rPr>
              <w:t xml:space="preserve">
3.2.S.2.2 </w:t>
            </w:r>
          </w:p>
          <w:bookmarkEnd w:id="4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процесса производства и контролей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4816"/>
          <w:p>
            <w:pPr>
              <w:spacing w:after="20"/>
              <w:ind w:left="20"/>
              <w:jc w:val="both"/>
            </w:pPr>
            <w:r>
              <w:rPr>
                <w:rFonts w:ascii="Times New Roman"/>
                <w:b w:val="false"/>
                <w:i w:val="false"/>
                <w:color w:val="000000"/>
                <w:sz w:val="20"/>
              </w:rPr>
              <w:t xml:space="preserve">
3.2.S.2.3 </w:t>
            </w:r>
          </w:p>
          <w:bookmarkEnd w:id="4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4817"/>
          <w:p>
            <w:pPr>
              <w:spacing w:after="20"/>
              <w:ind w:left="20"/>
              <w:jc w:val="both"/>
            </w:pPr>
            <w:r>
              <w:rPr>
                <w:rFonts w:ascii="Times New Roman"/>
                <w:b w:val="false"/>
                <w:i w:val="false"/>
                <w:color w:val="000000"/>
                <w:sz w:val="20"/>
              </w:rPr>
              <w:t xml:space="preserve">
3.2.S.2.4 </w:t>
            </w:r>
          </w:p>
          <w:bookmarkEnd w:id="4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стадий и промежуточной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4818"/>
          <w:p>
            <w:pPr>
              <w:spacing w:after="20"/>
              <w:ind w:left="20"/>
              <w:jc w:val="both"/>
            </w:pPr>
            <w:r>
              <w:rPr>
                <w:rFonts w:ascii="Times New Roman"/>
                <w:b w:val="false"/>
                <w:i w:val="false"/>
                <w:color w:val="000000"/>
                <w:sz w:val="20"/>
              </w:rPr>
              <w:t xml:space="preserve">
3.2.S.2.5 </w:t>
            </w:r>
          </w:p>
          <w:bookmarkEnd w:id="4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производственного процесса и (или) его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4819"/>
          <w:p>
            <w:pPr>
              <w:spacing w:after="20"/>
              <w:ind w:left="20"/>
              <w:jc w:val="both"/>
            </w:pPr>
            <w:r>
              <w:rPr>
                <w:rFonts w:ascii="Times New Roman"/>
                <w:b w:val="false"/>
                <w:i w:val="false"/>
                <w:color w:val="000000"/>
                <w:sz w:val="20"/>
              </w:rPr>
              <w:t xml:space="preserve">
3.2.S.2.6 </w:t>
            </w:r>
          </w:p>
          <w:bookmarkEnd w:id="4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4820"/>
          <w:p>
            <w:pPr>
              <w:spacing w:after="20"/>
              <w:ind w:left="20"/>
              <w:jc w:val="both"/>
            </w:pPr>
            <w:r>
              <w:rPr>
                <w:rFonts w:ascii="Times New Roman"/>
                <w:b w:val="false"/>
                <w:i w:val="false"/>
                <w:color w:val="000000"/>
                <w:sz w:val="20"/>
              </w:rPr>
              <w:t xml:space="preserve">
3.2.S.3 </w:t>
            </w:r>
          </w:p>
          <w:bookmarkEnd w:id="4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свойств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4821"/>
          <w:p>
            <w:pPr>
              <w:spacing w:after="20"/>
              <w:ind w:left="20"/>
              <w:jc w:val="both"/>
            </w:pPr>
            <w:r>
              <w:rPr>
                <w:rFonts w:ascii="Times New Roman"/>
                <w:b w:val="false"/>
                <w:i w:val="false"/>
                <w:color w:val="000000"/>
                <w:sz w:val="20"/>
              </w:rPr>
              <w:t xml:space="preserve">
3.2.S.3.1 </w:t>
            </w:r>
          </w:p>
          <w:bookmarkEnd w:id="4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Установление структуры и прочих характеристик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4822"/>
          <w:p>
            <w:pPr>
              <w:spacing w:after="20"/>
              <w:ind w:left="20"/>
              <w:jc w:val="both"/>
            </w:pPr>
            <w:r>
              <w:rPr>
                <w:rFonts w:ascii="Times New Roman"/>
                <w:b w:val="false"/>
                <w:i w:val="false"/>
                <w:color w:val="000000"/>
                <w:sz w:val="20"/>
              </w:rPr>
              <w:t xml:space="preserve">
3.2.S.3.2 </w:t>
            </w:r>
          </w:p>
          <w:bookmarkEnd w:id="4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Примеси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4823"/>
          <w:p>
            <w:pPr>
              <w:spacing w:after="20"/>
              <w:ind w:left="20"/>
              <w:jc w:val="both"/>
            </w:pPr>
            <w:r>
              <w:rPr>
                <w:rFonts w:ascii="Times New Roman"/>
                <w:b w:val="false"/>
                <w:i w:val="false"/>
                <w:color w:val="000000"/>
                <w:sz w:val="20"/>
              </w:rPr>
              <w:t xml:space="preserve">
3.2.S.4 </w:t>
            </w:r>
          </w:p>
          <w:bookmarkEnd w:id="4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качества фармацевтической субстанции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4824"/>
          <w:p>
            <w:pPr>
              <w:spacing w:after="20"/>
              <w:ind w:left="20"/>
              <w:jc w:val="both"/>
            </w:pPr>
            <w:r>
              <w:rPr>
                <w:rFonts w:ascii="Times New Roman"/>
                <w:b w:val="false"/>
                <w:i w:val="false"/>
                <w:color w:val="000000"/>
                <w:sz w:val="20"/>
              </w:rPr>
              <w:t xml:space="preserve">
3.2.S.4.1 </w:t>
            </w:r>
          </w:p>
          <w:bookmarkEnd w:id="4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4825"/>
          <w:p>
            <w:pPr>
              <w:spacing w:after="20"/>
              <w:ind w:left="20"/>
              <w:jc w:val="both"/>
            </w:pPr>
            <w:r>
              <w:rPr>
                <w:rFonts w:ascii="Times New Roman"/>
                <w:b w:val="false"/>
                <w:i w:val="false"/>
                <w:color w:val="000000"/>
                <w:sz w:val="20"/>
              </w:rPr>
              <w:t xml:space="preserve">
3.2.S.4.2 </w:t>
            </w:r>
          </w:p>
          <w:bookmarkEnd w:id="4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методики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4826"/>
          <w:p>
            <w:pPr>
              <w:spacing w:after="20"/>
              <w:ind w:left="20"/>
              <w:jc w:val="both"/>
            </w:pPr>
            <w:r>
              <w:rPr>
                <w:rFonts w:ascii="Times New Roman"/>
                <w:b w:val="false"/>
                <w:i w:val="false"/>
                <w:color w:val="000000"/>
                <w:sz w:val="20"/>
              </w:rPr>
              <w:t xml:space="preserve">
3.2.S.4.3 </w:t>
            </w:r>
          </w:p>
          <w:bookmarkEnd w:id="4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аналитических методик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4827"/>
          <w:p>
            <w:pPr>
              <w:spacing w:after="20"/>
              <w:ind w:left="20"/>
              <w:jc w:val="both"/>
            </w:pPr>
            <w:r>
              <w:rPr>
                <w:rFonts w:ascii="Times New Roman"/>
                <w:b w:val="false"/>
                <w:i w:val="false"/>
                <w:color w:val="000000"/>
                <w:sz w:val="20"/>
              </w:rPr>
              <w:t xml:space="preserve">
3.2.S.4.4 </w:t>
            </w:r>
          </w:p>
          <w:bookmarkEnd w:id="4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серий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4828"/>
          <w:p>
            <w:pPr>
              <w:spacing w:after="20"/>
              <w:ind w:left="20"/>
              <w:jc w:val="both"/>
            </w:pPr>
            <w:r>
              <w:rPr>
                <w:rFonts w:ascii="Times New Roman"/>
                <w:b w:val="false"/>
                <w:i w:val="false"/>
                <w:color w:val="000000"/>
                <w:sz w:val="20"/>
              </w:rPr>
              <w:t xml:space="preserve">
3.2.S.4.5 </w:t>
            </w:r>
          </w:p>
          <w:bookmarkEnd w:id="4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спецификации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4829"/>
          <w:p>
            <w:pPr>
              <w:spacing w:after="20"/>
              <w:ind w:left="20"/>
              <w:jc w:val="both"/>
            </w:pPr>
            <w:r>
              <w:rPr>
                <w:rFonts w:ascii="Times New Roman"/>
                <w:b w:val="false"/>
                <w:i w:val="false"/>
                <w:color w:val="000000"/>
                <w:sz w:val="20"/>
              </w:rPr>
              <w:t xml:space="preserve">
3.2.S.5 </w:t>
            </w:r>
          </w:p>
          <w:bookmarkEnd w:id="4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образцы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4830"/>
          <w:p>
            <w:pPr>
              <w:spacing w:after="20"/>
              <w:ind w:left="20"/>
              <w:jc w:val="both"/>
            </w:pPr>
            <w:r>
              <w:rPr>
                <w:rFonts w:ascii="Times New Roman"/>
                <w:b w:val="false"/>
                <w:i w:val="false"/>
                <w:color w:val="000000"/>
                <w:sz w:val="20"/>
              </w:rPr>
              <w:t xml:space="preserve">
3.2.S.6 </w:t>
            </w:r>
          </w:p>
          <w:bookmarkEnd w:id="4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Упаковочно-укупорочная система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4831"/>
          <w:p>
            <w:pPr>
              <w:spacing w:after="20"/>
              <w:ind w:left="20"/>
              <w:jc w:val="both"/>
            </w:pPr>
            <w:r>
              <w:rPr>
                <w:rFonts w:ascii="Times New Roman"/>
                <w:b w:val="false"/>
                <w:i w:val="false"/>
                <w:color w:val="000000"/>
                <w:sz w:val="20"/>
              </w:rPr>
              <w:t xml:space="preserve">
3.2.S.7 </w:t>
            </w:r>
          </w:p>
          <w:bookmarkEnd w:id="4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4832"/>
          <w:p>
            <w:pPr>
              <w:spacing w:after="20"/>
              <w:ind w:left="20"/>
              <w:jc w:val="both"/>
            </w:pPr>
            <w:r>
              <w:rPr>
                <w:rFonts w:ascii="Times New Roman"/>
                <w:b w:val="false"/>
                <w:i w:val="false"/>
                <w:color w:val="000000"/>
                <w:sz w:val="20"/>
              </w:rPr>
              <w:t xml:space="preserve">
3.2.S.7.1 </w:t>
            </w:r>
          </w:p>
          <w:bookmarkEnd w:id="4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и заключение о стабильности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4833"/>
          <w:p>
            <w:pPr>
              <w:spacing w:after="20"/>
              <w:ind w:left="20"/>
              <w:jc w:val="both"/>
            </w:pPr>
            <w:r>
              <w:rPr>
                <w:rFonts w:ascii="Times New Roman"/>
                <w:b w:val="false"/>
                <w:i w:val="false"/>
                <w:color w:val="000000"/>
                <w:sz w:val="20"/>
              </w:rPr>
              <w:t xml:space="preserve">
3.2.S.7.2 </w:t>
            </w:r>
          </w:p>
          <w:bookmarkEnd w:id="4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пострегистрационных исследований стабильности и обязательства относительно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4834"/>
          <w:p>
            <w:pPr>
              <w:spacing w:after="20"/>
              <w:ind w:left="20"/>
              <w:jc w:val="both"/>
            </w:pPr>
            <w:r>
              <w:rPr>
                <w:rFonts w:ascii="Times New Roman"/>
                <w:b w:val="false"/>
                <w:i w:val="false"/>
                <w:color w:val="000000"/>
                <w:sz w:val="20"/>
              </w:rPr>
              <w:t xml:space="preserve">
3.2.S.7.3 </w:t>
            </w:r>
          </w:p>
          <w:bookmarkEnd w:id="4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по стабильности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7" w:id="4835"/>
    <w:p>
      <w:pPr>
        <w:spacing w:after="0"/>
        <w:ind w:left="0"/>
        <w:jc w:val="both"/>
      </w:pPr>
      <w:r>
        <w:rPr>
          <w:rFonts w:ascii="Times New Roman"/>
          <w:b w:val="false"/>
          <w:i w:val="false"/>
          <w:color w:val="000000"/>
          <w:sz w:val="28"/>
        </w:rPr>
        <w:t>
      1. Если подробные сведения содержатся в закрытой части, то достаточным считается блок-схема и краткое описание. Однако в части заявителя могут потребоваться полные валидационные данные о процессе стерилизации (при отсутствии последующей стерилизации лекарственного препарата).</w:t>
      </w:r>
    </w:p>
    <w:bookmarkEnd w:id="4835"/>
    <w:bookmarkStart w:name="z4958" w:id="4836"/>
    <w:p>
      <w:pPr>
        <w:spacing w:after="0"/>
        <w:ind w:left="0"/>
        <w:jc w:val="both"/>
      </w:pPr>
      <w:r>
        <w:rPr>
          <w:rFonts w:ascii="Times New Roman"/>
          <w:b w:val="false"/>
          <w:i w:val="false"/>
          <w:color w:val="000000"/>
          <w:sz w:val="28"/>
        </w:rPr>
        <w:t>
      2. Подробные сведения.</w:t>
      </w:r>
    </w:p>
    <w:bookmarkEnd w:id="4836"/>
    <w:bookmarkStart w:name="z4959" w:id="4837"/>
    <w:p>
      <w:pPr>
        <w:spacing w:after="0"/>
        <w:ind w:left="0"/>
        <w:jc w:val="both"/>
      </w:pPr>
      <w:r>
        <w:rPr>
          <w:rFonts w:ascii="Times New Roman"/>
          <w:b w:val="false"/>
          <w:i w:val="false"/>
          <w:color w:val="000000"/>
          <w:sz w:val="28"/>
        </w:rPr>
        <w:t>
      3. В той мере, насколько эти сведения также требуются заявителю (держателю РУ).</w:t>
      </w:r>
    </w:p>
    <w:bookmarkEnd w:id="4837"/>
    <w:bookmarkStart w:name="z4960" w:id="4838"/>
    <w:p>
      <w:pPr>
        <w:spacing w:after="0"/>
        <w:ind w:left="0"/>
        <w:jc w:val="both"/>
      </w:pPr>
      <w:r>
        <w:rPr>
          <w:rFonts w:ascii="Times New Roman"/>
          <w:b w:val="false"/>
          <w:i w:val="false"/>
          <w:color w:val="000000"/>
          <w:sz w:val="28"/>
        </w:rPr>
        <w:t>
      4. В той мере, насколько эти сведения относятся к подробному описанию процесса производства, и в той мере, насколько эти сведения не требуются заявителю (держателю РУ).</w:t>
      </w:r>
    </w:p>
    <w:bookmarkEnd w:id="4838"/>
    <w:bookmarkStart w:name="z4961" w:id="4839"/>
    <w:p>
      <w:pPr>
        <w:spacing w:after="0"/>
        <w:ind w:left="0"/>
        <w:jc w:val="both"/>
      </w:pPr>
      <w:r>
        <w:rPr>
          <w:rFonts w:ascii="Times New Roman"/>
          <w:b w:val="false"/>
          <w:i w:val="false"/>
          <w:color w:val="000000"/>
          <w:sz w:val="28"/>
        </w:rPr>
        <w:t>
      5. В той мере, насколько эти сведения относятся к подробному описанию процесса производства, и в той мере, насколько держатель МФАФС достаточно обоснует, что отсутствует необходимость контролировать эти примеси в активной фармацевтической субстанции.</w:t>
      </w:r>
    </w:p>
    <w:bookmarkEnd w:id="4839"/>
    <w:bookmarkStart w:name="z4962" w:id="4840"/>
    <w:p>
      <w:pPr>
        <w:spacing w:after="0"/>
        <w:ind w:left="0"/>
        <w:jc w:val="both"/>
      </w:pPr>
      <w:r>
        <w:rPr>
          <w:rFonts w:ascii="Times New Roman"/>
          <w:b w:val="false"/>
          <w:i w:val="false"/>
          <w:color w:val="000000"/>
          <w:sz w:val="28"/>
        </w:rPr>
        <w:t>
      6. В той мере, насколько эти сведения относятся к подробному описанию процесса производства, контролю качества материалов и валидации процесса производства.</w:t>
      </w:r>
    </w:p>
    <w:bookmarkEnd w:id="4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4841"/>
          <w:p>
            <w:pPr>
              <w:spacing w:after="20"/>
              <w:ind w:left="20"/>
              <w:jc w:val="both"/>
            </w:pPr>
            <w:r>
              <w:rPr>
                <w:rFonts w:ascii="Times New Roman"/>
                <w:b w:val="false"/>
                <w:i w:val="false"/>
                <w:color w:val="000000"/>
                <w:sz w:val="20"/>
              </w:rPr>
              <w:t xml:space="preserve">
Часть модуля досье </w:t>
            </w:r>
          </w:p>
          <w:bookmarkEnd w:id="4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ОТД растительное сырье (растительные фармацевтические субстанции)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Часть заявителя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часть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4842"/>
          <w:p>
            <w:pPr>
              <w:spacing w:after="20"/>
              <w:ind w:left="20"/>
              <w:jc w:val="both"/>
            </w:pPr>
            <w:r>
              <w:rPr>
                <w:rFonts w:ascii="Times New Roman"/>
                <w:b w:val="false"/>
                <w:i w:val="false"/>
                <w:color w:val="000000"/>
                <w:sz w:val="20"/>
              </w:rPr>
              <w:t xml:space="preserve">
3.2.S.1 </w:t>
            </w:r>
          </w:p>
          <w:bookmarkEnd w:id="4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4843"/>
          <w:p>
            <w:pPr>
              <w:spacing w:after="20"/>
              <w:ind w:left="20"/>
              <w:jc w:val="both"/>
            </w:pPr>
            <w:r>
              <w:rPr>
                <w:rFonts w:ascii="Times New Roman"/>
                <w:b w:val="false"/>
                <w:i w:val="false"/>
                <w:color w:val="000000"/>
                <w:sz w:val="20"/>
              </w:rPr>
              <w:t xml:space="preserve">
3.2.S.1.1 </w:t>
            </w:r>
          </w:p>
          <w:bookmarkEnd w:id="4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4844"/>
          <w:p>
            <w:pPr>
              <w:spacing w:after="20"/>
              <w:ind w:left="20"/>
              <w:jc w:val="both"/>
            </w:pPr>
          </w:p>
          <w:bookmarkEnd w:id="4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Фармацевтическая субстанция растительного происхождения, полученная измельчением лекарственного растительного сырья: биноминальное научное название растения (род, вид, подвид и автор) и хемотип (при наличии) морфологическая группа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4845"/>
          <w:p>
            <w:pPr>
              <w:spacing w:after="20"/>
              <w:ind w:left="20"/>
              <w:jc w:val="both"/>
            </w:pPr>
          </w:p>
          <w:bookmarkEnd w:id="4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лекарственного растительного сырья на латинском языке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4846"/>
          <w:p>
            <w:pPr>
              <w:spacing w:after="20"/>
              <w:ind w:left="20"/>
              <w:jc w:val="both"/>
            </w:pPr>
          </w:p>
          <w:bookmarkEnd w:id="4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названия (синонимы, описанные в прочих фармакопеях)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4847"/>
          <w:p>
            <w:pPr>
              <w:spacing w:after="20"/>
              <w:ind w:left="20"/>
              <w:jc w:val="both"/>
            </w:pPr>
          </w:p>
          <w:bookmarkEnd w:id="4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 происхождения (дикорастущие или культивируемые)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4848"/>
          <w:p>
            <w:pPr>
              <w:spacing w:after="20"/>
              <w:ind w:left="20"/>
              <w:jc w:val="both"/>
            </w:pPr>
          </w:p>
          <w:bookmarkEnd w:id="4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Фармацевтическая субстанция растительного происхождения, полученная после обработки лекарственного растительного сырья различными способами (экстракция и др.):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4849"/>
          <w:p>
            <w:pPr>
              <w:spacing w:after="20"/>
              <w:ind w:left="20"/>
              <w:jc w:val="both"/>
            </w:pPr>
          </w:p>
          <w:bookmarkEnd w:id="4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биноминальное научное название растения (род, вид, подвид и автор) и хемотип (при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4850"/>
          <w:p>
            <w:pPr>
              <w:spacing w:after="20"/>
              <w:ind w:left="20"/>
              <w:jc w:val="both"/>
            </w:pPr>
          </w:p>
          <w:bookmarkEnd w:id="4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растений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4851"/>
          <w:p>
            <w:pPr>
              <w:spacing w:after="20"/>
              <w:ind w:left="20"/>
              <w:jc w:val="both"/>
            </w:pPr>
          </w:p>
          <w:bookmarkEnd w:id="4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фармацевтической субстанции растительного происхождения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4852"/>
          <w:p>
            <w:pPr>
              <w:spacing w:after="20"/>
              <w:ind w:left="20"/>
              <w:jc w:val="both"/>
            </w:pPr>
          </w:p>
          <w:bookmarkEnd w:id="4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лекарственного растительного сырья в фармацевтической субстанции растительного происхождения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4853"/>
          <w:p>
            <w:pPr>
              <w:spacing w:after="20"/>
              <w:ind w:left="20"/>
              <w:jc w:val="both"/>
            </w:pPr>
          </w:p>
          <w:bookmarkEnd w:id="4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экстракционные растворители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4854"/>
          <w:p>
            <w:pPr>
              <w:spacing w:after="20"/>
              <w:ind w:left="20"/>
              <w:jc w:val="both"/>
            </w:pPr>
          </w:p>
          <w:bookmarkEnd w:id="4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названия (синонимы, описанные в прочих фармакопеях)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4855"/>
          <w:p>
            <w:pPr>
              <w:spacing w:after="20"/>
              <w:ind w:left="20"/>
              <w:jc w:val="both"/>
            </w:pPr>
          </w:p>
          <w:bookmarkEnd w:id="4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 происхождения (дикорастущие или культивируемые)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4856"/>
          <w:p>
            <w:pPr>
              <w:spacing w:after="20"/>
              <w:ind w:left="20"/>
              <w:jc w:val="both"/>
            </w:pPr>
            <w:r>
              <w:rPr>
                <w:rFonts w:ascii="Times New Roman"/>
                <w:b w:val="false"/>
                <w:i w:val="false"/>
                <w:color w:val="000000"/>
                <w:sz w:val="20"/>
              </w:rPr>
              <w:t xml:space="preserve">
3.2.S.1.2 </w:t>
            </w:r>
          </w:p>
          <w:bookmarkEnd w:id="4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4857"/>
          <w:p>
            <w:pPr>
              <w:spacing w:after="20"/>
              <w:ind w:left="20"/>
              <w:jc w:val="both"/>
            </w:pPr>
          </w:p>
          <w:bookmarkEnd w:id="4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Физическое состояние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4858"/>
          <w:p>
            <w:pPr>
              <w:spacing w:after="20"/>
              <w:ind w:left="20"/>
              <w:jc w:val="both"/>
            </w:pPr>
          </w:p>
          <w:bookmarkEnd w:id="4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компонентов с известной терапевтической активностью или маркеров (молекулярная формула, относительная молекулярная масса, структурная формула, включая относительную и абсолютную стереохимию, молекулярная формула и относительная молекулярная масса)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859"/>
          <w:p>
            <w:pPr>
              <w:spacing w:after="20"/>
              <w:ind w:left="20"/>
              <w:jc w:val="both"/>
            </w:pPr>
          </w:p>
          <w:bookmarkEnd w:id="4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компоненты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4860"/>
          <w:p>
            <w:pPr>
              <w:spacing w:after="20"/>
              <w:ind w:left="20"/>
              <w:jc w:val="both"/>
            </w:pPr>
            <w:r>
              <w:rPr>
                <w:rFonts w:ascii="Times New Roman"/>
                <w:b w:val="false"/>
                <w:i w:val="false"/>
                <w:color w:val="000000"/>
                <w:sz w:val="20"/>
              </w:rPr>
              <w:t xml:space="preserve">
3.2.S.1.3 </w:t>
            </w:r>
          </w:p>
          <w:bookmarkEnd w:id="4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свойства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4861"/>
          <w:p>
            <w:pPr>
              <w:spacing w:after="20"/>
              <w:ind w:left="20"/>
              <w:jc w:val="both"/>
            </w:pPr>
            <w:r>
              <w:rPr>
                <w:rFonts w:ascii="Times New Roman"/>
                <w:b w:val="false"/>
                <w:i w:val="false"/>
                <w:color w:val="000000"/>
                <w:sz w:val="20"/>
              </w:rPr>
              <w:t xml:space="preserve">
3.2.S.2 </w:t>
            </w:r>
          </w:p>
          <w:bookmarkEnd w:id="4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4862"/>
          <w:p>
            <w:pPr>
              <w:spacing w:after="20"/>
              <w:ind w:left="20"/>
              <w:jc w:val="both"/>
            </w:pPr>
          </w:p>
          <w:bookmarkEnd w:id="4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растительное сырье (необходимо представить название, адрес и ответственность каждого производителя, включая субподрядчиков, а также каждой предлагаемой производственной площадки, вовлеченной в производство (сбор) и контроль растительного сырья)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863"/>
          <w:p>
            <w:pPr>
              <w:spacing w:after="20"/>
              <w:ind w:left="20"/>
              <w:jc w:val="both"/>
            </w:pPr>
          </w:p>
          <w:bookmarkEnd w:id="4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растительные фармацевтические субстанции (необходимо представить название, адрес и ответственность каждого производителя, включая субподрядчиков, а также каждой предлагаемой производственной площадки, вовлеченной в производство и контроль растительной фармацевтической субстанции)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4864"/>
          <w:p>
            <w:pPr>
              <w:spacing w:after="20"/>
              <w:ind w:left="20"/>
              <w:jc w:val="both"/>
            </w:pPr>
            <w:r>
              <w:rPr>
                <w:rFonts w:ascii="Times New Roman"/>
                <w:b w:val="false"/>
                <w:i w:val="false"/>
                <w:color w:val="000000"/>
                <w:sz w:val="20"/>
              </w:rPr>
              <w:t xml:space="preserve">
3.2.S.2.2 </w:t>
            </w:r>
          </w:p>
          <w:bookmarkEnd w:id="4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процесса производства и контроля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блок-схема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подробные сведения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4865"/>
          <w:p>
            <w:pPr>
              <w:spacing w:after="20"/>
              <w:ind w:left="20"/>
              <w:jc w:val="both"/>
            </w:pPr>
          </w:p>
          <w:bookmarkEnd w:id="4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растительное сырье (необходимо представить сведения, надлежащим образом описывающие производство и сбор растений) включая: географический источник лекарственного растения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4866"/>
          <w:p>
            <w:pPr>
              <w:spacing w:after="20"/>
              <w:ind w:left="20"/>
              <w:jc w:val="both"/>
            </w:pPr>
          </w:p>
          <w:bookmarkEnd w:id="4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выращивания, сбора, сушки и хранения размер серии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867"/>
          <w:p>
            <w:pPr>
              <w:spacing w:after="20"/>
              <w:ind w:left="20"/>
              <w:jc w:val="both"/>
            </w:pPr>
          </w:p>
          <w:bookmarkEnd w:id="4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растительные фармацевтические субстанции (необходимо представить сведения, позволяющие надлежащим образом описать процесса производства растительной фармацевтической субстанции) включая: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4868"/>
          <w:p>
            <w:pPr>
              <w:spacing w:after="20"/>
              <w:ind w:left="20"/>
              <w:jc w:val="both"/>
            </w:pPr>
          </w:p>
          <w:bookmarkEnd w:id="4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обработки (в том числе блок-схема)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4869"/>
          <w:p>
            <w:pPr>
              <w:spacing w:after="20"/>
              <w:ind w:left="20"/>
              <w:jc w:val="both"/>
            </w:pPr>
          </w:p>
          <w:bookmarkEnd w:id="4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растворители, реактивы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4870"/>
          <w:p>
            <w:pPr>
              <w:spacing w:after="20"/>
              <w:ind w:left="20"/>
              <w:jc w:val="both"/>
            </w:pPr>
          </w:p>
          <w:bookmarkEnd w:id="4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этапы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871"/>
          <w:p>
            <w:pPr>
              <w:spacing w:after="20"/>
              <w:ind w:left="20"/>
              <w:jc w:val="both"/>
            </w:pPr>
          </w:p>
          <w:bookmarkEnd w:id="4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стандартизацию размер серии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4872"/>
          <w:p>
            <w:pPr>
              <w:spacing w:after="20"/>
              <w:ind w:left="20"/>
              <w:jc w:val="both"/>
            </w:pPr>
            <w:r>
              <w:rPr>
                <w:rFonts w:ascii="Times New Roman"/>
                <w:b w:val="false"/>
                <w:i w:val="false"/>
                <w:color w:val="000000"/>
                <w:sz w:val="20"/>
              </w:rPr>
              <w:t xml:space="preserve">
3.2.S.2.3 </w:t>
            </w:r>
          </w:p>
          <w:bookmarkEnd w:id="4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4873"/>
          <w:p>
            <w:pPr>
              <w:spacing w:after="20"/>
              <w:ind w:left="20"/>
              <w:jc w:val="both"/>
            </w:pPr>
            <w:r>
              <w:rPr>
                <w:rFonts w:ascii="Times New Roman"/>
                <w:b w:val="false"/>
                <w:i w:val="false"/>
                <w:color w:val="000000"/>
                <w:sz w:val="20"/>
              </w:rPr>
              <w:t xml:space="preserve">
3.2.S.2.4 </w:t>
            </w:r>
          </w:p>
          <w:bookmarkEnd w:id="4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стадий и промежуточной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также значимо для держателя РУ (заявителя)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4874"/>
          <w:p>
            <w:pPr>
              <w:spacing w:after="20"/>
              <w:ind w:left="20"/>
              <w:jc w:val="both"/>
            </w:pPr>
            <w:r>
              <w:rPr>
                <w:rFonts w:ascii="Times New Roman"/>
                <w:b w:val="false"/>
                <w:i w:val="false"/>
                <w:color w:val="000000"/>
                <w:sz w:val="20"/>
              </w:rPr>
              <w:t xml:space="preserve">
3.2.S.2.5 </w:t>
            </w:r>
          </w:p>
          <w:bookmarkEnd w:id="4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производственного процесса и (или) его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4875"/>
          <w:p>
            <w:pPr>
              <w:spacing w:after="20"/>
              <w:ind w:left="20"/>
              <w:jc w:val="both"/>
            </w:pPr>
            <w:r>
              <w:rPr>
                <w:rFonts w:ascii="Times New Roman"/>
                <w:b w:val="false"/>
                <w:i w:val="false"/>
                <w:color w:val="000000"/>
                <w:sz w:val="20"/>
              </w:rPr>
              <w:t xml:space="preserve">
3.2.S.2.6 </w:t>
            </w:r>
          </w:p>
          <w:bookmarkEnd w:id="4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p>
            <w:pPr>
              <w:spacing w:after="20"/>
              <w:ind w:left="20"/>
              <w:jc w:val="both"/>
            </w:pPr>
            <w:r>
              <w:rPr>
                <w:rFonts w:ascii="Times New Roman"/>
                <w:b w:val="false"/>
                <w:i w:val="false"/>
                <w:color w:val="000000"/>
                <w:sz w:val="20"/>
              </w:rPr>
              <w:t xml:space="preserve">необходимо представить краткое резюме о разработке растительного сырья и растительных фармацевтических субстанций (если применимо) с учетом предлагаемого пути введения и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4876"/>
          <w:p>
            <w:pPr>
              <w:spacing w:after="20"/>
              <w:ind w:left="20"/>
              <w:jc w:val="both"/>
            </w:pPr>
          </w:p>
          <w:bookmarkEnd w:id="48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 проанализировать результаты сравнения фитохимической композиции использованных растительного сырья и растительных фармацевтических субстанций, учитывая библиографические данные и описания растительного сырья и растительных фармацевтических субстанций, представленные в разделе C.1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4877"/>
          <w:p>
            <w:pPr>
              <w:spacing w:after="20"/>
              <w:ind w:left="20"/>
              <w:jc w:val="both"/>
            </w:pPr>
            <w:r>
              <w:rPr>
                <w:rFonts w:ascii="Times New Roman"/>
                <w:b w:val="false"/>
                <w:i w:val="false"/>
                <w:color w:val="000000"/>
                <w:sz w:val="20"/>
              </w:rPr>
              <w:t xml:space="preserve">
3.2.S.3 </w:t>
            </w:r>
          </w:p>
          <w:bookmarkEnd w:id="4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свойств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4878"/>
          <w:p>
            <w:pPr>
              <w:spacing w:after="20"/>
              <w:ind w:left="20"/>
              <w:jc w:val="both"/>
            </w:pPr>
            <w:r>
              <w:rPr>
                <w:rFonts w:ascii="Times New Roman"/>
                <w:b w:val="false"/>
                <w:i w:val="false"/>
                <w:color w:val="000000"/>
                <w:sz w:val="20"/>
              </w:rPr>
              <w:t xml:space="preserve">
3.2.S.3.1 </w:t>
            </w:r>
          </w:p>
          <w:bookmarkEnd w:id="4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структуры и прочих свойств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4879"/>
          <w:p>
            <w:pPr>
              <w:spacing w:after="20"/>
              <w:ind w:left="20"/>
              <w:jc w:val="both"/>
            </w:pPr>
          </w:p>
          <w:bookmarkEnd w:id="4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растительное сырье (необходимо представить сведения о ботанических, макроскопических, микроскопических, фитохимических свойствах и биологических свойствах (если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4880"/>
          <w:p>
            <w:pPr>
              <w:spacing w:after="20"/>
              <w:ind w:left="20"/>
              <w:jc w:val="both"/>
            </w:pPr>
          </w:p>
          <w:bookmarkEnd w:id="4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растительные фармацевтические субстанции (необходимо представить сведения о фито- и физико-химических свойствах и биологической активности (если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881"/>
          <w:p>
            <w:pPr>
              <w:spacing w:after="20"/>
              <w:ind w:left="20"/>
              <w:jc w:val="both"/>
            </w:pPr>
            <w:r>
              <w:rPr>
                <w:rFonts w:ascii="Times New Roman"/>
                <w:b w:val="false"/>
                <w:i w:val="false"/>
                <w:color w:val="000000"/>
                <w:sz w:val="20"/>
              </w:rPr>
              <w:t xml:space="preserve">
3.2.S.3.2 </w:t>
            </w:r>
          </w:p>
          <w:bookmarkEnd w:id="4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Примеси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4882"/>
          <w:p>
            <w:pPr>
              <w:spacing w:after="20"/>
              <w:ind w:left="20"/>
              <w:jc w:val="both"/>
            </w:pPr>
            <w:r>
              <w:rPr>
                <w:rFonts w:ascii="Times New Roman"/>
                <w:b w:val="false"/>
                <w:i w:val="false"/>
                <w:color w:val="000000"/>
                <w:sz w:val="20"/>
              </w:rPr>
              <w:t xml:space="preserve">
3.2.S.4 </w:t>
            </w:r>
          </w:p>
          <w:bookmarkEnd w:id="4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качества фармацевтической субстанции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4883"/>
          <w:p>
            <w:pPr>
              <w:spacing w:after="20"/>
              <w:ind w:left="20"/>
              <w:jc w:val="both"/>
            </w:pPr>
            <w:r>
              <w:rPr>
                <w:rFonts w:ascii="Times New Roman"/>
                <w:b w:val="false"/>
                <w:i w:val="false"/>
                <w:color w:val="000000"/>
                <w:sz w:val="20"/>
              </w:rPr>
              <w:t xml:space="preserve">
3.2.S.4.1 </w:t>
            </w:r>
          </w:p>
          <w:bookmarkEnd w:id="4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4884"/>
          <w:p>
            <w:pPr>
              <w:spacing w:after="20"/>
              <w:ind w:left="20"/>
              <w:jc w:val="both"/>
            </w:pPr>
            <w:r>
              <w:rPr>
                <w:rFonts w:ascii="Times New Roman"/>
                <w:b w:val="false"/>
                <w:i w:val="false"/>
                <w:color w:val="000000"/>
                <w:sz w:val="20"/>
              </w:rPr>
              <w:t xml:space="preserve">
3.2.S.4.2 </w:t>
            </w:r>
          </w:p>
          <w:bookmarkEnd w:id="4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методики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4885"/>
          <w:p>
            <w:pPr>
              <w:spacing w:after="20"/>
              <w:ind w:left="20"/>
              <w:jc w:val="both"/>
            </w:pPr>
            <w:r>
              <w:rPr>
                <w:rFonts w:ascii="Times New Roman"/>
                <w:b w:val="false"/>
                <w:i w:val="false"/>
                <w:color w:val="000000"/>
                <w:sz w:val="20"/>
              </w:rPr>
              <w:t xml:space="preserve">
3.2.S.4.3 </w:t>
            </w:r>
          </w:p>
          <w:bookmarkEnd w:id="48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 аналитических методик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4886"/>
          <w:p>
            <w:pPr>
              <w:spacing w:after="20"/>
              <w:ind w:left="20"/>
              <w:jc w:val="both"/>
            </w:pPr>
            <w:r>
              <w:rPr>
                <w:rFonts w:ascii="Times New Roman"/>
                <w:b w:val="false"/>
                <w:i w:val="false"/>
                <w:color w:val="000000"/>
                <w:sz w:val="20"/>
              </w:rPr>
              <w:t xml:space="preserve">
3.2.S.4.4 </w:t>
            </w:r>
          </w:p>
          <w:bookmarkEnd w:id="4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серий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4887"/>
          <w:p>
            <w:pPr>
              <w:spacing w:after="20"/>
              <w:ind w:left="20"/>
              <w:jc w:val="both"/>
            </w:pPr>
            <w:r>
              <w:rPr>
                <w:rFonts w:ascii="Times New Roman"/>
                <w:b w:val="false"/>
                <w:i w:val="false"/>
                <w:color w:val="000000"/>
                <w:sz w:val="20"/>
              </w:rPr>
              <w:t xml:space="preserve">
3.2.S.4.5 </w:t>
            </w:r>
          </w:p>
          <w:bookmarkEnd w:id="4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спецификации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4888"/>
          <w:p>
            <w:pPr>
              <w:spacing w:after="20"/>
              <w:ind w:left="20"/>
              <w:jc w:val="both"/>
            </w:pPr>
            <w:r>
              <w:rPr>
                <w:rFonts w:ascii="Times New Roman"/>
                <w:b w:val="false"/>
                <w:i w:val="false"/>
                <w:color w:val="000000"/>
                <w:sz w:val="20"/>
              </w:rPr>
              <w:t xml:space="preserve">
3.2.S.5 </w:t>
            </w:r>
          </w:p>
          <w:bookmarkEnd w:id="4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образцы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4889"/>
          <w:p>
            <w:pPr>
              <w:spacing w:after="20"/>
              <w:ind w:left="20"/>
              <w:jc w:val="both"/>
            </w:pPr>
            <w:r>
              <w:rPr>
                <w:rFonts w:ascii="Times New Roman"/>
                <w:b w:val="false"/>
                <w:i w:val="false"/>
                <w:color w:val="000000"/>
                <w:sz w:val="20"/>
              </w:rPr>
              <w:t xml:space="preserve">
3.2.S.6 </w:t>
            </w:r>
          </w:p>
          <w:bookmarkEnd w:id="4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Упаковочно-укупорочная система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4890"/>
          <w:p>
            <w:pPr>
              <w:spacing w:after="20"/>
              <w:ind w:left="20"/>
              <w:jc w:val="both"/>
            </w:pPr>
            <w:r>
              <w:rPr>
                <w:rFonts w:ascii="Times New Roman"/>
                <w:b w:val="false"/>
                <w:i w:val="false"/>
                <w:color w:val="000000"/>
                <w:sz w:val="20"/>
              </w:rPr>
              <w:t xml:space="preserve">
3.2.S.7 </w:t>
            </w:r>
          </w:p>
          <w:bookmarkEnd w:id="4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4891"/>
          <w:p>
            <w:pPr>
              <w:spacing w:after="20"/>
              <w:ind w:left="20"/>
              <w:jc w:val="both"/>
            </w:pPr>
            <w:r>
              <w:rPr>
                <w:rFonts w:ascii="Times New Roman"/>
                <w:b w:val="false"/>
                <w:i w:val="false"/>
                <w:color w:val="000000"/>
                <w:sz w:val="20"/>
              </w:rPr>
              <w:t xml:space="preserve">
3.2.S.7.1 </w:t>
            </w:r>
          </w:p>
          <w:bookmarkEnd w:id="4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Резюме и заключение о стабильности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4892"/>
          <w:p>
            <w:pPr>
              <w:spacing w:after="20"/>
              <w:ind w:left="20"/>
              <w:jc w:val="both"/>
            </w:pPr>
            <w:r>
              <w:rPr>
                <w:rFonts w:ascii="Times New Roman"/>
                <w:b w:val="false"/>
                <w:i w:val="false"/>
                <w:color w:val="000000"/>
                <w:sz w:val="20"/>
              </w:rPr>
              <w:t xml:space="preserve">
3.2.S.7.2 </w:t>
            </w:r>
          </w:p>
          <w:bookmarkEnd w:id="4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пострегистрационных исследований стабильности и обязательства относительно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4893"/>
          <w:p>
            <w:pPr>
              <w:spacing w:after="20"/>
              <w:ind w:left="20"/>
              <w:jc w:val="both"/>
            </w:pPr>
            <w:r>
              <w:rPr>
                <w:rFonts w:ascii="Times New Roman"/>
                <w:b w:val="false"/>
                <w:i w:val="false"/>
                <w:color w:val="000000"/>
                <w:sz w:val="20"/>
              </w:rPr>
              <w:t xml:space="preserve">
3.2.S.7.3 </w:t>
            </w:r>
          </w:p>
          <w:bookmarkEnd w:id="4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по стабильности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Дополнение № 2 </w:t>
            </w:r>
          </w:p>
        </w:tc>
      </w:tr>
    </w:tbl>
    <w:bookmarkStart w:name="z5018" w:id="4894"/>
    <w:p>
      <w:pPr>
        <w:spacing w:after="0"/>
        <w:ind w:left="0"/>
        <w:jc w:val="both"/>
      </w:pPr>
      <w:r>
        <w:rPr>
          <w:rFonts w:ascii="Times New Roman"/>
          <w:b w:val="false"/>
          <w:i w:val="false"/>
          <w:color w:val="000000"/>
          <w:sz w:val="28"/>
        </w:rPr>
        <w:t>
       </w:t>
      </w:r>
    </w:p>
    <w:bookmarkEnd w:id="4894"/>
    <w:bookmarkStart w:name="z5019" w:id="4895"/>
    <w:p>
      <w:pPr>
        <w:spacing w:after="0"/>
        <w:ind w:left="0"/>
        <w:jc w:val="left"/>
      </w:pPr>
      <w:r>
        <w:rPr>
          <w:rFonts w:ascii="Times New Roman"/>
          <w:b/>
          <w:i w:val="false"/>
          <w:color w:val="000000"/>
        </w:rPr>
        <w:t xml:space="preserve"> ФОРМА РАЗРЕШЕНИЯ</w:t>
      </w:r>
      <w:r>
        <w:br/>
      </w:r>
      <w:r>
        <w:rPr>
          <w:rFonts w:ascii="Times New Roman"/>
          <w:b/>
          <w:i w:val="false"/>
          <w:color w:val="000000"/>
        </w:rPr>
        <w:t xml:space="preserve">НА ДОСТУП К ЗАКРЫТОЙ ЧАСТИ МАСТЕР-ФАЙЛА АКТИВНОЙ ФАРМАЦЕВТИЧЕСКОЙ СУБСТАНЦИИ </w:t>
      </w:r>
    </w:p>
    <w:bookmarkEnd w:id="4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021" w:id="4896"/>
    <w:p>
      <w:pPr>
        <w:spacing w:after="0"/>
        <w:ind w:left="0"/>
        <w:jc w:val="both"/>
      </w:pPr>
      <w:r>
        <w:rPr>
          <w:rFonts w:ascii="Times New Roman"/>
          <w:b w:val="false"/>
          <w:i w:val="false"/>
          <w:color w:val="000000"/>
          <w:sz w:val="28"/>
        </w:rPr>
        <w:t>
       </w:t>
      </w:r>
    </w:p>
    <w:bookmarkEnd w:id="4896"/>
    <w:bookmarkStart w:name="z5022" w:id="4897"/>
    <w:p>
      <w:pPr>
        <w:spacing w:after="0"/>
        <w:ind w:left="0"/>
        <w:jc w:val="left"/>
      </w:pPr>
      <w:r>
        <w:rPr>
          <w:rFonts w:ascii="Times New Roman"/>
          <w:b/>
          <w:i w:val="false"/>
          <w:color w:val="000000"/>
        </w:rPr>
        <w:t xml:space="preserve"> ФИРМЕННЫЙ БЛАНК</w:t>
      </w:r>
      <w:r>
        <w:br/>
      </w:r>
      <w:r>
        <w:rPr>
          <w:rFonts w:ascii="Times New Roman"/>
          <w:b/>
          <w:i w:val="false"/>
          <w:color w:val="000000"/>
        </w:rPr>
        <w:t xml:space="preserve">держателя мастер-файла активной фармацевтической субстанции </w:t>
      </w:r>
    </w:p>
    <w:bookmarkEnd w:id="4897"/>
    <w:bookmarkStart w:name="z5023" w:id="4898"/>
    <w:p>
      <w:pPr>
        <w:spacing w:after="0"/>
        <w:ind w:left="0"/>
        <w:jc w:val="left"/>
      </w:pPr>
      <w:r>
        <w:rPr>
          <w:rFonts w:ascii="Times New Roman"/>
          <w:b/>
          <w:i w:val="false"/>
          <w:color w:val="000000"/>
        </w:rPr>
        <w:t xml:space="preserve"> {Адрес уполномоченного органа государства-члена} </w:t>
      </w:r>
    </w:p>
    <w:bookmarkEnd w:id="4898"/>
    <w:bookmarkStart w:name="z5024" w:id="4899"/>
    <w:p>
      <w:pPr>
        <w:spacing w:after="0"/>
        <w:ind w:left="0"/>
        <w:jc w:val="left"/>
      </w:pPr>
      <w:r>
        <w:rPr>
          <w:rFonts w:ascii="Times New Roman"/>
          <w:b/>
          <w:i w:val="false"/>
          <w:color w:val="000000"/>
        </w:rPr>
        <w:t xml:space="preserve"> {Дата} </w:t>
      </w:r>
    </w:p>
    <w:bookmarkEnd w:id="4899"/>
    <w:bookmarkStart w:name="z5025" w:id="4900"/>
    <w:p>
      <w:pPr>
        <w:spacing w:after="0"/>
        <w:ind w:left="0"/>
        <w:jc w:val="left"/>
      </w:pPr>
      <w:r>
        <w:rPr>
          <w:rFonts w:ascii="Times New Roman"/>
          <w:b/>
          <w:i w:val="false"/>
          <w:color w:val="000000"/>
        </w:rPr>
        <w:t xml:space="preserve"> Номер мастер-файла активной фармацевтической субстанции: </w:t>
      </w:r>
    </w:p>
    <w:bookmarkEnd w:id="4900"/>
    <w:bookmarkStart w:name="z5026" w:id="4901"/>
    <w:p>
      <w:pPr>
        <w:spacing w:after="0"/>
        <w:ind w:left="0"/>
        <w:jc w:val="left"/>
      </w:pPr>
      <w:r>
        <w:rPr>
          <w:rFonts w:ascii="Times New Roman"/>
          <w:b/>
          <w:i w:val="false"/>
          <w:color w:val="000000"/>
        </w:rPr>
        <w:t xml:space="preserve"> {Кодовый номер МФАФС} </w:t>
      </w:r>
    </w:p>
    <w:bookmarkEnd w:id="4901"/>
    <w:bookmarkStart w:name="z5027" w:id="4902"/>
    <w:p>
      <w:pPr>
        <w:spacing w:after="0"/>
        <w:ind w:left="0"/>
        <w:jc w:val="both"/>
      </w:pPr>
      <w:r>
        <w:rPr>
          <w:rFonts w:ascii="Times New Roman"/>
          <w:b w:val="false"/>
          <w:i w:val="false"/>
          <w:color w:val="000000"/>
          <w:sz w:val="28"/>
        </w:rPr>
        <w:t>
      Указывается в следующем формате: ЕАЭС/МФАФС/XXXXX или УУ/МФАФС/XXXXX, где XXXXX - цифровое обозначение, YY - латинский 2-значный буквенный код государства-члена.</w:t>
      </w:r>
    </w:p>
    <w:bookmarkEnd w:id="4902"/>
    <w:bookmarkStart w:name="z5028" w:id="4903"/>
    <w:p>
      <w:pPr>
        <w:spacing w:after="0"/>
        <w:ind w:left="0"/>
        <w:jc w:val="both"/>
      </w:pPr>
      <w:r>
        <w:rPr>
          <w:rFonts w:ascii="Times New Roman"/>
          <w:b w:val="false"/>
          <w:i w:val="false"/>
          <w:color w:val="000000"/>
          <w:sz w:val="28"/>
        </w:rPr>
        <w:t>
      Наименование активной фармацевтической субстанции:</w:t>
      </w:r>
    </w:p>
    <w:bookmarkEnd w:id="4903"/>
    <w:bookmarkStart w:name="z5029" w:id="4904"/>
    <w:p>
      <w:pPr>
        <w:spacing w:after="0"/>
        <w:ind w:left="0"/>
        <w:jc w:val="both"/>
      </w:pPr>
      <w:r>
        <w:rPr>
          <w:rFonts w:ascii="Times New Roman"/>
          <w:b w:val="false"/>
          <w:i w:val="false"/>
          <w:color w:val="000000"/>
          <w:sz w:val="28"/>
        </w:rPr>
        <w:t>
      Внутренний код активной фармацевтической субстанции (если применимо):</w:t>
      </w:r>
    </w:p>
    <w:bookmarkEnd w:id="4904"/>
    <w:bookmarkStart w:name="z5030" w:id="4905"/>
    <w:p>
      <w:pPr>
        <w:spacing w:after="0"/>
        <w:ind w:left="0"/>
        <w:jc w:val="both"/>
      </w:pPr>
      <w:r>
        <w:rPr>
          <w:rFonts w:ascii="Times New Roman"/>
          <w:b w:val="false"/>
          <w:i w:val="false"/>
          <w:color w:val="000000"/>
          <w:sz w:val="28"/>
        </w:rPr>
        <w:t>
      Держатель мастер-файла активной фармацевтической субстанции: {название и адрес}</w:t>
      </w:r>
    </w:p>
    <w:bookmarkEnd w:id="4905"/>
    <w:bookmarkStart w:name="z5031" w:id="4906"/>
    <w:p>
      <w:pPr>
        <w:spacing w:after="0"/>
        <w:ind w:left="0"/>
        <w:jc w:val="both"/>
      </w:pPr>
      <w:r>
        <w:rPr>
          <w:rFonts w:ascii="Times New Roman"/>
          <w:b w:val="false"/>
          <w:i w:val="false"/>
          <w:color w:val="000000"/>
          <w:sz w:val="28"/>
        </w:rPr>
        <w:t>
      Вышеупомянутый держатель мастер-файла активной фармацевтической субстанции настоящим дает разрешение {название уполномоченного органа государства-члена} ссылаться на вышеупомянутый мастер-файл активной фармацевтической субстанции и проводить его экспертизу в обоснование следующих регистрационных досье или досье на внесение изменений в регистрационное досье зарегистрированного в Союзе лекарственного препарата (включить новый МФАФС от нового ПАФС), поданное {наименование держателя регистрационного удостоверения (заявителя)} {планируемая дата подачи}:</w:t>
      </w:r>
    </w:p>
    <w:bookmarkEnd w:id="4906"/>
    <w:bookmarkStart w:name="z5032" w:id="4907"/>
    <w:p>
      <w:pPr>
        <w:spacing w:after="0"/>
        <w:ind w:left="0"/>
        <w:jc w:val="both"/>
      </w:pPr>
      <w:r>
        <w:rPr>
          <w:rFonts w:ascii="Times New Roman"/>
          <w:b w:val="false"/>
          <w:i w:val="false"/>
          <w:color w:val="000000"/>
          <w:sz w:val="28"/>
        </w:rPr>
        <w:t>
      {наименование лекарственного препарата (если на момент подачи торговое наименование лекарственного препарата не согласовано, следует указать "МНН + наименование держателя регистрационного удостоверения") и номер регистрационного удостоверения (если известен)}</w:t>
      </w:r>
    </w:p>
    <w:bookmarkEnd w:id="4907"/>
    <w:bookmarkStart w:name="z5033" w:id="4908"/>
    <w:p>
      <w:pPr>
        <w:spacing w:after="0"/>
        <w:ind w:left="0"/>
        <w:jc w:val="both"/>
      </w:pPr>
      <w:r>
        <w:rPr>
          <w:rFonts w:ascii="Times New Roman"/>
          <w:b w:val="false"/>
          <w:i w:val="false"/>
          <w:color w:val="000000"/>
          <w:sz w:val="28"/>
        </w:rPr>
        <w:t>
      {наименование заявителя или держателя регистрационного удостоверения}</w:t>
      </w:r>
    </w:p>
    <w:bookmarkEnd w:id="4908"/>
    <w:bookmarkStart w:name="z5034" w:id="4909"/>
    <w:p>
      <w:pPr>
        <w:spacing w:after="0"/>
        <w:ind w:left="0"/>
        <w:jc w:val="both"/>
      </w:pPr>
      <w:r>
        <w:rPr>
          <w:rFonts w:ascii="Times New Roman"/>
          <w:b w:val="false"/>
          <w:i w:val="false"/>
          <w:color w:val="000000"/>
          <w:sz w:val="28"/>
        </w:rPr>
        <w:t>
      Вышеупомянутый держатель мастер-файла активной фармацевтической субстанции обязуется обеспечивать постоянство качества серий и уведомлять {наименование держателя регистрационного удостоверения (заявителя)} и уполномоченный орган государства-члена о любых изменениях мастер-файла активной фармацевтической субстанции.</w:t>
      </w:r>
    </w:p>
    <w:bookmarkEnd w:id="4909"/>
    <w:bookmarkStart w:name="z5035" w:id="4910"/>
    <w:p>
      <w:pPr>
        <w:spacing w:after="0"/>
        <w:ind w:left="0"/>
        <w:jc w:val="both"/>
      </w:pPr>
      <w:r>
        <w:rPr>
          <w:rFonts w:ascii="Times New Roman"/>
          <w:b w:val="false"/>
          <w:i w:val="false"/>
          <w:color w:val="000000"/>
          <w:sz w:val="28"/>
        </w:rPr>
        <w:t>
      Настоящим вышеупомянутый держатель мастер-файла активной фармацевтической субстанции уведомлен и принимает, что уполномоченные органы государств-членов могут обмениваться экспертными отчетами на вышеупомянутый мастер-файл активной фармацевтической субстанции между собой.</w:t>
      </w:r>
    </w:p>
    <w:bookmarkEnd w:id="4910"/>
    <w:bookmarkStart w:name="z5036" w:id="4911"/>
    <w:p>
      <w:pPr>
        <w:spacing w:after="0"/>
        <w:ind w:left="0"/>
        <w:jc w:val="both"/>
      </w:pPr>
      <w:r>
        <w:rPr>
          <w:rFonts w:ascii="Times New Roman"/>
          <w:b w:val="false"/>
          <w:i w:val="false"/>
          <w:color w:val="000000"/>
          <w:sz w:val="28"/>
        </w:rPr>
        <w:t>
       </w:t>
      </w:r>
    </w:p>
    <w:bookmarkEnd w:id="4911"/>
    <w:bookmarkStart w:name="z5037" w:id="4912"/>
    <w:p>
      <w:pPr>
        <w:spacing w:after="0"/>
        <w:ind w:left="0"/>
        <w:jc w:val="both"/>
      </w:pPr>
      <w:r>
        <w:rPr>
          <w:rFonts w:ascii="Times New Roman"/>
          <w:b w:val="false"/>
          <w:i w:val="false"/>
          <w:color w:val="000000"/>
          <w:sz w:val="28"/>
        </w:rPr>
        <w:t>
      Подпись держателя мастер-файла активной фармацевтической субстанции</w:t>
      </w:r>
    </w:p>
    <w:bookmarkEnd w:id="4912"/>
    <w:bookmarkStart w:name="z5038" w:id="4913"/>
    <w:p>
      <w:pPr>
        <w:spacing w:after="0"/>
        <w:ind w:left="0"/>
        <w:jc w:val="both"/>
      </w:pPr>
      <w:r>
        <w:rPr>
          <w:rFonts w:ascii="Times New Roman"/>
          <w:b w:val="false"/>
          <w:i w:val="false"/>
          <w:color w:val="000000"/>
          <w:sz w:val="28"/>
        </w:rPr>
        <w:t>
      {Имя и должность}</w:t>
      </w:r>
    </w:p>
    <w:bookmarkEnd w:id="4913"/>
    <w:bookmarkStart w:name="z5039" w:id="4914"/>
    <w:p>
      <w:pPr>
        <w:spacing w:after="0"/>
        <w:ind w:left="0"/>
        <w:jc w:val="both"/>
      </w:pPr>
      <w:r>
        <w:rPr>
          <w:rFonts w:ascii="Times New Roman"/>
          <w:b w:val="false"/>
          <w:i w:val="false"/>
          <w:color w:val="000000"/>
          <w:sz w:val="28"/>
        </w:rPr>
        <w:t>
      {Подпись}</w:t>
      </w:r>
    </w:p>
    <w:bookmarkEnd w:id="4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3</w:t>
            </w:r>
          </w:p>
        </w:tc>
      </w:tr>
    </w:tbl>
    <w:bookmarkStart w:name="z5041" w:id="4915"/>
    <w:p>
      <w:pPr>
        <w:spacing w:after="0"/>
        <w:ind w:left="0"/>
        <w:jc w:val="left"/>
      </w:pPr>
      <w:r>
        <w:rPr>
          <w:rFonts w:ascii="Times New Roman"/>
          <w:b/>
          <w:i w:val="false"/>
          <w:color w:val="000000"/>
        </w:rPr>
        <w:t xml:space="preserve"> ФОРМА ПИСЬМА</w:t>
      </w:r>
      <w:r>
        <w:br/>
      </w:r>
      <w:r>
        <w:rPr>
          <w:rFonts w:ascii="Times New Roman"/>
          <w:b/>
          <w:i w:val="false"/>
          <w:color w:val="000000"/>
        </w:rPr>
        <w:t xml:space="preserve">О НАПРАВЛЕНИИ АДМИНИСТРАТИВНЫХ ДАННЫХ НА ДОКУМЕНТЫ ПО МАСТЕР-ФАЙЛУ АКТИВНОЙ ФАРМАЦЕВТИЧЕСКОЙ СУБСТАНЦИИ (МФАФС) </w:t>
      </w:r>
    </w:p>
    <w:bookmarkEnd w:id="4915"/>
    <w:bookmarkStart w:name="z5042" w:id="4916"/>
    <w:p>
      <w:pPr>
        <w:spacing w:after="0"/>
        <w:ind w:left="0"/>
        <w:jc w:val="both"/>
      </w:pPr>
      <w:r>
        <w:rPr>
          <w:rFonts w:ascii="Times New Roman"/>
          <w:b w:val="false"/>
          <w:i w:val="false"/>
          <w:color w:val="000000"/>
          <w:sz w:val="28"/>
        </w:rPr>
        <w:t>
      Подлежит одновременной подаче вместе с МФАФС с каждым регистрационном досье (досье на изменение) в качестве единого документа.</w:t>
      </w:r>
    </w:p>
    <w:bookmarkEnd w:id="4916"/>
    <w:bookmarkStart w:name="z5043" w:id="4917"/>
    <w:p>
      <w:pPr>
        <w:spacing w:after="0"/>
        <w:ind w:left="0"/>
        <w:jc w:val="both"/>
      </w:pPr>
      <w:r>
        <w:rPr>
          <w:rFonts w:ascii="Times New Roman"/>
          <w:b w:val="false"/>
          <w:i w:val="false"/>
          <w:color w:val="000000"/>
          <w:sz w:val="28"/>
        </w:rPr>
        <w:t>
       </w:t>
      </w:r>
    </w:p>
    <w:bookmarkEnd w:id="4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045" w:id="4918"/>
    <w:p>
      <w:pPr>
        <w:spacing w:after="0"/>
        <w:ind w:left="0"/>
        <w:jc w:val="both"/>
      </w:pPr>
      <w:r>
        <w:rPr>
          <w:rFonts w:ascii="Times New Roman"/>
          <w:b w:val="false"/>
          <w:i w:val="false"/>
          <w:color w:val="000000"/>
          <w:sz w:val="28"/>
        </w:rPr>
        <w:t>
       </w:t>
      </w:r>
    </w:p>
    <w:bookmarkEnd w:id="4918"/>
    <w:bookmarkStart w:name="z5046" w:id="4919"/>
    <w:p>
      <w:pPr>
        <w:spacing w:after="0"/>
        <w:ind w:left="0"/>
        <w:jc w:val="left"/>
      </w:pPr>
      <w:r>
        <w:rPr>
          <w:rFonts w:ascii="Times New Roman"/>
          <w:b/>
          <w:i w:val="false"/>
          <w:color w:val="000000"/>
        </w:rPr>
        <w:t xml:space="preserve"> ФИРМЕННЫЙ БЛАНК</w:t>
      </w:r>
      <w:r>
        <w:br/>
      </w:r>
      <w:r>
        <w:rPr>
          <w:rFonts w:ascii="Times New Roman"/>
          <w:b/>
          <w:i w:val="false"/>
          <w:color w:val="000000"/>
        </w:rPr>
        <w:t xml:space="preserve">держателя мастер-файла активной фармацевтической субстанции </w:t>
      </w:r>
    </w:p>
    <w:bookmarkEnd w:id="4919"/>
    <w:bookmarkStart w:name="z5047" w:id="4920"/>
    <w:p>
      <w:pPr>
        <w:spacing w:after="0"/>
        <w:ind w:left="0"/>
        <w:jc w:val="both"/>
      </w:pPr>
      <w:r>
        <w:rPr>
          <w:rFonts w:ascii="Times New Roman"/>
          <w:b w:val="false"/>
          <w:i w:val="false"/>
          <w:color w:val="000000"/>
          <w:sz w:val="28"/>
        </w:rPr>
        <w:t>
       </w:t>
      </w:r>
    </w:p>
    <w:bookmarkEnd w:id="4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{название держателя МФАФС}</w:t>
            </w:r>
            <w:r>
              <w:br/>
            </w:r>
            <w:r>
              <w:rPr>
                <w:rFonts w:ascii="Times New Roman"/>
                <w:b w:val="false"/>
                <w:i w:val="false"/>
                <w:color w:val="000000"/>
                <w:sz w:val="20"/>
              </w:rPr>
              <w:t>{адрес держателя МФАФС}</w:t>
            </w:r>
            <w:r>
              <w:br/>
            </w:r>
            <w:r>
              <w:rPr>
                <w:rFonts w:ascii="Times New Roman"/>
                <w:b w:val="false"/>
                <w:i w:val="false"/>
                <w:color w:val="000000"/>
                <w:sz w:val="20"/>
              </w:rPr>
              <w:t xml:space="preserve">{страна держателя МФАФС}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{название и адрес уполномоченного</w:t>
            </w:r>
            <w:r>
              <w:br/>
            </w:r>
            <w:r>
              <w:rPr>
                <w:rFonts w:ascii="Times New Roman"/>
                <w:b w:val="false"/>
                <w:i w:val="false"/>
                <w:color w:val="000000"/>
                <w:sz w:val="20"/>
              </w:rPr>
              <w:t>органа государства-члена}{дата}</w:t>
            </w:r>
            <w:r>
              <w:br/>
            </w:r>
            <w:r>
              <w:rPr>
                <w:rFonts w:ascii="Times New Roman"/>
                <w:b w:val="false"/>
                <w:i w:val="false"/>
                <w:color w:val="000000"/>
                <w:sz w:val="20"/>
              </w:rPr>
              <w:t xml:space="preserve">{исходящий номер} </w:t>
            </w:r>
          </w:p>
        </w:tc>
      </w:tr>
    </w:tbl>
    <w:bookmarkStart w:name="z5050" w:id="4921"/>
    <w:p>
      <w:pPr>
        <w:spacing w:after="0"/>
        <w:ind w:left="0"/>
        <w:jc w:val="both"/>
      </w:pPr>
      <w:r>
        <w:rPr>
          <w:rFonts w:ascii="Times New Roman"/>
          <w:b w:val="false"/>
          <w:i w:val="false"/>
          <w:color w:val="000000"/>
          <w:sz w:val="28"/>
        </w:rPr>
        <w:t>
      Предмет: подача документов по МФАФС</w:t>
      </w:r>
    </w:p>
    <w:bookmarkEnd w:id="4921"/>
    <w:bookmarkStart w:name="z5051" w:id="4922"/>
    <w:p>
      <w:pPr>
        <w:spacing w:after="0"/>
        <w:ind w:left="0"/>
        <w:jc w:val="both"/>
      </w:pPr>
      <w:r>
        <w:rPr>
          <w:rFonts w:ascii="Times New Roman"/>
          <w:b w:val="false"/>
          <w:i w:val="false"/>
          <w:color w:val="000000"/>
          <w:sz w:val="28"/>
        </w:rPr>
        <w:t>
       для {наименование активной фармацевтической субстанции}</w:t>
      </w:r>
    </w:p>
    <w:bookmarkEnd w:id="4922"/>
    <w:bookmarkStart w:name="z5052" w:id="4923"/>
    <w:p>
      <w:pPr>
        <w:spacing w:after="0"/>
        <w:ind w:left="0"/>
        <w:jc w:val="both"/>
      </w:pPr>
      <w:r>
        <w:rPr>
          <w:rFonts w:ascii="Times New Roman"/>
          <w:b w:val="false"/>
          <w:i w:val="false"/>
          <w:color w:val="000000"/>
          <w:sz w:val="28"/>
        </w:rPr>
        <w:t>
       - {кодовый номер МФАФС}</w:t>
      </w:r>
    </w:p>
    <w:bookmarkEnd w:id="4923"/>
    <w:bookmarkStart w:name="z5053" w:id="4924"/>
    <w:p>
      <w:pPr>
        <w:spacing w:after="0"/>
        <w:ind w:left="0"/>
        <w:jc w:val="both"/>
      </w:pPr>
      <w:r>
        <w:rPr>
          <w:rFonts w:ascii="Times New Roman"/>
          <w:b w:val="false"/>
          <w:i w:val="false"/>
          <w:color w:val="000000"/>
          <w:sz w:val="28"/>
        </w:rPr>
        <w:t>
       Указывается в следующем формате: ЕАЭС/МФАФС/XXXXX или YY/МФАФС/XXXXX,</w:t>
      </w:r>
    </w:p>
    <w:bookmarkEnd w:id="4924"/>
    <w:bookmarkStart w:name="z5054" w:id="4925"/>
    <w:p>
      <w:pPr>
        <w:spacing w:after="0"/>
        <w:ind w:left="0"/>
        <w:jc w:val="both"/>
      </w:pPr>
      <w:r>
        <w:rPr>
          <w:rFonts w:ascii="Times New Roman"/>
          <w:b w:val="false"/>
          <w:i w:val="false"/>
          <w:color w:val="000000"/>
          <w:sz w:val="28"/>
        </w:rPr>
        <w:t>
      где: XXXXX - цифровое обозначение, YY - латинский 2-значный буквенный код</w:t>
      </w:r>
    </w:p>
    <w:bookmarkEnd w:id="4925"/>
    <w:bookmarkStart w:name="z5055" w:id="4926"/>
    <w:p>
      <w:pPr>
        <w:spacing w:after="0"/>
        <w:ind w:left="0"/>
        <w:jc w:val="both"/>
      </w:pPr>
      <w:r>
        <w:rPr>
          <w:rFonts w:ascii="Times New Roman"/>
          <w:b w:val="false"/>
          <w:i w:val="false"/>
          <w:color w:val="000000"/>
          <w:sz w:val="28"/>
        </w:rPr>
        <w:t>
      государства-члена.</w:t>
      </w:r>
    </w:p>
    <w:bookmarkEnd w:id="4926"/>
    <w:bookmarkStart w:name="z5056" w:id="4927"/>
    <w:p>
      <w:pPr>
        <w:spacing w:after="0"/>
        <w:ind w:left="0"/>
        <w:jc w:val="both"/>
      </w:pPr>
      <w:r>
        <w:rPr>
          <w:rFonts w:ascii="Times New Roman"/>
          <w:b w:val="false"/>
          <w:i w:val="false"/>
          <w:color w:val="000000"/>
          <w:sz w:val="28"/>
        </w:rPr>
        <w:t>
      Уважаемый(-ая) ...:</w:t>
      </w:r>
    </w:p>
    <w:bookmarkEnd w:id="4927"/>
    <w:bookmarkStart w:name="z5057" w:id="4928"/>
    <w:p>
      <w:pPr>
        <w:spacing w:after="0"/>
        <w:ind w:left="0"/>
        <w:jc w:val="both"/>
      </w:pPr>
      <w:r>
        <w:rPr>
          <w:rFonts w:ascii="Times New Roman"/>
          <w:b w:val="false"/>
          <w:i w:val="false"/>
          <w:color w:val="000000"/>
          <w:sz w:val="28"/>
        </w:rPr>
        <w:t>
      Настоящий мастер-файл активной фармацевтической субстанции подается для следующего лекарственного препарата:</w:t>
      </w:r>
    </w:p>
    <w:bookmarkEnd w:id="4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4929"/>
          <w:p>
            <w:pPr>
              <w:spacing w:after="20"/>
              <w:ind w:left="20"/>
              <w:jc w:val="both"/>
            </w:pPr>
            <w:r>
              <w:rPr>
                <w:rFonts w:ascii="Times New Roman"/>
                <w:b w:val="false"/>
                <w:i w:val="false"/>
                <w:color w:val="000000"/>
                <w:sz w:val="20"/>
              </w:rPr>
              <w:t xml:space="preserve">
Лекарственный препарат </w:t>
            </w:r>
          </w:p>
          <w:bookmarkEnd w:id="4929"/>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w:t>
            </w:r>
          </w:p>
          <w:p>
            <w:pPr>
              <w:spacing w:after="20"/>
              <w:ind w:left="20"/>
              <w:jc w:val="both"/>
            </w:pPr>
            <w:r>
              <w:rPr>
                <w:rFonts w:ascii="Times New Roman"/>
                <w:b w:val="false"/>
                <w:i w:val="false"/>
                <w:color w:val="000000"/>
                <w:sz w:val="20"/>
              </w:rPr>
              <w:t xml:space="preserve">(Если на момент подачи торговое наименование лекарственного препарата не согласовано, следует указать "МНН + наименование держателя регистрационного удостоверения")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4930"/>
          <w:p>
            <w:pPr>
              <w:spacing w:after="20"/>
              <w:ind w:left="20"/>
              <w:jc w:val="both"/>
            </w:pPr>
            <w:r>
              <w:rPr>
                <w:rFonts w:ascii="Times New Roman"/>
                <w:b w:val="false"/>
                <w:i w:val="false"/>
                <w:color w:val="000000"/>
                <w:sz w:val="20"/>
              </w:rPr>
              <w:t xml:space="preserve">
Присвоенный номер процедуры (если применимо) </w:t>
            </w:r>
          </w:p>
          <w:bookmarkEnd w:id="4930"/>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4931"/>
          <w:p>
            <w:pPr>
              <w:spacing w:after="20"/>
              <w:ind w:left="20"/>
              <w:jc w:val="both"/>
            </w:pPr>
            <w:r>
              <w:rPr>
                <w:rFonts w:ascii="Times New Roman"/>
                <w:b w:val="false"/>
                <w:i w:val="false"/>
                <w:color w:val="000000"/>
                <w:sz w:val="20"/>
              </w:rPr>
              <w:t xml:space="preserve">
(Предполагаемая) дата подачи регистрационного досье или досье на изменение (если известна) </w:t>
            </w:r>
          </w:p>
          <w:bookmarkEnd w:id="493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4932"/>
          <w:p>
            <w:pPr>
              <w:spacing w:after="20"/>
              <w:ind w:left="20"/>
              <w:jc w:val="both"/>
            </w:pPr>
          </w:p>
          <w:bookmarkEnd w:id="4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процедуры}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4933"/>
          <w:p>
            <w:pPr>
              <w:spacing w:after="20"/>
              <w:ind w:left="20"/>
              <w:jc w:val="both"/>
            </w:pPr>
          </w:p>
          <w:bookmarkEnd w:id="4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bl>
    <w:bookmarkStart w:name="z5063" w:id="4934"/>
    <w:p>
      <w:pPr>
        <w:spacing w:after="0"/>
        <w:ind w:left="0"/>
        <w:jc w:val="both"/>
      </w:pPr>
      <w:r>
        <w:rPr>
          <w:rFonts w:ascii="Times New Roman"/>
          <w:b w:val="false"/>
          <w:i w:val="false"/>
          <w:color w:val="000000"/>
          <w:sz w:val="28"/>
        </w:rPr>
        <w:t>
       </w:t>
      </w:r>
    </w:p>
    <w:bookmarkEnd w:id="4934"/>
    <w:bookmarkStart w:name="z5064" w:id="4935"/>
    <w:p>
      <w:pPr>
        <w:spacing w:after="0"/>
        <w:ind w:left="0"/>
        <w:jc w:val="left"/>
      </w:pPr>
      <w:r>
        <w:rPr>
          <w:rFonts w:ascii="Times New Roman"/>
          <w:b/>
          <w:i w:val="false"/>
          <w:color w:val="000000"/>
        </w:rPr>
        <w:t xml:space="preserve"> Административные данные по документам на мастер-файл активной фармацевтической субстанции (МФАФС) </w:t>
      </w:r>
    </w:p>
    <w:bookmarkEnd w:id="4935"/>
    <w:bookmarkStart w:name="z5065" w:id="4936"/>
    <w:p>
      <w:pPr>
        <w:spacing w:after="0"/>
        <w:ind w:left="0"/>
        <w:jc w:val="both"/>
      </w:pPr>
      <w:r>
        <w:rPr>
          <w:rFonts w:ascii="Times New Roman"/>
          <w:b w:val="false"/>
          <w:i w:val="false"/>
          <w:color w:val="000000"/>
          <w:sz w:val="28"/>
        </w:rPr>
        <w:t>
      Настоящее направительное письмо следует использовать в отношении мастер-файла активной фармацевтической субстанции, подлежащего экспертизе совместно с регистрационным досье или досье на изменение лекарственного препарата. Необходимо заполнить все информационные поля.</w:t>
      </w:r>
    </w:p>
    <w:bookmarkEnd w:id="4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4937"/>
          <w:p>
            <w:pPr>
              <w:spacing w:after="20"/>
              <w:ind w:left="20"/>
              <w:jc w:val="both"/>
            </w:pPr>
            <w:r>
              <w:rPr>
                <w:rFonts w:ascii="Times New Roman"/>
                <w:b w:val="false"/>
                <w:i w:val="false"/>
                <w:color w:val="000000"/>
                <w:sz w:val="20"/>
              </w:rPr>
              <w:t xml:space="preserve">
Настоящие документы также будут направлены: </w:t>
            </w:r>
          </w:p>
          <w:bookmarkEnd w:id="4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всем государствам-членам, участвующим в процедуре</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исключительно {референтному государству}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4938"/>
          <w:p>
            <w:pPr>
              <w:spacing w:after="20"/>
              <w:ind w:left="20"/>
              <w:jc w:val="both"/>
            </w:pPr>
            <w:r>
              <w:rPr>
                <w:rFonts w:ascii="Times New Roman"/>
                <w:b w:val="false"/>
                <w:i w:val="false"/>
                <w:color w:val="000000"/>
                <w:sz w:val="20"/>
              </w:rPr>
              <w:t xml:space="preserve">
Кодовый номер МФАФС </w:t>
            </w:r>
          </w:p>
          <w:bookmarkEnd w:id="4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{кодовый номер МФАФС}</w:t>
            </w:r>
          </w:p>
          <w:p>
            <w:pPr>
              <w:spacing w:after="20"/>
              <w:ind w:left="20"/>
              <w:jc w:val="both"/>
            </w:pPr>
            <w:r>
              <w:rPr>
                <w:rFonts w:ascii="Times New Roman"/>
                <w:b w:val="false"/>
                <w:i w:val="false"/>
                <w:color w:val="000000"/>
                <w:sz w:val="20"/>
              </w:rPr>
              <w:t xml:space="preserve">В следующем формате: ЕАЭС/МФАФС/XXXXX или YY/МФАФС/XXXXX, где XXXXX - цифровое обозначение, YY - латинский 2-значный буквенный код государства-члена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4939"/>
          <w:p>
            <w:pPr>
              <w:spacing w:after="20"/>
              <w:ind w:left="20"/>
              <w:jc w:val="both"/>
            </w:pPr>
            <w:r>
              <w:rPr>
                <w:rFonts w:ascii="Times New Roman"/>
                <w:b w:val="false"/>
                <w:i w:val="false"/>
                <w:color w:val="000000"/>
                <w:sz w:val="20"/>
              </w:rPr>
              <w:t xml:space="preserve">
Версия держателя МФАФС (включенная в настоящую подачу документов) </w:t>
            </w:r>
          </w:p>
          <w:bookmarkEnd w:id="4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заявителя:</w:t>
            </w:r>
          </w:p>
          <w:p>
            <w:pPr>
              <w:spacing w:after="20"/>
              <w:ind w:left="20"/>
              <w:jc w:val="both"/>
            </w:pPr>
            <w:r>
              <w:rPr>
                <w:rFonts w:ascii="Times New Roman"/>
                <w:b w:val="false"/>
                <w:i w:val="false"/>
                <w:color w:val="000000"/>
                <w:sz w:val="20"/>
              </w:rPr>
              <w:t>версия [номер версии]/дата (дд-мм-гггг) закрытая часть:</w:t>
            </w:r>
          </w:p>
          <w:p>
            <w:pPr>
              <w:spacing w:after="20"/>
              <w:ind w:left="20"/>
              <w:jc w:val="both"/>
            </w:pPr>
            <w:r>
              <w:rPr>
                <w:rFonts w:ascii="Times New Roman"/>
                <w:b w:val="false"/>
                <w:i w:val="false"/>
                <w:color w:val="000000"/>
                <w:sz w:val="20"/>
              </w:rPr>
              <w:t xml:space="preserve">версия [номер версии]/дата (дд-мм-гггг)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4940"/>
          <w:p>
            <w:pPr>
              <w:spacing w:after="20"/>
              <w:ind w:left="20"/>
              <w:jc w:val="both"/>
            </w:pPr>
            <w:r>
              <w:rPr>
                <w:rFonts w:ascii="Times New Roman"/>
                <w:b w:val="false"/>
                <w:i w:val="false"/>
                <w:color w:val="000000"/>
                <w:sz w:val="20"/>
              </w:rPr>
              <w:t xml:space="preserve">
Наименование фармацевтической субстанции </w:t>
            </w:r>
          </w:p>
          <w:bookmarkEnd w:id="4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{МНН, общепринятое наименование} (+ соль (содержание воды), если применимо)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4941"/>
          <w:p>
            <w:pPr>
              <w:spacing w:after="20"/>
              <w:ind w:left="20"/>
              <w:jc w:val="both"/>
            </w:pPr>
            <w:r>
              <w:rPr>
                <w:rFonts w:ascii="Times New Roman"/>
                <w:b w:val="false"/>
                <w:i w:val="false"/>
                <w:color w:val="000000"/>
                <w:sz w:val="20"/>
              </w:rPr>
              <w:t xml:space="preserve">
Внутренний код АФС производителя активной фармацевтической субстанции (если применимо): </w:t>
            </w:r>
          </w:p>
          <w:bookmarkEnd w:id="4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код АФС}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4942"/>
          <w:p>
            <w:pPr>
              <w:spacing w:after="20"/>
              <w:ind w:left="20"/>
              <w:jc w:val="both"/>
            </w:pPr>
            <w:r>
              <w:rPr>
                <w:rFonts w:ascii="Times New Roman"/>
                <w:b w:val="false"/>
                <w:i w:val="false"/>
                <w:color w:val="000000"/>
                <w:sz w:val="20"/>
              </w:rPr>
              <w:t>
Дополнительные сведения (если применимо, например, различные пути синтеза, класс)</w:t>
            </w:r>
          </w:p>
          <w:bookmarkEnd w:id="4942"/>
          <w:p>
            <w:pPr>
              <w:spacing w:after="20"/>
              <w:ind w:left="20"/>
              <w:jc w:val="both"/>
            </w:pPr>
            <w:r>
              <w:rPr>
                <w:rFonts w:ascii="Times New Roman"/>
                <w:b w:val="false"/>
                <w:i w:val="false"/>
                <w:color w:val="000000"/>
                <w:sz w:val="20"/>
              </w:rPr>
              <w:t xml:space="preserve">(Применимо, если держатель МФАФС располагает несколькими МФАФС в отношении одной и той же активной фармацевтической субстанции)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2" w:id="4943"/>
    <w:p>
      <w:pPr>
        <w:spacing w:after="0"/>
        <w:ind w:left="0"/>
        <w:jc w:val="both"/>
      </w:pPr>
      <w:r>
        <w:rPr>
          <w:rFonts w:ascii="Times New Roman"/>
          <w:b w:val="false"/>
          <w:i w:val="false"/>
          <w:color w:val="000000"/>
          <w:sz w:val="28"/>
        </w:rPr>
        <w:t>
       </w:t>
      </w:r>
    </w:p>
    <w:bookmarkEnd w:id="4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4944"/>
          <w:p>
            <w:pPr>
              <w:spacing w:after="20"/>
              <w:ind w:left="20"/>
              <w:jc w:val="both"/>
            </w:pPr>
            <w:r>
              <w:rPr>
                <w:rFonts w:ascii="Times New Roman"/>
                <w:b w:val="false"/>
                <w:i w:val="false"/>
                <w:color w:val="000000"/>
                <w:sz w:val="20"/>
              </w:rPr>
              <w:t xml:space="preserve">
Держатель МФАФС </w:t>
            </w:r>
          </w:p>
          <w:bookmarkEnd w:id="4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МФАФС}</w:t>
            </w:r>
          </w:p>
          <w:p>
            <w:pPr>
              <w:spacing w:after="20"/>
              <w:ind w:left="20"/>
              <w:jc w:val="both"/>
            </w:pPr>
            <w:r>
              <w:rPr>
                <w:rFonts w:ascii="Times New Roman"/>
                <w:b w:val="false"/>
                <w:i w:val="false"/>
                <w:color w:val="000000"/>
                <w:sz w:val="20"/>
              </w:rPr>
              <w:t>{полный юридический адрес держателя МФАФС}</w:t>
            </w:r>
          </w:p>
          <w:p>
            <w:pPr>
              <w:spacing w:after="20"/>
              <w:ind w:left="20"/>
              <w:jc w:val="both"/>
            </w:pPr>
            <w:r>
              <w:rPr>
                <w:rFonts w:ascii="Times New Roman"/>
                <w:b w:val="false"/>
                <w:i w:val="false"/>
                <w:color w:val="000000"/>
                <w:sz w:val="20"/>
              </w:rPr>
              <w:t xml:space="preserve">{страна}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p>
            <w:pPr>
              <w:spacing w:after="20"/>
              <w:ind w:left="20"/>
              <w:jc w:val="both"/>
            </w:pPr>
            <w:r>
              <w:rPr>
                <w:rFonts w:ascii="Times New Roman"/>
                <w:b w:val="false"/>
                <w:i w:val="false"/>
                <w:color w:val="000000"/>
                <w:sz w:val="20"/>
              </w:rPr>
              <w:t>номер телефона: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4945"/>
          <w:p>
            <w:pPr>
              <w:spacing w:after="20"/>
              <w:ind w:left="20"/>
              <w:jc w:val="both"/>
            </w:pPr>
            <w:r>
              <w:rPr>
                <w:rFonts w:ascii="Times New Roman"/>
                <w:b w:val="false"/>
                <w:i w:val="false"/>
                <w:color w:val="000000"/>
                <w:sz w:val="20"/>
              </w:rPr>
              <w:t>
Производитель активной фармацевтической субстанции Производственные площадки</w:t>
            </w:r>
          </w:p>
          <w:bookmarkEnd w:id="4945"/>
          <w:p>
            <w:pPr>
              <w:spacing w:after="20"/>
              <w:ind w:left="20"/>
              <w:jc w:val="both"/>
            </w:pPr>
            <w:r>
              <w:rPr>
                <w:rFonts w:ascii="Times New Roman"/>
                <w:b w:val="false"/>
                <w:i w:val="false"/>
                <w:color w:val="000000"/>
                <w:sz w:val="20"/>
              </w:rPr>
              <w:t xml:space="preserve">(Все компании, вовлеченные в производство фармацевтической субстанции, в том числе площадки по контролю качества (внутрипроизводственным испытаниям), производители промежуточных продуктов, площадки по измельчению и стерилизации, необходимо перечислить в отдельных графах.)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производственных площадок}</w:t>
            </w:r>
          </w:p>
          <w:p>
            <w:pPr>
              <w:spacing w:after="20"/>
              <w:ind w:left="20"/>
              <w:jc w:val="both"/>
            </w:pP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{номер УСНД}</w:t>
            </w:r>
          </w:p>
          <w:p>
            <w:pPr>
              <w:spacing w:after="20"/>
              <w:ind w:left="20"/>
              <w:jc w:val="both"/>
            </w:pPr>
            <w:r>
              <w:rPr>
                <w:rFonts w:ascii="Times New Roman"/>
                <w:b w:val="false"/>
                <w:i w:val="false"/>
                <w:color w:val="000000"/>
                <w:sz w:val="20"/>
              </w:rPr>
              <w:t xml:space="preserve">В отношении всех площадок необходимо представить универсальную систему нумерации данных (УСНД), если они зарегистрированы. УСНД была разработана Dun &amp; Bradstreet (D&amp;B), она присваивает уникальный цифровой идентификатор одному хозяйствующему субъекту. Она используется для ускорения идентификации производственных площадок за пределами Союза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{GPS (WGS 84) координаты площадки} Широта (Ю или С) и долгота (В или З) выражается в градусах, минутах, секундах до 1 знака после запятой (альтернативной ее допускается указывать в градусах с, по меньшей мере, 5 знаками после запятой или градусах и минутах с, по меньшей мере, 3 знаками после запятой). Если не главный вход, то следует указать расположение.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p>
            <w:pPr>
              <w:spacing w:after="20"/>
              <w:ind w:left="20"/>
              <w:jc w:val="both"/>
            </w:pPr>
            <w:r>
              <w:rPr>
                <w:rFonts w:ascii="Times New Roman"/>
                <w:b w:val="false"/>
                <w:i w:val="false"/>
                <w:color w:val="000000"/>
                <w:sz w:val="20"/>
              </w:rPr>
              <w:t>номер телефона:</w:t>
            </w:r>
          </w:p>
          <w:p>
            <w:pPr>
              <w:spacing w:after="20"/>
              <w:ind w:left="20"/>
              <w:jc w:val="both"/>
            </w:pPr>
            <w:r>
              <w:rPr>
                <w:rFonts w:ascii="Times New Roman"/>
                <w:b w:val="false"/>
                <w:i w:val="false"/>
                <w:color w:val="000000"/>
                <w:sz w:val="20"/>
              </w:rPr>
              <w:t xml:space="preserve">адрес электронной почты: </w:t>
            </w:r>
          </w:p>
        </w:tc>
      </w:tr>
    </w:tbl>
    <w:bookmarkStart w:name="z5078" w:id="4946"/>
    <w:p>
      <w:pPr>
        <w:spacing w:after="0"/>
        <w:ind w:left="0"/>
        <w:jc w:val="both"/>
      </w:pPr>
      <w:r>
        <w:rPr>
          <w:rFonts w:ascii="Times New Roman"/>
          <w:b w:val="false"/>
          <w:i w:val="false"/>
          <w:color w:val="000000"/>
          <w:sz w:val="28"/>
        </w:rPr>
        <w:t>
       </w:t>
      </w:r>
    </w:p>
    <w:bookmarkEnd w:id="4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4947"/>
          <w:p>
            <w:pPr>
              <w:spacing w:after="20"/>
              <w:ind w:left="20"/>
              <w:jc w:val="both"/>
            </w:pPr>
            <w:r>
              <w:rPr>
                <w:rFonts w:ascii="Times New Roman"/>
                <w:b w:val="false"/>
                <w:i w:val="false"/>
                <w:color w:val="000000"/>
                <w:sz w:val="20"/>
              </w:rPr>
              <w:t xml:space="preserve">
Вид подачи документов </w:t>
            </w:r>
          </w:p>
          <w:bookmarkEnd w:id="4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новая подача документов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обновление МФАФС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ответ на уведомление о недостаточности данных (как часть заявителя, так и закрытая часть, если применимо)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исключительно административные изменения (во всех случаях производственная площадка не изменяется)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изменение держателя МФАФС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изменение названия (адреса) держателя МФАФС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изменение названия (адреса) производителя фармацевтической субстанции </w:t>
            </w:r>
          </w:p>
          <w:p>
            <w:pPr>
              <w:spacing w:after="20"/>
              <w:ind w:left="20"/>
              <w:jc w:val="both"/>
            </w:pPr>
          </w:p>
          <w:p>
            <w:pPr>
              <w:spacing w:after="20"/>
              <w:ind w:left="20"/>
              <w:jc w:val="both"/>
            </w:pPr>
          </w:p>
        </w:tc>
      </w:tr>
    </w:tbl>
    <w:bookmarkStart w:name="z5086" w:id="4948"/>
    <w:p>
      <w:pPr>
        <w:spacing w:after="0"/>
        <w:ind w:left="0"/>
        <w:jc w:val="both"/>
      </w:pPr>
      <w:r>
        <w:rPr>
          <w:rFonts w:ascii="Times New Roman"/>
          <w:b w:val="false"/>
          <w:i w:val="false"/>
          <w:color w:val="000000"/>
          <w:sz w:val="28"/>
        </w:rPr>
        <w:t>
       </w:t>
      </w:r>
    </w:p>
    <w:bookmarkEnd w:id="4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4949"/>
          <w:p>
            <w:pPr>
              <w:spacing w:after="20"/>
              <w:ind w:left="20"/>
              <w:jc w:val="both"/>
            </w:pPr>
            <w:r>
              <w:rPr>
                <w:rFonts w:ascii="Times New Roman"/>
                <w:b w:val="false"/>
                <w:i w:val="false"/>
                <w:color w:val="000000"/>
                <w:sz w:val="20"/>
              </w:rPr>
              <w:t xml:space="preserve">
Вид подачи документов </w:t>
            </w:r>
          </w:p>
          <w:bookmarkEnd w:id="4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бумажная подача документов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электронный формат (бумажные версии не принимаются в случае подачи электронного формата)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4950"/>
          <w:p>
            <w:pPr>
              <w:spacing w:after="20"/>
              <w:ind w:left="20"/>
              <w:jc w:val="both"/>
            </w:pPr>
            <w:r>
              <w:rPr>
                <w:rFonts w:ascii="Times New Roman"/>
                <w:b w:val="false"/>
                <w:i w:val="false"/>
                <w:color w:val="000000"/>
                <w:sz w:val="20"/>
              </w:rPr>
              <w:t xml:space="preserve">
Количество томов бумажного варианта </w:t>
            </w:r>
          </w:p>
          <w:bookmarkEnd w:id="4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томов бумажного варианта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4951"/>
          <w:p>
            <w:pPr>
              <w:spacing w:after="20"/>
              <w:ind w:left="20"/>
              <w:jc w:val="both"/>
            </w:pPr>
            <w:r>
              <w:rPr>
                <w:rFonts w:ascii="Times New Roman"/>
                <w:b w:val="false"/>
                <w:i w:val="false"/>
                <w:color w:val="000000"/>
                <w:sz w:val="20"/>
              </w:rPr>
              <w:t xml:space="preserve">
{Номер} </w:t>
            </w:r>
          </w:p>
          <w:bookmarkEnd w:id="4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r>
    </w:tbl>
    <w:bookmarkStart w:name="z5091" w:id="4952"/>
    <w:p>
      <w:pPr>
        <w:spacing w:after="0"/>
        <w:ind w:left="0"/>
        <w:jc w:val="both"/>
      </w:pPr>
      <w:r>
        <w:rPr>
          <w:rFonts w:ascii="Times New Roman"/>
          <w:b w:val="false"/>
          <w:i w:val="false"/>
          <w:color w:val="000000"/>
          <w:sz w:val="28"/>
        </w:rPr>
        <w:t>
       </w:t>
      </w:r>
    </w:p>
    <w:bookmarkEnd w:id="4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4953"/>
          <w:p>
            <w:pPr>
              <w:spacing w:after="20"/>
              <w:ind w:left="20"/>
              <w:jc w:val="both"/>
            </w:pPr>
            <w:r>
              <w:rPr>
                <w:rFonts w:ascii="Times New Roman"/>
                <w:b w:val="false"/>
                <w:i w:val="false"/>
                <w:color w:val="000000"/>
                <w:sz w:val="20"/>
              </w:rPr>
              <w:t xml:space="preserve">
Поданные документы </w:t>
            </w:r>
          </w:p>
          <w:bookmarkEnd w:id="4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доступ (согласно дополнению № 2 к настоящему Приложению)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резюме эксперта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резюме по качеству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изменений (при подаче обновления внесенного в единый реестр Союза МФАФС)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предлагаемой держателем МФАФС спецификации на активную фармацевтическую субстанцию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уведомления о недостаточности данных в МФАФС, направленная уполномоченным органом государства-члена (лишь при подаче ответных документов) </w:t>
            </w:r>
          </w:p>
        </w:tc>
      </w:tr>
    </w:tbl>
    <w:bookmarkStart w:name="z5098" w:id="4954"/>
    <w:p>
      <w:pPr>
        <w:spacing w:after="0"/>
        <w:ind w:left="0"/>
        <w:jc w:val="left"/>
      </w:pPr>
      <w:r>
        <w:rPr>
          <w:rFonts w:ascii="Times New Roman"/>
          <w:b/>
          <w:i w:val="false"/>
          <w:color w:val="000000"/>
        </w:rPr>
        <w:t xml:space="preserve"> Таблица изменений между различными версиями МФАФС </w:t>
      </w:r>
    </w:p>
    <w:bookmarkEnd w:id="4954"/>
    <w:bookmarkStart w:name="z5099" w:id="4955"/>
    <w:p>
      <w:pPr>
        <w:spacing w:after="0"/>
        <w:ind w:left="0"/>
        <w:jc w:val="both"/>
      </w:pPr>
      <w:r>
        <w:rPr>
          <w:rFonts w:ascii="Times New Roman"/>
          <w:b w:val="false"/>
          <w:i w:val="false"/>
          <w:color w:val="000000"/>
          <w:sz w:val="28"/>
        </w:rPr>
        <w:t>
      Данный раздел заполняется лишь при обновлении ранее поданного МФАФС.</w:t>
      </w:r>
    </w:p>
    <w:bookmarkEnd w:id="4955"/>
    <w:bookmarkStart w:name="z5100" w:id="4956"/>
    <w:p>
      <w:pPr>
        <w:spacing w:after="0"/>
        <w:ind w:left="0"/>
        <w:jc w:val="both"/>
      </w:pPr>
      <w:r>
        <w:rPr>
          <w:rFonts w:ascii="Times New Roman"/>
          <w:b w:val="false"/>
          <w:i w:val="false"/>
          <w:color w:val="000000"/>
          <w:sz w:val="28"/>
        </w:rPr>
        <w:t>
      Таблицу изменений следует включить в качестве отдельного документа к основному направительному письму. Держатель МФАФС должен использовать следующие примерные шаблоны таблиц. Если изменения ранее были одобрены другим уполномоченным органом государства-члена, держатель МФАФС должен аннотировать таблицу номером процедуры.</w:t>
      </w:r>
    </w:p>
    <w:bookmarkEnd w:id="4956"/>
    <w:bookmarkStart w:name="z5101" w:id="4957"/>
    <w:p>
      <w:pPr>
        <w:spacing w:after="0"/>
        <w:ind w:left="0"/>
        <w:jc w:val="both"/>
      </w:pPr>
      <w:r>
        <w:rPr>
          <w:rFonts w:ascii="Times New Roman"/>
          <w:b w:val="false"/>
          <w:i w:val="false"/>
          <w:color w:val="000000"/>
          <w:sz w:val="28"/>
        </w:rPr>
        <w:t>
      Примерный формат таблицы изменений</w:t>
      </w:r>
    </w:p>
    <w:bookmarkEnd w:id="4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4958"/>
          <w:p>
            <w:pPr>
              <w:spacing w:after="20"/>
              <w:ind w:left="20"/>
              <w:jc w:val="both"/>
            </w:pPr>
            <w:r>
              <w:rPr>
                <w:rFonts w:ascii="Times New Roman"/>
                <w:b w:val="false"/>
                <w:i w:val="false"/>
                <w:color w:val="000000"/>
                <w:sz w:val="20"/>
              </w:rPr>
              <w:t>
ТАБЛИЦА ИЗМЕНЕНИЙ</w:t>
            </w:r>
          </w:p>
          <w:bookmarkEnd w:id="495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4959"/>
          <w:p>
            <w:pPr>
              <w:spacing w:after="20"/>
              <w:ind w:left="20"/>
              <w:jc w:val="both"/>
            </w:pPr>
          </w:p>
          <w:bookmarkEnd w:id="4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версии ЗЧ и (или) ЧЗ держателя МФАФС [номер версии]/дата (дд-мм-гггг)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версии ЗЧ и (или) ЧЗ держателя МФАФС [номер версии]/дата (дд-мм-гггг)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960"/>
          <w:p>
            <w:pPr>
              <w:spacing w:after="20"/>
              <w:ind w:left="20"/>
              <w:jc w:val="both"/>
            </w:pPr>
            <w:r>
              <w:rPr>
                <w:rFonts w:ascii="Times New Roman"/>
                <w:b w:val="false"/>
                <w:i w:val="false"/>
                <w:color w:val="000000"/>
                <w:sz w:val="20"/>
              </w:rPr>
              <w:t xml:space="preserve">
Раздел ОТД </w:t>
            </w:r>
          </w:p>
          <w:bookmarkEnd w:id="4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ситуация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изменения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4961"/>
          <w:p>
            <w:pPr>
              <w:spacing w:after="20"/>
              <w:ind w:left="20"/>
              <w:jc w:val="both"/>
            </w:pPr>
          </w:p>
          <w:bookmarkEnd w:id="4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7" w:id="4962"/>
    <w:p>
      <w:pPr>
        <w:spacing w:after="0"/>
        <w:ind w:left="0"/>
        <w:jc w:val="both"/>
      </w:pPr>
      <w:r>
        <w:rPr>
          <w:rFonts w:ascii="Times New Roman"/>
          <w:b w:val="false"/>
          <w:i w:val="false"/>
          <w:color w:val="000000"/>
          <w:sz w:val="28"/>
        </w:rPr>
        <w:t>
       </w:t>
      </w:r>
    </w:p>
    <w:bookmarkEnd w:id="4962"/>
    <w:bookmarkStart w:name="z5108" w:id="4963"/>
    <w:p>
      <w:pPr>
        <w:spacing w:after="0"/>
        <w:ind w:left="0"/>
        <w:jc w:val="left"/>
      </w:pPr>
      <w:r>
        <w:rPr>
          <w:rFonts w:ascii="Times New Roman"/>
          <w:b/>
          <w:i w:val="false"/>
          <w:color w:val="000000"/>
        </w:rPr>
        <w:t xml:space="preserve"> Административные сведения о других регистрационных досье</w:t>
      </w:r>
    </w:p>
    <w:bookmarkEnd w:id="4963"/>
    <w:bookmarkStart w:name="z5109" w:id="4964"/>
    <w:p>
      <w:pPr>
        <w:spacing w:after="0"/>
        <w:ind w:left="0"/>
        <w:jc w:val="left"/>
      </w:pPr>
      <w:r>
        <w:rPr>
          <w:rFonts w:ascii="Times New Roman"/>
          <w:b/>
          <w:i w:val="false"/>
          <w:color w:val="000000"/>
        </w:rPr>
        <w:t xml:space="preserve"> Прочие регистрационные досье (независимо от их статуса), ссылающиеся на тот же МФАФС </w:t>
      </w:r>
    </w:p>
    <w:bookmarkEnd w:id="4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965"/>
          <w:p>
            <w:pPr>
              <w:spacing w:after="20"/>
              <w:ind w:left="20"/>
              <w:jc w:val="both"/>
            </w:pPr>
            <w:r>
              <w:rPr>
                <w:rFonts w:ascii="Times New Roman"/>
                <w:b w:val="false"/>
                <w:i w:val="false"/>
                <w:color w:val="000000"/>
                <w:sz w:val="20"/>
              </w:rPr>
              <w:t xml:space="preserve">
МФАФС был ранее подан в уполномоченный орган государства-члена </w:t>
            </w:r>
          </w:p>
          <w:bookmarkEnd w:id="4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bookmarkStart w:name="z5112" w:id="4966"/>
    <w:p>
      <w:pPr>
        <w:spacing w:after="0"/>
        <w:ind w:left="0"/>
        <w:jc w:val="both"/>
      </w:pPr>
      <w:r>
        <w:rPr>
          <w:rFonts w:ascii="Times New Roman"/>
          <w:b w:val="false"/>
          <w:i w:val="false"/>
          <w:color w:val="000000"/>
          <w:sz w:val="28"/>
        </w:rPr>
        <w:t>
      Если да, то следует представить перечень лекарственных препаратов для медицинского, содержащих активную фармацевтическую субстанцию, произведенную в соответствии с данными, включенными в МФАФС. При необходимости следует использовать дополнительные листы. Необходимо включить 5 наиболее свежих поданных лекарственных препаратов или все поданные лекарственные препараты за последние 2 года, в зависимости от того, что больше.</w:t>
      </w:r>
    </w:p>
    <w:bookmarkEnd w:id="4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4967"/>
          <w:p>
            <w:pPr>
              <w:spacing w:after="20"/>
              <w:ind w:left="20"/>
              <w:jc w:val="both"/>
            </w:pPr>
            <w:r>
              <w:rPr>
                <w:rFonts w:ascii="Times New Roman"/>
                <w:b w:val="false"/>
                <w:i w:val="false"/>
                <w:color w:val="000000"/>
                <w:sz w:val="20"/>
              </w:rPr>
              <w:t xml:space="preserve">
Кодовый номер регистрационной процедуры </w:t>
            </w:r>
          </w:p>
          <w:bookmarkEnd w:id="4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МФАФС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версии держателя МФАФС (ЗЧ и ЧЗ)/Дата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4968"/>
          <w:p>
            <w:pPr>
              <w:spacing w:after="20"/>
              <w:ind w:left="20"/>
              <w:jc w:val="both"/>
            </w:pPr>
          </w:p>
          <w:bookmarkEnd w:id="4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969"/>
          <w:p>
            <w:pPr>
              <w:spacing w:after="20"/>
              <w:ind w:left="20"/>
              <w:jc w:val="both"/>
            </w:pPr>
          </w:p>
          <w:bookmarkEnd w:id="4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6" w:id="4970"/>
    <w:p>
      <w:pPr>
        <w:spacing w:after="0"/>
        <w:ind w:left="0"/>
        <w:jc w:val="both"/>
      </w:pPr>
      <w:r>
        <w:rPr>
          <w:rFonts w:ascii="Times New Roman"/>
          <w:b w:val="false"/>
          <w:i w:val="false"/>
          <w:color w:val="000000"/>
          <w:sz w:val="28"/>
        </w:rPr>
        <w:t>
      Держатель МФАФС вправе представить больше сведений. Уполномоченные органы государств-членов вправе затребовать сведения о других затронутых данным МФАФС лекарственных препаратах.</w:t>
      </w:r>
    </w:p>
    <w:bookmarkEnd w:id="4970"/>
    <w:bookmarkStart w:name="z5117" w:id="4971"/>
    <w:p>
      <w:pPr>
        <w:spacing w:after="0"/>
        <w:ind w:left="0"/>
        <w:jc w:val="both"/>
      </w:pPr>
      <w:r>
        <w:rPr>
          <w:rFonts w:ascii="Times New Roman"/>
          <w:b w:val="false"/>
          <w:i w:val="false"/>
          <w:color w:val="000000"/>
          <w:sz w:val="28"/>
        </w:rPr>
        <w:t>
      {Подпись уполномоченного контактного лица}</w:t>
      </w:r>
    </w:p>
    <w:bookmarkEnd w:id="4971"/>
    <w:bookmarkStart w:name="z5118" w:id="4972"/>
    <w:p>
      <w:pPr>
        <w:spacing w:after="0"/>
        <w:ind w:left="0"/>
        <w:jc w:val="both"/>
      </w:pPr>
      <w:r>
        <w:rPr>
          <w:rFonts w:ascii="Times New Roman"/>
          <w:b w:val="false"/>
          <w:i w:val="false"/>
          <w:color w:val="000000"/>
          <w:sz w:val="28"/>
        </w:rPr>
        <w:t>
      {Имя, адрес и должность в компании}</w:t>
      </w:r>
    </w:p>
    <w:bookmarkEnd w:id="4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4</w:t>
            </w:r>
          </w:p>
        </w:tc>
      </w:tr>
    </w:tbl>
    <w:bookmarkStart w:name="z5120" w:id="4973"/>
    <w:p>
      <w:pPr>
        <w:spacing w:after="0"/>
        <w:ind w:left="0"/>
        <w:jc w:val="left"/>
      </w:pPr>
      <w:r>
        <w:rPr>
          <w:rFonts w:ascii="Times New Roman"/>
          <w:b/>
          <w:i w:val="false"/>
          <w:color w:val="000000"/>
        </w:rPr>
        <w:t xml:space="preserve"> ФОРМА ОТЗЫВА</w:t>
      </w:r>
      <w:r>
        <w:br/>
      </w:r>
      <w:r>
        <w:rPr>
          <w:rFonts w:ascii="Times New Roman"/>
          <w:b/>
          <w:i w:val="false"/>
          <w:color w:val="000000"/>
        </w:rPr>
        <w:t xml:space="preserve">РАЗРЕШЕНИЯ НА ДОСТУП К ЗАКРЫТОЙ ЧАСТИ МАСТЕР-ФАЙЛА АКТИВНОЙ ФАРМАЦЕВТИЧЕСКОЙ СУБСТАНЦИИ </w:t>
      </w:r>
    </w:p>
    <w:bookmarkEnd w:id="4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122" w:id="4974"/>
    <w:p>
      <w:pPr>
        <w:spacing w:after="0"/>
        <w:ind w:left="0"/>
        <w:jc w:val="left"/>
      </w:pPr>
      <w:r>
        <w:rPr>
          <w:rFonts w:ascii="Times New Roman"/>
          <w:b/>
          <w:i w:val="false"/>
          <w:color w:val="000000"/>
        </w:rPr>
        <w:t xml:space="preserve"> ФИРМЕННЫЙ БЛАНК</w:t>
      </w:r>
      <w:r>
        <w:br/>
      </w:r>
      <w:r>
        <w:rPr>
          <w:rFonts w:ascii="Times New Roman"/>
          <w:b/>
          <w:i w:val="false"/>
          <w:color w:val="000000"/>
        </w:rPr>
        <w:t>держателя мастер-файла активной фармацевтической субстанции</w:t>
      </w:r>
      <w:r>
        <w:br/>
      </w:r>
      <w:r>
        <w:rPr>
          <w:rFonts w:ascii="Times New Roman"/>
          <w:b/>
          <w:i w:val="false"/>
          <w:color w:val="000000"/>
        </w:rPr>
        <w:t xml:space="preserve">{Адрес уполномоченного органа государства-члена} </w:t>
      </w:r>
    </w:p>
    <w:bookmarkEnd w:id="4974"/>
    <w:bookmarkStart w:name="z5123" w:id="4975"/>
    <w:p>
      <w:pPr>
        <w:spacing w:after="0"/>
        <w:ind w:left="0"/>
        <w:jc w:val="left"/>
      </w:pPr>
      <w:r>
        <w:rPr>
          <w:rFonts w:ascii="Times New Roman"/>
          <w:b/>
          <w:i w:val="false"/>
          <w:color w:val="000000"/>
        </w:rPr>
        <w:t xml:space="preserve"> {Дата}</w:t>
      </w:r>
    </w:p>
    <w:bookmarkEnd w:id="4975"/>
    <w:bookmarkStart w:name="z5124" w:id="4976"/>
    <w:p>
      <w:pPr>
        <w:spacing w:after="0"/>
        <w:ind w:left="0"/>
        <w:jc w:val="left"/>
      </w:pPr>
      <w:r>
        <w:rPr>
          <w:rFonts w:ascii="Times New Roman"/>
          <w:b/>
          <w:i w:val="false"/>
          <w:color w:val="000000"/>
        </w:rPr>
        <w:t xml:space="preserve"> Номер мастер-файла активной фармацевтической субстанции:</w:t>
      </w:r>
    </w:p>
    <w:bookmarkEnd w:id="4976"/>
    <w:bookmarkStart w:name="z5125" w:id="4977"/>
    <w:p>
      <w:pPr>
        <w:spacing w:after="0"/>
        <w:ind w:left="0"/>
        <w:jc w:val="left"/>
      </w:pPr>
      <w:r>
        <w:rPr>
          <w:rFonts w:ascii="Times New Roman"/>
          <w:b/>
          <w:i w:val="false"/>
          <w:color w:val="000000"/>
        </w:rPr>
        <w:t xml:space="preserve"> {Кодовый номер МФАФС} </w:t>
      </w:r>
    </w:p>
    <w:bookmarkEnd w:id="4977"/>
    <w:bookmarkStart w:name="z5126" w:id="4978"/>
    <w:p>
      <w:pPr>
        <w:spacing w:after="0"/>
        <w:ind w:left="0"/>
        <w:jc w:val="both"/>
      </w:pPr>
      <w:r>
        <w:rPr>
          <w:rFonts w:ascii="Times New Roman"/>
          <w:b w:val="false"/>
          <w:i w:val="false"/>
          <w:color w:val="000000"/>
          <w:sz w:val="28"/>
        </w:rPr>
        <w:t>
      Указывается в следующем формате: ЕАЭС/МФАФС/XXXXX или УУ/МФАФС/XXXXX, где XXXXX - цифровое обозначение, YY - латинский 2-значный буквенный код государства-члена.</w:t>
      </w:r>
    </w:p>
    <w:bookmarkEnd w:id="4978"/>
    <w:bookmarkStart w:name="z5127" w:id="4979"/>
    <w:p>
      <w:pPr>
        <w:spacing w:after="0"/>
        <w:ind w:left="0"/>
        <w:jc w:val="both"/>
      </w:pPr>
      <w:r>
        <w:rPr>
          <w:rFonts w:ascii="Times New Roman"/>
          <w:b w:val="false"/>
          <w:i w:val="false"/>
          <w:color w:val="000000"/>
          <w:sz w:val="28"/>
        </w:rPr>
        <w:t>
      Наименование активной фармацевтической субстанции:</w:t>
      </w:r>
    </w:p>
    <w:bookmarkEnd w:id="4979"/>
    <w:bookmarkStart w:name="z5128" w:id="4980"/>
    <w:p>
      <w:pPr>
        <w:spacing w:after="0"/>
        <w:ind w:left="0"/>
        <w:jc w:val="both"/>
      </w:pPr>
      <w:r>
        <w:rPr>
          <w:rFonts w:ascii="Times New Roman"/>
          <w:b w:val="false"/>
          <w:i w:val="false"/>
          <w:color w:val="000000"/>
          <w:sz w:val="28"/>
        </w:rPr>
        <w:t>
      Внутренний код активной фармацевтической субстанции (если применимо):</w:t>
      </w:r>
    </w:p>
    <w:bookmarkEnd w:id="4980"/>
    <w:bookmarkStart w:name="z5129" w:id="4981"/>
    <w:p>
      <w:pPr>
        <w:spacing w:after="0"/>
        <w:ind w:left="0"/>
        <w:jc w:val="both"/>
      </w:pPr>
      <w:r>
        <w:rPr>
          <w:rFonts w:ascii="Times New Roman"/>
          <w:b w:val="false"/>
          <w:i w:val="false"/>
          <w:color w:val="000000"/>
          <w:sz w:val="28"/>
        </w:rPr>
        <w:t>
      Держатель мастер-файла активной фармацевтической субстанции: {название и адрес}.</w:t>
      </w:r>
    </w:p>
    <w:bookmarkEnd w:id="4981"/>
    <w:bookmarkStart w:name="z5130" w:id="4982"/>
    <w:p>
      <w:pPr>
        <w:spacing w:after="0"/>
        <w:ind w:left="0"/>
        <w:jc w:val="both"/>
      </w:pPr>
      <w:r>
        <w:rPr>
          <w:rFonts w:ascii="Times New Roman"/>
          <w:b w:val="false"/>
          <w:i w:val="false"/>
          <w:color w:val="000000"/>
          <w:sz w:val="28"/>
        </w:rPr>
        <w:t>
      Вышеупомянутый держатель мастер-файла активной фармацевтической субстанции настоящим уведомляет {название уполномоченного органа государства-члена}, что он более не желает, чтобы вышеупомянутый мастер-файл активной фармацевтической субстанции использовался в обоснование следующего регистрационного досье, принадлежащего {название держателя регистрационного удостоверения (заявителя)} (при этом, для различных владельцев регистрационных удостоверения (заявителей) необходимо представить отдельные отзывы разрешения):</w:t>
      </w:r>
    </w:p>
    <w:bookmarkEnd w:id="4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983"/>
          <w:p>
            <w:pPr>
              <w:spacing w:after="20"/>
              <w:ind w:left="20"/>
              <w:jc w:val="both"/>
            </w:pPr>
            <w:r>
              <w:rPr>
                <w:rFonts w:ascii="Times New Roman"/>
                <w:b w:val="false"/>
                <w:i w:val="false"/>
                <w:color w:val="000000"/>
                <w:sz w:val="20"/>
              </w:rPr>
              <w:t xml:space="preserve">
Лекарственный препарат </w:t>
            </w:r>
          </w:p>
          <w:bookmarkEnd w:id="4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лекарственного препарата}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4984"/>
          <w:p>
            <w:pPr>
              <w:spacing w:after="20"/>
              <w:ind w:left="20"/>
              <w:jc w:val="both"/>
            </w:pPr>
            <w:r>
              <w:rPr>
                <w:rFonts w:ascii="Times New Roman"/>
                <w:b w:val="false"/>
                <w:i w:val="false"/>
                <w:color w:val="000000"/>
                <w:sz w:val="20"/>
              </w:rPr>
              <w:t xml:space="preserve">
Присвоенный номер процедуры (если применимо) </w:t>
            </w:r>
          </w:p>
          <w:bookmarkEnd w:id="4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на момент подачи лекарственный препарат не зарегистрирован или торговое наименование лекарственного препарата не согласовано, следует указать "МНН + наименование держателя регистрационного удостоверения"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регистрационного удостоверения или код регистрационной процедуры} </w:t>
            </w:r>
          </w:p>
        </w:tc>
      </w:tr>
    </w:tbl>
    <w:bookmarkStart w:name="z5134" w:id="4985"/>
    <w:p>
      <w:pPr>
        <w:spacing w:after="0"/>
        <w:ind w:left="0"/>
        <w:jc w:val="both"/>
      </w:pPr>
      <w:r>
        <w:rPr>
          <w:rFonts w:ascii="Times New Roman"/>
          <w:b w:val="false"/>
          <w:i w:val="false"/>
          <w:color w:val="000000"/>
          <w:sz w:val="28"/>
        </w:rPr>
        <w:t>
      Вышеупомянутый держатель мастер-файла активной фармацевтической субстанции настоящим подтверждает, что в соответствии с условиями их договора на поставку он ранее уведомил [наименование держателя регистрационного удостоверения (заявителя)] о своем решении.</w:t>
      </w:r>
    </w:p>
    <w:bookmarkEnd w:id="4985"/>
    <w:bookmarkStart w:name="z5135" w:id="4986"/>
    <w:p>
      <w:pPr>
        <w:spacing w:after="0"/>
        <w:ind w:left="0"/>
        <w:jc w:val="both"/>
      </w:pPr>
      <w:r>
        <w:rPr>
          <w:rFonts w:ascii="Times New Roman"/>
          <w:b w:val="false"/>
          <w:i w:val="false"/>
          <w:color w:val="000000"/>
          <w:sz w:val="28"/>
        </w:rPr>
        <w:t xml:space="preserve">
      </w:t>
      </w:r>
    </w:p>
    <w:bookmarkEnd w:id="4986"/>
    <w:p>
      <w:pPr>
        <w:spacing w:after="0"/>
        <w:ind w:left="0"/>
        <w:jc w:val="both"/>
      </w:pPr>
      <w:r>
        <w:t>[MISSING IMAGE: ,  ]</w:t>
      </w:r>
    </w:p>
    <w:p>
      <w:pPr>
        <w:spacing w:after="0"/>
        <w:ind w:left="0"/>
        <w:jc w:val="left"/>
      </w:pPr>
      <w:r>
        <w:rPr>
          <w:rFonts w:ascii="Times New Roman"/>
          <w:b w:val="false"/>
          <w:i w:val="false"/>
          <w:color w:val="000000"/>
          <w:sz w:val="28"/>
        </w:rPr>
        <w:t>Активная фармацевтическая субстанция, произведенная в соответствии с вышеуказанным мастер-файлом активной фармацевтической субстанции, более не будет поставляться после [дата прекращения договора поставки],</w:t>
      </w:r>
      <w:r>
        <w:br/>
      </w:r>
      <w:r>
        <w:rPr>
          <w:rFonts w:ascii="Times New Roman"/>
          <w:b w:val="false"/>
          <w:i w:val="false"/>
          <w:color w:val="000000"/>
          <w:sz w:val="28"/>
        </w:rPr>
        <w:t>
</w:t>
      </w:r>
    </w:p>
    <w:bookmarkStart w:name="z5136" w:id="4987"/>
    <w:p>
      <w:pPr>
        <w:spacing w:after="0"/>
        <w:ind w:left="0"/>
        <w:jc w:val="both"/>
      </w:pPr>
      <w:r>
        <w:rPr>
          <w:rFonts w:ascii="Times New Roman"/>
          <w:b w:val="false"/>
          <w:i w:val="false"/>
          <w:color w:val="000000"/>
          <w:sz w:val="28"/>
        </w:rPr>
        <w:t xml:space="preserve">
      </w:t>
      </w:r>
    </w:p>
    <w:bookmarkEnd w:id="4987"/>
    <w:p>
      <w:pPr>
        <w:spacing w:after="0"/>
        <w:ind w:left="0"/>
        <w:jc w:val="both"/>
      </w:pPr>
      <w:r>
        <w:t>[MISSING IMAGE: ,  ]</w:t>
      </w:r>
    </w:p>
    <w:p>
      <w:pPr>
        <w:spacing w:after="0"/>
        <w:ind w:left="0"/>
        <w:jc w:val="left"/>
      </w:pPr>
      <w:r>
        <w:rPr>
          <w:rFonts w:ascii="Times New Roman"/>
          <w:b w:val="false"/>
          <w:i w:val="false"/>
          <w:color w:val="000000"/>
          <w:sz w:val="28"/>
        </w:rPr>
        <w:t>Замена мастер-файла активной фармацевтической субстанции сертификатом соответствия, [N CEP]. Копия сертификата соответствия приобщена к настоящему письму</w:t>
      </w:r>
      <w:r>
        <w:br/>
      </w:r>
      <w:r>
        <w:rPr>
          <w:rFonts w:ascii="Times New Roman"/>
          <w:b w:val="false"/>
          <w:i w:val="false"/>
          <w:color w:val="000000"/>
          <w:sz w:val="28"/>
        </w:rPr>
        <w:t>
</w:t>
      </w:r>
    </w:p>
    <w:bookmarkStart w:name="z5137" w:id="4988"/>
    <w:p>
      <w:pPr>
        <w:spacing w:after="0"/>
        <w:ind w:left="0"/>
        <w:jc w:val="both"/>
      </w:pPr>
      <w:r>
        <w:rPr>
          <w:rFonts w:ascii="Times New Roman"/>
          <w:b w:val="false"/>
          <w:i w:val="false"/>
          <w:color w:val="000000"/>
          <w:sz w:val="28"/>
        </w:rPr>
        <w:t>
       </w:t>
      </w:r>
    </w:p>
    <w:bookmarkEnd w:id="4988"/>
    <w:bookmarkStart w:name="z5138" w:id="4989"/>
    <w:p>
      <w:pPr>
        <w:spacing w:after="0"/>
        <w:ind w:left="0"/>
        <w:jc w:val="both"/>
      </w:pPr>
      <w:r>
        <w:rPr>
          <w:rFonts w:ascii="Times New Roman"/>
          <w:b w:val="false"/>
          <w:i w:val="false"/>
          <w:color w:val="000000"/>
          <w:sz w:val="28"/>
        </w:rPr>
        <w:t>
      Подпись держателя мастер-файла активной фармацевтической субстанции</w:t>
      </w:r>
    </w:p>
    <w:bookmarkEnd w:id="4989"/>
    <w:bookmarkStart w:name="z5139" w:id="4990"/>
    <w:p>
      <w:pPr>
        <w:spacing w:after="0"/>
        <w:ind w:left="0"/>
        <w:jc w:val="both"/>
      </w:pPr>
      <w:r>
        <w:rPr>
          <w:rFonts w:ascii="Times New Roman"/>
          <w:b w:val="false"/>
          <w:i w:val="false"/>
          <w:color w:val="000000"/>
          <w:sz w:val="28"/>
        </w:rPr>
        <w:t>
      {Имя и должность}</w:t>
      </w:r>
    </w:p>
    <w:bookmarkEnd w:id="4990"/>
    <w:bookmarkStart w:name="z5140" w:id="4991"/>
    <w:p>
      <w:pPr>
        <w:spacing w:after="0"/>
        <w:ind w:left="0"/>
        <w:jc w:val="both"/>
      </w:pPr>
      <w:r>
        <w:rPr>
          <w:rFonts w:ascii="Times New Roman"/>
          <w:b w:val="false"/>
          <w:i w:val="false"/>
          <w:color w:val="000000"/>
          <w:sz w:val="28"/>
        </w:rPr>
        <w:t>
      {Подпись}</w:t>
      </w:r>
    </w:p>
    <w:bookmarkEnd w:id="4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Дополнение № 5 </w:t>
            </w:r>
          </w:p>
        </w:tc>
      </w:tr>
    </w:tbl>
    <w:bookmarkStart w:name="z5142" w:id="4992"/>
    <w:p>
      <w:pPr>
        <w:spacing w:after="0"/>
        <w:ind w:left="0"/>
        <w:jc w:val="left"/>
      </w:pPr>
      <w:r>
        <w:rPr>
          <w:rFonts w:ascii="Times New Roman"/>
          <w:b/>
          <w:i w:val="false"/>
          <w:color w:val="000000"/>
        </w:rPr>
        <w:t xml:space="preserve"> НЕПРИМЕНИМОСТЬ</w:t>
      </w:r>
      <w:r>
        <w:br/>
      </w:r>
      <w:r>
        <w:rPr>
          <w:rFonts w:ascii="Times New Roman"/>
          <w:b/>
          <w:i w:val="false"/>
          <w:color w:val="000000"/>
        </w:rPr>
        <w:t>КОНЦЕПЦИИ МАСТЕР-ФАЙЛА АКТИВНОЙ ФАРМАЦЕВТИЧЕСКОЙ</w:t>
      </w:r>
      <w:r>
        <w:br/>
      </w:r>
      <w:r>
        <w:rPr>
          <w:rFonts w:ascii="Times New Roman"/>
          <w:b/>
          <w:i w:val="false"/>
          <w:color w:val="000000"/>
        </w:rPr>
        <w:t xml:space="preserve">СУБСТАНЦИИ (МФАФС) </w:t>
      </w:r>
    </w:p>
    <w:bookmarkEnd w:id="4992"/>
    <w:bookmarkStart w:name="z5143" w:id="4993"/>
    <w:p>
      <w:pPr>
        <w:spacing w:after="0"/>
        <w:ind w:left="0"/>
        <w:jc w:val="both"/>
      </w:pPr>
      <w:r>
        <w:rPr>
          <w:rFonts w:ascii="Times New Roman"/>
          <w:b w:val="false"/>
          <w:i w:val="false"/>
          <w:color w:val="000000"/>
          <w:sz w:val="28"/>
        </w:rPr>
        <w:t>
      1. Неприменимость концепции мастер-файла активной фармацевтической субстанции (МФАФС) к биологическим активным фармацевтическим субстанциям.</w:t>
      </w:r>
    </w:p>
    <w:bookmarkEnd w:id="4993"/>
    <w:bookmarkStart w:name="z5144" w:id="4994"/>
    <w:p>
      <w:pPr>
        <w:spacing w:after="0"/>
        <w:ind w:left="0"/>
        <w:jc w:val="both"/>
      </w:pPr>
      <w:r>
        <w:rPr>
          <w:rFonts w:ascii="Times New Roman"/>
          <w:b w:val="false"/>
          <w:i w:val="false"/>
          <w:color w:val="000000"/>
          <w:sz w:val="28"/>
        </w:rPr>
        <w:t>
      Держателям РУ и заявителям не рекомендуется применять концепцию мастер-файлов активных фармацевтических субстанций к биологическим лекарственным препаратам.</w:t>
      </w:r>
    </w:p>
    <w:bookmarkEnd w:id="4994"/>
    <w:bookmarkStart w:name="z5145" w:id="4995"/>
    <w:p>
      <w:pPr>
        <w:spacing w:after="0"/>
        <w:ind w:left="0"/>
        <w:jc w:val="both"/>
      </w:pPr>
      <w:r>
        <w:rPr>
          <w:rFonts w:ascii="Times New Roman"/>
          <w:b w:val="false"/>
          <w:i w:val="false"/>
          <w:color w:val="000000"/>
          <w:sz w:val="28"/>
        </w:rPr>
        <w:t>
      Установление характеристик и подтверждение качества биологических фармацевтических субстанций требует использования не только комбинации физико-химических и биологических испытаний, но также глубокого знания процесса производства и его контроля.</w:t>
      </w:r>
    </w:p>
    <w:bookmarkEnd w:id="4995"/>
    <w:bookmarkStart w:name="z5146" w:id="4996"/>
    <w:p>
      <w:pPr>
        <w:spacing w:after="0"/>
        <w:ind w:left="0"/>
        <w:jc w:val="both"/>
      </w:pPr>
      <w:r>
        <w:rPr>
          <w:rFonts w:ascii="Times New Roman"/>
          <w:b w:val="false"/>
          <w:i w:val="false"/>
          <w:color w:val="000000"/>
          <w:sz w:val="28"/>
        </w:rPr>
        <w:t>
      В связи с этим держатель РУ (заявитель) биологического лекарственного препарата может не удовлетворять требованию о "взятии на себя ответственности за лекарственный препарат" без наличия полного и прозрачного доступа к этим данным о качестве активной фармацевтической субстанции. Использование МФАФС будет мешать такому доступу, и поэтому оно не допускается в отношении биологических активных фармацевтических субстанций.</w:t>
      </w:r>
    </w:p>
    <w:bookmarkEnd w:id="4996"/>
    <w:bookmarkStart w:name="z5147" w:id="4997"/>
    <w:p>
      <w:pPr>
        <w:spacing w:after="0"/>
        <w:ind w:left="0"/>
        <w:jc w:val="both"/>
      </w:pPr>
      <w:r>
        <w:rPr>
          <w:rFonts w:ascii="Times New Roman"/>
          <w:b w:val="false"/>
          <w:i w:val="false"/>
          <w:color w:val="000000"/>
          <w:sz w:val="28"/>
        </w:rPr>
        <w:t>
      Кроме того, активные фармацевтические субстанции, входящие в состав определенных лекарственных препаратов, таких как вакцины или лекарственные препараты для клеточной терапии, не укладываются в концепцию "хорошо изученной" активной фармацевтической субстанции.</w:t>
      </w:r>
    </w:p>
    <w:bookmarkEnd w:id="4997"/>
    <w:bookmarkStart w:name="z5148" w:id="4998"/>
    <w:p>
      <w:pPr>
        <w:spacing w:after="0"/>
        <w:ind w:left="0"/>
        <w:jc w:val="both"/>
      </w:pPr>
      <w:r>
        <w:rPr>
          <w:rFonts w:ascii="Times New Roman"/>
          <w:b w:val="false"/>
          <w:i w:val="false"/>
          <w:color w:val="000000"/>
          <w:sz w:val="28"/>
        </w:rPr>
        <w:t>
      2. Неприменимость концепции МФАФС к открытой и закрытой частям мастер-файла активной вакцинного антигена (МФВА) и мастер-файла плазмы (МФП)</w:t>
      </w:r>
    </w:p>
    <w:bookmarkEnd w:id="4998"/>
    <w:bookmarkStart w:name="z5149" w:id="4999"/>
    <w:p>
      <w:pPr>
        <w:spacing w:after="0"/>
        <w:ind w:left="0"/>
        <w:jc w:val="both"/>
      </w:pPr>
      <w:r>
        <w:rPr>
          <w:rFonts w:ascii="Times New Roman"/>
          <w:b w:val="false"/>
          <w:i w:val="false"/>
          <w:color w:val="000000"/>
          <w:sz w:val="28"/>
        </w:rPr>
        <w:t>
      Законодательство не закрепляет использование открытой (закрытой) частей в мастер-файле вакцинного антигена (МФВА) и мастер-файле плазмы (МФП). Концепция открытой (не конфиденциальной) и закрытой (конфиденциальной) частей специфичная для мастер-файла активной фармацевтической субстанции.</w:t>
      </w:r>
    </w:p>
    <w:bookmarkEnd w:id="4999"/>
    <w:bookmarkStart w:name="z5150" w:id="5000"/>
    <w:p>
      <w:pPr>
        <w:spacing w:after="0"/>
        <w:ind w:left="0"/>
        <w:jc w:val="both"/>
      </w:pPr>
      <w:r>
        <w:rPr>
          <w:rFonts w:ascii="Times New Roman"/>
          <w:b w:val="false"/>
          <w:i w:val="false"/>
          <w:color w:val="000000"/>
          <w:sz w:val="28"/>
        </w:rPr>
        <w:t>
      Относительно МФВА в законодательстве указано, что держатель МФВА не может отличаться от держателя РУ (заявителя) рассматриваемого лекарственного препарата, поэтому отсутствуют основания использования "открытой (закрытой)" частей системы.</w:t>
      </w:r>
    </w:p>
    <w:bookmarkEnd w:id="5000"/>
    <w:bookmarkStart w:name="z5151" w:id="5001"/>
    <w:p>
      <w:pPr>
        <w:spacing w:after="0"/>
        <w:ind w:left="0"/>
        <w:jc w:val="both"/>
      </w:pPr>
      <w:r>
        <w:rPr>
          <w:rFonts w:ascii="Times New Roman"/>
          <w:b w:val="false"/>
          <w:i w:val="false"/>
          <w:color w:val="000000"/>
          <w:sz w:val="28"/>
        </w:rPr>
        <w:t>
      В отношении МФП в законодательстве указано, что если держатель РУ (заявитель) отличаются от держателя МФП, МФП необходимо передать держателю РУ (заявителю) для подачи его в уполномоченный орган государства-члена.</w:t>
      </w:r>
    </w:p>
    <w:bookmarkEnd w:id="5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Дополнение № 6 </w:t>
            </w:r>
          </w:p>
        </w:tc>
      </w:tr>
    </w:tbl>
    <w:bookmarkStart w:name="z5153" w:id="5002"/>
    <w:p>
      <w:pPr>
        <w:spacing w:after="0"/>
        <w:ind w:left="0"/>
        <w:jc w:val="left"/>
      </w:pPr>
      <w:r>
        <w:rPr>
          <w:rFonts w:ascii="Times New Roman"/>
          <w:b/>
          <w:i w:val="false"/>
          <w:color w:val="000000"/>
        </w:rPr>
        <w:t xml:space="preserve"> ОПРЕДЕЛЕНИЯ </w:t>
      </w:r>
    </w:p>
    <w:bookmarkEnd w:id="5002"/>
    <w:bookmarkStart w:name="z5154" w:id="5003"/>
    <w:p>
      <w:pPr>
        <w:spacing w:after="0"/>
        <w:ind w:left="0"/>
        <w:jc w:val="both"/>
      </w:pPr>
      <w:r>
        <w:rPr>
          <w:rFonts w:ascii="Times New Roman"/>
          <w:b w:val="false"/>
          <w:i w:val="false"/>
          <w:color w:val="000000"/>
          <w:sz w:val="28"/>
        </w:rPr>
        <w:t>
      В целях настоящего приложения используются следующие понятия и их определения:</w:t>
      </w:r>
    </w:p>
    <w:bookmarkEnd w:id="5003"/>
    <w:bookmarkStart w:name="z5155" w:id="5004"/>
    <w:p>
      <w:pPr>
        <w:spacing w:after="0"/>
        <w:ind w:left="0"/>
        <w:jc w:val="both"/>
      </w:pPr>
      <w:r>
        <w:rPr>
          <w:rFonts w:ascii="Times New Roman"/>
          <w:b w:val="false"/>
          <w:i w:val="false"/>
          <w:color w:val="000000"/>
          <w:sz w:val="28"/>
        </w:rPr>
        <w:t>
      "производитель активной фармацевтической субстанции" - сторона, входящая в цепь производства активной фармацевтической субстанции, включая дистрибьюторов, переупаковщиков и перемаркировщиков;</w:t>
      </w:r>
    </w:p>
    <w:bookmarkEnd w:id="5004"/>
    <w:bookmarkStart w:name="z5156" w:id="5005"/>
    <w:p>
      <w:pPr>
        <w:spacing w:after="0"/>
        <w:ind w:left="0"/>
        <w:jc w:val="both"/>
      </w:pPr>
      <w:r>
        <w:rPr>
          <w:rFonts w:ascii="Times New Roman"/>
          <w:b w:val="false"/>
          <w:i w:val="false"/>
          <w:color w:val="000000"/>
          <w:sz w:val="28"/>
        </w:rPr>
        <w:t>
      "держатель мастер-файла активной фармацевтической субстанции" - компания, несущая единоличную ответственность за мастер-файл активной фармацевтической субстанции;</w:t>
      </w:r>
    </w:p>
    <w:bookmarkEnd w:id="5005"/>
    <w:bookmarkStart w:name="z5157" w:id="5006"/>
    <w:p>
      <w:pPr>
        <w:spacing w:after="0"/>
        <w:ind w:left="0"/>
        <w:jc w:val="both"/>
      </w:pPr>
      <w:r>
        <w:rPr>
          <w:rFonts w:ascii="Times New Roman"/>
          <w:b w:val="false"/>
          <w:i w:val="false"/>
          <w:color w:val="000000"/>
          <w:sz w:val="28"/>
        </w:rPr>
        <w:t>
      "цепь производства" - последовательность стадий производства, представленная в виде блок-схемы или повествовательного текста, объясняющий путь производства и дистрибуции активной фармацевтической субстанции с первых исходных материалов до готовой активной фармацевтикой субстанции;</w:t>
      </w:r>
    </w:p>
    <w:bookmarkEnd w:id="5006"/>
    <w:bookmarkStart w:name="z5158" w:id="5007"/>
    <w:p>
      <w:pPr>
        <w:spacing w:after="0"/>
        <w:ind w:left="0"/>
        <w:jc w:val="both"/>
      </w:pPr>
      <w:r>
        <w:rPr>
          <w:rFonts w:ascii="Times New Roman"/>
          <w:b w:val="false"/>
          <w:i w:val="false"/>
          <w:color w:val="000000"/>
          <w:sz w:val="28"/>
        </w:rPr>
        <w:t>
      "новая фармацевтическая субстанция" - действующее вещество, которое ранее не было зарегистрировано в государстве-члене (также называемое новая молекулярная структура или новое химическое вещество), которое может представлять собой комплекс, простой эфир или соль ранее зарегистрированной активной фармацевтической субстанции, отличающееся от последней с точки зрения безопасности и эффективности.</w:t>
      </w:r>
    </w:p>
    <w:bookmarkEnd w:id="5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11 с изменениями, внесенными решениями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160" w:id="5008"/>
    <w:p>
      <w:pPr>
        <w:spacing w:after="0"/>
        <w:ind w:left="0"/>
        <w:jc w:val="left"/>
      </w:pPr>
      <w:r>
        <w:rPr>
          <w:rFonts w:ascii="Times New Roman"/>
          <w:b/>
          <w:i w:val="false"/>
          <w:color w:val="000000"/>
        </w:rPr>
        <w:t xml:space="preserve"> ФОРМА ПРЕДВАРИТЕЛЬНОГО СВОДНОГО ОТЧЕТА </w:t>
      </w:r>
    </w:p>
    <w:bookmarkEnd w:id="5008"/>
    <w:bookmarkStart w:name="z5161" w:id="5009"/>
    <w:p>
      <w:pPr>
        <w:spacing w:after="0"/>
        <w:ind w:left="0"/>
        <w:jc w:val="both"/>
      </w:pPr>
      <w:r>
        <w:rPr>
          <w:rFonts w:ascii="Times New Roman"/>
          <w:b w:val="false"/>
          <w:i w:val="false"/>
          <w:color w:val="000000"/>
          <w:sz w:val="28"/>
        </w:rPr>
        <w:t>
      Указания по заполнению: при использовании готовых шаблонов текста они выделены в настоящей форме знаками &lt; &gt; и курсивом; фрагменты шаблонов текста, заполнение которых производится путем ввода определенных вариантов текста по указанному свойству (параметру) приведены в фигурных скобках { } с указанием свойства (параметра) который необходимо внести курсивом.</w:t>
      </w:r>
    </w:p>
    <w:bookmarkEnd w:id="5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163" w:id="5010"/>
    <w:p>
      <w:pPr>
        <w:spacing w:after="0"/>
        <w:ind w:left="0"/>
        <w:jc w:val="left"/>
      </w:pPr>
      <w:r>
        <w:rPr>
          <w:rFonts w:ascii="Times New Roman"/>
          <w:b/>
          <w:i w:val="false"/>
          <w:color w:val="000000"/>
        </w:rPr>
        <w:t xml:space="preserve"> ПРЕДВАРИТЕЛЬНЫЙ СВОДНЫЙ ОТЧЕТ</w:t>
      </w:r>
      <w:r>
        <w:br/>
      </w:r>
      <w:r>
        <w:rPr>
          <w:rFonts w:ascii="Times New Roman"/>
          <w:b/>
          <w:i w:val="false"/>
          <w:color w:val="000000"/>
        </w:rPr>
        <w:t xml:space="preserve">по критической оценке лекарственного препарата </w:t>
      </w:r>
    </w:p>
    <w:bookmarkEnd w:id="5010"/>
    <w:bookmarkStart w:name="z5164" w:id="5011"/>
    <w:p>
      <w:pPr>
        <w:spacing w:after="0"/>
        <w:ind w:left="0"/>
        <w:jc w:val="both"/>
      </w:pPr>
      <w:r>
        <w:rPr>
          <w:rFonts w:ascii="Times New Roman"/>
          <w:b w:val="false"/>
          <w:i w:val="false"/>
          <w:color w:val="000000"/>
          <w:sz w:val="28"/>
        </w:rPr>
        <w:t xml:space="preserve">
      &lt;Торговое наименование&gt; </w:t>
      </w:r>
    </w:p>
    <w:bookmarkEnd w:id="5011"/>
    <w:bookmarkStart w:name="z5165" w:id="5012"/>
    <w:p>
      <w:pPr>
        <w:spacing w:after="0"/>
        <w:ind w:left="0"/>
        <w:jc w:val="both"/>
      </w:pPr>
      <w:r>
        <w:rPr>
          <w:rFonts w:ascii="Times New Roman"/>
          <w:b w:val="false"/>
          <w:i w:val="false"/>
          <w:color w:val="000000"/>
          <w:sz w:val="28"/>
        </w:rPr>
        <w:t xml:space="preserve">
      &lt;(Действующее вещество (вещества))&gt; </w:t>
      </w:r>
    </w:p>
    <w:bookmarkEnd w:id="5012"/>
    <w:bookmarkStart w:name="z5166" w:id="5013"/>
    <w:p>
      <w:pPr>
        <w:spacing w:after="0"/>
        <w:ind w:left="0"/>
        <w:jc w:val="both"/>
      </w:pPr>
      <w:r>
        <w:rPr>
          <w:rFonts w:ascii="Times New Roman"/>
          <w:b w:val="false"/>
          <w:i w:val="false"/>
          <w:color w:val="000000"/>
          <w:sz w:val="28"/>
        </w:rPr>
        <w:t>
      Заявитель: </w:t>
      </w:r>
    </w:p>
    <w:bookmarkEnd w:id="5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5014"/>
          <w:p>
            <w:pPr>
              <w:spacing w:after="20"/>
              <w:ind w:left="20"/>
              <w:jc w:val="both"/>
            </w:pPr>
            <w:r>
              <w:rPr>
                <w:rFonts w:ascii="Times New Roman"/>
                <w:b w:val="false"/>
                <w:i w:val="false"/>
                <w:color w:val="000000"/>
                <w:sz w:val="20"/>
              </w:rPr>
              <w:t xml:space="preserve">
Начало процедуры: </w:t>
            </w:r>
          </w:p>
          <w:bookmarkEnd w:id="5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5015"/>
          <w:p>
            <w:pPr>
              <w:spacing w:after="20"/>
              <w:ind w:left="20"/>
              <w:jc w:val="both"/>
            </w:pPr>
            <w:r>
              <w:rPr>
                <w:rFonts w:ascii="Times New Roman"/>
                <w:b w:val="false"/>
                <w:i w:val="false"/>
                <w:color w:val="000000"/>
                <w:sz w:val="20"/>
              </w:rPr>
              <w:t xml:space="preserve">
Дата подготовки настоящего отчета: </w:t>
            </w:r>
          </w:p>
          <w:bookmarkEnd w:id="5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5016"/>
          <w:p>
            <w:pPr>
              <w:spacing w:after="20"/>
              <w:ind w:left="20"/>
              <w:jc w:val="both"/>
            </w:pPr>
            <w:r>
              <w:rPr>
                <w:rFonts w:ascii="Times New Roman"/>
                <w:b w:val="false"/>
                <w:i w:val="false"/>
                <w:color w:val="000000"/>
                <w:sz w:val="20"/>
              </w:rPr>
              <w:t xml:space="preserve">
Окончательный срок для комментариев: </w:t>
            </w:r>
          </w:p>
          <w:bookmarkEnd w:id="5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0" w:id="5017"/>
    <w:p>
      <w:pPr>
        <w:spacing w:after="0"/>
        <w:ind w:left="0"/>
        <w:jc w:val="both"/>
      </w:pPr>
      <w:r>
        <w:rPr>
          <w:rFonts w:ascii="Times New Roman"/>
          <w:b w:val="false"/>
          <w:i w:val="false"/>
          <w:color w:val="000000"/>
          <w:sz w:val="28"/>
        </w:rPr>
        <w:t>
       </w:t>
      </w:r>
    </w:p>
    <w:bookmarkEnd w:id="5017"/>
    <w:bookmarkStart w:name="z5171" w:id="5018"/>
    <w:p>
      <w:pPr>
        <w:spacing w:after="0"/>
        <w:ind w:left="0"/>
        <w:jc w:val="left"/>
      </w:pPr>
      <w:r>
        <w:rPr>
          <w:rFonts w:ascii="Times New Roman"/>
          <w:b/>
          <w:i w:val="false"/>
          <w:color w:val="000000"/>
        </w:rPr>
        <w:t xml:space="preserve"> I. Административная информация </w:t>
      </w:r>
    </w:p>
    <w:bookmarkEnd w:id="5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5019"/>
          <w:p>
            <w:pPr>
              <w:spacing w:after="20"/>
              <w:ind w:left="20"/>
              <w:jc w:val="both"/>
            </w:pPr>
            <w:r>
              <w:rPr>
                <w:rFonts w:ascii="Times New Roman"/>
                <w:b w:val="false"/>
                <w:i w:val="false"/>
                <w:color w:val="000000"/>
                <w:sz w:val="20"/>
              </w:rPr>
              <w:t xml:space="preserve">
Идентификационный номер заявления на регистрацию: </w:t>
            </w:r>
          </w:p>
          <w:bookmarkEnd w:id="5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5020"/>
          <w:p>
            <w:pPr>
              <w:spacing w:after="20"/>
              <w:ind w:left="20"/>
              <w:jc w:val="both"/>
            </w:pPr>
            <w:r>
              <w:rPr>
                <w:rFonts w:ascii="Times New Roman"/>
                <w:b w:val="false"/>
                <w:i w:val="false"/>
                <w:color w:val="000000"/>
                <w:sz w:val="20"/>
              </w:rPr>
              <w:t xml:space="preserve">
Торговое наименование лекарственного средства: </w:t>
            </w:r>
          </w:p>
          <w:bookmarkEnd w:id="5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5021"/>
          <w:p>
            <w:pPr>
              <w:spacing w:after="20"/>
              <w:ind w:left="20"/>
              <w:jc w:val="both"/>
            </w:pPr>
            <w:r>
              <w:rPr>
                <w:rFonts w:ascii="Times New Roman"/>
                <w:b w:val="false"/>
                <w:i w:val="false"/>
                <w:color w:val="000000"/>
                <w:sz w:val="20"/>
              </w:rPr>
              <w:t xml:space="preserve">
Международное непатентованное наименование (МНН) или общепринятое наименование действующего вещества (веществ): </w:t>
            </w:r>
          </w:p>
          <w:bookmarkEnd w:id="5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5022"/>
          <w:p>
            <w:pPr>
              <w:spacing w:after="20"/>
              <w:ind w:left="20"/>
              <w:jc w:val="both"/>
            </w:pPr>
            <w:r>
              <w:rPr>
                <w:rFonts w:ascii="Times New Roman"/>
                <w:b w:val="false"/>
                <w:i w:val="false"/>
                <w:color w:val="000000"/>
                <w:sz w:val="20"/>
              </w:rPr>
              <w:t xml:space="preserve">
Заявитель: </w:t>
            </w:r>
          </w:p>
          <w:bookmarkEnd w:id="5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5023"/>
          <w:p>
            <w:pPr>
              <w:spacing w:after="20"/>
              <w:ind w:left="20"/>
              <w:jc w:val="both"/>
            </w:pPr>
            <w:r>
              <w:rPr>
                <w:rFonts w:ascii="Times New Roman"/>
                <w:b w:val="false"/>
                <w:i w:val="false"/>
                <w:color w:val="000000"/>
                <w:sz w:val="20"/>
              </w:rPr>
              <w:t xml:space="preserve">
Заявленные показания к применению: </w:t>
            </w:r>
          </w:p>
          <w:bookmarkEnd w:id="5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5024"/>
          <w:p>
            <w:pPr>
              <w:spacing w:after="20"/>
              <w:ind w:left="20"/>
              <w:jc w:val="both"/>
            </w:pPr>
            <w:r>
              <w:rPr>
                <w:rFonts w:ascii="Times New Roman"/>
                <w:b w:val="false"/>
                <w:i w:val="false"/>
                <w:color w:val="000000"/>
                <w:sz w:val="20"/>
              </w:rPr>
              <w:t xml:space="preserve">
Фармакотерапевтическая группа (АТХ-код): </w:t>
            </w:r>
          </w:p>
          <w:bookmarkEnd w:id="5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5025"/>
          <w:p>
            <w:pPr>
              <w:spacing w:after="20"/>
              <w:ind w:left="20"/>
              <w:jc w:val="both"/>
            </w:pPr>
            <w:r>
              <w:rPr>
                <w:rFonts w:ascii="Times New Roman"/>
                <w:b w:val="false"/>
                <w:i w:val="false"/>
                <w:color w:val="000000"/>
                <w:sz w:val="20"/>
              </w:rPr>
              <w:t xml:space="preserve">
Лекарственная форма и дозировка(и): </w:t>
            </w:r>
          </w:p>
          <w:bookmarkEnd w:id="5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5026"/>
          <w:p>
            <w:pPr>
              <w:spacing w:after="20"/>
              <w:ind w:left="20"/>
              <w:jc w:val="both"/>
            </w:pPr>
            <w:r>
              <w:rPr>
                <w:rFonts w:ascii="Times New Roman"/>
                <w:b w:val="false"/>
                <w:i w:val="false"/>
                <w:color w:val="000000"/>
                <w:sz w:val="20"/>
              </w:rPr>
              <w:t xml:space="preserve">
Имена экспертов докладчика (внутренний эксперт и независимый эксперт): </w:t>
            </w:r>
          </w:p>
          <w:bookmarkEnd w:id="5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3:</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5027"/>
          <w:p>
            <w:pPr>
              <w:spacing w:after="20"/>
              <w:ind w:left="20"/>
              <w:jc w:val="both"/>
            </w:pPr>
          </w:p>
          <w:bookmarkEnd w:id="5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4:</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5028"/>
          <w:p>
            <w:pPr>
              <w:spacing w:after="20"/>
              <w:ind w:left="20"/>
              <w:jc w:val="both"/>
            </w:pPr>
          </w:p>
          <w:bookmarkEnd w:id="5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5:</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5029"/>
          <w:p>
            <w:pPr>
              <w:spacing w:after="20"/>
              <w:ind w:left="20"/>
              <w:jc w:val="both"/>
            </w:pPr>
            <w:r>
              <w:rPr>
                <w:rFonts w:ascii="Times New Roman"/>
                <w:b w:val="false"/>
                <w:i w:val="false"/>
                <w:color w:val="000000"/>
                <w:sz w:val="20"/>
              </w:rPr>
              <w:t xml:space="preserve">
&lt;В соответствии с Правилами регистрации и экспертизы лекарственных средств Союза я, эксперт, настоящим заявляю, что я завершил свой экспертный отчет меньше чем в течение 80 дней&gt; </w:t>
            </w:r>
          </w:p>
          <w:bookmarkEnd w:id="5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r>
    </w:tbl>
    <w:bookmarkStart w:name="z5184" w:id="5030"/>
    <w:p>
      <w:pPr>
        <w:spacing w:after="0"/>
        <w:ind w:left="0"/>
        <w:jc w:val="both"/>
      </w:pPr>
      <w:r>
        <w:rPr>
          <w:rFonts w:ascii="Times New Roman"/>
          <w:b w:val="false"/>
          <w:i w:val="false"/>
          <w:color w:val="000000"/>
          <w:sz w:val="28"/>
        </w:rPr>
        <w:t>
      Список сокращений</w:t>
      </w:r>
    </w:p>
    <w:bookmarkEnd w:id="5030"/>
    <w:bookmarkStart w:name="z5185" w:id="5031"/>
    <w:p>
      <w:pPr>
        <w:spacing w:after="0"/>
        <w:ind w:left="0"/>
        <w:jc w:val="both"/>
      </w:pPr>
      <w:r>
        <w:rPr>
          <w:rFonts w:ascii="Times New Roman"/>
          <w:b w:val="false"/>
          <w:i w:val="false"/>
          <w:color w:val="000000"/>
          <w:sz w:val="28"/>
        </w:rPr>
        <w:t>
      ___________________________________________________________________________</w:t>
      </w:r>
    </w:p>
    <w:bookmarkEnd w:id="5031"/>
    <w:bookmarkStart w:name="z5186" w:id="5032"/>
    <w:p>
      <w:pPr>
        <w:spacing w:after="0"/>
        <w:ind w:left="0"/>
        <w:jc w:val="both"/>
      </w:pPr>
      <w:r>
        <w:rPr>
          <w:rFonts w:ascii="Times New Roman"/>
          <w:b w:val="false"/>
          <w:i w:val="false"/>
          <w:color w:val="000000"/>
          <w:sz w:val="28"/>
        </w:rPr>
        <w:t>
      ___________________________________________________________________________</w:t>
      </w:r>
    </w:p>
    <w:bookmarkEnd w:id="5032"/>
    <w:bookmarkStart w:name="z5187" w:id="5033"/>
    <w:p>
      <w:pPr>
        <w:spacing w:after="0"/>
        <w:ind w:left="0"/>
        <w:jc w:val="left"/>
      </w:pPr>
      <w:r>
        <w:rPr>
          <w:rFonts w:ascii="Times New Roman"/>
          <w:b/>
          <w:i w:val="false"/>
          <w:color w:val="000000"/>
        </w:rPr>
        <w:t xml:space="preserve"> Рекомендация </w:t>
      </w:r>
    </w:p>
    <w:bookmarkEnd w:id="5033"/>
    <w:bookmarkStart w:name="z5188" w:id="5034"/>
    <w:p>
      <w:pPr>
        <w:spacing w:after="0"/>
        <w:ind w:left="0"/>
        <w:jc w:val="both"/>
      </w:pPr>
      <w:r>
        <w:rPr>
          <w:rFonts w:ascii="Times New Roman"/>
          <w:b w:val="false"/>
          <w:i w:val="false"/>
          <w:color w:val="000000"/>
          <w:sz w:val="28"/>
        </w:rPr>
        <w:t>
      На основании экспертных обзоров данных модулей регистрационного досье по качеству, безопасности и эффективности, эксперты считают, что заявление на регистрацию &lt;наименование лекарственного препарата&gt;, при лечении &lt;заявленные показания&gt; , &lt;может быть одобрено, при условии, что даны удовлетворительные ответы на предварительный перечень прочих замечаний (Раздел V)&gt; &lt;не заслуживает одобрения, поскольку были определены критические замечания, которые в настоящее время не дают возможности рекомендации для регистрационного удостоверения. Подробная информация этих основных возражений предоставлена в предварительном перечне вопросов (Раздел V)&gt;.</w:t>
      </w:r>
    </w:p>
    <w:bookmarkEnd w:id="5034"/>
    <w:bookmarkStart w:name="z5189" w:id="5035"/>
    <w:p>
      <w:pPr>
        <w:spacing w:after="0"/>
        <w:ind w:left="0"/>
        <w:jc w:val="both"/>
      </w:pPr>
      <w:r>
        <w:rPr>
          <w:rFonts w:ascii="Times New Roman"/>
          <w:b w:val="false"/>
          <w:i w:val="false"/>
          <w:color w:val="000000"/>
          <w:sz w:val="28"/>
        </w:rPr>
        <w:t>
      &lt;Критические замечания, не дающие возможности о рекомендации выдачи регистрационного удостоверения, касаются следующих основных недостатков: &lt;перечислить кратко недостатки из раздела VI заключения&gt;&gt;.</w:t>
      </w:r>
    </w:p>
    <w:bookmarkEnd w:id="5035"/>
    <w:bookmarkStart w:name="z5190" w:id="5036"/>
    <w:p>
      <w:pPr>
        <w:spacing w:after="0"/>
        <w:ind w:left="0"/>
        <w:jc w:val="both"/>
      </w:pPr>
      <w:r>
        <w:rPr>
          <w:rFonts w:ascii="Times New Roman"/>
          <w:b w:val="false"/>
          <w:i w:val="false"/>
          <w:color w:val="000000"/>
          <w:sz w:val="28"/>
        </w:rPr>
        <w:t>
      Вопросы для рассмотрения дополнительными экспертами</w:t>
      </w:r>
    </w:p>
    <w:bookmarkEnd w:id="5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5037"/>
          <w:p>
            <w:pPr>
              <w:spacing w:after="20"/>
              <w:ind w:left="20"/>
              <w:jc w:val="both"/>
            </w:pPr>
            <w:r>
              <w:rPr>
                <w:rFonts w:ascii="Times New Roman"/>
                <w:b w:val="false"/>
                <w:i w:val="false"/>
                <w:color w:val="000000"/>
                <w:sz w:val="20"/>
              </w:rPr>
              <w:t>
Привести перечень вопросов ______________________________________________________________________________________________</w:t>
            </w:r>
          </w:p>
          <w:bookmarkEnd w:id="5037"/>
          <w:p>
            <w:pPr>
              <w:spacing w:after="20"/>
              <w:ind w:left="20"/>
              <w:jc w:val="both"/>
            </w:pPr>
            <w:r>
              <w:rPr>
                <w:rFonts w:ascii="Times New Roman"/>
                <w:b w:val="false"/>
                <w:i w:val="false"/>
                <w:color w:val="000000"/>
                <w:sz w:val="20"/>
              </w:rPr>
              <w:t xml:space="preserve">________________________________________________________________________________________________________________________ </w:t>
            </w:r>
          </w:p>
        </w:tc>
      </w:tr>
    </w:tbl>
    <w:bookmarkStart w:name="z5192" w:id="5038"/>
    <w:p>
      <w:pPr>
        <w:spacing w:after="0"/>
        <w:ind w:left="0"/>
        <w:jc w:val="left"/>
      </w:pPr>
      <w:r>
        <w:rPr>
          <w:rFonts w:ascii="Times New Roman"/>
          <w:b/>
          <w:i w:val="false"/>
          <w:color w:val="000000"/>
        </w:rPr>
        <w:t xml:space="preserve"> Запросы на проведение инспекции </w:t>
      </w:r>
    </w:p>
    <w:bookmarkEnd w:id="5038"/>
    <w:bookmarkStart w:name="z5193" w:id="5039"/>
    <w:p>
      <w:pPr>
        <w:spacing w:after="0"/>
        <w:ind w:left="0"/>
        <w:jc w:val="both"/>
      </w:pPr>
      <w:r>
        <w:rPr>
          <w:rFonts w:ascii="Times New Roman"/>
          <w:b w:val="false"/>
          <w:i w:val="false"/>
          <w:color w:val="000000"/>
          <w:sz w:val="28"/>
        </w:rPr>
        <w:t>
      Инспекция (инспекции) соответствия требованиям Правил надлежащей производственной практики Евразийского экономического союза, утверждаемых Евразийской экономической комиссией (GMP).</w:t>
      </w:r>
    </w:p>
    <w:bookmarkEnd w:id="5039"/>
    <w:bookmarkStart w:name="z5194" w:id="5040"/>
    <w:p>
      <w:pPr>
        <w:spacing w:after="0"/>
        <w:ind w:left="0"/>
        <w:jc w:val="both"/>
      </w:pPr>
      <w:r>
        <w:rPr>
          <w:rFonts w:ascii="Times New Roman"/>
          <w:b w:val="false"/>
          <w:i w:val="false"/>
          <w:color w:val="000000"/>
          <w:sz w:val="28"/>
        </w:rPr>
        <w:t xml:space="preserve">
      [для плановых инспекций GMP] </w:t>
      </w:r>
    </w:p>
    <w:bookmarkEnd w:id="5040"/>
    <w:bookmarkStart w:name="z5195" w:id="5041"/>
    <w:p>
      <w:pPr>
        <w:spacing w:after="0"/>
        <w:ind w:left="0"/>
        <w:jc w:val="both"/>
      </w:pPr>
      <w:r>
        <w:rPr>
          <w:rFonts w:ascii="Times New Roman"/>
          <w:b w:val="false"/>
          <w:i w:val="false"/>
          <w:color w:val="000000"/>
          <w:sz w:val="28"/>
        </w:rPr>
        <w:t xml:space="preserve">
      &lt;Запрос инспекции GMP был сделан для следующих производственных площадок для того, чтобы подтвердить их статус соответствия GMP в связи с истечением срока действия очередного сертификата соответствия площадки. Результат этих инспекций требуется для того, чтобы завершить рассмотрение заявления и потребуется к Дню 181.&gt; </w:t>
      </w:r>
    </w:p>
    <w:bookmarkEnd w:id="5041"/>
    <w:bookmarkStart w:name="z5196" w:id="5042"/>
    <w:p>
      <w:pPr>
        <w:spacing w:after="0"/>
        <w:ind w:left="0"/>
        <w:jc w:val="both"/>
      </w:pPr>
      <w:r>
        <w:rPr>
          <w:rFonts w:ascii="Times New Roman"/>
          <w:b w:val="false"/>
          <w:i w:val="false"/>
          <w:color w:val="000000"/>
          <w:sz w:val="28"/>
        </w:rPr>
        <w:t xml:space="preserve">
      [для инициируемых инспекций GMP] </w:t>
      </w:r>
    </w:p>
    <w:bookmarkEnd w:id="5042"/>
    <w:bookmarkStart w:name="z5197" w:id="5043"/>
    <w:p>
      <w:pPr>
        <w:spacing w:after="0"/>
        <w:ind w:left="0"/>
        <w:jc w:val="both"/>
      </w:pPr>
      <w:r>
        <w:rPr>
          <w:rFonts w:ascii="Times New Roman"/>
          <w:b w:val="false"/>
          <w:i w:val="false"/>
          <w:color w:val="000000"/>
          <w:sz w:val="28"/>
        </w:rPr>
        <w:t xml:space="preserve">
      &lt;Запрос инспекции GMP был сделан для следующих производственных площадок для того, чтобы подтвердить их статус соответствия GMP в соответствии с критериями назначения инспекции, изложенными в Правилах регистрации и экспертизы лекарственных средств для медицинского применения, утверждаемых Евразийской экономической комиссией. Результат этих инспекций требуется для того, чтобы завершить рассмотрение заявления и потребуется к Дню 181.&gt; </w:t>
      </w:r>
    </w:p>
    <w:bookmarkEnd w:id="5043"/>
    <w:bookmarkStart w:name="z5198" w:id="5044"/>
    <w:p>
      <w:pPr>
        <w:spacing w:after="0"/>
        <w:ind w:left="0"/>
        <w:jc w:val="both"/>
      </w:pPr>
      <w:r>
        <w:rPr>
          <w:rFonts w:ascii="Times New Roman"/>
          <w:b w:val="false"/>
          <w:i w:val="false"/>
          <w:color w:val="000000"/>
          <w:sz w:val="28"/>
        </w:rPr>
        <w:t>
      Инспекция (инспекции) соответствия требованиям Правил надлежащей клинической практики Евразийского экономического союза, утверждаемых Евразийской экономической комиссией (GCP).</w:t>
      </w:r>
    </w:p>
    <w:bookmarkEnd w:id="5044"/>
    <w:bookmarkStart w:name="z5199" w:id="5045"/>
    <w:p>
      <w:pPr>
        <w:spacing w:after="0"/>
        <w:ind w:left="0"/>
        <w:jc w:val="both"/>
      </w:pPr>
      <w:r>
        <w:rPr>
          <w:rFonts w:ascii="Times New Roman"/>
          <w:b w:val="false"/>
          <w:i w:val="false"/>
          <w:color w:val="000000"/>
          <w:sz w:val="28"/>
        </w:rPr>
        <w:t xml:space="preserve">
      &lt;Запрос по инспекции GCP был сделан для следующих клинических исследований &lt;указать номера исследований&gt; в соответствии с критериями назначения инспекции, изложенными в Правилах регистрации и экспертизы лекарственных средств для медицинского применения, утверждаемых Евразийской экономической комиссией. Результат настоящей инспекции и удовлетворительные ответы на полученные им данные являются частью ответов на перечень замечаний и будет представлен к Дню 121.&gt; </w:t>
      </w:r>
    </w:p>
    <w:bookmarkEnd w:id="5045"/>
    <w:bookmarkStart w:name="z5200" w:id="5046"/>
    <w:p>
      <w:pPr>
        <w:spacing w:after="0"/>
        <w:ind w:left="0"/>
        <w:jc w:val="both"/>
      </w:pPr>
      <w:r>
        <w:rPr>
          <w:rFonts w:ascii="Times New Roman"/>
          <w:b w:val="false"/>
          <w:i w:val="false"/>
          <w:color w:val="000000"/>
          <w:sz w:val="28"/>
        </w:rPr>
        <w:t xml:space="preserve">
      &lt;Статус нового активного вещества&gt; </w:t>
      </w:r>
    </w:p>
    <w:bookmarkEnd w:id="5046"/>
    <w:bookmarkStart w:name="z5201" w:id="5047"/>
    <w:p>
      <w:pPr>
        <w:spacing w:after="0"/>
        <w:ind w:left="0"/>
        <w:jc w:val="both"/>
      </w:pPr>
      <w:r>
        <w:rPr>
          <w:rFonts w:ascii="Times New Roman"/>
          <w:b w:val="false"/>
          <w:i w:val="false"/>
          <w:color w:val="000000"/>
          <w:sz w:val="28"/>
        </w:rPr>
        <w:t xml:space="preserve">
      На основании обзора данных эксперты считают, что активное вещество &lt;указать наименование активного вещества&gt;, содержащееся в лекарственном препарате &lt;указать наименование лекарственного препарата&gt; </w:t>
      </w:r>
    </w:p>
    <w:bookmarkEnd w:id="5047"/>
    <w:bookmarkStart w:name="z5202" w:id="5048"/>
    <w:p>
      <w:pPr>
        <w:spacing w:after="0"/>
        <w:ind w:left="0"/>
        <w:jc w:val="both"/>
      </w:pPr>
      <w:r>
        <w:rPr>
          <w:rFonts w:ascii="Times New Roman"/>
          <w:b w:val="false"/>
          <w:i w:val="false"/>
          <w:color w:val="000000"/>
          <w:sz w:val="28"/>
        </w:rPr>
        <w:t xml:space="preserve">
      &lt;подлежит проверке на соответствие требованиям как новое активное вещество &lt;само по себе&gt; &lt;в сравнении с известным веществом &lt;указать название одобренного изомера (смеси изомеров, комплекса, производного, соли)&gt; ранее зарегистрированным в Союзе как лекарственное средство, поскольку он значительно отличается по свойствам от ранее зарегистрированного вещества в отношении безопасности и эффективности.&gt; </w:t>
      </w:r>
    </w:p>
    <w:bookmarkEnd w:id="5048"/>
    <w:bookmarkStart w:name="z5203" w:id="5049"/>
    <w:p>
      <w:pPr>
        <w:spacing w:after="0"/>
        <w:ind w:left="0"/>
        <w:jc w:val="both"/>
      </w:pPr>
      <w:r>
        <w:rPr>
          <w:rFonts w:ascii="Times New Roman"/>
          <w:b w:val="false"/>
          <w:i w:val="false"/>
          <w:color w:val="000000"/>
          <w:sz w:val="28"/>
        </w:rPr>
        <w:t xml:space="preserve">
      &lt;может квалифицироваться как новое активное вещество &lt;само по себе&gt; &lt;в сравнении с известным веществом &lt;указать название одобренного изомера (смеси изомеров, комплекса, производного, соли&gt; ранее зарегистрированным в Союзе как лекарственное средство, при условии, что даны удовлетворительные ответы на замечания, которые приведены в Перечне замечаний&gt; </w:t>
      </w:r>
    </w:p>
    <w:bookmarkEnd w:id="5049"/>
    <w:bookmarkStart w:name="z5204" w:id="5050"/>
    <w:p>
      <w:pPr>
        <w:spacing w:after="0"/>
        <w:ind w:left="0"/>
        <w:jc w:val="both"/>
      </w:pPr>
      <w:r>
        <w:rPr>
          <w:rFonts w:ascii="Times New Roman"/>
          <w:b w:val="false"/>
          <w:i w:val="false"/>
          <w:color w:val="000000"/>
          <w:sz w:val="28"/>
        </w:rPr>
        <w:t xml:space="preserve">
      &lt;не квалифицируется как новое активное вещество &lt;само по себе&gt; &lt;в сравнении с известным веществом &lt;указать название одобренного изомера (смеси изомеров, комплекса, производного, соли)&gt; ранее зарегистрированным в Союзе как лекарственное средство, поскольку оно значительно не отличается по свойствам от ранее зарегистрированного вещества в отношении безопасности и эффективности.&gt; Критические замечания, которые не дают возможности для рекомендации регистрации данного вещества, как нового АФС подробно изложены в Перечне замечаний&gt;. </w:t>
      </w:r>
    </w:p>
    <w:bookmarkEnd w:id="5050"/>
    <w:bookmarkStart w:name="z5205" w:id="5051"/>
    <w:p>
      <w:pPr>
        <w:spacing w:after="0"/>
        <w:ind w:left="0"/>
        <w:jc w:val="left"/>
      </w:pPr>
      <w:r>
        <w:rPr>
          <w:rFonts w:ascii="Times New Roman"/>
          <w:b/>
          <w:i w:val="false"/>
          <w:color w:val="000000"/>
        </w:rPr>
        <w:t xml:space="preserve"> II. Сводное резюме </w:t>
      </w:r>
    </w:p>
    <w:bookmarkEnd w:id="5051"/>
    <w:bookmarkStart w:name="z5206" w:id="5052"/>
    <w:p>
      <w:pPr>
        <w:spacing w:after="0"/>
        <w:ind w:left="0"/>
        <w:jc w:val="both"/>
      </w:pPr>
      <w:r>
        <w:rPr>
          <w:rFonts w:ascii="Times New Roman"/>
          <w:b w:val="false"/>
          <w:i w:val="false"/>
          <w:color w:val="000000"/>
          <w:sz w:val="28"/>
        </w:rPr>
        <w:t>
      1. Введение.</w:t>
      </w:r>
    </w:p>
    <w:bookmarkEnd w:id="5052"/>
    <w:bookmarkStart w:name="z5207" w:id="5053"/>
    <w:p>
      <w:pPr>
        <w:spacing w:after="0"/>
        <w:ind w:left="0"/>
        <w:jc w:val="both"/>
      </w:pPr>
      <w:r>
        <w:rPr>
          <w:rFonts w:ascii="Times New Roman"/>
          <w:b w:val="false"/>
          <w:i w:val="false"/>
          <w:color w:val="000000"/>
          <w:sz w:val="28"/>
        </w:rPr>
        <w:t>
      2. Краткое описание лекарственного препарата.</w:t>
      </w:r>
    </w:p>
    <w:bookmarkEnd w:id="5053"/>
    <w:bookmarkStart w:name="z5208" w:id="5054"/>
    <w:p>
      <w:pPr>
        <w:spacing w:after="0"/>
        <w:ind w:left="0"/>
        <w:jc w:val="both"/>
      </w:pPr>
      <w:r>
        <w:rPr>
          <w:rFonts w:ascii="Times New Roman"/>
          <w:b w:val="false"/>
          <w:i w:val="false"/>
          <w:color w:val="000000"/>
          <w:sz w:val="28"/>
        </w:rPr>
        <w:t>
      3. Оценка программы разработки лекарственного препарата, соответствие руководствам по разработке лекарственных препаратов, наличие научной консультации.</w:t>
      </w:r>
    </w:p>
    <w:bookmarkEnd w:id="5054"/>
    <w:bookmarkStart w:name="z5209" w:id="5055"/>
    <w:p>
      <w:pPr>
        <w:spacing w:after="0"/>
        <w:ind w:left="0"/>
        <w:jc w:val="both"/>
      </w:pPr>
      <w:r>
        <w:rPr>
          <w:rFonts w:ascii="Times New Roman"/>
          <w:b w:val="false"/>
          <w:i w:val="false"/>
          <w:color w:val="000000"/>
          <w:sz w:val="28"/>
        </w:rPr>
        <w:t>
      4. Общие комментарии по соблюдению принципов GMP, GLP, GCP.</w:t>
      </w:r>
    </w:p>
    <w:bookmarkEnd w:id="5055"/>
    <w:bookmarkStart w:name="z5210" w:id="5056"/>
    <w:p>
      <w:pPr>
        <w:spacing w:after="0"/>
        <w:ind w:left="0"/>
        <w:jc w:val="both"/>
      </w:pPr>
      <w:r>
        <w:rPr>
          <w:rFonts w:ascii="Times New Roman"/>
          <w:b w:val="false"/>
          <w:i w:val="false"/>
          <w:color w:val="000000"/>
          <w:sz w:val="28"/>
        </w:rPr>
        <w:t>
      5. Тип заявления и другие комментарии по представленному на рассмотрение досье:</w:t>
      </w:r>
    </w:p>
    <w:bookmarkEnd w:id="5056"/>
    <w:bookmarkStart w:name="z5211" w:id="5057"/>
    <w:p>
      <w:pPr>
        <w:spacing w:after="0"/>
        <w:ind w:left="0"/>
        <w:jc w:val="both"/>
      </w:pPr>
      <w:r>
        <w:rPr>
          <w:rFonts w:ascii="Times New Roman"/>
          <w:b w:val="false"/>
          <w:i w:val="false"/>
          <w:color w:val="000000"/>
          <w:sz w:val="28"/>
        </w:rPr>
        <w:t>
      вид нормативно-правовой процедуры регистрации;</w:t>
      </w:r>
    </w:p>
    <w:bookmarkEnd w:id="5057"/>
    <w:bookmarkStart w:name="z5212" w:id="5058"/>
    <w:p>
      <w:pPr>
        <w:spacing w:after="0"/>
        <w:ind w:left="0"/>
        <w:jc w:val="both"/>
      </w:pPr>
      <w:r>
        <w:rPr>
          <w:rFonts w:ascii="Times New Roman"/>
          <w:b w:val="false"/>
          <w:i w:val="false"/>
          <w:color w:val="000000"/>
          <w:sz w:val="28"/>
        </w:rPr>
        <w:t>
      возможность применения особых оснований для регистрационной процедуры;</w:t>
      </w:r>
    </w:p>
    <w:bookmarkEnd w:id="5058"/>
    <w:bookmarkStart w:name="z5213" w:id="5059"/>
    <w:p>
      <w:pPr>
        <w:spacing w:after="0"/>
        <w:ind w:left="0"/>
        <w:jc w:val="both"/>
      </w:pPr>
      <w:r>
        <w:rPr>
          <w:rFonts w:ascii="Times New Roman"/>
          <w:b w:val="false"/>
          <w:i w:val="false"/>
          <w:color w:val="000000"/>
          <w:sz w:val="28"/>
        </w:rPr>
        <w:t>
      применение концепции биоаналога;</w:t>
      </w:r>
    </w:p>
    <w:bookmarkEnd w:id="5059"/>
    <w:bookmarkStart w:name="z5214" w:id="5060"/>
    <w:p>
      <w:pPr>
        <w:spacing w:after="0"/>
        <w:ind w:left="0"/>
        <w:jc w:val="both"/>
      </w:pPr>
      <w:r>
        <w:rPr>
          <w:rFonts w:ascii="Times New Roman"/>
          <w:b w:val="false"/>
          <w:i w:val="false"/>
          <w:color w:val="000000"/>
          <w:sz w:val="28"/>
        </w:rPr>
        <w:t>
      значимость педиатрических исследований.</w:t>
      </w:r>
    </w:p>
    <w:bookmarkEnd w:id="5060"/>
    <w:bookmarkStart w:name="z5215" w:id="5061"/>
    <w:p>
      <w:pPr>
        <w:spacing w:after="0"/>
        <w:ind w:left="0"/>
        <w:jc w:val="left"/>
      </w:pPr>
      <w:r>
        <w:rPr>
          <w:rFonts w:ascii="Times New Roman"/>
          <w:b/>
          <w:i w:val="false"/>
          <w:color w:val="000000"/>
        </w:rPr>
        <w:t xml:space="preserve"> III. Научный обзор и дискуссия </w:t>
      </w:r>
    </w:p>
    <w:bookmarkEnd w:id="5061"/>
    <w:bookmarkStart w:name="z5216" w:id="5062"/>
    <w:p>
      <w:pPr>
        <w:spacing w:after="0"/>
        <w:ind w:left="0"/>
        <w:jc w:val="both"/>
      </w:pPr>
      <w:r>
        <w:rPr>
          <w:rFonts w:ascii="Times New Roman"/>
          <w:b w:val="false"/>
          <w:i w:val="false"/>
          <w:color w:val="000000"/>
          <w:sz w:val="28"/>
        </w:rPr>
        <w:t>
      1.1. Введение.</w:t>
      </w:r>
    </w:p>
    <w:bookmarkEnd w:id="5062"/>
    <w:bookmarkStart w:name="z5217" w:id="5063"/>
    <w:p>
      <w:pPr>
        <w:spacing w:after="0"/>
        <w:ind w:left="0"/>
        <w:jc w:val="both"/>
      </w:pPr>
      <w:r>
        <w:rPr>
          <w:rFonts w:ascii="Times New Roman"/>
          <w:b w:val="false"/>
          <w:i w:val="false"/>
          <w:color w:val="000000"/>
          <w:sz w:val="28"/>
        </w:rPr>
        <w:t>
      1.2. Аспекты качества.</w:t>
      </w:r>
    </w:p>
    <w:bookmarkEnd w:id="5063"/>
    <w:bookmarkStart w:name="z5218" w:id="5064"/>
    <w:p>
      <w:pPr>
        <w:spacing w:after="0"/>
        <w:ind w:left="0"/>
        <w:jc w:val="both"/>
      </w:pPr>
      <w:r>
        <w:rPr>
          <w:rFonts w:ascii="Times New Roman"/>
          <w:b w:val="false"/>
          <w:i w:val="false"/>
          <w:color w:val="000000"/>
          <w:sz w:val="28"/>
        </w:rPr>
        <w:t>
      1.3. Общие вопросы качества.</w:t>
      </w:r>
    </w:p>
    <w:bookmarkEnd w:id="5064"/>
    <w:bookmarkStart w:name="z5219" w:id="5065"/>
    <w:p>
      <w:pPr>
        <w:spacing w:after="0"/>
        <w:ind w:left="0"/>
        <w:jc w:val="both"/>
      </w:pPr>
      <w:r>
        <w:rPr>
          <w:rFonts w:ascii="Times New Roman"/>
          <w:b w:val="false"/>
          <w:i w:val="false"/>
          <w:color w:val="000000"/>
          <w:sz w:val="28"/>
        </w:rPr>
        <w:t>
      1.4. Активная фармацевтическая субстанция (АФС).</w:t>
      </w:r>
    </w:p>
    <w:bookmarkEnd w:id="5065"/>
    <w:bookmarkStart w:name="z5220" w:id="5066"/>
    <w:p>
      <w:pPr>
        <w:spacing w:after="0"/>
        <w:ind w:left="0"/>
        <w:jc w:val="both"/>
      </w:pPr>
      <w:r>
        <w:rPr>
          <w:rFonts w:ascii="Times New Roman"/>
          <w:b w:val="false"/>
          <w:i w:val="false"/>
          <w:color w:val="000000"/>
          <w:sz w:val="28"/>
        </w:rPr>
        <w:t>
      1.4.1. Общая информация.</w:t>
      </w:r>
    </w:p>
    <w:bookmarkEnd w:id="5066"/>
    <w:bookmarkStart w:name="z5221" w:id="5067"/>
    <w:p>
      <w:pPr>
        <w:spacing w:after="0"/>
        <w:ind w:left="0"/>
        <w:jc w:val="both"/>
      </w:pPr>
      <w:r>
        <w:rPr>
          <w:rFonts w:ascii="Times New Roman"/>
          <w:b w:val="false"/>
          <w:i w:val="false"/>
          <w:color w:val="000000"/>
          <w:sz w:val="28"/>
        </w:rPr>
        <w:t>
      1.4.2. Производство, описание свойств и процесс контроля.</w:t>
      </w:r>
    </w:p>
    <w:bookmarkEnd w:id="5067"/>
    <w:bookmarkStart w:name="z5222" w:id="5068"/>
    <w:p>
      <w:pPr>
        <w:spacing w:after="0"/>
        <w:ind w:left="0"/>
        <w:jc w:val="both"/>
      </w:pPr>
      <w:r>
        <w:rPr>
          <w:rFonts w:ascii="Times New Roman"/>
          <w:b w:val="false"/>
          <w:i w:val="false"/>
          <w:color w:val="000000"/>
          <w:sz w:val="28"/>
        </w:rPr>
        <w:t>
      1.4.3. Спецификация.</w:t>
      </w:r>
    </w:p>
    <w:bookmarkEnd w:id="5068"/>
    <w:bookmarkStart w:name="z5223" w:id="5069"/>
    <w:p>
      <w:pPr>
        <w:spacing w:after="0"/>
        <w:ind w:left="0"/>
        <w:jc w:val="both"/>
      </w:pPr>
      <w:r>
        <w:rPr>
          <w:rFonts w:ascii="Times New Roman"/>
          <w:b w:val="false"/>
          <w:i w:val="false"/>
          <w:color w:val="000000"/>
          <w:sz w:val="28"/>
        </w:rPr>
        <w:t>
      1.4.4. Стабильность.</w:t>
      </w:r>
    </w:p>
    <w:bookmarkEnd w:id="5069"/>
    <w:bookmarkStart w:name="z5224" w:id="5070"/>
    <w:p>
      <w:pPr>
        <w:spacing w:after="0"/>
        <w:ind w:left="0"/>
        <w:jc w:val="both"/>
      </w:pPr>
      <w:r>
        <w:rPr>
          <w:rFonts w:ascii="Times New Roman"/>
          <w:b w:val="false"/>
          <w:i w:val="false"/>
          <w:color w:val="000000"/>
          <w:sz w:val="28"/>
        </w:rPr>
        <w:t>
      1.4.5. Исследования сопоставимости для АФС.</w:t>
      </w:r>
    </w:p>
    <w:bookmarkEnd w:id="5070"/>
    <w:bookmarkStart w:name="z5225" w:id="5071"/>
    <w:p>
      <w:pPr>
        <w:spacing w:after="0"/>
        <w:ind w:left="0"/>
        <w:jc w:val="both"/>
      </w:pPr>
      <w:r>
        <w:rPr>
          <w:rFonts w:ascii="Times New Roman"/>
          <w:b w:val="false"/>
          <w:i w:val="false"/>
          <w:color w:val="000000"/>
          <w:sz w:val="28"/>
        </w:rPr>
        <w:t>
      1.5. Лекарственный препарат.</w:t>
      </w:r>
    </w:p>
    <w:bookmarkEnd w:id="5071"/>
    <w:bookmarkStart w:name="z5226" w:id="5072"/>
    <w:p>
      <w:pPr>
        <w:spacing w:after="0"/>
        <w:ind w:left="0"/>
        <w:jc w:val="both"/>
      </w:pPr>
      <w:r>
        <w:rPr>
          <w:rFonts w:ascii="Times New Roman"/>
          <w:b w:val="false"/>
          <w:i w:val="false"/>
          <w:color w:val="000000"/>
          <w:sz w:val="28"/>
        </w:rPr>
        <w:t>
      1.5.1. Описание лекарственного препарата и фармацевтическая разработка.</w:t>
      </w:r>
    </w:p>
    <w:bookmarkEnd w:id="5072"/>
    <w:bookmarkStart w:name="z5227" w:id="5073"/>
    <w:p>
      <w:pPr>
        <w:spacing w:after="0"/>
        <w:ind w:left="0"/>
        <w:jc w:val="both"/>
      </w:pPr>
      <w:r>
        <w:rPr>
          <w:rFonts w:ascii="Times New Roman"/>
          <w:b w:val="false"/>
          <w:i w:val="false"/>
          <w:color w:val="000000"/>
          <w:sz w:val="28"/>
        </w:rPr>
        <w:t>
      1.5.2. Производство лекарственного препарата и процесс контроля.</w:t>
      </w:r>
    </w:p>
    <w:bookmarkEnd w:id="5073"/>
    <w:bookmarkStart w:name="z5228" w:id="5074"/>
    <w:p>
      <w:pPr>
        <w:spacing w:after="0"/>
        <w:ind w:left="0"/>
        <w:jc w:val="both"/>
      </w:pPr>
      <w:r>
        <w:rPr>
          <w:rFonts w:ascii="Times New Roman"/>
          <w:b w:val="false"/>
          <w:i w:val="false"/>
          <w:color w:val="000000"/>
          <w:sz w:val="28"/>
        </w:rPr>
        <w:t>
      1.5.3. Спецификация лекарственного препарата.</w:t>
      </w:r>
    </w:p>
    <w:bookmarkEnd w:id="5074"/>
    <w:bookmarkStart w:name="z5229" w:id="5075"/>
    <w:p>
      <w:pPr>
        <w:spacing w:after="0"/>
        <w:ind w:left="0"/>
        <w:jc w:val="both"/>
      </w:pPr>
      <w:r>
        <w:rPr>
          <w:rFonts w:ascii="Times New Roman"/>
          <w:b w:val="false"/>
          <w:i w:val="false"/>
          <w:color w:val="000000"/>
          <w:sz w:val="28"/>
        </w:rPr>
        <w:t>
      1.5.4. Подтверждение срока годности и условий хранения лекарственного препарата данными по исследованию стабильности.</w:t>
      </w:r>
    </w:p>
    <w:bookmarkEnd w:id="5075"/>
    <w:bookmarkStart w:name="z5230" w:id="5076"/>
    <w:p>
      <w:pPr>
        <w:spacing w:after="0"/>
        <w:ind w:left="0"/>
        <w:jc w:val="both"/>
      </w:pPr>
      <w:r>
        <w:rPr>
          <w:rFonts w:ascii="Times New Roman"/>
          <w:b w:val="false"/>
          <w:i w:val="false"/>
          <w:color w:val="000000"/>
          <w:sz w:val="28"/>
        </w:rPr>
        <w:t>
      1.5.5. Исследования сопоставимости для лекарственного препарата.</w:t>
      </w:r>
    </w:p>
    <w:bookmarkEnd w:id="5076"/>
    <w:bookmarkStart w:name="z5231" w:id="5077"/>
    <w:p>
      <w:pPr>
        <w:spacing w:after="0"/>
        <w:ind w:left="0"/>
        <w:jc w:val="both"/>
      </w:pPr>
      <w:r>
        <w:rPr>
          <w:rFonts w:ascii="Times New Roman"/>
          <w:b w:val="false"/>
          <w:i w:val="false"/>
          <w:color w:val="000000"/>
          <w:sz w:val="28"/>
        </w:rPr>
        <w:t>
      1.5.6. Занесенные агенты.</w:t>
      </w:r>
    </w:p>
    <w:bookmarkEnd w:id="5077"/>
    <w:bookmarkStart w:name="z5232" w:id="5078"/>
    <w:p>
      <w:pPr>
        <w:spacing w:after="0"/>
        <w:ind w:left="0"/>
        <w:jc w:val="both"/>
      </w:pPr>
      <w:r>
        <w:rPr>
          <w:rFonts w:ascii="Times New Roman"/>
          <w:b w:val="false"/>
          <w:i w:val="false"/>
          <w:color w:val="000000"/>
          <w:sz w:val="28"/>
        </w:rPr>
        <w:t>
      1.5.7. ГМО.</w:t>
      </w:r>
    </w:p>
    <w:bookmarkEnd w:id="5078"/>
    <w:bookmarkStart w:name="z5233" w:id="5079"/>
    <w:p>
      <w:pPr>
        <w:spacing w:after="0"/>
        <w:ind w:left="0"/>
        <w:jc w:val="both"/>
      </w:pPr>
      <w:r>
        <w:rPr>
          <w:rFonts w:ascii="Times New Roman"/>
          <w:b w:val="false"/>
          <w:i w:val="false"/>
          <w:color w:val="000000"/>
          <w:sz w:val="28"/>
        </w:rPr>
        <w:t>
      1.6. Обсуждение химических, фармацевтических и биологических аспектов.</w:t>
      </w:r>
    </w:p>
    <w:bookmarkEnd w:id="5079"/>
    <w:bookmarkStart w:name="z5234" w:id="5080"/>
    <w:p>
      <w:pPr>
        <w:spacing w:after="0"/>
        <w:ind w:left="0"/>
        <w:jc w:val="both"/>
      </w:pPr>
      <w:r>
        <w:rPr>
          <w:rFonts w:ascii="Times New Roman"/>
          <w:b w:val="false"/>
          <w:i w:val="false"/>
          <w:color w:val="000000"/>
          <w:sz w:val="28"/>
        </w:rPr>
        <w:t>
      1.7. Заключение по химическим, фармацевтическим и биологическим аспектам.</w:t>
      </w:r>
    </w:p>
    <w:bookmarkEnd w:id="5080"/>
    <w:bookmarkStart w:name="z5235" w:id="5081"/>
    <w:p>
      <w:pPr>
        <w:spacing w:after="0"/>
        <w:ind w:left="0"/>
        <w:jc w:val="both"/>
      </w:pPr>
      <w:r>
        <w:rPr>
          <w:rFonts w:ascii="Times New Roman"/>
          <w:b w:val="false"/>
          <w:i w:val="false"/>
          <w:color w:val="000000"/>
          <w:sz w:val="28"/>
        </w:rPr>
        <w:t>
      1.8. Доклинические аспекты.</w:t>
      </w:r>
    </w:p>
    <w:bookmarkEnd w:id="5081"/>
    <w:bookmarkStart w:name="z5236" w:id="5082"/>
    <w:p>
      <w:pPr>
        <w:spacing w:after="0"/>
        <w:ind w:left="0"/>
        <w:jc w:val="both"/>
      </w:pPr>
      <w:r>
        <w:rPr>
          <w:rFonts w:ascii="Times New Roman"/>
          <w:b w:val="false"/>
          <w:i w:val="false"/>
          <w:color w:val="000000"/>
          <w:sz w:val="28"/>
        </w:rPr>
        <w:t>
      1.9. Фармакология.</w:t>
      </w:r>
    </w:p>
    <w:bookmarkEnd w:id="5082"/>
    <w:bookmarkStart w:name="z5237" w:id="5083"/>
    <w:p>
      <w:pPr>
        <w:spacing w:after="0"/>
        <w:ind w:left="0"/>
        <w:jc w:val="both"/>
      </w:pPr>
      <w:r>
        <w:rPr>
          <w:rFonts w:ascii="Times New Roman"/>
          <w:b w:val="false"/>
          <w:i w:val="false"/>
          <w:color w:val="000000"/>
          <w:sz w:val="28"/>
        </w:rPr>
        <w:t>
      1.10. Фармакокинетика.</w:t>
      </w:r>
    </w:p>
    <w:bookmarkEnd w:id="5083"/>
    <w:bookmarkStart w:name="z5238" w:id="5084"/>
    <w:p>
      <w:pPr>
        <w:spacing w:after="0"/>
        <w:ind w:left="0"/>
        <w:jc w:val="both"/>
      </w:pPr>
      <w:r>
        <w:rPr>
          <w:rFonts w:ascii="Times New Roman"/>
          <w:b w:val="false"/>
          <w:i w:val="false"/>
          <w:color w:val="000000"/>
          <w:sz w:val="28"/>
        </w:rPr>
        <w:t>
      1.11. Токсикология.</w:t>
      </w:r>
    </w:p>
    <w:bookmarkEnd w:id="5084"/>
    <w:bookmarkStart w:name="z5239" w:id="5085"/>
    <w:p>
      <w:pPr>
        <w:spacing w:after="0"/>
        <w:ind w:left="0"/>
        <w:jc w:val="both"/>
      </w:pPr>
      <w:r>
        <w:rPr>
          <w:rFonts w:ascii="Times New Roman"/>
          <w:b w:val="false"/>
          <w:i w:val="false"/>
          <w:color w:val="000000"/>
          <w:sz w:val="28"/>
        </w:rPr>
        <w:t>
      1.12. Дискуссия по доклиническим аспектам.</w:t>
      </w:r>
    </w:p>
    <w:bookmarkEnd w:id="5085"/>
    <w:bookmarkStart w:name="z5240" w:id="5086"/>
    <w:p>
      <w:pPr>
        <w:spacing w:after="0"/>
        <w:ind w:left="0"/>
        <w:jc w:val="both"/>
      </w:pPr>
      <w:r>
        <w:rPr>
          <w:rFonts w:ascii="Times New Roman"/>
          <w:b w:val="false"/>
          <w:i w:val="false"/>
          <w:color w:val="000000"/>
          <w:sz w:val="28"/>
        </w:rPr>
        <w:t>
      1.13. Заключение по доклиническим аспектам.</w:t>
      </w:r>
    </w:p>
    <w:bookmarkEnd w:id="5086"/>
    <w:bookmarkStart w:name="z5241" w:id="5087"/>
    <w:p>
      <w:pPr>
        <w:spacing w:after="0"/>
        <w:ind w:left="0"/>
        <w:jc w:val="both"/>
      </w:pPr>
      <w:r>
        <w:rPr>
          <w:rFonts w:ascii="Times New Roman"/>
          <w:b w:val="false"/>
          <w:i w:val="false"/>
          <w:color w:val="000000"/>
          <w:sz w:val="28"/>
        </w:rPr>
        <w:t>
      1.14. Клинические аспекты.</w:t>
      </w:r>
    </w:p>
    <w:bookmarkEnd w:id="5087"/>
    <w:bookmarkStart w:name="z5242" w:id="5088"/>
    <w:p>
      <w:pPr>
        <w:spacing w:after="0"/>
        <w:ind w:left="0"/>
        <w:jc w:val="both"/>
      </w:pPr>
      <w:r>
        <w:rPr>
          <w:rFonts w:ascii="Times New Roman"/>
          <w:b w:val="false"/>
          <w:i w:val="false"/>
          <w:color w:val="000000"/>
          <w:sz w:val="28"/>
        </w:rPr>
        <w:t>
      Обзор клинических исследований в виде таблицы.</w:t>
      </w:r>
    </w:p>
    <w:bookmarkEnd w:id="5088"/>
    <w:bookmarkStart w:name="z5243" w:id="5089"/>
    <w:p>
      <w:pPr>
        <w:spacing w:after="0"/>
        <w:ind w:left="0"/>
        <w:jc w:val="both"/>
      </w:pPr>
      <w:r>
        <w:rPr>
          <w:rFonts w:ascii="Times New Roman"/>
          <w:b w:val="false"/>
          <w:i w:val="false"/>
          <w:color w:val="000000"/>
          <w:sz w:val="28"/>
        </w:rPr>
        <w:t>
      1.15. Фармакокинетика.</w:t>
      </w:r>
    </w:p>
    <w:bookmarkEnd w:id="5089"/>
    <w:bookmarkStart w:name="z5244" w:id="5090"/>
    <w:p>
      <w:pPr>
        <w:spacing w:after="0"/>
        <w:ind w:left="0"/>
        <w:jc w:val="both"/>
      </w:pPr>
      <w:r>
        <w:rPr>
          <w:rFonts w:ascii="Times New Roman"/>
          <w:b w:val="false"/>
          <w:i w:val="false"/>
          <w:color w:val="000000"/>
          <w:sz w:val="28"/>
        </w:rPr>
        <w:t>
      1.16. Фармакодинамика.</w:t>
      </w:r>
    </w:p>
    <w:bookmarkEnd w:id="5090"/>
    <w:bookmarkStart w:name="z5245" w:id="5091"/>
    <w:p>
      <w:pPr>
        <w:spacing w:after="0"/>
        <w:ind w:left="0"/>
        <w:jc w:val="both"/>
      </w:pPr>
      <w:r>
        <w:rPr>
          <w:rFonts w:ascii="Times New Roman"/>
          <w:b w:val="false"/>
          <w:i w:val="false"/>
          <w:color w:val="000000"/>
          <w:sz w:val="28"/>
        </w:rPr>
        <w:t>
      1.17. Дискуссия по клинической фармакологии.</w:t>
      </w:r>
    </w:p>
    <w:bookmarkEnd w:id="5091"/>
    <w:bookmarkStart w:name="z5246" w:id="5092"/>
    <w:p>
      <w:pPr>
        <w:spacing w:after="0"/>
        <w:ind w:left="0"/>
        <w:jc w:val="both"/>
      </w:pPr>
      <w:r>
        <w:rPr>
          <w:rFonts w:ascii="Times New Roman"/>
          <w:b w:val="false"/>
          <w:i w:val="false"/>
          <w:color w:val="000000"/>
          <w:sz w:val="28"/>
        </w:rPr>
        <w:t>
      1.18. Заключения по клинической фармакологии.</w:t>
      </w:r>
    </w:p>
    <w:bookmarkEnd w:id="5092"/>
    <w:bookmarkStart w:name="z5247" w:id="5093"/>
    <w:p>
      <w:pPr>
        <w:spacing w:after="0"/>
        <w:ind w:left="0"/>
        <w:jc w:val="both"/>
      </w:pPr>
      <w:r>
        <w:rPr>
          <w:rFonts w:ascii="Times New Roman"/>
          <w:b w:val="false"/>
          <w:i w:val="false"/>
          <w:color w:val="000000"/>
          <w:sz w:val="28"/>
        </w:rPr>
        <w:t>
      1.19. Клиническая эффективность:</w:t>
      </w:r>
    </w:p>
    <w:bookmarkEnd w:id="5093"/>
    <w:bookmarkStart w:name="z5248" w:id="5094"/>
    <w:p>
      <w:pPr>
        <w:spacing w:after="0"/>
        <w:ind w:left="0"/>
        <w:jc w:val="both"/>
      </w:pPr>
      <w:r>
        <w:rPr>
          <w:rFonts w:ascii="Times New Roman"/>
          <w:b w:val="false"/>
          <w:i w:val="false"/>
          <w:color w:val="000000"/>
          <w:sz w:val="28"/>
        </w:rPr>
        <w:t>
      Исследования зависимости доза-эффект и основные клинические исследования.</w:t>
      </w:r>
    </w:p>
    <w:bookmarkEnd w:id="5094"/>
    <w:bookmarkStart w:name="z5249" w:id="5095"/>
    <w:p>
      <w:pPr>
        <w:spacing w:after="0"/>
        <w:ind w:left="0"/>
        <w:jc w:val="both"/>
      </w:pPr>
      <w:r>
        <w:rPr>
          <w:rFonts w:ascii="Times New Roman"/>
          <w:b w:val="false"/>
          <w:i w:val="false"/>
          <w:color w:val="000000"/>
          <w:sz w:val="28"/>
        </w:rPr>
        <w:t>
      Краткий обзор основных результатов эффективности.</w:t>
      </w:r>
    </w:p>
    <w:bookmarkEnd w:id="5095"/>
    <w:bookmarkStart w:name="z5250" w:id="5096"/>
    <w:p>
      <w:pPr>
        <w:spacing w:after="0"/>
        <w:ind w:left="0"/>
        <w:jc w:val="both"/>
      </w:pPr>
      <w:r>
        <w:rPr>
          <w:rFonts w:ascii="Times New Roman"/>
          <w:b w:val="false"/>
          <w:i w:val="false"/>
          <w:color w:val="000000"/>
          <w:sz w:val="28"/>
        </w:rPr>
        <w:t>
      В следующих таблицах кратко излагаются результаты эффективности основных исследований, поддерживающих поданное заявление. Эти обобщенные результаты необходимо анализировать совместно с обсуждением клинической эффективности, а также с оценкой польза-риск (смотрите последние разделы).</w:t>
      </w:r>
    </w:p>
    <w:bookmarkEnd w:id="5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{номер} </w:t>
            </w:r>
          </w:p>
        </w:tc>
      </w:tr>
    </w:tbl>
    <w:bookmarkStart w:name="z5252" w:id="5097"/>
    <w:p>
      <w:pPr>
        <w:spacing w:after="0"/>
        <w:ind w:left="0"/>
        <w:jc w:val="left"/>
      </w:pPr>
      <w:r>
        <w:rPr>
          <w:rFonts w:ascii="Times New Roman"/>
          <w:b/>
          <w:i w:val="false"/>
          <w:color w:val="000000"/>
        </w:rPr>
        <w:t xml:space="preserve"> Краткая информация об основных результатах исследования &lt;исследование&gt; эффективности лекарственного препарата </w:t>
      </w:r>
    </w:p>
    <w:bookmarkEnd w:id="5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5098"/>
          <w:p>
            <w:pPr>
              <w:spacing w:after="20"/>
              <w:ind w:left="20"/>
              <w:jc w:val="both"/>
            </w:pPr>
            <w:r>
              <w:rPr>
                <w:rFonts w:ascii="Times New Roman"/>
                <w:b w:val="false"/>
                <w:i w:val="false"/>
                <w:color w:val="000000"/>
                <w:sz w:val="20"/>
              </w:rPr>
              <w:t xml:space="preserve">
Название {как указано в отчете о проведении исследования} </w:t>
            </w:r>
          </w:p>
          <w:bookmarkEnd w:id="5098"/>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5099"/>
          <w:p>
            <w:pPr>
              <w:spacing w:after="20"/>
              <w:ind w:left="20"/>
              <w:jc w:val="both"/>
            </w:pPr>
            <w:r>
              <w:rPr>
                <w:rFonts w:ascii="Times New Roman"/>
                <w:b w:val="false"/>
                <w:i w:val="false"/>
                <w:color w:val="000000"/>
                <w:sz w:val="20"/>
              </w:rPr>
              <w:t xml:space="preserve">
Идентификационный номер исследования </w:t>
            </w:r>
          </w:p>
          <w:bookmarkEnd w:id="50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всех кодов, начинающихся с номера протокола, за которыми следует - при наличии - номер Европейской Базы Данных Клинических Исследований, Международный стандартный номер рандомизированного клинического исследования, и прочие коды для перекрестной ссылки на публикации}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5100"/>
          <w:p>
            <w:pPr>
              <w:spacing w:after="20"/>
              <w:ind w:left="20"/>
              <w:jc w:val="both"/>
            </w:pPr>
            <w:r>
              <w:rPr>
                <w:rFonts w:ascii="Times New Roman"/>
                <w:b w:val="false"/>
                <w:i w:val="false"/>
                <w:color w:val="000000"/>
                <w:sz w:val="20"/>
              </w:rPr>
              <w:t xml:space="preserve">
Дизайн исследования </w:t>
            </w:r>
          </w:p>
          <w:bookmarkEnd w:id="51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&lt;произвольный текст&gt;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{опишите ключевые элементы дизайна исследования (перекрестный, параллельный, факторный, предусматривающий повышение дозы, с анализом эффекта фиксированной дозы) включая исследования с рандомизацией, "ослеплением", маскировкой распределения, одно- (много-)центровые исследования, и т.д.}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xml:space="preserve">основного этапа: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&lt;время&gt;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подготовительной фазы: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&lt;время&gt; &lt;не применимо&gt;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фазы дополнительного лечения: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&lt;время&gt; &lt;не применимо&gt;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5101"/>
          <w:p>
            <w:pPr>
              <w:spacing w:after="20"/>
              <w:ind w:left="20"/>
              <w:jc w:val="both"/>
            </w:pPr>
            <w:r>
              <w:rPr>
                <w:rFonts w:ascii="Times New Roman"/>
                <w:b w:val="false"/>
                <w:i w:val="false"/>
                <w:color w:val="000000"/>
                <w:sz w:val="20"/>
              </w:rPr>
              <w:t xml:space="preserve">
Гипотеза </w:t>
            </w:r>
          </w:p>
          <w:bookmarkEnd w:id="51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&lt;Наличие преимуществ&gt; &lt;Аналогичность&gt; &lt;Не меньшая эффективность&gt; &lt;Обзорная: указать&gt;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5102"/>
          <w:p>
            <w:pPr>
              <w:spacing w:after="20"/>
              <w:ind w:left="20"/>
              <w:jc w:val="both"/>
            </w:pPr>
            <w:r>
              <w:rPr>
                <w:rFonts w:ascii="Times New Roman"/>
                <w:b w:val="false"/>
                <w:i w:val="false"/>
                <w:color w:val="000000"/>
                <w:sz w:val="20"/>
              </w:rPr>
              <w:t xml:space="preserve">
Группы лечения {добавьте строки в количестве, необходимом для описания групп лечения } </w:t>
            </w:r>
          </w:p>
          <w:bookmarkEnd w:id="5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&lt;кодированное обозначение</w:t>
            </w:r>
          </w:p>
          <w:p>
            <w:pPr>
              <w:spacing w:after="20"/>
              <w:ind w:left="20"/>
              <w:jc w:val="both"/>
            </w:pPr>
            <w:r>
              <w:rPr>
                <w:rFonts w:ascii="Times New Roman"/>
                <w:b w:val="false"/>
                <w:i w:val="false"/>
                <w:color w:val="000000"/>
                <w:sz w:val="20"/>
              </w:rPr>
              <w:t xml:space="preserve">группы&gt; {укажите аббревиатуру для дальнейшего использования в таблице раздела с описанием результатов}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&lt;лечение&gt;, &lt;продолжительность&gt;, &lt;количество рандомизированных субъектов&gt;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&lt;кодированное обозначение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&lt;лечение&gt;, &lt;продолжительность&gt;,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&lt;количество рандомизированных субъектов&gt;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&lt;кодированное обозначение группы&gt;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&lt;лечение&gt;, &lt;продолжительность&gt;,</w:t>
            </w:r>
          </w:p>
          <w:p>
            <w:pPr>
              <w:spacing w:after="20"/>
              <w:ind w:left="20"/>
              <w:jc w:val="both"/>
            </w:pPr>
            <w:r>
              <w:rPr>
                <w:rFonts w:ascii="Times New Roman"/>
                <w:b w:val="false"/>
                <w:i w:val="false"/>
                <w:color w:val="000000"/>
                <w:sz w:val="20"/>
              </w:rPr>
              <w:t>&lt;количество рандомизированных</w:t>
            </w:r>
          </w:p>
          <w:p>
            <w:pPr>
              <w:spacing w:after="20"/>
              <w:ind w:left="20"/>
              <w:jc w:val="both"/>
            </w:pPr>
            <w:r>
              <w:rPr>
                <w:rFonts w:ascii="Times New Roman"/>
                <w:b w:val="false"/>
                <w:i w:val="false"/>
                <w:color w:val="000000"/>
                <w:sz w:val="20"/>
              </w:rPr>
              <w:t xml:space="preserve">субъектов&gt;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5103"/>
          <w:p>
            <w:pPr>
              <w:spacing w:after="20"/>
              <w:ind w:left="20"/>
              <w:jc w:val="both"/>
            </w:pPr>
            <w:r>
              <w:rPr>
                <w:rFonts w:ascii="Times New Roman"/>
                <w:b w:val="false"/>
                <w:i w:val="false"/>
                <w:color w:val="000000"/>
                <w:sz w:val="20"/>
              </w:rPr>
              <w:t xml:space="preserve">
Точки клинического исследования {добавьте строки в количестве, необходимом для описания точек клинического исследования; в качестве второстепенных клинических точек укажите наиболее актуальные точки, указанные в разделе с описанием результатов } </w:t>
            </w:r>
          </w:p>
          <w:bookmarkEnd w:id="5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&lt;Комбинированная&gt; </w:t>
            </w:r>
          </w:p>
          <w:p>
            <w:pPr>
              <w:spacing w:after="20"/>
              <w:ind w:left="20"/>
              <w:jc w:val="both"/>
            </w:pPr>
            <w:r>
              <w:rPr>
                <w:rFonts w:ascii="Times New Roman"/>
                <w:b w:val="false"/>
                <w:i w:val="false"/>
                <w:color w:val="000000"/>
                <w:sz w:val="20"/>
              </w:rPr>
              <w:t xml:space="preserve">Первичная точка клинического исследования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&lt;условное обозначение&gt; {укажите аббревиатуру для дальнейшего использования в таблице раздела с описанием результатов}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&lt;произвольный текст&gt; {приведите краткое описание}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&lt;Второстепенная&gt;</w:t>
            </w:r>
          </w:p>
          <w:p>
            <w:pPr>
              <w:spacing w:after="20"/>
              <w:ind w:left="20"/>
              <w:jc w:val="both"/>
            </w:pPr>
            <w:r>
              <w:rPr>
                <w:rFonts w:ascii="Times New Roman"/>
                <w:b w:val="false"/>
                <w:i w:val="false"/>
                <w:color w:val="000000"/>
                <w:sz w:val="20"/>
              </w:rPr>
              <w:t xml:space="preserve">&lt;прочее: укажите&gt; </w:t>
            </w:r>
          </w:p>
          <w:p>
            <w:pPr>
              <w:spacing w:after="20"/>
              <w:ind w:left="20"/>
              <w:jc w:val="both"/>
            </w:pPr>
            <w:r>
              <w:rPr>
                <w:rFonts w:ascii="Times New Roman"/>
                <w:b w:val="false"/>
                <w:i w:val="false"/>
                <w:color w:val="000000"/>
                <w:sz w:val="20"/>
              </w:rPr>
              <w:t xml:space="preserve">точка клинического исследования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&lt;условное обозначение&gt;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&lt;произвольный текст&gt; {приведите краткое описание}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5104"/>
          <w:p>
            <w:pPr>
              <w:spacing w:after="20"/>
              <w:ind w:left="20"/>
              <w:jc w:val="both"/>
            </w:pPr>
          </w:p>
          <w:bookmarkEnd w:id="5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&lt;Второстепенная&gt;</w:t>
            </w:r>
          </w:p>
          <w:p>
            <w:pPr>
              <w:spacing w:after="20"/>
              <w:ind w:left="20"/>
              <w:jc w:val="both"/>
            </w:pPr>
            <w:r>
              <w:rPr>
                <w:rFonts w:ascii="Times New Roman"/>
                <w:b w:val="false"/>
                <w:i w:val="false"/>
                <w:color w:val="000000"/>
                <w:sz w:val="20"/>
              </w:rPr>
              <w:t xml:space="preserve">&lt;прочее: укажите&gt; </w:t>
            </w:r>
          </w:p>
          <w:p>
            <w:pPr>
              <w:spacing w:after="20"/>
              <w:ind w:left="20"/>
              <w:jc w:val="both"/>
            </w:pPr>
            <w:r>
              <w:rPr>
                <w:rFonts w:ascii="Times New Roman"/>
                <w:b w:val="false"/>
                <w:i w:val="false"/>
                <w:color w:val="000000"/>
                <w:sz w:val="20"/>
              </w:rPr>
              <w:t xml:space="preserve">точка клинического исследования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&lt;условное обозначение&gt;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&lt;произвольный текст&gt; {приведите краткое описание}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5105"/>
          <w:p>
            <w:pPr>
              <w:spacing w:after="20"/>
              <w:ind w:left="20"/>
              <w:jc w:val="both"/>
            </w:pPr>
            <w:r>
              <w:rPr>
                <w:rFonts w:ascii="Times New Roman"/>
                <w:b w:val="false"/>
                <w:i w:val="false"/>
                <w:color w:val="000000"/>
                <w:sz w:val="20"/>
              </w:rPr>
              <w:t xml:space="preserve">
Закрытие базы данных </w:t>
            </w:r>
          </w:p>
          <w:bookmarkEnd w:id="51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&lt;дата&gt;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5106"/>
          <w:p>
            <w:pPr>
              <w:spacing w:after="20"/>
              <w:ind w:left="20"/>
              <w:jc w:val="both"/>
            </w:pPr>
            <w:r>
              <w:rPr>
                <w:rFonts w:ascii="Times New Roman"/>
                <w:b w:val="false"/>
                <w:i w:val="false"/>
                <w:color w:val="000000"/>
                <w:sz w:val="20"/>
              </w:rPr>
              <w:t>
Анализы и результаты</w:t>
            </w:r>
          </w:p>
          <w:bookmarkEnd w:id="5106"/>
          <w:p>
            <w:pPr>
              <w:spacing w:after="20"/>
              <w:ind w:left="20"/>
              <w:jc w:val="both"/>
            </w:pPr>
            <w:r>
              <w:rPr>
                <w:rFonts w:ascii="Times New Roman"/>
                <w:b w:val="false"/>
                <w:i w:val="false"/>
                <w:color w:val="000000"/>
                <w:sz w:val="20"/>
              </w:rPr>
              <w:t xml:space="preserve">{представьте отдельно по каждому анализу результат, сочтенный актуальным для включения в отчет об исследовании; в любом случае необходимо представить данные о заранее определенном первичном анализе}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5107"/>
          <w:p>
            <w:pPr>
              <w:spacing w:after="20"/>
              <w:ind w:left="20"/>
              <w:jc w:val="both"/>
            </w:pPr>
            <w:r>
              <w:rPr>
                <w:rFonts w:ascii="Times New Roman"/>
                <w:b w:val="false"/>
                <w:i w:val="false"/>
                <w:color w:val="000000"/>
                <w:sz w:val="20"/>
              </w:rPr>
              <w:t xml:space="preserve">
Описание анализа </w:t>
            </w:r>
          </w:p>
          <w:bookmarkEnd w:id="51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анализ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5108"/>
          <w:p>
            <w:pPr>
              <w:spacing w:after="20"/>
              <w:ind w:left="20"/>
              <w:jc w:val="both"/>
            </w:pPr>
            <w:r>
              <w:rPr>
                <w:rFonts w:ascii="Times New Roman"/>
                <w:b w:val="false"/>
                <w:i w:val="false"/>
                <w:color w:val="000000"/>
                <w:sz w:val="20"/>
              </w:rPr>
              <w:t xml:space="preserve">
Анализируемая группа субъектов и описание временных точек </w:t>
            </w:r>
          </w:p>
          <w:bookmarkEnd w:id="51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&lt;Выборочная совокупность "Начавшие получать лечение"&gt; &lt;пациенты, завершившие участие в исследовании в соответствии с протоколом&gt;</w:t>
            </w:r>
          </w:p>
          <w:p>
            <w:pPr>
              <w:spacing w:after="20"/>
              <w:ind w:left="20"/>
              <w:jc w:val="both"/>
            </w:pPr>
            <w:r>
              <w:rPr>
                <w:rFonts w:ascii="Times New Roman"/>
                <w:b w:val="false"/>
                <w:i w:val="false"/>
                <w:color w:val="000000"/>
                <w:sz w:val="20"/>
              </w:rPr>
              <w:t>&lt;прочее: указать&gt;</w:t>
            </w:r>
          </w:p>
          <w:p>
            <w:pPr>
              <w:spacing w:after="20"/>
              <w:ind w:left="20"/>
              <w:jc w:val="both"/>
            </w:pPr>
            <w:r>
              <w:rPr>
                <w:rFonts w:ascii="Times New Roman"/>
                <w:b w:val="false"/>
                <w:i w:val="false"/>
                <w:color w:val="000000"/>
                <w:sz w:val="20"/>
              </w:rPr>
              <w:t>{может потребоваться включение краткого описания группы населения}</w:t>
            </w:r>
          </w:p>
          <w:p>
            <w:pPr>
              <w:spacing w:after="20"/>
              <w:ind w:left="20"/>
              <w:jc w:val="both"/>
            </w:pPr>
            <w:r>
              <w:rPr>
                <w:rFonts w:ascii="Times New Roman"/>
                <w:b w:val="false"/>
                <w:i w:val="false"/>
                <w:color w:val="000000"/>
                <w:sz w:val="20"/>
              </w:rPr>
              <w:t xml:space="preserve">&lt;временная точка&gt;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5109"/>
          <w:p>
            <w:pPr>
              <w:spacing w:after="20"/>
              <w:ind w:left="20"/>
              <w:jc w:val="both"/>
            </w:pPr>
            <w:r>
              <w:rPr>
                <w:rFonts w:ascii="Times New Roman"/>
                <w:b w:val="false"/>
                <w:i w:val="false"/>
                <w:color w:val="000000"/>
                <w:sz w:val="20"/>
              </w:rPr>
              <w:t xml:space="preserve">
Описательная статистика и оценочная вариативность </w:t>
            </w:r>
          </w:p>
          <w:bookmarkEnd w:id="5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лечения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&lt;кодированное обозначение группы&gt; {согласно приведенной выше терминологии}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&lt;кодированное обозначение группы&gt; {согласно приведенной выше терминологии}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&lt;кодированное обозначение группы&gt; {согласно приведенной выше терминологии}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5110"/>
          <w:p>
            <w:pPr>
              <w:spacing w:after="20"/>
              <w:ind w:left="20"/>
              <w:jc w:val="both"/>
            </w:pPr>
          </w:p>
          <w:bookmarkEnd w:id="5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субъектов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&lt;n&gt;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&lt;n&gt;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&lt;n&gt;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&lt;точка клинического исследования&gt;</w:t>
            </w:r>
          </w:p>
          <w:p>
            <w:pPr>
              <w:spacing w:after="20"/>
              <w:ind w:left="20"/>
              <w:jc w:val="both"/>
            </w:pPr>
            <w:r>
              <w:rPr>
                <w:rFonts w:ascii="Times New Roman"/>
                <w:b w:val="false"/>
                <w:i w:val="false"/>
                <w:color w:val="000000"/>
                <w:sz w:val="20"/>
              </w:rPr>
              <w:t>{условное обозначение, как указано выше}</w:t>
            </w:r>
          </w:p>
          <w:p>
            <w:pPr>
              <w:spacing w:after="20"/>
              <w:ind w:left="20"/>
              <w:jc w:val="both"/>
            </w:pPr>
            <w:r>
              <w:rPr>
                <w:rFonts w:ascii="Times New Roman"/>
                <w:b w:val="false"/>
                <w:i w:val="false"/>
                <w:color w:val="000000"/>
                <w:sz w:val="20"/>
              </w:rPr>
              <w:t xml:space="preserve">(&lt;статистика&gt;) {напр., среднее, медианное значение выборки, и т.д.}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&lt;статистика вариаций&gt;</w:t>
            </w:r>
          </w:p>
          <w:p>
            <w:pPr>
              <w:spacing w:after="20"/>
              <w:ind w:left="20"/>
              <w:jc w:val="both"/>
            </w:pPr>
            <w:r>
              <w:rPr>
                <w:rFonts w:ascii="Times New Roman"/>
                <w:b w:val="false"/>
                <w:i w:val="false"/>
                <w:color w:val="000000"/>
                <w:sz w:val="20"/>
              </w:rPr>
              <w:t xml:space="preserve">{напр., стандартное отклонение, доверительный интервал, и т.д.}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&lt;точка клинического исследования&gt;</w:t>
            </w:r>
          </w:p>
          <w:p>
            <w:pPr>
              <w:spacing w:after="20"/>
              <w:ind w:left="20"/>
              <w:jc w:val="both"/>
            </w:pPr>
            <w:r>
              <w:rPr>
                <w:rFonts w:ascii="Times New Roman"/>
                <w:b w:val="false"/>
                <w:i w:val="false"/>
                <w:color w:val="000000"/>
                <w:sz w:val="20"/>
              </w:rPr>
              <w:t xml:space="preserve">(&lt;статистика&gt;)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&lt;статистика вариаций&gt;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&lt;точка клинического исследования&gt;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(&lt;статистика&gt;)</w:t>
            </w:r>
          </w:p>
          <w:p>
            <w:pPr>
              <w:spacing w:after="20"/>
              <w:ind w:left="20"/>
              <w:jc w:val="both"/>
            </w:pPr>
            <w:r>
              <w:rPr>
                <w:rFonts w:ascii="Times New Roman"/>
                <w:b w:val="false"/>
                <w:i w:val="false"/>
                <w:color w:val="000000"/>
                <w:sz w:val="20"/>
              </w:rPr>
              <w:t xml:space="preserve">&lt;статистика вариаций&gt;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5111"/>
          <w:p>
            <w:pPr>
              <w:spacing w:after="20"/>
              <w:ind w:left="20"/>
              <w:jc w:val="both"/>
            </w:pPr>
            <w:r>
              <w:rPr>
                <w:rFonts w:ascii="Times New Roman"/>
                <w:b w:val="false"/>
                <w:i w:val="false"/>
                <w:color w:val="000000"/>
                <w:sz w:val="20"/>
              </w:rPr>
              <w:t xml:space="preserve">
Оценка эффекта при сравнении {добавьте строки в количестве, необходимом для описания фактически выполненного статистического анализа} </w:t>
            </w:r>
          </w:p>
          <w:bookmarkEnd w:id="511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&lt;Комбинированная&gt; Первичная точка клинического исследования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сравнения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&lt;кодированное обозначение группы&gt; {согласно приведенной выше терминологии}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&lt;критерий значимости&gt; {напр., разница между группами}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&lt;статистика вариаций&gt; {напр., доверительный интервал и т.д.}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P {укажите использованное статистический метод, напр., ANOVA}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&lt;значение P&gt;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&lt;&lt;Комбинированная&gt;</w:t>
            </w:r>
          </w:p>
          <w:p>
            <w:pPr>
              <w:spacing w:after="20"/>
              <w:ind w:left="20"/>
              <w:jc w:val="both"/>
            </w:pPr>
            <w:r>
              <w:rPr>
                <w:rFonts w:ascii="Times New Roman"/>
                <w:b w:val="false"/>
                <w:i w:val="false"/>
                <w:color w:val="000000"/>
                <w:sz w:val="20"/>
              </w:rPr>
              <w:t>Первичная&gt; &lt;Второстепенная&gt;</w:t>
            </w:r>
          </w:p>
          <w:p>
            <w:pPr>
              <w:spacing w:after="20"/>
              <w:ind w:left="20"/>
              <w:jc w:val="both"/>
            </w:pPr>
            <w:r>
              <w:rPr>
                <w:rFonts w:ascii="Times New Roman"/>
                <w:b w:val="false"/>
                <w:i w:val="false"/>
                <w:color w:val="000000"/>
                <w:sz w:val="20"/>
              </w:rPr>
              <w:t xml:space="preserve">&lt; прочее: укажите&gt; </w:t>
            </w:r>
          </w:p>
          <w:p>
            <w:pPr>
              <w:spacing w:after="20"/>
              <w:ind w:left="20"/>
              <w:jc w:val="both"/>
            </w:pPr>
            <w:r>
              <w:rPr>
                <w:rFonts w:ascii="Times New Roman"/>
                <w:b w:val="false"/>
                <w:i w:val="false"/>
                <w:color w:val="000000"/>
                <w:sz w:val="20"/>
              </w:rPr>
              <w:t xml:space="preserve">точка клинического исследования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сравнения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&lt;кодированное обозначение группы&gt;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&lt;критерий значимости&gt;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&lt;точечное оценивание&gt;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&lt;статистика вариаций&gt;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&lt;вариативность&gt;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5112"/>
          <w:p>
            <w:pPr>
              <w:spacing w:after="20"/>
              <w:ind w:left="20"/>
              <w:jc w:val="both"/>
            </w:pPr>
          </w:p>
          <w:bookmarkEnd w:id="5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точку клинического исследования, пользуясь терминологией, указанной выше в разделе "Точки клинического исследования и определения"}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&lt;Значение P&gt;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&lt;Значение P&gt;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5113"/>
          <w:p>
            <w:pPr>
              <w:spacing w:after="20"/>
              <w:ind w:left="20"/>
              <w:jc w:val="both"/>
            </w:pPr>
          </w:p>
          <w:bookmarkEnd w:id="51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&lt;&lt;Комбинированная&gt;</w:t>
            </w:r>
          </w:p>
          <w:p>
            <w:pPr>
              <w:spacing w:after="20"/>
              <w:ind w:left="20"/>
              <w:jc w:val="both"/>
            </w:pPr>
            <w:r>
              <w:rPr>
                <w:rFonts w:ascii="Times New Roman"/>
                <w:b w:val="false"/>
                <w:i w:val="false"/>
                <w:color w:val="000000"/>
                <w:sz w:val="20"/>
              </w:rPr>
              <w:t>Первичная&gt;</w:t>
            </w:r>
          </w:p>
          <w:p>
            <w:pPr>
              <w:spacing w:after="20"/>
              <w:ind w:left="20"/>
              <w:jc w:val="both"/>
            </w:pPr>
            <w:r>
              <w:rPr>
                <w:rFonts w:ascii="Times New Roman"/>
                <w:b w:val="false"/>
                <w:i w:val="false"/>
                <w:color w:val="000000"/>
                <w:sz w:val="20"/>
              </w:rPr>
              <w:t>&lt;Второстепенная&gt;</w:t>
            </w:r>
          </w:p>
          <w:p>
            <w:pPr>
              <w:spacing w:after="20"/>
              <w:ind w:left="20"/>
              <w:jc w:val="both"/>
            </w:pPr>
            <w:r>
              <w:rPr>
                <w:rFonts w:ascii="Times New Roman"/>
                <w:b w:val="false"/>
                <w:i w:val="false"/>
                <w:color w:val="000000"/>
                <w:sz w:val="20"/>
              </w:rPr>
              <w:t xml:space="preserve">&lt; прочее: укажите&gt; </w:t>
            </w:r>
          </w:p>
          <w:p>
            <w:pPr>
              <w:spacing w:after="20"/>
              <w:ind w:left="20"/>
              <w:jc w:val="both"/>
            </w:pPr>
            <w:r>
              <w:rPr>
                <w:rFonts w:ascii="Times New Roman"/>
                <w:b w:val="false"/>
                <w:i w:val="false"/>
                <w:color w:val="000000"/>
                <w:sz w:val="20"/>
              </w:rPr>
              <w:t xml:space="preserve">точка клинического исследования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сравнения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&lt;кодированное обозначение группы&gt;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&lt;критерий значимости&gt;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&lt;критерий значимости&gt;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&lt;статистика вариаций&gt;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&lt;статистика вариаций&gt;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&lt;Значение P&gt;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&lt;Значение P&gt;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5114"/>
          <w:p>
            <w:pPr>
              <w:spacing w:after="20"/>
              <w:ind w:left="20"/>
              <w:jc w:val="both"/>
            </w:pPr>
            <w:r>
              <w:rPr>
                <w:rFonts w:ascii="Times New Roman"/>
                <w:b w:val="false"/>
                <w:i w:val="false"/>
                <w:color w:val="000000"/>
                <w:sz w:val="20"/>
              </w:rPr>
              <w:t xml:space="preserve">
Примечания </w:t>
            </w:r>
          </w:p>
          <w:bookmarkEnd w:id="51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&lt;произвольный текст&gt;</w:t>
            </w:r>
          </w:p>
          <w:p>
            <w:pPr>
              <w:spacing w:after="20"/>
              <w:ind w:left="20"/>
              <w:jc w:val="both"/>
            </w:pPr>
            <w:r>
              <w:rPr>
                <w:rFonts w:ascii="Times New Roman"/>
                <w:b w:val="false"/>
                <w:i w:val="false"/>
                <w:color w:val="000000"/>
                <w:sz w:val="20"/>
              </w:rPr>
              <w:t>{помимо прочего рассмотрите следующую информацию:</w:t>
            </w:r>
          </w:p>
          <w:p>
            <w:pPr>
              <w:spacing w:after="20"/>
              <w:ind w:left="20"/>
              <w:jc w:val="both"/>
            </w:pPr>
            <w:r>
              <w:rPr>
                <w:rFonts w:ascii="Times New Roman"/>
                <w:b w:val="false"/>
                <w:i w:val="false"/>
                <w:color w:val="000000"/>
                <w:sz w:val="20"/>
              </w:rPr>
              <w:t xml:space="preserve">причины выхода из исследования критически важные результаты анализа}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5115"/>
          <w:p>
            <w:pPr>
              <w:spacing w:after="20"/>
              <w:ind w:left="20"/>
              <w:jc w:val="both"/>
            </w:pPr>
            <w:r>
              <w:rPr>
                <w:rFonts w:ascii="Times New Roman"/>
                <w:b w:val="false"/>
                <w:i w:val="false"/>
                <w:color w:val="000000"/>
                <w:sz w:val="20"/>
              </w:rPr>
              <w:t xml:space="preserve">
Описание анализа </w:t>
            </w:r>
          </w:p>
          <w:bookmarkEnd w:id="51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&lt;дополнительный анализ&gt;</w:t>
            </w:r>
          </w:p>
          <w:p>
            <w:pPr>
              <w:spacing w:after="20"/>
              <w:ind w:left="20"/>
              <w:jc w:val="both"/>
            </w:pPr>
            <w:r>
              <w:rPr>
                <w:rFonts w:ascii="Times New Roman"/>
                <w:b w:val="false"/>
                <w:i w:val="false"/>
                <w:color w:val="000000"/>
                <w:sz w:val="20"/>
              </w:rPr>
              <w:t>&lt;комбинированный первичный анализ&gt;, &lt;прочее, указать:&gt;</w:t>
            </w:r>
          </w:p>
          <w:p>
            <w:pPr>
              <w:spacing w:after="20"/>
              <w:ind w:left="20"/>
              <w:jc w:val="both"/>
            </w:pPr>
            <w:r>
              <w:rPr>
                <w:rFonts w:ascii="Times New Roman"/>
                <w:b w:val="false"/>
                <w:i w:val="false"/>
                <w:color w:val="000000"/>
                <w:sz w:val="20"/>
              </w:rPr>
              <w:t xml:space="preserve">{также укажите, если проведение анализа было запланировано}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5116"/>
          <w:p>
            <w:pPr>
              <w:spacing w:after="20"/>
              <w:ind w:left="20"/>
              <w:jc w:val="both"/>
            </w:pPr>
            <w:r>
              <w:rPr>
                <w:rFonts w:ascii="Times New Roman"/>
                <w:b w:val="false"/>
                <w:i w:val="false"/>
                <w:color w:val="000000"/>
                <w:sz w:val="20"/>
              </w:rPr>
              <w:t xml:space="preserve">
{повторите вышеуказанные разделы в отношении каждого актуального анализа} </w:t>
            </w:r>
          </w:p>
          <w:bookmarkEnd w:id="51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6" w:id="5117"/>
    <w:p>
      <w:pPr>
        <w:spacing w:after="0"/>
        <w:ind w:left="0"/>
        <w:jc w:val="both"/>
      </w:pPr>
      <w:r>
        <w:rPr>
          <w:rFonts w:ascii="Times New Roman"/>
          <w:b w:val="false"/>
          <w:i w:val="false"/>
          <w:color w:val="000000"/>
          <w:sz w:val="28"/>
        </w:rPr>
        <w:t>
      Клинические исследования у особых групп населения.</w:t>
      </w:r>
    </w:p>
    <w:bookmarkEnd w:id="5117"/>
    <w:bookmarkStart w:name="z5297" w:id="5118"/>
    <w:p>
      <w:pPr>
        <w:spacing w:after="0"/>
        <w:ind w:left="0"/>
        <w:jc w:val="both"/>
      </w:pPr>
      <w:r>
        <w:rPr>
          <w:rFonts w:ascii="Times New Roman"/>
          <w:b w:val="false"/>
          <w:i w:val="false"/>
          <w:color w:val="000000"/>
          <w:sz w:val="28"/>
        </w:rPr>
        <w:t>
      Анализ, выполненный по всем исследованиям (обобщенные анализы и мета-анализ).</w:t>
      </w:r>
    </w:p>
    <w:bookmarkEnd w:id="5118"/>
    <w:bookmarkStart w:name="z5298" w:id="5119"/>
    <w:p>
      <w:pPr>
        <w:spacing w:after="0"/>
        <w:ind w:left="0"/>
        <w:jc w:val="both"/>
      </w:pPr>
      <w:r>
        <w:rPr>
          <w:rFonts w:ascii="Times New Roman"/>
          <w:b w:val="false"/>
          <w:i w:val="false"/>
          <w:color w:val="000000"/>
          <w:sz w:val="28"/>
        </w:rPr>
        <w:t>
      Поддерживающее исследование.</w:t>
      </w:r>
    </w:p>
    <w:bookmarkEnd w:id="5119"/>
    <w:bookmarkStart w:name="z5299" w:id="5120"/>
    <w:p>
      <w:pPr>
        <w:spacing w:after="0"/>
        <w:ind w:left="0"/>
        <w:jc w:val="both"/>
      </w:pPr>
      <w:r>
        <w:rPr>
          <w:rFonts w:ascii="Times New Roman"/>
          <w:b w:val="false"/>
          <w:i w:val="false"/>
          <w:color w:val="000000"/>
          <w:sz w:val="28"/>
        </w:rPr>
        <w:t>
      1.20. Анализ клинической эффективности.</w:t>
      </w:r>
    </w:p>
    <w:bookmarkEnd w:id="5120"/>
    <w:bookmarkStart w:name="z5300" w:id="5121"/>
    <w:p>
      <w:pPr>
        <w:spacing w:after="0"/>
        <w:ind w:left="0"/>
        <w:jc w:val="both"/>
      </w:pPr>
      <w:r>
        <w:rPr>
          <w:rFonts w:ascii="Times New Roman"/>
          <w:b w:val="false"/>
          <w:i w:val="false"/>
          <w:color w:val="000000"/>
          <w:sz w:val="28"/>
        </w:rPr>
        <w:t>
      Дизайн и проведение клинических исследований.</w:t>
      </w:r>
    </w:p>
    <w:bookmarkEnd w:id="5121"/>
    <w:bookmarkStart w:name="z5301" w:id="5122"/>
    <w:p>
      <w:pPr>
        <w:spacing w:after="0"/>
        <w:ind w:left="0"/>
        <w:jc w:val="both"/>
      </w:pPr>
      <w:r>
        <w:rPr>
          <w:rFonts w:ascii="Times New Roman"/>
          <w:b w:val="false"/>
          <w:i w:val="false"/>
          <w:color w:val="000000"/>
          <w:sz w:val="28"/>
        </w:rPr>
        <w:t>
      Данные эффективности и дополнительные анализы.</w:t>
      </w:r>
    </w:p>
    <w:bookmarkEnd w:id="5122"/>
    <w:bookmarkStart w:name="z5302" w:id="5123"/>
    <w:p>
      <w:pPr>
        <w:spacing w:after="0"/>
        <w:ind w:left="0"/>
        <w:jc w:val="both"/>
      </w:pPr>
      <w:r>
        <w:rPr>
          <w:rFonts w:ascii="Times New Roman"/>
          <w:b w:val="false"/>
          <w:i w:val="false"/>
          <w:color w:val="000000"/>
          <w:sz w:val="28"/>
        </w:rPr>
        <w:t>
      1.21. Заключение по клинической эффективности.</w:t>
      </w:r>
    </w:p>
    <w:bookmarkEnd w:id="5123"/>
    <w:bookmarkStart w:name="z5303" w:id="5124"/>
    <w:p>
      <w:pPr>
        <w:spacing w:after="0"/>
        <w:ind w:left="0"/>
        <w:jc w:val="both"/>
      </w:pPr>
      <w:r>
        <w:rPr>
          <w:rFonts w:ascii="Times New Roman"/>
          <w:b w:val="false"/>
          <w:i w:val="false"/>
          <w:color w:val="000000"/>
          <w:sz w:val="28"/>
        </w:rPr>
        <w:t>
      1.22. Клиническая безопасность.</w:t>
      </w:r>
    </w:p>
    <w:bookmarkEnd w:id="5124"/>
    <w:bookmarkStart w:name="z5304" w:id="5125"/>
    <w:p>
      <w:pPr>
        <w:spacing w:after="0"/>
        <w:ind w:left="0"/>
        <w:jc w:val="both"/>
      </w:pPr>
      <w:r>
        <w:rPr>
          <w:rFonts w:ascii="Times New Roman"/>
          <w:b w:val="false"/>
          <w:i w:val="false"/>
          <w:color w:val="000000"/>
          <w:sz w:val="28"/>
        </w:rPr>
        <w:t>
      Воздействие на пациентов.</w:t>
      </w:r>
    </w:p>
    <w:bookmarkEnd w:id="5125"/>
    <w:bookmarkStart w:name="z5305" w:id="5126"/>
    <w:p>
      <w:pPr>
        <w:spacing w:after="0"/>
        <w:ind w:left="0"/>
        <w:jc w:val="both"/>
      </w:pPr>
      <w:r>
        <w:rPr>
          <w:rFonts w:ascii="Times New Roman"/>
          <w:b w:val="false"/>
          <w:i w:val="false"/>
          <w:color w:val="000000"/>
          <w:sz w:val="28"/>
        </w:rPr>
        <w:t>
      Нежелательные явления.</w:t>
      </w:r>
    </w:p>
    <w:bookmarkEnd w:id="5126"/>
    <w:bookmarkStart w:name="z5306" w:id="5127"/>
    <w:p>
      <w:pPr>
        <w:spacing w:after="0"/>
        <w:ind w:left="0"/>
        <w:jc w:val="both"/>
      </w:pPr>
      <w:r>
        <w:rPr>
          <w:rFonts w:ascii="Times New Roman"/>
          <w:b w:val="false"/>
          <w:i w:val="false"/>
          <w:color w:val="000000"/>
          <w:sz w:val="28"/>
        </w:rPr>
        <w:t>
      Серьезные нежелательные явления и случаи смерти.</w:t>
      </w:r>
    </w:p>
    <w:bookmarkEnd w:id="5127"/>
    <w:bookmarkStart w:name="z5307" w:id="5128"/>
    <w:p>
      <w:pPr>
        <w:spacing w:after="0"/>
        <w:ind w:left="0"/>
        <w:jc w:val="both"/>
      </w:pPr>
      <w:r>
        <w:rPr>
          <w:rFonts w:ascii="Times New Roman"/>
          <w:b w:val="false"/>
          <w:i w:val="false"/>
          <w:color w:val="000000"/>
          <w:sz w:val="28"/>
        </w:rPr>
        <w:t>
      Данные лабораторных исследований.</w:t>
      </w:r>
    </w:p>
    <w:bookmarkEnd w:id="5128"/>
    <w:bookmarkStart w:name="z5308" w:id="5129"/>
    <w:p>
      <w:pPr>
        <w:spacing w:after="0"/>
        <w:ind w:left="0"/>
        <w:jc w:val="both"/>
      </w:pPr>
      <w:r>
        <w:rPr>
          <w:rFonts w:ascii="Times New Roman"/>
          <w:b w:val="false"/>
          <w:i w:val="false"/>
          <w:color w:val="000000"/>
          <w:sz w:val="28"/>
        </w:rPr>
        <w:t>
      Безопасность у особых групп населения.</w:t>
      </w:r>
    </w:p>
    <w:bookmarkEnd w:id="5129"/>
    <w:bookmarkStart w:name="z5309" w:id="5130"/>
    <w:p>
      <w:pPr>
        <w:spacing w:after="0"/>
        <w:ind w:left="0"/>
        <w:jc w:val="both"/>
      </w:pPr>
      <w:r>
        <w:rPr>
          <w:rFonts w:ascii="Times New Roman"/>
          <w:b w:val="false"/>
          <w:i w:val="false"/>
          <w:color w:val="000000"/>
          <w:sz w:val="28"/>
        </w:rPr>
        <w:t>
      Иммунологические явления.</w:t>
      </w:r>
    </w:p>
    <w:bookmarkEnd w:id="5130"/>
    <w:bookmarkStart w:name="z5310" w:id="5131"/>
    <w:p>
      <w:pPr>
        <w:spacing w:after="0"/>
        <w:ind w:left="0"/>
        <w:jc w:val="both"/>
      </w:pPr>
      <w:r>
        <w:rPr>
          <w:rFonts w:ascii="Times New Roman"/>
          <w:b w:val="false"/>
          <w:i w:val="false"/>
          <w:color w:val="000000"/>
          <w:sz w:val="28"/>
        </w:rPr>
        <w:t>
      Безопасность, связанная с межлекарственными взаимодействиями и другими взаимодействиями.</w:t>
      </w:r>
    </w:p>
    <w:bookmarkEnd w:id="5131"/>
    <w:bookmarkStart w:name="z5311" w:id="5132"/>
    <w:p>
      <w:pPr>
        <w:spacing w:after="0"/>
        <w:ind w:left="0"/>
        <w:jc w:val="both"/>
      </w:pPr>
      <w:r>
        <w:rPr>
          <w:rFonts w:ascii="Times New Roman"/>
          <w:b w:val="false"/>
          <w:i w:val="false"/>
          <w:color w:val="000000"/>
          <w:sz w:val="28"/>
        </w:rPr>
        <w:t>
      Прекращение участия в исследовании по причине серьезных нежелательных явлений.</w:t>
      </w:r>
    </w:p>
    <w:bookmarkEnd w:id="5132"/>
    <w:bookmarkStart w:name="z5312" w:id="5133"/>
    <w:p>
      <w:pPr>
        <w:spacing w:after="0"/>
        <w:ind w:left="0"/>
        <w:jc w:val="both"/>
      </w:pPr>
      <w:r>
        <w:rPr>
          <w:rFonts w:ascii="Times New Roman"/>
          <w:b w:val="false"/>
          <w:i w:val="false"/>
          <w:color w:val="000000"/>
          <w:sz w:val="28"/>
        </w:rPr>
        <w:t>
      1.23. Дискуссия по клинической безопасности.</w:t>
      </w:r>
    </w:p>
    <w:bookmarkEnd w:id="5133"/>
    <w:bookmarkStart w:name="z5313" w:id="5134"/>
    <w:p>
      <w:pPr>
        <w:spacing w:after="0"/>
        <w:ind w:left="0"/>
        <w:jc w:val="both"/>
      </w:pPr>
      <w:r>
        <w:rPr>
          <w:rFonts w:ascii="Times New Roman"/>
          <w:b w:val="false"/>
          <w:i w:val="false"/>
          <w:color w:val="000000"/>
          <w:sz w:val="28"/>
        </w:rPr>
        <w:t>
      1.24. Заключения по клинической безопасности.</w:t>
      </w:r>
    </w:p>
    <w:bookmarkEnd w:id="5134"/>
    <w:bookmarkStart w:name="z5314" w:id="5135"/>
    <w:p>
      <w:pPr>
        <w:spacing w:after="0"/>
        <w:ind w:left="0"/>
        <w:jc w:val="left"/>
      </w:pPr>
      <w:r>
        <w:rPr>
          <w:rFonts w:ascii="Times New Roman"/>
          <w:b/>
          <w:i w:val="false"/>
          <w:color w:val="000000"/>
        </w:rPr>
        <w:t xml:space="preserve"> IV. Система фармаконадзора </w:t>
      </w:r>
    </w:p>
    <w:bookmarkEnd w:id="5135"/>
    <w:bookmarkStart w:name="z5315" w:id="5136"/>
    <w:p>
      <w:pPr>
        <w:spacing w:after="0"/>
        <w:ind w:left="0"/>
        <w:jc w:val="both"/>
      </w:pPr>
      <w:r>
        <w:rPr>
          <w:rFonts w:ascii="Times New Roman"/>
          <w:b w:val="false"/>
          <w:i w:val="false"/>
          <w:color w:val="000000"/>
          <w:sz w:val="28"/>
        </w:rPr>
        <w:t xml:space="preserve">
      &lt;Эксперт считает, что система фармаконадзора, которая описана заявителем, удовлетворяет требованиям и представляет надлежащее доказательство того, что заявителю предоставляются услуги уполномоченного лица, ответственного за фармаконадзор, и имеются необходимые средства для извещения о любой предполагаемой нежелательной реакции, возникающей в Евразийском экономическом союзе, либо в третьей стране.&gt; </w:t>
      </w:r>
    </w:p>
    <w:bookmarkEnd w:id="5136"/>
    <w:bookmarkStart w:name="z5316" w:id="5137"/>
    <w:p>
      <w:pPr>
        <w:spacing w:after="0"/>
        <w:ind w:left="0"/>
        <w:jc w:val="both"/>
      </w:pPr>
      <w:r>
        <w:rPr>
          <w:rFonts w:ascii="Times New Roman"/>
          <w:b w:val="false"/>
          <w:i w:val="false"/>
          <w:color w:val="000000"/>
          <w:sz w:val="28"/>
        </w:rPr>
        <w:t xml:space="preserve">
      &lt;Эксперт считает, что система фармаконадзора, которая описана заявителем, имеет следующие недостатки: &lt;перечень недостатков.&gt; </w:t>
      </w:r>
    </w:p>
    <w:bookmarkEnd w:id="5137"/>
    <w:bookmarkStart w:name="z5317" w:id="5138"/>
    <w:p>
      <w:pPr>
        <w:spacing w:after="0"/>
        <w:ind w:left="0"/>
        <w:jc w:val="both"/>
      </w:pPr>
      <w:r>
        <w:rPr>
          <w:rFonts w:ascii="Times New Roman"/>
          <w:b w:val="false"/>
          <w:i w:val="false"/>
          <w:color w:val="000000"/>
          <w:sz w:val="28"/>
        </w:rPr>
        <w:t xml:space="preserve">
      &lt;С учетом того, что недостатки устраняются до того, как заявитель выводит лекарственный препарат на рынок, уполномоченная экспертная организация может считать, что система фармаконадзора будет соответствовать требованиям. Прежде чем препарат поступит на рынок, заявитель должен представить убедительные данные, что система фармаконадзора принята и функционирует.&gt; </w:t>
      </w:r>
    </w:p>
    <w:bookmarkEnd w:id="5138"/>
    <w:bookmarkStart w:name="z5318" w:id="5139"/>
    <w:p>
      <w:pPr>
        <w:spacing w:after="0"/>
        <w:ind w:left="0"/>
        <w:jc w:val="both"/>
      </w:pPr>
      <w:r>
        <w:rPr>
          <w:rFonts w:ascii="Times New Roman"/>
          <w:b w:val="false"/>
          <w:i w:val="false"/>
          <w:color w:val="000000"/>
          <w:sz w:val="28"/>
        </w:rPr>
        <w:t>
      1. План по управлению риском.</w:t>
      </w:r>
    </w:p>
    <w:bookmarkEnd w:id="5139"/>
    <w:bookmarkStart w:name="z5319" w:id="5140"/>
    <w:p>
      <w:pPr>
        <w:spacing w:after="0"/>
        <w:ind w:left="0"/>
        <w:jc w:val="both"/>
      </w:pPr>
      <w:r>
        <w:rPr>
          <w:rFonts w:ascii="Times New Roman"/>
          <w:b w:val="false"/>
          <w:i w:val="false"/>
          <w:color w:val="000000"/>
          <w:sz w:val="28"/>
        </w:rPr>
        <w:t>
      Вопросы и (или) проблемы для рассмотрения специалистами организационных структур, уполномоченной экспертной организации, отвечающих за работы в области фармаконадзора (далее - ОСОРОФ) при оценке ПУР.</w:t>
      </w:r>
    </w:p>
    <w:bookmarkEnd w:id="5140"/>
    <w:bookmarkStart w:name="z5320" w:id="5141"/>
    <w:p>
      <w:pPr>
        <w:spacing w:after="0"/>
        <w:ind w:left="0"/>
        <w:jc w:val="both"/>
      </w:pPr>
      <w:r>
        <w:rPr>
          <w:rFonts w:ascii="Times New Roman"/>
          <w:b w:val="false"/>
          <w:i w:val="false"/>
          <w:color w:val="000000"/>
          <w:sz w:val="28"/>
        </w:rPr>
        <w:t>
      2. Лекарственные средства, способные обладать значительным эффектом при редких, угрожающих жизни или инвалидизирующих заболеваниях.</w:t>
      </w:r>
    </w:p>
    <w:bookmarkEnd w:id="5141"/>
    <w:bookmarkStart w:name="z5321" w:id="5142"/>
    <w:p>
      <w:pPr>
        <w:spacing w:after="0"/>
        <w:ind w:left="0"/>
        <w:jc w:val="both"/>
      </w:pPr>
      <w:r>
        <w:rPr>
          <w:rFonts w:ascii="Times New Roman"/>
          <w:b w:val="false"/>
          <w:i w:val="false"/>
          <w:color w:val="000000"/>
          <w:sz w:val="28"/>
        </w:rPr>
        <w:t xml:space="preserve">
      &lt;В соответствии с заключением уполномоченного органа (Заключение от &lt;дата&gt;) частота случаев &lt;указать состояние&gt; составляет &lt;привести распространенность&gt; на 10 000 человек в &lt;указать наименование государства Союза&gt;&gt; </w:t>
      </w:r>
    </w:p>
    <w:bookmarkEnd w:id="5142"/>
    <w:bookmarkStart w:name="z5322" w:id="5143"/>
    <w:p>
      <w:pPr>
        <w:spacing w:after="0"/>
        <w:ind w:left="0"/>
        <w:jc w:val="both"/>
      </w:pPr>
      <w:r>
        <w:rPr>
          <w:rFonts w:ascii="Times New Roman"/>
          <w:b w:val="false"/>
          <w:i w:val="false"/>
          <w:color w:val="000000"/>
          <w:sz w:val="28"/>
        </w:rPr>
        <w:t>
      &lt;нет данных (Н/Д)&gt;.</w:t>
      </w:r>
    </w:p>
    <w:bookmarkEnd w:id="5143"/>
    <w:bookmarkStart w:name="z5323" w:id="5144"/>
    <w:p>
      <w:pPr>
        <w:spacing w:after="0"/>
        <w:ind w:left="0"/>
        <w:jc w:val="both"/>
      </w:pPr>
      <w:r>
        <w:rPr>
          <w:rFonts w:ascii="Times New Roman"/>
          <w:b w:val="false"/>
          <w:i w:val="false"/>
          <w:color w:val="000000"/>
          <w:sz w:val="28"/>
        </w:rPr>
        <w:t>
      3. Оценка риск - польза.</w:t>
      </w:r>
    </w:p>
    <w:bookmarkEnd w:id="5144"/>
    <w:bookmarkStart w:name="z5324" w:id="5145"/>
    <w:p>
      <w:pPr>
        <w:spacing w:after="0"/>
        <w:ind w:left="0"/>
        <w:jc w:val="both"/>
      </w:pPr>
      <w:r>
        <w:rPr>
          <w:rFonts w:ascii="Times New Roman"/>
          <w:b w:val="false"/>
          <w:i w:val="false"/>
          <w:color w:val="000000"/>
          <w:sz w:val="28"/>
        </w:rPr>
        <w:t>
      Польза.</w:t>
      </w:r>
    </w:p>
    <w:bookmarkEnd w:id="5145"/>
    <w:bookmarkStart w:name="z5325" w:id="5146"/>
    <w:p>
      <w:pPr>
        <w:spacing w:after="0"/>
        <w:ind w:left="0"/>
        <w:jc w:val="both"/>
      </w:pPr>
      <w:r>
        <w:rPr>
          <w:rFonts w:ascii="Times New Roman"/>
          <w:b w:val="false"/>
          <w:i w:val="false"/>
          <w:color w:val="000000"/>
          <w:sz w:val="28"/>
        </w:rPr>
        <w:t>
      Положительные эффекты.</w:t>
      </w:r>
    </w:p>
    <w:bookmarkEnd w:id="5146"/>
    <w:bookmarkStart w:name="z5326" w:id="5147"/>
    <w:p>
      <w:pPr>
        <w:spacing w:after="0"/>
        <w:ind w:left="0"/>
        <w:jc w:val="both"/>
      </w:pPr>
      <w:r>
        <w:rPr>
          <w:rFonts w:ascii="Times New Roman"/>
          <w:b w:val="false"/>
          <w:i w:val="false"/>
          <w:color w:val="000000"/>
          <w:sz w:val="28"/>
        </w:rPr>
        <w:t>
      Неопределенность в знаниях относительно положительных эффектов.</w:t>
      </w:r>
    </w:p>
    <w:bookmarkEnd w:id="5147"/>
    <w:bookmarkStart w:name="z5327" w:id="5148"/>
    <w:p>
      <w:pPr>
        <w:spacing w:after="0"/>
        <w:ind w:left="0"/>
        <w:jc w:val="both"/>
      </w:pPr>
      <w:r>
        <w:rPr>
          <w:rFonts w:ascii="Times New Roman"/>
          <w:b w:val="false"/>
          <w:i w:val="false"/>
          <w:color w:val="000000"/>
          <w:sz w:val="28"/>
        </w:rPr>
        <w:t>
      Риск.</w:t>
      </w:r>
    </w:p>
    <w:bookmarkEnd w:id="5148"/>
    <w:bookmarkStart w:name="z5328" w:id="5149"/>
    <w:p>
      <w:pPr>
        <w:spacing w:after="0"/>
        <w:ind w:left="0"/>
        <w:jc w:val="both"/>
      </w:pPr>
      <w:r>
        <w:rPr>
          <w:rFonts w:ascii="Times New Roman"/>
          <w:b w:val="false"/>
          <w:i w:val="false"/>
          <w:color w:val="000000"/>
          <w:sz w:val="28"/>
        </w:rPr>
        <w:t>
      Вредное воздействие.</w:t>
      </w:r>
    </w:p>
    <w:bookmarkEnd w:id="5149"/>
    <w:bookmarkStart w:name="z5329" w:id="5150"/>
    <w:p>
      <w:pPr>
        <w:spacing w:after="0"/>
        <w:ind w:left="0"/>
        <w:jc w:val="both"/>
      </w:pPr>
      <w:r>
        <w:rPr>
          <w:rFonts w:ascii="Times New Roman"/>
          <w:b w:val="false"/>
          <w:i w:val="false"/>
          <w:color w:val="000000"/>
          <w:sz w:val="28"/>
        </w:rPr>
        <w:t>
      Неопределенность в знаниях относительно вредного воздействия.</w:t>
      </w:r>
    </w:p>
    <w:bookmarkEnd w:id="5150"/>
    <w:bookmarkStart w:name="z5330" w:id="5151"/>
    <w:p>
      <w:pPr>
        <w:spacing w:after="0"/>
        <w:ind w:left="0"/>
        <w:jc w:val="both"/>
      </w:pPr>
      <w:r>
        <w:rPr>
          <w:rFonts w:ascii="Times New Roman"/>
          <w:b w:val="false"/>
          <w:i w:val="false"/>
          <w:color w:val="000000"/>
          <w:sz w:val="28"/>
        </w:rPr>
        <w:t>
      Соотношение польза - риск.</w:t>
      </w:r>
    </w:p>
    <w:bookmarkEnd w:id="5151"/>
    <w:bookmarkStart w:name="z5331" w:id="5152"/>
    <w:p>
      <w:pPr>
        <w:spacing w:after="0"/>
        <w:ind w:left="0"/>
        <w:jc w:val="both"/>
      </w:pPr>
      <w:r>
        <w:rPr>
          <w:rFonts w:ascii="Times New Roman"/>
          <w:b w:val="false"/>
          <w:i w:val="false"/>
          <w:color w:val="000000"/>
          <w:sz w:val="28"/>
        </w:rPr>
        <w:t>
      Важность положительных эффектов и вредного воздействия.</w:t>
      </w:r>
    </w:p>
    <w:bookmarkEnd w:id="5152"/>
    <w:bookmarkStart w:name="z5332" w:id="5153"/>
    <w:p>
      <w:pPr>
        <w:spacing w:after="0"/>
        <w:ind w:left="0"/>
        <w:jc w:val="both"/>
      </w:pPr>
      <w:r>
        <w:rPr>
          <w:rFonts w:ascii="Times New Roman"/>
          <w:b w:val="false"/>
          <w:i w:val="false"/>
          <w:color w:val="000000"/>
          <w:sz w:val="28"/>
        </w:rPr>
        <w:t>
      Соотношение польза - риск.</w:t>
      </w:r>
    </w:p>
    <w:bookmarkEnd w:id="5153"/>
    <w:bookmarkStart w:name="z5333" w:id="5154"/>
    <w:p>
      <w:pPr>
        <w:spacing w:after="0"/>
        <w:ind w:left="0"/>
        <w:jc w:val="both"/>
      </w:pPr>
      <w:r>
        <w:rPr>
          <w:rFonts w:ascii="Times New Roman"/>
          <w:b w:val="false"/>
          <w:i w:val="false"/>
          <w:color w:val="000000"/>
          <w:sz w:val="28"/>
        </w:rPr>
        <w:t>
      Обсуждение оценки польза - риск.</w:t>
      </w:r>
    </w:p>
    <w:bookmarkEnd w:id="5154"/>
    <w:bookmarkStart w:name="z5334" w:id="5155"/>
    <w:p>
      <w:pPr>
        <w:spacing w:after="0"/>
        <w:ind w:left="0"/>
        <w:jc w:val="both"/>
      </w:pPr>
      <w:r>
        <w:rPr>
          <w:rFonts w:ascii="Times New Roman"/>
          <w:b w:val="false"/>
          <w:i w:val="false"/>
          <w:color w:val="000000"/>
          <w:sz w:val="28"/>
        </w:rPr>
        <w:t>
      4. Заключения.</w:t>
      </w:r>
    </w:p>
    <w:bookmarkEnd w:id="5155"/>
    <w:bookmarkStart w:name="z5335" w:id="5156"/>
    <w:p>
      <w:pPr>
        <w:spacing w:after="0"/>
        <w:ind w:left="0"/>
        <w:jc w:val="both"/>
      </w:pPr>
      <w:r>
        <w:rPr>
          <w:rFonts w:ascii="Times New Roman"/>
          <w:b w:val="false"/>
          <w:i w:val="false"/>
          <w:color w:val="000000"/>
          <w:sz w:val="28"/>
        </w:rPr>
        <w:t xml:space="preserve">
      Общее соотношение польза - риск для &lt;указать наименование лекарственного средства &gt; является &lt;положительным&gt;, &lt;положительным, при условии &lt;указать условие сохранения положительности соотношения&gt;&gt;; &lt;отрицательным&gt;. </w:t>
      </w:r>
    </w:p>
    <w:bookmarkEnd w:id="5156"/>
    <w:bookmarkStart w:name="z5336" w:id="5157"/>
    <w:p>
      <w:pPr>
        <w:spacing w:after="0"/>
        <w:ind w:left="0"/>
        <w:jc w:val="left"/>
      </w:pPr>
      <w:r>
        <w:rPr>
          <w:rFonts w:ascii="Times New Roman"/>
          <w:b/>
          <w:i w:val="false"/>
          <w:color w:val="000000"/>
        </w:rPr>
        <w:t xml:space="preserve"> V. Перечень замечаний эксперта </w:t>
      </w:r>
    </w:p>
    <w:bookmarkEnd w:id="5157"/>
    <w:bookmarkStart w:name="z5337" w:id="5158"/>
    <w:p>
      <w:pPr>
        <w:spacing w:after="0"/>
        <w:ind w:left="0"/>
        <w:jc w:val="both"/>
      </w:pPr>
      <w:r>
        <w:rPr>
          <w:rFonts w:ascii="Times New Roman"/>
          <w:b w:val="false"/>
          <w:i w:val="false"/>
          <w:color w:val="000000"/>
          <w:sz w:val="28"/>
        </w:rPr>
        <w:t>
      1. Модуль 3 (Аспекты качества).</w:t>
      </w:r>
    </w:p>
    <w:bookmarkEnd w:id="5158"/>
    <w:bookmarkStart w:name="z5338" w:id="5159"/>
    <w:p>
      <w:pPr>
        <w:spacing w:after="0"/>
        <w:ind w:left="0"/>
        <w:jc w:val="both"/>
      </w:pPr>
      <w:r>
        <w:rPr>
          <w:rFonts w:ascii="Times New Roman"/>
          <w:b w:val="false"/>
          <w:i w:val="false"/>
          <w:color w:val="000000"/>
          <w:sz w:val="28"/>
        </w:rPr>
        <w:t>
      Критические замечания:</w:t>
      </w:r>
    </w:p>
    <w:bookmarkEnd w:id="5159"/>
    <w:bookmarkStart w:name="z5339" w:id="5160"/>
    <w:p>
      <w:pPr>
        <w:spacing w:after="0"/>
        <w:ind w:left="0"/>
        <w:jc w:val="both"/>
      </w:pPr>
      <w:r>
        <w:rPr>
          <w:rFonts w:ascii="Times New Roman"/>
          <w:b w:val="false"/>
          <w:i w:val="false"/>
          <w:color w:val="000000"/>
          <w:sz w:val="28"/>
        </w:rPr>
        <w:t>
      активная фармацевтическая субстанция;</w:t>
      </w:r>
    </w:p>
    <w:bookmarkEnd w:id="5160"/>
    <w:bookmarkStart w:name="z5340" w:id="5161"/>
    <w:p>
      <w:pPr>
        <w:spacing w:after="0"/>
        <w:ind w:left="0"/>
        <w:jc w:val="both"/>
      </w:pPr>
      <w:r>
        <w:rPr>
          <w:rFonts w:ascii="Times New Roman"/>
          <w:b w:val="false"/>
          <w:i w:val="false"/>
          <w:color w:val="000000"/>
          <w:sz w:val="28"/>
        </w:rPr>
        <w:t>
      лекарственный препарат.</w:t>
      </w:r>
    </w:p>
    <w:bookmarkEnd w:id="5161"/>
    <w:bookmarkStart w:name="z5341" w:id="5162"/>
    <w:p>
      <w:pPr>
        <w:spacing w:after="0"/>
        <w:ind w:left="0"/>
        <w:jc w:val="both"/>
      </w:pPr>
      <w:r>
        <w:rPr>
          <w:rFonts w:ascii="Times New Roman"/>
          <w:b w:val="false"/>
          <w:i w:val="false"/>
          <w:color w:val="000000"/>
          <w:sz w:val="28"/>
        </w:rPr>
        <w:t>
      Прочие замечания:</w:t>
      </w:r>
    </w:p>
    <w:bookmarkEnd w:id="5162"/>
    <w:bookmarkStart w:name="z5342" w:id="5163"/>
    <w:p>
      <w:pPr>
        <w:spacing w:after="0"/>
        <w:ind w:left="0"/>
        <w:jc w:val="both"/>
      </w:pPr>
      <w:r>
        <w:rPr>
          <w:rFonts w:ascii="Times New Roman"/>
          <w:b w:val="false"/>
          <w:i w:val="false"/>
          <w:color w:val="000000"/>
          <w:sz w:val="28"/>
        </w:rPr>
        <w:t>
      активная фармацевтическая субстанция;</w:t>
      </w:r>
    </w:p>
    <w:bookmarkEnd w:id="5163"/>
    <w:bookmarkStart w:name="z5343" w:id="5164"/>
    <w:p>
      <w:pPr>
        <w:spacing w:after="0"/>
        <w:ind w:left="0"/>
        <w:jc w:val="both"/>
      </w:pPr>
      <w:r>
        <w:rPr>
          <w:rFonts w:ascii="Times New Roman"/>
          <w:b w:val="false"/>
          <w:i w:val="false"/>
          <w:color w:val="000000"/>
          <w:sz w:val="28"/>
        </w:rPr>
        <w:t>
      лекарственный препарат.</w:t>
      </w:r>
    </w:p>
    <w:bookmarkEnd w:id="5164"/>
    <w:bookmarkStart w:name="z5344" w:id="5165"/>
    <w:p>
      <w:pPr>
        <w:spacing w:after="0"/>
        <w:ind w:left="0"/>
        <w:jc w:val="both"/>
      </w:pPr>
      <w:r>
        <w:rPr>
          <w:rFonts w:ascii="Times New Roman"/>
          <w:b w:val="false"/>
          <w:i w:val="false"/>
          <w:color w:val="000000"/>
          <w:sz w:val="28"/>
        </w:rPr>
        <w:t>
      Рекомендации.</w:t>
      </w:r>
    </w:p>
    <w:bookmarkEnd w:id="5165"/>
    <w:bookmarkStart w:name="z5345" w:id="5166"/>
    <w:p>
      <w:pPr>
        <w:spacing w:after="0"/>
        <w:ind w:left="0"/>
        <w:jc w:val="both"/>
      </w:pPr>
      <w:r>
        <w:rPr>
          <w:rFonts w:ascii="Times New Roman"/>
          <w:b w:val="false"/>
          <w:i w:val="false"/>
          <w:color w:val="000000"/>
          <w:sz w:val="28"/>
        </w:rPr>
        <w:t>
      2. Модуль 4 (Доклинические аспекты).</w:t>
      </w:r>
    </w:p>
    <w:bookmarkEnd w:id="5166"/>
    <w:bookmarkStart w:name="z5346" w:id="5167"/>
    <w:p>
      <w:pPr>
        <w:spacing w:after="0"/>
        <w:ind w:left="0"/>
        <w:jc w:val="both"/>
      </w:pPr>
      <w:r>
        <w:rPr>
          <w:rFonts w:ascii="Times New Roman"/>
          <w:b w:val="false"/>
          <w:i w:val="false"/>
          <w:color w:val="000000"/>
          <w:sz w:val="28"/>
        </w:rPr>
        <w:t>
      Критические замечания:</w:t>
      </w:r>
    </w:p>
    <w:bookmarkEnd w:id="5167"/>
    <w:bookmarkStart w:name="z5347" w:id="5168"/>
    <w:p>
      <w:pPr>
        <w:spacing w:after="0"/>
        <w:ind w:left="0"/>
        <w:jc w:val="both"/>
      </w:pPr>
      <w:r>
        <w:rPr>
          <w:rFonts w:ascii="Times New Roman"/>
          <w:b w:val="false"/>
          <w:i w:val="false"/>
          <w:color w:val="000000"/>
          <w:sz w:val="28"/>
        </w:rPr>
        <w:t>
      фармакология;</w:t>
      </w:r>
    </w:p>
    <w:bookmarkEnd w:id="5168"/>
    <w:bookmarkStart w:name="z5348" w:id="5169"/>
    <w:p>
      <w:pPr>
        <w:spacing w:after="0"/>
        <w:ind w:left="0"/>
        <w:jc w:val="both"/>
      </w:pPr>
      <w:r>
        <w:rPr>
          <w:rFonts w:ascii="Times New Roman"/>
          <w:b w:val="false"/>
          <w:i w:val="false"/>
          <w:color w:val="000000"/>
          <w:sz w:val="28"/>
        </w:rPr>
        <w:t>
      фармакокинетика;</w:t>
      </w:r>
    </w:p>
    <w:bookmarkEnd w:id="5169"/>
    <w:bookmarkStart w:name="z5349" w:id="5170"/>
    <w:p>
      <w:pPr>
        <w:spacing w:after="0"/>
        <w:ind w:left="0"/>
        <w:jc w:val="both"/>
      </w:pPr>
      <w:r>
        <w:rPr>
          <w:rFonts w:ascii="Times New Roman"/>
          <w:b w:val="false"/>
          <w:i w:val="false"/>
          <w:color w:val="000000"/>
          <w:sz w:val="28"/>
        </w:rPr>
        <w:t>
      токсикология.</w:t>
      </w:r>
    </w:p>
    <w:bookmarkEnd w:id="5170"/>
    <w:bookmarkStart w:name="z5350" w:id="5171"/>
    <w:p>
      <w:pPr>
        <w:spacing w:after="0"/>
        <w:ind w:left="0"/>
        <w:jc w:val="both"/>
      </w:pPr>
      <w:r>
        <w:rPr>
          <w:rFonts w:ascii="Times New Roman"/>
          <w:b w:val="false"/>
          <w:i w:val="false"/>
          <w:color w:val="000000"/>
          <w:sz w:val="28"/>
        </w:rPr>
        <w:t>
      Прочие замечания:</w:t>
      </w:r>
    </w:p>
    <w:bookmarkEnd w:id="5171"/>
    <w:bookmarkStart w:name="z5351" w:id="5172"/>
    <w:p>
      <w:pPr>
        <w:spacing w:after="0"/>
        <w:ind w:left="0"/>
        <w:jc w:val="both"/>
      </w:pPr>
      <w:r>
        <w:rPr>
          <w:rFonts w:ascii="Times New Roman"/>
          <w:b w:val="false"/>
          <w:i w:val="false"/>
          <w:color w:val="000000"/>
          <w:sz w:val="28"/>
        </w:rPr>
        <w:t>
      фармакология;</w:t>
      </w:r>
    </w:p>
    <w:bookmarkEnd w:id="5172"/>
    <w:bookmarkStart w:name="z5352" w:id="5173"/>
    <w:p>
      <w:pPr>
        <w:spacing w:after="0"/>
        <w:ind w:left="0"/>
        <w:jc w:val="both"/>
      </w:pPr>
      <w:r>
        <w:rPr>
          <w:rFonts w:ascii="Times New Roman"/>
          <w:b w:val="false"/>
          <w:i w:val="false"/>
          <w:color w:val="000000"/>
          <w:sz w:val="28"/>
        </w:rPr>
        <w:t>
      фармакокинетика;</w:t>
      </w:r>
    </w:p>
    <w:bookmarkEnd w:id="5173"/>
    <w:bookmarkStart w:name="z5353" w:id="5174"/>
    <w:p>
      <w:pPr>
        <w:spacing w:after="0"/>
        <w:ind w:left="0"/>
        <w:jc w:val="both"/>
      </w:pPr>
      <w:r>
        <w:rPr>
          <w:rFonts w:ascii="Times New Roman"/>
          <w:b w:val="false"/>
          <w:i w:val="false"/>
          <w:color w:val="000000"/>
          <w:sz w:val="28"/>
        </w:rPr>
        <w:t>
      токсикология.</w:t>
      </w:r>
    </w:p>
    <w:bookmarkEnd w:id="5174"/>
    <w:bookmarkStart w:name="z5354" w:id="5175"/>
    <w:p>
      <w:pPr>
        <w:spacing w:after="0"/>
        <w:ind w:left="0"/>
        <w:jc w:val="both"/>
      </w:pPr>
      <w:r>
        <w:rPr>
          <w:rFonts w:ascii="Times New Roman"/>
          <w:b w:val="false"/>
          <w:i w:val="false"/>
          <w:color w:val="000000"/>
          <w:sz w:val="28"/>
        </w:rPr>
        <w:t>
      Рекомендации.</w:t>
      </w:r>
    </w:p>
    <w:bookmarkEnd w:id="5175"/>
    <w:bookmarkStart w:name="z5355" w:id="5176"/>
    <w:p>
      <w:pPr>
        <w:spacing w:after="0"/>
        <w:ind w:left="0"/>
        <w:jc w:val="both"/>
      </w:pPr>
      <w:r>
        <w:rPr>
          <w:rFonts w:ascii="Times New Roman"/>
          <w:b w:val="false"/>
          <w:i w:val="false"/>
          <w:color w:val="000000"/>
          <w:sz w:val="28"/>
        </w:rPr>
        <w:t>
      3. Модуль 5 (Клинические аспекты).</w:t>
      </w:r>
    </w:p>
    <w:bookmarkEnd w:id="5176"/>
    <w:bookmarkStart w:name="z5356" w:id="5177"/>
    <w:p>
      <w:pPr>
        <w:spacing w:after="0"/>
        <w:ind w:left="0"/>
        <w:jc w:val="both"/>
      </w:pPr>
      <w:r>
        <w:rPr>
          <w:rFonts w:ascii="Times New Roman"/>
          <w:b w:val="false"/>
          <w:i w:val="false"/>
          <w:color w:val="000000"/>
          <w:sz w:val="28"/>
        </w:rPr>
        <w:t>
      Критические замечания:</w:t>
      </w:r>
    </w:p>
    <w:bookmarkEnd w:id="5177"/>
    <w:bookmarkStart w:name="z5357" w:id="5178"/>
    <w:p>
      <w:pPr>
        <w:spacing w:after="0"/>
        <w:ind w:left="0"/>
        <w:jc w:val="both"/>
      </w:pPr>
      <w:r>
        <w:rPr>
          <w:rFonts w:ascii="Times New Roman"/>
          <w:b w:val="false"/>
          <w:i w:val="false"/>
          <w:color w:val="000000"/>
          <w:sz w:val="28"/>
        </w:rPr>
        <w:t>
      фармакокинетика;</w:t>
      </w:r>
    </w:p>
    <w:bookmarkEnd w:id="5178"/>
    <w:bookmarkStart w:name="z5358" w:id="5179"/>
    <w:p>
      <w:pPr>
        <w:spacing w:after="0"/>
        <w:ind w:left="0"/>
        <w:jc w:val="both"/>
      </w:pPr>
      <w:r>
        <w:rPr>
          <w:rFonts w:ascii="Times New Roman"/>
          <w:b w:val="false"/>
          <w:i w:val="false"/>
          <w:color w:val="000000"/>
          <w:sz w:val="28"/>
        </w:rPr>
        <w:t>
      фармакодинамика;</w:t>
      </w:r>
    </w:p>
    <w:bookmarkEnd w:id="5179"/>
    <w:bookmarkStart w:name="z5359" w:id="5180"/>
    <w:p>
      <w:pPr>
        <w:spacing w:after="0"/>
        <w:ind w:left="0"/>
        <w:jc w:val="both"/>
      </w:pPr>
      <w:r>
        <w:rPr>
          <w:rFonts w:ascii="Times New Roman"/>
          <w:b w:val="false"/>
          <w:i w:val="false"/>
          <w:color w:val="000000"/>
          <w:sz w:val="28"/>
        </w:rPr>
        <w:t>
      эффективность;</w:t>
      </w:r>
    </w:p>
    <w:bookmarkEnd w:id="5180"/>
    <w:bookmarkStart w:name="z5360" w:id="5181"/>
    <w:p>
      <w:pPr>
        <w:spacing w:after="0"/>
        <w:ind w:left="0"/>
        <w:jc w:val="both"/>
      </w:pPr>
      <w:r>
        <w:rPr>
          <w:rFonts w:ascii="Times New Roman"/>
          <w:b w:val="false"/>
          <w:i w:val="false"/>
          <w:color w:val="000000"/>
          <w:sz w:val="28"/>
        </w:rPr>
        <w:t>
      безопасность;</w:t>
      </w:r>
    </w:p>
    <w:bookmarkEnd w:id="5181"/>
    <w:bookmarkStart w:name="z5361" w:id="5182"/>
    <w:p>
      <w:pPr>
        <w:spacing w:after="0"/>
        <w:ind w:left="0"/>
        <w:jc w:val="both"/>
      </w:pPr>
      <w:r>
        <w:rPr>
          <w:rFonts w:ascii="Times New Roman"/>
          <w:b w:val="false"/>
          <w:i w:val="false"/>
          <w:color w:val="000000"/>
          <w:sz w:val="28"/>
        </w:rPr>
        <w:t>
      система фармаконадзора.</w:t>
      </w:r>
    </w:p>
    <w:bookmarkEnd w:id="5182"/>
    <w:bookmarkStart w:name="z5362" w:id="5183"/>
    <w:p>
      <w:pPr>
        <w:spacing w:after="0"/>
        <w:ind w:left="0"/>
        <w:jc w:val="both"/>
      </w:pPr>
      <w:r>
        <w:rPr>
          <w:rFonts w:ascii="Times New Roman"/>
          <w:b w:val="false"/>
          <w:i w:val="false"/>
          <w:color w:val="000000"/>
          <w:sz w:val="28"/>
        </w:rPr>
        <w:t>
      Прочие замечания:</w:t>
      </w:r>
    </w:p>
    <w:bookmarkEnd w:id="5183"/>
    <w:bookmarkStart w:name="z5363" w:id="5184"/>
    <w:p>
      <w:pPr>
        <w:spacing w:after="0"/>
        <w:ind w:left="0"/>
        <w:jc w:val="both"/>
      </w:pPr>
      <w:r>
        <w:rPr>
          <w:rFonts w:ascii="Times New Roman"/>
          <w:b w:val="false"/>
          <w:i w:val="false"/>
          <w:color w:val="000000"/>
          <w:sz w:val="28"/>
        </w:rPr>
        <w:t>
      фармакокинетика;</w:t>
      </w:r>
    </w:p>
    <w:bookmarkEnd w:id="5184"/>
    <w:bookmarkStart w:name="z5364" w:id="5185"/>
    <w:p>
      <w:pPr>
        <w:spacing w:after="0"/>
        <w:ind w:left="0"/>
        <w:jc w:val="both"/>
      </w:pPr>
      <w:r>
        <w:rPr>
          <w:rFonts w:ascii="Times New Roman"/>
          <w:b w:val="false"/>
          <w:i w:val="false"/>
          <w:color w:val="000000"/>
          <w:sz w:val="28"/>
        </w:rPr>
        <w:t>
      фармакодинамика;</w:t>
      </w:r>
    </w:p>
    <w:bookmarkEnd w:id="5185"/>
    <w:bookmarkStart w:name="z5365" w:id="5186"/>
    <w:p>
      <w:pPr>
        <w:spacing w:after="0"/>
        <w:ind w:left="0"/>
        <w:jc w:val="both"/>
      </w:pPr>
      <w:r>
        <w:rPr>
          <w:rFonts w:ascii="Times New Roman"/>
          <w:b w:val="false"/>
          <w:i w:val="false"/>
          <w:color w:val="000000"/>
          <w:sz w:val="28"/>
        </w:rPr>
        <w:t>
      эффективность;</w:t>
      </w:r>
    </w:p>
    <w:bookmarkEnd w:id="5186"/>
    <w:bookmarkStart w:name="z5366" w:id="5187"/>
    <w:p>
      <w:pPr>
        <w:spacing w:after="0"/>
        <w:ind w:left="0"/>
        <w:jc w:val="both"/>
      </w:pPr>
      <w:r>
        <w:rPr>
          <w:rFonts w:ascii="Times New Roman"/>
          <w:b w:val="false"/>
          <w:i w:val="false"/>
          <w:color w:val="000000"/>
          <w:sz w:val="28"/>
        </w:rPr>
        <w:t>
      безопасность;</w:t>
      </w:r>
    </w:p>
    <w:bookmarkEnd w:id="5187"/>
    <w:bookmarkStart w:name="z5367" w:id="5188"/>
    <w:p>
      <w:pPr>
        <w:spacing w:after="0"/>
        <w:ind w:left="0"/>
        <w:jc w:val="both"/>
      </w:pPr>
      <w:r>
        <w:rPr>
          <w:rFonts w:ascii="Times New Roman"/>
          <w:b w:val="false"/>
          <w:i w:val="false"/>
          <w:color w:val="000000"/>
          <w:sz w:val="28"/>
        </w:rPr>
        <w:t>
      система фармаконадзора;</w:t>
      </w:r>
    </w:p>
    <w:bookmarkEnd w:id="5188"/>
    <w:bookmarkStart w:name="z5368" w:id="5189"/>
    <w:p>
      <w:pPr>
        <w:spacing w:after="0"/>
        <w:ind w:left="0"/>
        <w:jc w:val="both"/>
      </w:pPr>
      <w:r>
        <w:rPr>
          <w:rFonts w:ascii="Times New Roman"/>
          <w:b w:val="false"/>
          <w:i w:val="false"/>
          <w:color w:val="000000"/>
          <w:sz w:val="28"/>
        </w:rPr>
        <w:t>
      Рекомендации.</w:t>
      </w:r>
    </w:p>
    <w:bookmarkEnd w:id="5189"/>
    <w:bookmarkStart w:name="z5369" w:id="5190"/>
    <w:p>
      <w:pPr>
        <w:spacing w:after="0"/>
        <w:ind w:left="0"/>
        <w:jc w:val="both"/>
      </w:pPr>
      <w:r>
        <w:rPr>
          <w:rFonts w:ascii="Times New Roman"/>
          <w:b w:val="false"/>
          <w:i w:val="false"/>
          <w:color w:val="000000"/>
          <w:sz w:val="28"/>
        </w:rPr>
        <w:t>
      4. Статус нового активного вещества.</w:t>
      </w:r>
    </w:p>
    <w:bookmarkEnd w:id="5190"/>
    <w:bookmarkStart w:name="z5370" w:id="5191"/>
    <w:p>
      <w:pPr>
        <w:spacing w:after="0"/>
        <w:ind w:left="0"/>
        <w:jc w:val="left"/>
      </w:pPr>
      <w:r>
        <w:rPr>
          <w:rFonts w:ascii="Times New Roman"/>
          <w:b/>
          <w:i w:val="false"/>
          <w:color w:val="000000"/>
        </w:rPr>
        <w:t xml:space="preserve"> VI. Предлагаемые дополнительные условия для выдачи регистрационного удостоверения и одобрения ОХЛП, ИМП (ЛВ) и макетов упаковок</w:t>
      </w:r>
    </w:p>
    <w:bookmarkEnd w:id="5191"/>
    <w:bookmarkStart w:name="z5371" w:id="5192"/>
    <w:p>
      <w:pPr>
        <w:spacing w:after="0"/>
        <w:ind w:left="0"/>
        <w:jc w:val="both"/>
      </w:pPr>
      <w:r>
        <w:rPr>
          <w:rFonts w:ascii="Times New Roman"/>
          <w:b w:val="false"/>
          <w:i w:val="false"/>
          <w:color w:val="000000"/>
          <w:sz w:val="28"/>
        </w:rPr>
        <w:t>
      1. Дополнительные условия для выдачи регистрационного удостоверения.</w:t>
      </w:r>
    </w:p>
    <w:bookmarkEnd w:id="5192"/>
    <w:bookmarkStart w:name="z5372" w:id="5193"/>
    <w:p>
      <w:pPr>
        <w:spacing w:after="0"/>
        <w:ind w:left="0"/>
        <w:jc w:val="both"/>
      </w:pPr>
      <w:r>
        <w:rPr>
          <w:rFonts w:ascii="Times New Roman"/>
          <w:b w:val="false"/>
          <w:i w:val="false"/>
          <w:color w:val="000000"/>
          <w:sz w:val="28"/>
        </w:rPr>
        <w:t>
      2. Возможность одобрения редакции общей характеристики лекарственного препарата (ОХЛП).</w:t>
      </w:r>
    </w:p>
    <w:bookmarkEnd w:id="5193"/>
    <w:bookmarkStart w:name="z5374" w:id="5194"/>
    <w:p>
      <w:pPr>
        <w:spacing w:after="0"/>
        <w:ind w:left="0"/>
        <w:jc w:val="both"/>
      </w:pPr>
      <w:r>
        <w:rPr>
          <w:rFonts w:ascii="Times New Roman"/>
          <w:b w:val="false"/>
          <w:i w:val="false"/>
          <w:color w:val="000000"/>
          <w:sz w:val="28"/>
        </w:rPr>
        <w:t>
      3. Возможность одобрения макетов упаковок.</w:t>
      </w:r>
    </w:p>
    <w:bookmarkEnd w:id="5194"/>
    <w:p>
      <w:pPr>
        <w:spacing w:after="0"/>
        <w:ind w:left="0"/>
        <w:jc w:val="both"/>
      </w:pPr>
      <w:r>
        <w:rPr>
          <w:rFonts w:ascii="Times New Roman"/>
          <w:b w:val="false"/>
          <w:i w:val="false"/>
          <w:color w:val="000000"/>
          <w:sz w:val="28"/>
        </w:rPr>
        <w:t>
      4. Возможность одобрения инструкции по медицинскому применению (листка-вкладыша) лекарственного препарата (ИМП (ЛВ)).</w:t>
      </w:r>
    </w:p>
    <w:bookmarkStart w:name="z5375" w:id="5195"/>
    <w:p>
      <w:pPr>
        <w:spacing w:after="0"/>
        <w:ind w:left="0"/>
        <w:jc w:val="both"/>
      </w:pPr>
      <w:r>
        <w:rPr>
          <w:rFonts w:ascii="Times New Roman"/>
          <w:b w:val="false"/>
          <w:i w:val="false"/>
          <w:color w:val="000000"/>
          <w:sz w:val="28"/>
        </w:rPr>
        <w:t>
      5. Оценка пользовательского тестирования (см. раздел VII настоящего отчета.).</w:t>
      </w:r>
    </w:p>
    <w:bookmarkEnd w:id="5195"/>
    <w:bookmarkStart w:name="z5376" w:id="5196"/>
    <w:p>
      <w:pPr>
        <w:spacing w:after="0"/>
        <w:ind w:left="0"/>
        <w:jc w:val="left"/>
      </w:pPr>
      <w:r>
        <w:rPr>
          <w:rFonts w:ascii="Times New Roman"/>
          <w:b/>
          <w:i w:val="false"/>
          <w:color w:val="000000"/>
        </w:rPr>
        <w:t xml:space="preserve"> VII. Лист проверки качества документов для рассмотрения результатов пользовательского тестирования</w:t>
      </w:r>
    </w:p>
    <w:bookmarkEnd w:id="5196"/>
    <w:bookmarkStart w:name="z5377" w:id="5197"/>
    <w:p>
      <w:pPr>
        <w:spacing w:after="0"/>
        <w:ind w:left="0"/>
        <w:jc w:val="left"/>
      </w:pPr>
      <w:r>
        <w:rPr>
          <w:rFonts w:ascii="Times New Roman"/>
          <w:b/>
          <w:i w:val="false"/>
          <w:color w:val="000000"/>
        </w:rPr>
        <w:t xml:space="preserve"> Информация о продукте </w:t>
      </w:r>
    </w:p>
    <w:bookmarkEnd w:id="5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5198"/>
          <w:p>
            <w:pPr>
              <w:spacing w:after="20"/>
              <w:ind w:left="20"/>
              <w:jc w:val="both"/>
            </w:pPr>
            <w:r>
              <w:rPr>
                <w:rFonts w:ascii="Times New Roman"/>
                <w:b w:val="false"/>
                <w:i w:val="false"/>
                <w:color w:val="000000"/>
                <w:sz w:val="20"/>
              </w:rPr>
              <w:t xml:space="preserve">
Наименование лекарственного препарата </w:t>
            </w:r>
          </w:p>
          <w:bookmarkEnd w:id="5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5199"/>
          <w:p>
            <w:pPr>
              <w:spacing w:after="20"/>
              <w:ind w:left="20"/>
              <w:jc w:val="both"/>
            </w:pPr>
            <w:r>
              <w:rPr>
                <w:rFonts w:ascii="Times New Roman"/>
                <w:b w:val="false"/>
                <w:i w:val="false"/>
                <w:color w:val="000000"/>
                <w:sz w:val="20"/>
              </w:rPr>
              <w:t xml:space="preserve">
Наименование и адрес заявителя </w:t>
            </w:r>
          </w:p>
          <w:bookmarkEnd w:id="5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5200"/>
          <w:p>
            <w:pPr>
              <w:spacing w:after="20"/>
              <w:ind w:left="20"/>
              <w:jc w:val="both"/>
            </w:pPr>
            <w:r>
              <w:rPr>
                <w:rFonts w:ascii="Times New Roman"/>
                <w:b w:val="false"/>
                <w:i w:val="false"/>
                <w:color w:val="000000"/>
                <w:sz w:val="20"/>
              </w:rPr>
              <w:t xml:space="preserve">
Наименование компании, проводившей пользовательское тестирование </w:t>
            </w:r>
          </w:p>
          <w:bookmarkEnd w:id="5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5201"/>
          <w:p>
            <w:pPr>
              <w:spacing w:after="20"/>
              <w:ind w:left="20"/>
              <w:jc w:val="both"/>
            </w:pPr>
            <w:r>
              <w:rPr>
                <w:rFonts w:ascii="Times New Roman"/>
                <w:b w:val="false"/>
                <w:i w:val="false"/>
                <w:color w:val="000000"/>
                <w:sz w:val="20"/>
              </w:rPr>
              <w:t xml:space="preserve">
Тип заявления на получение регистрационного удостоверения </w:t>
            </w:r>
          </w:p>
          <w:bookmarkEnd w:id="5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5202"/>
          <w:p>
            <w:pPr>
              <w:spacing w:after="20"/>
              <w:ind w:left="20"/>
              <w:jc w:val="both"/>
            </w:pPr>
            <w:r>
              <w:rPr>
                <w:rFonts w:ascii="Times New Roman"/>
                <w:b w:val="false"/>
                <w:i w:val="false"/>
                <w:color w:val="000000"/>
                <w:sz w:val="20"/>
              </w:rPr>
              <w:t xml:space="preserve">
МНН </w:t>
            </w:r>
          </w:p>
          <w:bookmarkEnd w:id="5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5203"/>
          <w:p>
            <w:pPr>
              <w:spacing w:after="20"/>
              <w:ind w:left="20"/>
              <w:jc w:val="both"/>
            </w:pPr>
            <w:r>
              <w:rPr>
                <w:rFonts w:ascii="Times New Roman"/>
                <w:b w:val="false"/>
                <w:i w:val="false"/>
                <w:color w:val="000000"/>
                <w:sz w:val="20"/>
              </w:rPr>
              <w:t xml:space="preserve">
Фармакотерапевтическая группа (код АТХ) </w:t>
            </w:r>
          </w:p>
          <w:bookmarkEnd w:id="5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5204"/>
          <w:p>
            <w:pPr>
              <w:spacing w:after="20"/>
              <w:ind w:left="20"/>
              <w:jc w:val="both"/>
            </w:pPr>
            <w:r>
              <w:rPr>
                <w:rFonts w:ascii="Times New Roman"/>
                <w:b w:val="false"/>
                <w:i w:val="false"/>
                <w:color w:val="000000"/>
                <w:sz w:val="20"/>
              </w:rPr>
              <w:t xml:space="preserve">
Терапевтические показания </w:t>
            </w:r>
          </w:p>
          <w:bookmarkEnd w:id="5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5205"/>
          <w:p>
            <w:pPr>
              <w:spacing w:after="20"/>
              <w:ind w:left="20"/>
              <w:jc w:val="both"/>
            </w:pPr>
            <w:r>
              <w:rPr>
                <w:rFonts w:ascii="Times New Roman"/>
                <w:b w:val="false"/>
                <w:i w:val="false"/>
                <w:color w:val="000000"/>
                <w:sz w:val="20"/>
              </w:rPr>
              <w:t xml:space="preserve">
Орфанный препарат </w:t>
            </w:r>
          </w:p>
          <w:bookmarkEnd w:id="5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5206"/>
          <w:p>
            <w:pPr>
              <w:spacing w:after="20"/>
              <w:ind w:left="20"/>
              <w:jc w:val="both"/>
            </w:pPr>
            <w:r>
              <w:rPr>
                <w:rFonts w:ascii="Times New Roman"/>
                <w:b w:val="false"/>
                <w:i w:val="false"/>
                <w:color w:val="000000"/>
                <w:sz w:val="20"/>
              </w:rPr>
              <w:t xml:space="preserve">
Эксперт </w:t>
            </w:r>
          </w:p>
          <w:bookmarkEnd w:id="5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7" w:id="5207"/>
    <w:p>
      <w:pPr>
        <w:spacing w:after="0"/>
        <w:ind w:left="0"/>
        <w:jc w:val="both"/>
      </w:pPr>
      <w:r>
        <w:rPr>
          <w:rFonts w:ascii="Times New Roman"/>
          <w:b w:val="false"/>
          <w:i w:val="false"/>
          <w:color w:val="000000"/>
          <w:sz w:val="28"/>
        </w:rPr>
        <w:t>
       </w:t>
      </w:r>
    </w:p>
    <w:bookmarkEnd w:id="52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88" w:id="5208"/>
          <w:p>
            <w:pPr>
              <w:spacing w:after="20"/>
              <w:ind w:left="20"/>
              <w:jc w:val="both"/>
            </w:pPr>
            <w:r>
              <w:rPr>
                <w:rFonts w:ascii="Times New Roman"/>
                <w:b w:val="false"/>
                <w:i w:val="false"/>
                <w:color w:val="000000"/>
                <w:sz w:val="20"/>
              </w:rPr>
              <w:t xml:space="preserve">
Полный отчет пользовательского тестирования предоставлен </w:t>
            </w:r>
          </w:p>
          <w:bookmarkEnd w:id="520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389" w:id="5209"/>
          <w:p>
            <w:pPr>
              <w:spacing w:after="20"/>
              <w:ind w:left="20"/>
              <w:jc w:val="both"/>
            </w:pPr>
            <w:r>
              <w:rPr>
                <w:rFonts w:ascii="Times New Roman"/>
                <w:b w:val="false"/>
                <w:i w:val="false"/>
                <w:color w:val="000000"/>
                <w:sz w:val="20"/>
              </w:rPr>
              <w:t xml:space="preserve">
Сводный отчет предоставлен </w:t>
            </w:r>
          </w:p>
          <w:bookmarkEnd w:id="520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5390" w:id="5210"/>
    <w:p>
      <w:pPr>
        <w:spacing w:after="0"/>
        <w:ind w:left="0"/>
        <w:jc w:val="both"/>
      </w:pPr>
      <w:r>
        <w:rPr>
          <w:rFonts w:ascii="Times New Roman"/>
          <w:b w:val="false"/>
          <w:i w:val="false"/>
          <w:color w:val="000000"/>
          <w:sz w:val="28"/>
        </w:rPr>
        <w:t>
      Основания для связующего тестирования исходя из обоснования:</w:t>
      </w:r>
    </w:p>
    <w:bookmarkEnd w:id="5210"/>
    <w:bookmarkStart w:name="z5391" w:id="5211"/>
    <w:p>
      <w:pPr>
        <w:spacing w:after="0"/>
        <w:ind w:left="0"/>
        <w:jc w:val="both"/>
      </w:pPr>
      <w:r>
        <w:rPr>
          <w:rFonts w:ascii="Times New Roman"/>
          <w:b w:val="false"/>
          <w:i w:val="false"/>
          <w:color w:val="000000"/>
          <w:sz w:val="28"/>
        </w:rPr>
        <w:t xml:space="preserve">
      </w:t>
      </w:r>
    </w:p>
    <w:bookmarkEnd w:id="5211"/>
    <w:p>
      <w:pPr>
        <w:spacing w:after="0"/>
        <w:ind w:left="0"/>
        <w:jc w:val="both"/>
      </w:pPr>
      <w:r>
        <w:t>[MISSING IMAGE: ,  ]</w:t>
      </w:r>
    </w:p>
    <w:p>
      <w:pPr>
        <w:spacing w:after="0"/>
        <w:ind w:left="0"/>
        <w:jc w:val="left"/>
      </w:pPr>
      <w:r>
        <w:rPr>
          <w:rFonts w:ascii="Times New Roman"/>
          <w:b w:val="false"/>
          <w:i w:val="false"/>
          <w:color w:val="000000"/>
          <w:sz w:val="28"/>
        </w:rPr>
        <w:t>дополнения для одного и того же способа введения</w:t>
      </w:r>
      <w:r>
        <w:br/>
      </w:r>
      <w:r>
        <w:rPr>
          <w:rFonts w:ascii="Times New Roman"/>
          <w:b w:val="false"/>
          <w:i w:val="false"/>
          <w:color w:val="000000"/>
          <w:sz w:val="28"/>
        </w:rPr>
        <w:t>
</w:t>
      </w:r>
    </w:p>
    <w:bookmarkStart w:name="z5392" w:id="5212"/>
    <w:p>
      <w:pPr>
        <w:spacing w:after="0"/>
        <w:ind w:left="0"/>
        <w:jc w:val="both"/>
      </w:pPr>
      <w:r>
        <w:rPr>
          <w:rFonts w:ascii="Times New Roman"/>
          <w:b w:val="false"/>
          <w:i w:val="false"/>
          <w:color w:val="000000"/>
          <w:sz w:val="28"/>
        </w:rPr>
        <w:t xml:space="preserve">
      </w:t>
      </w:r>
    </w:p>
    <w:bookmarkEnd w:id="5212"/>
    <w:p>
      <w:pPr>
        <w:spacing w:after="0"/>
        <w:ind w:left="0"/>
        <w:jc w:val="both"/>
      </w:pPr>
      <w:r>
        <w:t>[MISSING IMAGE: ,  ]</w:t>
      </w:r>
    </w:p>
    <w:p>
      <w:pPr>
        <w:spacing w:after="0"/>
        <w:ind w:left="0"/>
        <w:jc w:val="left"/>
      </w:pPr>
      <w:r>
        <w:rPr>
          <w:rFonts w:ascii="Times New Roman"/>
          <w:b w:val="false"/>
          <w:i w:val="false"/>
          <w:color w:val="000000"/>
          <w:sz w:val="28"/>
        </w:rPr>
        <w:t>ссылка на тест лекарственного препарата того же класса</w:t>
      </w:r>
      <w:r>
        <w:br/>
      </w:r>
      <w:r>
        <w:rPr>
          <w:rFonts w:ascii="Times New Roman"/>
          <w:b w:val="false"/>
          <w:i w:val="false"/>
          <w:color w:val="000000"/>
          <w:sz w:val="28"/>
        </w:rPr>
        <w:t>
</w:t>
      </w:r>
    </w:p>
    <w:bookmarkStart w:name="z5393" w:id="5213"/>
    <w:p>
      <w:pPr>
        <w:spacing w:after="0"/>
        <w:ind w:left="0"/>
        <w:jc w:val="both"/>
      </w:pPr>
      <w:r>
        <w:rPr>
          <w:rFonts w:ascii="Times New Roman"/>
          <w:b w:val="false"/>
          <w:i w:val="false"/>
          <w:color w:val="000000"/>
          <w:sz w:val="28"/>
        </w:rPr>
        <w:t xml:space="preserve">
      </w:t>
      </w:r>
    </w:p>
    <w:bookmarkEnd w:id="5213"/>
    <w:p>
      <w:pPr>
        <w:spacing w:after="0"/>
        <w:ind w:left="0"/>
        <w:jc w:val="both"/>
      </w:pPr>
      <w:r>
        <w:t>[MISSING IMAGE: ,  ]</w:t>
      </w:r>
    </w:p>
    <w:p>
      <w:pPr>
        <w:spacing w:after="0"/>
        <w:ind w:left="0"/>
        <w:jc w:val="left"/>
      </w:pPr>
      <w:r>
        <w:rPr>
          <w:rFonts w:ascii="Times New Roman"/>
          <w:b w:val="false"/>
          <w:i w:val="false"/>
          <w:color w:val="000000"/>
          <w:sz w:val="28"/>
        </w:rPr>
        <w:t>ссылка на тест с такими же вопросами по безопасности</w:t>
      </w:r>
      <w:r>
        <w:br/>
      </w:r>
      <w:r>
        <w:rPr>
          <w:rFonts w:ascii="Times New Roman"/>
          <w:b w:val="false"/>
          <w:i w:val="false"/>
          <w:color w:val="000000"/>
          <w:sz w:val="28"/>
        </w:rPr>
        <w:t>
</w:t>
      </w:r>
    </w:p>
    <w:bookmarkStart w:name="z5394" w:id="5214"/>
    <w:p>
      <w:pPr>
        <w:spacing w:after="0"/>
        <w:ind w:left="0"/>
        <w:jc w:val="both"/>
      </w:pPr>
      <w:r>
        <w:rPr>
          <w:rFonts w:ascii="Times New Roman"/>
          <w:b w:val="false"/>
          <w:i w:val="false"/>
          <w:color w:val="000000"/>
          <w:sz w:val="28"/>
        </w:rPr>
        <w:t xml:space="preserve">
      </w:t>
      </w:r>
    </w:p>
    <w:bookmarkEnd w:id="5214"/>
    <w:p>
      <w:pPr>
        <w:spacing w:after="0"/>
        <w:ind w:left="0"/>
        <w:jc w:val="both"/>
      </w:pPr>
      <w:r>
        <w:t>[MISSING IMAGE: ,  ]</w:t>
      </w:r>
    </w:p>
    <w:p>
      <w:pPr>
        <w:spacing w:after="0"/>
        <w:ind w:left="0"/>
        <w:jc w:val="left"/>
      </w:pPr>
      <w:r>
        <w:rPr>
          <w:rFonts w:ascii="Times New Roman"/>
          <w:b w:val="false"/>
          <w:i w:val="false"/>
          <w:color w:val="000000"/>
          <w:sz w:val="28"/>
        </w:rPr>
        <w:t>другое 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95" w:id="5215"/>
          <w:p>
            <w:pPr>
              <w:spacing w:after="20"/>
              <w:ind w:left="20"/>
              <w:jc w:val="both"/>
            </w:pPr>
            <w:r>
              <w:rPr>
                <w:rFonts w:ascii="Times New Roman"/>
                <w:b w:val="false"/>
                <w:i w:val="false"/>
                <w:color w:val="000000"/>
                <w:sz w:val="20"/>
              </w:rPr>
              <w:t>
Обоснование связующего тестирования приемлемо?</w:t>
            </w:r>
          </w:p>
          <w:bookmarkEnd w:id="5215"/>
          <w:p>
            <w:pPr>
              <w:spacing w:after="20"/>
              <w:ind w:left="20"/>
              <w:jc w:val="both"/>
            </w:pPr>
            <w:r>
              <w:rPr>
                <w:rFonts w:ascii="Times New Roman"/>
                <w:b w:val="false"/>
                <w:i w:val="false"/>
                <w:color w:val="000000"/>
                <w:sz w:val="20"/>
              </w:rPr>
              <w:t xml:space="preserve">
(Если полный отчет пользовательского тестирования или сводный отчет не предоставлен, то необходимо привести обоснование)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396" w:id="5216"/>
          <w:p>
            <w:pPr>
              <w:spacing w:after="20"/>
              <w:ind w:left="20"/>
              <w:jc w:val="both"/>
            </w:pPr>
            <w:r>
              <w:rPr>
                <w:rFonts w:ascii="Times New Roman"/>
                <w:b w:val="false"/>
                <w:i w:val="false"/>
                <w:color w:val="000000"/>
                <w:sz w:val="20"/>
              </w:rPr>
              <w:t>
Обоснование непредставления отчета приемлемо?</w:t>
            </w:r>
          </w:p>
          <w:bookmarkEnd w:id="5216"/>
          <w:p>
            <w:pPr>
              <w:spacing w:after="20"/>
              <w:ind w:left="20"/>
              <w:jc w:val="both"/>
            </w:pPr>
            <w:r>
              <w:rPr>
                <w:rFonts w:ascii="Times New Roman"/>
                <w:b w:val="false"/>
                <w:i w:val="false"/>
                <w:color w:val="000000"/>
                <w:sz w:val="20"/>
              </w:rPr>
              <w:t xml:space="preserve">(например, введение только в больничных условиях, введение только медицинским специалистом, соответствие шаблонам документов по проверке качества, изученное применение препарата в течение длительного времени)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5397" w:id="5217"/>
    <w:p>
      <w:pPr>
        <w:spacing w:after="0"/>
        <w:ind w:left="0"/>
        <w:jc w:val="both"/>
      </w:pPr>
      <w:r>
        <w:rPr>
          <w:rFonts w:ascii="Times New Roman"/>
          <w:b w:val="false"/>
          <w:i w:val="false"/>
          <w:color w:val="000000"/>
          <w:sz w:val="28"/>
        </w:rPr>
        <w:t>
      Причины [мнения экспертов относительно приемлемости или неприемлемости обоснования (сводного) отчета - оценка обоснования (сводного) отчета ]</w:t>
      </w:r>
    </w:p>
    <w:bookmarkEnd w:id="5217"/>
    <w:bookmarkStart w:name="z5398" w:id="5218"/>
    <w:p>
      <w:pPr>
        <w:spacing w:after="0"/>
        <w:ind w:left="0"/>
        <w:jc w:val="both"/>
      </w:pPr>
      <w:r>
        <w:rPr>
          <w:rFonts w:ascii="Times New Roman"/>
          <w:b w:val="false"/>
          <w:i w:val="false"/>
          <w:color w:val="000000"/>
          <w:sz w:val="28"/>
        </w:rPr>
        <w:t>
      _____________________________________________________________________</w:t>
      </w:r>
    </w:p>
    <w:bookmarkEnd w:id="5218"/>
    <w:bookmarkStart w:name="z5399" w:id="5219"/>
    <w:p>
      <w:pPr>
        <w:spacing w:after="0"/>
        <w:ind w:left="0"/>
        <w:jc w:val="both"/>
      </w:pPr>
      <w:r>
        <w:rPr>
          <w:rFonts w:ascii="Times New Roman"/>
          <w:b w:val="false"/>
          <w:i w:val="false"/>
          <w:color w:val="000000"/>
          <w:sz w:val="28"/>
        </w:rPr>
        <w:t>
      _____________________________________________________________________</w:t>
      </w:r>
    </w:p>
    <w:bookmarkEnd w:id="5219"/>
    <w:bookmarkStart w:name="z5400" w:id="5220"/>
    <w:p>
      <w:pPr>
        <w:spacing w:after="0"/>
        <w:ind w:left="0"/>
        <w:jc w:val="both"/>
      </w:pPr>
      <w:r>
        <w:rPr>
          <w:rFonts w:ascii="Times New Roman"/>
          <w:b w:val="false"/>
          <w:i w:val="false"/>
          <w:color w:val="000000"/>
          <w:sz w:val="28"/>
        </w:rPr>
        <w:t>
      _____________________________________________________________________</w:t>
      </w:r>
    </w:p>
    <w:bookmarkEnd w:id="5220"/>
    <w:bookmarkStart w:name="z5401" w:id="5221"/>
    <w:p>
      <w:pPr>
        <w:spacing w:after="0"/>
        <w:ind w:left="0"/>
        <w:jc w:val="both"/>
      </w:pPr>
      <w:r>
        <w:rPr>
          <w:rFonts w:ascii="Times New Roman"/>
          <w:b w:val="false"/>
          <w:i w:val="false"/>
          <w:color w:val="000000"/>
          <w:sz w:val="28"/>
        </w:rPr>
        <w:t>
      _____________________________________________________________________</w:t>
      </w:r>
    </w:p>
    <w:bookmarkEnd w:id="5221"/>
    <w:bookmarkStart w:name="z5402" w:id="5222"/>
    <w:p>
      <w:pPr>
        <w:spacing w:after="0"/>
        <w:ind w:left="0"/>
        <w:jc w:val="both"/>
      </w:pPr>
      <w:r>
        <w:rPr>
          <w:rFonts w:ascii="Times New Roman"/>
          <w:b w:val="false"/>
          <w:i w:val="false"/>
          <w:color w:val="000000"/>
          <w:sz w:val="28"/>
        </w:rPr>
        <w:t>
      _____________________________________________________________________</w:t>
      </w:r>
    </w:p>
    <w:bookmarkEnd w:id="5222"/>
    <w:bookmarkStart w:name="z5403" w:id="5223"/>
    <w:p>
      <w:pPr>
        <w:spacing w:after="0"/>
        <w:ind w:left="0"/>
        <w:jc w:val="left"/>
      </w:pPr>
      <w:r>
        <w:rPr>
          <w:rFonts w:ascii="Times New Roman"/>
          <w:b/>
          <w:i w:val="false"/>
          <w:color w:val="000000"/>
        </w:rPr>
        <w:t xml:space="preserve"> 1. Техническая оценка </w:t>
      </w:r>
    </w:p>
    <w:bookmarkEnd w:id="5223"/>
    <w:bookmarkStart w:name="z5404" w:id="5224"/>
    <w:p>
      <w:pPr>
        <w:spacing w:after="0"/>
        <w:ind w:left="0"/>
        <w:jc w:val="both"/>
      </w:pPr>
      <w:r>
        <w:rPr>
          <w:rFonts w:ascii="Times New Roman"/>
          <w:b w:val="false"/>
          <w:i w:val="false"/>
          <w:color w:val="000000"/>
          <w:sz w:val="28"/>
        </w:rPr>
        <w:t>
      1.1. Набор</w:t>
      </w:r>
    </w:p>
    <w:bookmarkEnd w:id="5224"/>
    <w:bookmarkStart w:name="z5405" w:id="5225"/>
    <w:p>
      <w:pPr>
        <w:spacing w:after="0"/>
        <w:ind w:left="0"/>
        <w:jc w:val="both"/>
      </w:pPr>
      <w:r>
        <w:rPr>
          <w:rFonts w:ascii="Times New Roman"/>
          <w:b w:val="false"/>
          <w:i w:val="false"/>
          <w:color w:val="000000"/>
          <w:sz w:val="28"/>
        </w:rPr>
        <w:t>
       </w:t>
      </w:r>
    </w:p>
    <w:bookmarkEnd w:id="52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06" w:id="5226"/>
          <w:p>
            <w:pPr>
              <w:spacing w:after="20"/>
              <w:ind w:left="20"/>
              <w:jc w:val="both"/>
            </w:pPr>
            <w:r>
              <w:rPr>
                <w:rFonts w:ascii="Times New Roman"/>
                <w:b w:val="false"/>
                <w:i w:val="false"/>
                <w:color w:val="000000"/>
                <w:sz w:val="20"/>
              </w:rPr>
              <w:t xml:space="preserve">
Опрошенная популяция приемлема? </w:t>
            </w:r>
          </w:p>
          <w:bookmarkEnd w:id="522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5407" w:id="5227"/>
    <w:p>
      <w:pPr>
        <w:spacing w:after="0"/>
        <w:ind w:left="0"/>
        <w:jc w:val="both"/>
      </w:pPr>
      <w:r>
        <w:rPr>
          <w:rFonts w:ascii="Times New Roman"/>
          <w:b w:val="false"/>
          <w:i w:val="false"/>
          <w:color w:val="000000"/>
          <w:sz w:val="28"/>
        </w:rPr>
        <w:t>
       </w:t>
      </w:r>
    </w:p>
    <w:bookmarkEnd w:id="5227"/>
    <w:bookmarkStart w:name="z5408" w:id="5228"/>
    <w:p>
      <w:pPr>
        <w:spacing w:after="0"/>
        <w:ind w:left="0"/>
        <w:jc w:val="both"/>
      </w:pPr>
      <w:r>
        <w:rPr>
          <w:rFonts w:ascii="Times New Roman"/>
          <w:b w:val="false"/>
          <w:i w:val="false"/>
          <w:color w:val="000000"/>
          <w:sz w:val="28"/>
        </w:rPr>
        <w:t>
      Комментарии (дополнительная) информация ______________________</w:t>
      </w:r>
    </w:p>
    <w:bookmarkEnd w:id="5228"/>
    <w:bookmarkStart w:name="z5409" w:id="5229"/>
    <w:p>
      <w:pPr>
        <w:spacing w:after="0"/>
        <w:ind w:left="0"/>
        <w:jc w:val="both"/>
      </w:pPr>
      <w:r>
        <w:rPr>
          <w:rFonts w:ascii="Times New Roman"/>
          <w:b w:val="false"/>
          <w:i w:val="false"/>
          <w:color w:val="000000"/>
          <w:sz w:val="28"/>
        </w:rPr>
        <w:t>
       </w:t>
      </w:r>
    </w:p>
    <w:bookmarkEnd w:id="5229"/>
    <w:bookmarkStart w:name="z5410" w:id="5230"/>
    <w:p>
      <w:pPr>
        <w:spacing w:after="0"/>
        <w:ind w:left="0"/>
        <w:jc w:val="both"/>
      </w:pPr>
      <w:r>
        <w:rPr>
          <w:rFonts w:ascii="Times New Roman"/>
          <w:b w:val="false"/>
          <w:i w:val="false"/>
          <w:color w:val="000000"/>
          <w:sz w:val="28"/>
        </w:rPr>
        <w:t>
      1.2. Вопросник</w:t>
      </w:r>
    </w:p>
    <w:bookmarkEnd w:id="5230"/>
    <w:bookmarkStart w:name="z5411" w:id="5231"/>
    <w:p>
      <w:pPr>
        <w:spacing w:after="0"/>
        <w:ind w:left="0"/>
        <w:jc w:val="both"/>
      </w:pPr>
      <w:r>
        <w:rPr>
          <w:rFonts w:ascii="Times New Roman"/>
          <w:b w:val="false"/>
          <w:i w:val="false"/>
          <w:color w:val="000000"/>
          <w:sz w:val="28"/>
        </w:rPr>
        <w:t>
       </w:t>
      </w:r>
    </w:p>
    <w:bookmarkEnd w:id="52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12" w:id="5232"/>
          <w:p>
            <w:pPr>
              <w:spacing w:after="20"/>
              <w:ind w:left="20"/>
              <w:jc w:val="both"/>
            </w:pPr>
            <w:r>
              <w:rPr>
                <w:rFonts w:ascii="Times New Roman"/>
                <w:b w:val="false"/>
                <w:i w:val="false"/>
                <w:color w:val="000000"/>
                <w:sz w:val="20"/>
              </w:rPr>
              <w:t xml:space="preserve">
Количество вопросов __________ является достаточным? </w:t>
            </w:r>
          </w:p>
          <w:bookmarkEnd w:id="523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413" w:id="5233"/>
          <w:p>
            <w:pPr>
              <w:spacing w:after="20"/>
              <w:ind w:left="20"/>
              <w:jc w:val="both"/>
            </w:pPr>
            <w:r>
              <w:rPr>
                <w:rFonts w:ascii="Times New Roman"/>
                <w:b w:val="false"/>
                <w:i w:val="false"/>
                <w:color w:val="000000"/>
                <w:sz w:val="20"/>
              </w:rPr>
              <w:t xml:space="preserve">
Вопросы охватывают важные аспекты (безопасность) ЛВ? </w:t>
            </w:r>
          </w:p>
          <w:bookmarkEnd w:id="523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5414" w:id="5234"/>
    <w:p>
      <w:pPr>
        <w:spacing w:after="0"/>
        <w:ind w:left="0"/>
        <w:jc w:val="both"/>
      </w:pPr>
      <w:r>
        <w:rPr>
          <w:rFonts w:ascii="Times New Roman"/>
          <w:b w:val="false"/>
          <w:i w:val="false"/>
          <w:color w:val="000000"/>
          <w:sz w:val="28"/>
        </w:rPr>
        <w:t>
       </w:t>
      </w:r>
    </w:p>
    <w:bookmarkEnd w:id="5234"/>
    <w:bookmarkStart w:name="z5415" w:id="5235"/>
    <w:p>
      <w:pPr>
        <w:spacing w:after="0"/>
        <w:ind w:left="0"/>
        <w:jc w:val="both"/>
      </w:pPr>
      <w:r>
        <w:rPr>
          <w:rFonts w:ascii="Times New Roman"/>
          <w:b w:val="false"/>
          <w:i w:val="false"/>
          <w:color w:val="000000"/>
          <w:sz w:val="28"/>
        </w:rPr>
        <w:t>
      Комментарии (дополнительная) информация ______________________</w:t>
      </w:r>
    </w:p>
    <w:bookmarkEnd w:id="5235"/>
    <w:bookmarkStart w:name="z5416" w:id="5236"/>
    <w:p>
      <w:pPr>
        <w:spacing w:after="0"/>
        <w:ind w:left="0"/>
        <w:jc w:val="both"/>
      </w:pPr>
      <w:r>
        <w:rPr>
          <w:rFonts w:ascii="Times New Roman"/>
          <w:b w:val="false"/>
          <w:i w:val="false"/>
          <w:color w:val="000000"/>
          <w:sz w:val="28"/>
        </w:rPr>
        <w:t>
       </w:t>
      </w:r>
    </w:p>
    <w:bookmarkEnd w:id="5236"/>
    <w:bookmarkStart w:name="z5417" w:id="5237"/>
    <w:p>
      <w:pPr>
        <w:spacing w:after="0"/>
        <w:ind w:left="0"/>
        <w:jc w:val="both"/>
      </w:pPr>
      <w:r>
        <w:rPr>
          <w:rFonts w:ascii="Times New Roman"/>
          <w:b w:val="false"/>
          <w:i w:val="false"/>
          <w:color w:val="000000"/>
          <w:sz w:val="28"/>
        </w:rPr>
        <w:t>
      1.3. Временные аспекты</w:t>
      </w:r>
    </w:p>
    <w:bookmarkEnd w:id="5237"/>
    <w:bookmarkStart w:name="z5418" w:id="5238"/>
    <w:p>
      <w:pPr>
        <w:spacing w:after="0"/>
        <w:ind w:left="0"/>
        <w:jc w:val="both"/>
      </w:pPr>
      <w:r>
        <w:rPr>
          <w:rFonts w:ascii="Times New Roman"/>
          <w:b w:val="false"/>
          <w:i w:val="false"/>
          <w:color w:val="000000"/>
          <w:sz w:val="28"/>
        </w:rPr>
        <w:t>
       </w:t>
      </w:r>
    </w:p>
    <w:bookmarkEnd w:id="52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19" w:id="5239"/>
          <w:p>
            <w:pPr>
              <w:spacing w:after="20"/>
              <w:ind w:left="20"/>
              <w:jc w:val="both"/>
            </w:pPr>
            <w:r>
              <w:rPr>
                <w:rFonts w:ascii="Times New Roman"/>
                <w:b w:val="false"/>
                <w:i w:val="false"/>
                <w:color w:val="000000"/>
                <w:sz w:val="20"/>
              </w:rPr>
              <w:t xml:space="preserve">
Время, предоставленное для ответа на вопросы, приемлемо? </w:t>
            </w:r>
          </w:p>
          <w:bookmarkEnd w:id="523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420" w:id="5240"/>
          <w:p>
            <w:pPr>
              <w:spacing w:after="20"/>
              <w:ind w:left="20"/>
              <w:jc w:val="both"/>
            </w:pPr>
            <w:r>
              <w:rPr>
                <w:rFonts w:ascii="Times New Roman"/>
                <w:b w:val="false"/>
                <w:i w:val="false"/>
                <w:color w:val="000000"/>
                <w:sz w:val="20"/>
              </w:rPr>
              <w:t xml:space="preserve">
Продолжительность интервью приемлема? </w:t>
            </w:r>
          </w:p>
          <w:bookmarkEnd w:id="524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5421" w:id="5241"/>
    <w:p>
      <w:pPr>
        <w:spacing w:after="0"/>
        <w:ind w:left="0"/>
        <w:jc w:val="both"/>
      </w:pPr>
      <w:r>
        <w:rPr>
          <w:rFonts w:ascii="Times New Roman"/>
          <w:b w:val="false"/>
          <w:i w:val="false"/>
          <w:color w:val="000000"/>
          <w:sz w:val="28"/>
        </w:rPr>
        <w:t>
       </w:t>
      </w:r>
    </w:p>
    <w:bookmarkEnd w:id="5241"/>
    <w:bookmarkStart w:name="z5422" w:id="5242"/>
    <w:p>
      <w:pPr>
        <w:spacing w:after="0"/>
        <w:ind w:left="0"/>
        <w:jc w:val="both"/>
      </w:pPr>
      <w:r>
        <w:rPr>
          <w:rFonts w:ascii="Times New Roman"/>
          <w:b w:val="false"/>
          <w:i w:val="false"/>
          <w:color w:val="000000"/>
          <w:sz w:val="28"/>
        </w:rPr>
        <w:t>
      Комментарии (дополнительная информация) ______________________</w:t>
      </w:r>
    </w:p>
    <w:bookmarkEnd w:id="5242"/>
    <w:bookmarkStart w:name="z5423" w:id="5243"/>
    <w:p>
      <w:pPr>
        <w:spacing w:after="0"/>
        <w:ind w:left="0"/>
        <w:jc w:val="both"/>
      </w:pPr>
      <w:r>
        <w:rPr>
          <w:rFonts w:ascii="Times New Roman"/>
          <w:b w:val="false"/>
          <w:i w:val="false"/>
          <w:color w:val="000000"/>
          <w:sz w:val="28"/>
        </w:rPr>
        <w:t>
       </w:t>
      </w:r>
    </w:p>
    <w:bookmarkEnd w:id="5243"/>
    <w:bookmarkStart w:name="z5424" w:id="5244"/>
    <w:p>
      <w:pPr>
        <w:spacing w:after="0"/>
        <w:ind w:left="0"/>
        <w:jc w:val="both"/>
      </w:pPr>
      <w:r>
        <w:rPr>
          <w:rFonts w:ascii="Times New Roman"/>
          <w:b w:val="false"/>
          <w:i w:val="false"/>
          <w:color w:val="000000"/>
          <w:sz w:val="28"/>
        </w:rPr>
        <w:t>
      1.4. Процедурные аспекты</w:t>
      </w:r>
    </w:p>
    <w:bookmarkEnd w:id="5244"/>
    <w:bookmarkStart w:name="z5425" w:id="5245"/>
    <w:p>
      <w:pPr>
        <w:spacing w:after="0"/>
        <w:ind w:left="0"/>
        <w:jc w:val="both"/>
      </w:pPr>
      <w:r>
        <w:rPr>
          <w:rFonts w:ascii="Times New Roman"/>
          <w:b w:val="false"/>
          <w:i w:val="false"/>
          <w:color w:val="000000"/>
          <w:sz w:val="28"/>
        </w:rPr>
        <w:t>
       </w:t>
      </w:r>
    </w:p>
    <w:bookmarkEnd w:id="5245"/>
    <w:bookmarkStart w:name="z5426" w:id="5246"/>
    <w:p>
      <w:pPr>
        <w:spacing w:after="0"/>
        <w:ind w:left="0"/>
        <w:jc w:val="both"/>
      </w:pPr>
      <w:r>
        <w:rPr>
          <w:rFonts w:ascii="Times New Roman"/>
          <w:b w:val="false"/>
          <w:i w:val="false"/>
          <w:color w:val="000000"/>
          <w:sz w:val="28"/>
        </w:rPr>
        <w:t>
      Раунды тестирования, включая пилотный раунд __________________</w:t>
      </w:r>
    </w:p>
    <w:bookmarkEnd w:id="5246"/>
    <w:bookmarkStart w:name="z5427" w:id="5247"/>
    <w:p>
      <w:pPr>
        <w:spacing w:after="0"/>
        <w:ind w:left="0"/>
        <w:jc w:val="both"/>
      </w:pPr>
      <w:r>
        <w:rPr>
          <w:rFonts w:ascii="Times New Roman"/>
          <w:b w:val="false"/>
          <w:i w:val="false"/>
          <w:color w:val="000000"/>
          <w:sz w:val="28"/>
        </w:rPr>
        <w:t>
      Комментарии (дополнительная информация) ______________________</w:t>
      </w:r>
    </w:p>
    <w:bookmarkEnd w:id="5247"/>
    <w:bookmarkStart w:name="z5428" w:id="5248"/>
    <w:p>
      <w:pPr>
        <w:spacing w:after="0"/>
        <w:ind w:left="0"/>
        <w:jc w:val="both"/>
      </w:pPr>
      <w:r>
        <w:rPr>
          <w:rFonts w:ascii="Times New Roman"/>
          <w:b w:val="false"/>
          <w:i w:val="false"/>
          <w:color w:val="000000"/>
          <w:sz w:val="28"/>
        </w:rPr>
        <w:t>
       </w:t>
      </w:r>
    </w:p>
    <w:bookmarkEnd w:id="5248"/>
    <w:bookmarkStart w:name="z5429" w:id="5249"/>
    <w:p>
      <w:pPr>
        <w:spacing w:after="0"/>
        <w:ind w:left="0"/>
        <w:jc w:val="both"/>
      </w:pPr>
      <w:r>
        <w:rPr>
          <w:rFonts w:ascii="Times New Roman"/>
          <w:b w:val="false"/>
          <w:i w:val="false"/>
          <w:color w:val="000000"/>
          <w:sz w:val="28"/>
        </w:rPr>
        <w:t>
      1.5. Аспекты интервью</w:t>
      </w:r>
    </w:p>
    <w:bookmarkEnd w:id="5249"/>
    <w:bookmarkStart w:name="z5430" w:id="5250"/>
    <w:p>
      <w:pPr>
        <w:spacing w:after="0"/>
        <w:ind w:left="0"/>
        <w:jc w:val="both"/>
      </w:pPr>
      <w:r>
        <w:rPr>
          <w:rFonts w:ascii="Times New Roman"/>
          <w:b w:val="false"/>
          <w:i w:val="false"/>
          <w:color w:val="000000"/>
          <w:sz w:val="28"/>
        </w:rPr>
        <w:t>
       </w:t>
      </w:r>
    </w:p>
    <w:bookmarkEnd w:id="52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31" w:id="5251"/>
          <w:p>
            <w:pPr>
              <w:spacing w:after="20"/>
              <w:ind w:left="20"/>
              <w:jc w:val="both"/>
            </w:pPr>
            <w:r>
              <w:rPr>
                <w:rFonts w:ascii="Times New Roman"/>
                <w:b w:val="false"/>
                <w:i w:val="false"/>
                <w:color w:val="000000"/>
                <w:sz w:val="20"/>
              </w:rPr>
              <w:t xml:space="preserve">
Интервью проведено структурированым (организованным) способом? </w:t>
            </w:r>
          </w:p>
          <w:bookmarkEnd w:id="525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5432" w:id="5252"/>
    <w:p>
      <w:pPr>
        <w:spacing w:after="0"/>
        <w:ind w:left="0"/>
        <w:jc w:val="both"/>
      </w:pPr>
      <w:r>
        <w:rPr>
          <w:rFonts w:ascii="Times New Roman"/>
          <w:b w:val="false"/>
          <w:i w:val="false"/>
          <w:color w:val="000000"/>
          <w:sz w:val="28"/>
        </w:rPr>
        <w:t>
       </w:t>
      </w:r>
    </w:p>
    <w:bookmarkEnd w:id="5252"/>
    <w:bookmarkStart w:name="z5433" w:id="5253"/>
    <w:p>
      <w:pPr>
        <w:spacing w:after="0"/>
        <w:ind w:left="0"/>
        <w:jc w:val="both"/>
      </w:pPr>
      <w:r>
        <w:rPr>
          <w:rFonts w:ascii="Times New Roman"/>
          <w:b w:val="false"/>
          <w:i w:val="false"/>
          <w:color w:val="000000"/>
          <w:sz w:val="28"/>
        </w:rPr>
        <w:t>
      Комментарии (дополнительная) информация ______________________</w:t>
      </w:r>
    </w:p>
    <w:bookmarkEnd w:id="5253"/>
    <w:bookmarkStart w:name="z5434" w:id="5254"/>
    <w:p>
      <w:pPr>
        <w:spacing w:after="0"/>
        <w:ind w:left="0"/>
        <w:jc w:val="both"/>
      </w:pPr>
      <w:r>
        <w:rPr>
          <w:rFonts w:ascii="Times New Roman"/>
          <w:b w:val="false"/>
          <w:i w:val="false"/>
          <w:color w:val="000000"/>
          <w:sz w:val="28"/>
        </w:rPr>
        <w:t>
       </w:t>
      </w:r>
    </w:p>
    <w:bookmarkEnd w:id="5254"/>
    <w:bookmarkStart w:name="z5435" w:id="5255"/>
    <w:p>
      <w:pPr>
        <w:spacing w:after="0"/>
        <w:ind w:left="0"/>
        <w:jc w:val="left"/>
      </w:pPr>
      <w:r>
        <w:rPr>
          <w:rFonts w:ascii="Times New Roman"/>
          <w:b/>
          <w:i w:val="false"/>
          <w:color w:val="000000"/>
        </w:rPr>
        <w:t xml:space="preserve"> 2. Оценка ответов </w:t>
      </w:r>
    </w:p>
    <w:bookmarkEnd w:id="5255"/>
    <w:bookmarkStart w:name="z5436" w:id="5256"/>
    <w:p>
      <w:pPr>
        <w:spacing w:after="0"/>
        <w:ind w:left="0"/>
        <w:jc w:val="both"/>
      </w:pPr>
      <w:r>
        <w:rPr>
          <w:rFonts w:ascii="Times New Roman"/>
          <w:b w:val="false"/>
          <w:i w:val="false"/>
          <w:color w:val="000000"/>
          <w:sz w:val="28"/>
        </w:rPr>
        <w:t>
       </w:t>
      </w:r>
    </w:p>
    <w:bookmarkEnd w:id="5256"/>
    <w:bookmarkStart w:name="z5437" w:id="5257"/>
    <w:p>
      <w:pPr>
        <w:spacing w:after="0"/>
        <w:ind w:left="0"/>
        <w:jc w:val="both"/>
      </w:pPr>
      <w:r>
        <w:rPr>
          <w:rFonts w:ascii="Times New Roman"/>
          <w:b w:val="false"/>
          <w:i w:val="false"/>
          <w:color w:val="000000"/>
          <w:sz w:val="28"/>
        </w:rPr>
        <w:t>
      2.1. Система оценки</w:t>
      </w:r>
    </w:p>
    <w:bookmarkEnd w:id="5257"/>
    <w:bookmarkStart w:name="z5438" w:id="5258"/>
    <w:p>
      <w:pPr>
        <w:spacing w:after="0"/>
        <w:ind w:left="0"/>
        <w:jc w:val="both"/>
      </w:pPr>
      <w:r>
        <w:rPr>
          <w:rFonts w:ascii="Times New Roman"/>
          <w:b w:val="false"/>
          <w:i w:val="false"/>
          <w:color w:val="000000"/>
          <w:sz w:val="28"/>
        </w:rPr>
        <w:t>
       </w:t>
      </w:r>
    </w:p>
    <w:bookmarkEnd w:id="52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39" w:id="5259"/>
          <w:p>
            <w:pPr>
              <w:spacing w:after="20"/>
              <w:ind w:left="20"/>
              <w:jc w:val="both"/>
            </w:pPr>
            <w:r>
              <w:rPr>
                <w:rFonts w:ascii="Times New Roman"/>
                <w:b w:val="false"/>
                <w:i w:val="false"/>
                <w:color w:val="000000"/>
                <w:sz w:val="20"/>
              </w:rPr>
              <w:t xml:space="preserve">
Качественная оценка ответов приемлема? </w:t>
            </w:r>
          </w:p>
          <w:bookmarkEnd w:id="525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440" w:id="5260"/>
          <w:p>
            <w:pPr>
              <w:spacing w:after="20"/>
              <w:ind w:left="20"/>
              <w:jc w:val="both"/>
            </w:pPr>
            <w:r>
              <w:rPr>
                <w:rFonts w:ascii="Times New Roman"/>
                <w:b w:val="false"/>
                <w:i w:val="false"/>
                <w:color w:val="000000"/>
                <w:sz w:val="20"/>
              </w:rPr>
              <w:t xml:space="preserve">
Методология оценки соответствует минимуму требований? </w:t>
            </w:r>
          </w:p>
          <w:bookmarkEnd w:id="526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5441" w:id="5261"/>
    <w:p>
      <w:pPr>
        <w:spacing w:after="0"/>
        <w:ind w:left="0"/>
        <w:jc w:val="both"/>
      </w:pPr>
      <w:r>
        <w:rPr>
          <w:rFonts w:ascii="Times New Roman"/>
          <w:b w:val="false"/>
          <w:i w:val="false"/>
          <w:color w:val="000000"/>
          <w:sz w:val="28"/>
        </w:rPr>
        <w:t>
       </w:t>
      </w:r>
    </w:p>
    <w:bookmarkEnd w:id="5261"/>
    <w:bookmarkStart w:name="z5442" w:id="5262"/>
    <w:p>
      <w:pPr>
        <w:spacing w:after="0"/>
        <w:ind w:left="0"/>
        <w:jc w:val="both"/>
      </w:pPr>
      <w:r>
        <w:rPr>
          <w:rFonts w:ascii="Times New Roman"/>
          <w:b w:val="false"/>
          <w:i w:val="false"/>
          <w:color w:val="000000"/>
          <w:sz w:val="28"/>
        </w:rPr>
        <w:t>
      Комментарии (дополнительная) информация ______________________</w:t>
      </w:r>
    </w:p>
    <w:bookmarkEnd w:id="5262"/>
    <w:bookmarkStart w:name="z5443" w:id="5263"/>
    <w:p>
      <w:pPr>
        <w:spacing w:after="0"/>
        <w:ind w:left="0"/>
        <w:jc w:val="both"/>
      </w:pPr>
      <w:r>
        <w:rPr>
          <w:rFonts w:ascii="Times New Roman"/>
          <w:b w:val="false"/>
          <w:i w:val="false"/>
          <w:color w:val="000000"/>
          <w:sz w:val="28"/>
        </w:rPr>
        <w:t>
       </w:t>
      </w:r>
    </w:p>
    <w:bookmarkEnd w:id="5263"/>
    <w:bookmarkStart w:name="z5444" w:id="5264"/>
    <w:p>
      <w:pPr>
        <w:spacing w:after="0"/>
        <w:ind w:left="0"/>
        <w:jc w:val="both"/>
      </w:pPr>
      <w:r>
        <w:rPr>
          <w:rFonts w:ascii="Times New Roman"/>
          <w:b w:val="false"/>
          <w:i w:val="false"/>
          <w:color w:val="000000"/>
          <w:sz w:val="28"/>
        </w:rPr>
        <w:t>
      2.2. Рейтинговая система вопросов</w:t>
      </w:r>
    </w:p>
    <w:bookmarkEnd w:id="5264"/>
    <w:bookmarkStart w:name="z5445" w:id="5265"/>
    <w:p>
      <w:pPr>
        <w:spacing w:after="0"/>
        <w:ind w:left="0"/>
        <w:jc w:val="both"/>
      </w:pPr>
      <w:r>
        <w:rPr>
          <w:rFonts w:ascii="Times New Roman"/>
          <w:b w:val="false"/>
          <w:i w:val="false"/>
          <w:color w:val="000000"/>
          <w:sz w:val="28"/>
        </w:rPr>
        <w:t>
       </w:t>
      </w:r>
    </w:p>
    <w:bookmarkEnd w:id="5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46" w:id="5266"/>
          <w:p>
            <w:pPr>
              <w:spacing w:after="20"/>
              <w:ind w:left="20"/>
              <w:jc w:val="both"/>
            </w:pPr>
            <w:r>
              <w:rPr>
                <w:rFonts w:ascii="Times New Roman"/>
                <w:b w:val="false"/>
                <w:i w:val="false"/>
                <w:color w:val="000000"/>
                <w:sz w:val="20"/>
              </w:rPr>
              <w:t xml:space="preserve">
Количественная оценка ответов приемлема? </w:t>
            </w:r>
          </w:p>
          <w:bookmarkEnd w:id="526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bl>
    <w:bookmarkStart w:name="z5447" w:id="5267"/>
    <w:p>
      <w:pPr>
        <w:spacing w:after="0"/>
        <w:ind w:left="0"/>
        <w:jc w:val="both"/>
      </w:pPr>
      <w:r>
        <w:rPr>
          <w:rFonts w:ascii="Times New Roman"/>
          <w:b w:val="false"/>
          <w:i w:val="false"/>
          <w:color w:val="000000"/>
          <w:sz w:val="28"/>
        </w:rPr>
        <w:t>
       </w:t>
      </w:r>
    </w:p>
    <w:bookmarkEnd w:id="5267"/>
    <w:bookmarkStart w:name="z5448" w:id="5268"/>
    <w:p>
      <w:pPr>
        <w:spacing w:after="0"/>
        <w:ind w:left="0"/>
        <w:jc w:val="both"/>
      </w:pPr>
      <w:r>
        <w:rPr>
          <w:rFonts w:ascii="Times New Roman"/>
          <w:b w:val="false"/>
          <w:i w:val="false"/>
          <w:color w:val="000000"/>
          <w:sz w:val="28"/>
        </w:rPr>
        <w:t>
      Комментарии (дополнительная) информация ______________________</w:t>
      </w:r>
    </w:p>
    <w:bookmarkEnd w:id="5268"/>
    <w:bookmarkStart w:name="z5449" w:id="5269"/>
    <w:p>
      <w:pPr>
        <w:spacing w:after="0"/>
        <w:ind w:left="0"/>
        <w:jc w:val="both"/>
      </w:pPr>
      <w:r>
        <w:rPr>
          <w:rFonts w:ascii="Times New Roman"/>
          <w:b w:val="false"/>
          <w:i w:val="false"/>
          <w:color w:val="000000"/>
          <w:sz w:val="28"/>
        </w:rPr>
        <w:t>
       </w:t>
      </w:r>
    </w:p>
    <w:bookmarkEnd w:id="5269"/>
    <w:bookmarkStart w:name="z5450" w:id="5270"/>
    <w:p>
      <w:pPr>
        <w:spacing w:after="0"/>
        <w:ind w:left="0"/>
        <w:jc w:val="left"/>
      </w:pPr>
      <w:r>
        <w:rPr>
          <w:rFonts w:ascii="Times New Roman"/>
          <w:b/>
          <w:i w:val="false"/>
          <w:color w:val="000000"/>
        </w:rPr>
        <w:t xml:space="preserve"> 3. Обработка данных </w:t>
      </w:r>
    </w:p>
    <w:bookmarkEnd w:id="5270"/>
    <w:bookmarkStart w:name="z5451" w:id="5271"/>
    <w:p>
      <w:pPr>
        <w:spacing w:after="0"/>
        <w:ind w:left="0"/>
        <w:jc w:val="both"/>
      </w:pPr>
      <w:r>
        <w:rPr>
          <w:rFonts w:ascii="Times New Roman"/>
          <w:b w:val="false"/>
          <w:i w:val="false"/>
          <w:color w:val="000000"/>
          <w:sz w:val="28"/>
        </w:rPr>
        <w:t>
       </w:t>
      </w:r>
    </w:p>
    <w:bookmarkEnd w:id="52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52" w:id="5272"/>
          <w:p>
            <w:pPr>
              <w:spacing w:after="20"/>
              <w:ind w:left="20"/>
              <w:jc w:val="both"/>
            </w:pPr>
            <w:r>
              <w:rPr>
                <w:rFonts w:ascii="Times New Roman"/>
                <w:b w:val="false"/>
                <w:i w:val="false"/>
                <w:color w:val="000000"/>
                <w:sz w:val="20"/>
              </w:rPr>
              <w:t xml:space="preserve">
Данные должным образом фиксируются и документируются? </w:t>
            </w:r>
          </w:p>
          <w:bookmarkEnd w:id="527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bl>
    <w:bookmarkStart w:name="z5453" w:id="5273"/>
    <w:p>
      <w:pPr>
        <w:spacing w:after="0"/>
        <w:ind w:left="0"/>
        <w:jc w:val="both"/>
      </w:pPr>
      <w:r>
        <w:rPr>
          <w:rFonts w:ascii="Times New Roman"/>
          <w:b w:val="false"/>
          <w:i w:val="false"/>
          <w:color w:val="000000"/>
          <w:sz w:val="28"/>
        </w:rPr>
        <w:t>
       </w:t>
      </w:r>
    </w:p>
    <w:bookmarkEnd w:id="5273"/>
    <w:bookmarkStart w:name="z5454" w:id="5274"/>
    <w:p>
      <w:pPr>
        <w:spacing w:after="0"/>
        <w:ind w:left="0"/>
        <w:jc w:val="both"/>
      </w:pPr>
      <w:r>
        <w:rPr>
          <w:rFonts w:ascii="Times New Roman"/>
          <w:b w:val="false"/>
          <w:i w:val="false"/>
          <w:color w:val="000000"/>
          <w:sz w:val="28"/>
        </w:rPr>
        <w:t>
      Комментарии (дополнительная) информация ______________________</w:t>
      </w:r>
    </w:p>
    <w:bookmarkEnd w:id="5274"/>
    <w:bookmarkStart w:name="z5455" w:id="5275"/>
    <w:p>
      <w:pPr>
        <w:spacing w:after="0"/>
        <w:ind w:left="0"/>
        <w:jc w:val="both"/>
      </w:pPr>
      <w:r>
        <w:rPr>
          <w:rFonts w:ascii="Times New Roman"/>
          <w:b w:val="false"/>
          <w:i w:val="false"/>
          <w:color w:val="000000"/>
          <w:sz w:val="28"/>
        </w:rPr>
        <w:t>
       </w:t>
      </w:r>
    </w:p>
    <w:bookmarkEnd w:id="5275"/>
    <w:bookmarkStart w:name="z5456" w:id="5276"/>
    <w:p>
      <w:pPr>
        <w:spacing w:after="0"/>
        <w:ind w:left="0"/>
        <w:jc w:val="left"/>
      </w:pPr>
      <w:r>
        <w:rPr>
          <w:rFonts w:ascii="Times New Roman"/>
          <w:b/>
          <w:i w:val="false"/>
          <w:color w:val="000000"/>
        </w:rPr>
        <w:t xml:space="preserve"> 4. Аспекты качества </w:t>
      </w:r>
    </w:p>
    <w:bookmarkEnd w:id="5276"/>
    <w:bookmarkStart w:name="z5457" w:id="5277"/>
    <w:p>
      <w:pPr>
        <w:spacing w:after="0"/>
        <w:ind w:left="0"/>
        <w:jc w:val="both"/>
      </w:pPr>
      <w:r>
        <w:rPr>
          <w:rFonts w:ascii="Times New Roman"/>
          <w:b w:val="false"/>
          <w:i w:val="false"/>
          <w:color w:val="000000"/>
          <w:sz w:val="28"/>
        </w:rPr>
        <w:t>
       </w:t>
      </w:r>
    </w:p>
    <w:bookmarkEnd w:id="5277"/>
    <w:bookmarkStart w:name="z5458" w:id="5278"/>
    <w:p>
      <w:pPr>
        <w:spacing w:after="0"/>
        <w:ind w:left="0"/>
        <w:jc w:val="both"/>
      </w:pPr>
      <w:r>
        <w:rPr>
          <w:rFonts w:ascii="Times New Roman"/>
          <w:b w:val="false"/>
          <w:i w:val="false"/>
          <w:color w:val="000000"/>
          <w:sz w:val="28"/>
        </w:rPr>
        <w:t>
      4.1. Оценка диагностических вопросов</w:t>
      </w:r>
    </w:p>
    <w:bookmarkEnd w:id="5278"/>
    <w:bookmarkStart w:name="z5459" w:id="5279"/>
    <w:p>
      <w:pPr>
        <w:spacing w:after="0"/>
        <w:ind w:left="0"/>
        <w:jc w:val="both"/>
      </w:pPr>
      <w:r>
        <w:rPr>
          <w:rFonts w:ascii="Times New Roman"/>
          <w:b w:val="false"/>
          <w:i w:val="false"/>
          <w:color w:val="000000"/>
          <w:sz w:val="28"/>
        </w:rPr>
        <w:t>
       </w:t>
      </w:r>
    </w:p>
    <w:bookmarkEnd w:id="52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60" w:id="5280"/>
          <w:p>
            <w:pPr>
              <w:spacing w:after="20"/>
              <w:ind w:left="20"/>
              <w:jc w:val="both"/>
            </w:pPr>
            <w:r>
              <w:rPr>
                <w:rFonts w:ascii="Times New Roman"/>
                <w:b w:val="false"/>
                <w:i w:val="false"/>
                <w:color w:val="000000"/>
                <w:sz w:val="20"/>
              </w:rPr>
              <w:t xml:space="preserve">
Методология соответствует Приложению к Требованиям к инструкции по медицинскому применению лекарственного препарата и общей характеристики лекарственного препарата для медицинского применения? </w:t>
            </w:r>
          </w:p>
          <w:bookmarkEnd w:id="528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461" w:id="5281"/>
          <w:p>
            <w:pPr>
              <w:spacing w:after="20"/>
              <w:ind w:left="20"/>
              <w:jc w:val="both"/>
            </w:pPr>
            <w:r>
              <w:rPr>
                <w:rFonts w:ascii="Times New Roman"/>
                <w:b w:val="false"/>
                <w:i w:val="false"/>
                <w:color w:val="000000"/>
                <w:sz w:val="20"/>
              </w:rPr>
              <w:t xml:space="preserve">
В целом, каждый вопрос отвечает критерию 81% правильных ответов? </w:t>
            </w:r>
          </w:p>
          <w:bookmarkEnd w:id="528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bl>
    <w:bookmarkStart w:name="z5462" w:id="5282"/>
    <w:p>
      <w:pPr>
        <w:spacing w:after="0"/>
        <w:ind w:left="0"/>
        <w:jc w:val="both"/>
      </w:pPr>
      <w:r>
        <w:rPr>
          <w:rFonts w:ascii="Times New Roman"/>
          <w:b w:val="false"/>
          <w:i w:val="false"/>
          <w:color w:val="000000"/>
          <w:sz w:val="28"/>
        </w:rPr>
        <w:t>
       </w:t>
      </w:r>
    </w:p>
    <w:bookmarkEnd w:id="5282"/>
    <w:bookmarkStart w:name="z5463" w:id="5283"/>
    <w:p>
      <w:pPr>
        <w:spacing w:after="0"/>
        <w:ind w:left="0"/>
        <w:jc w:val="both"/>
      </w:pPr>
      <w:r>
        <w:rPr>
          <w:rFonts w:ascii="Times New Roman"/>
          <w:b w:val="false"/>
          <w:i w:val="false"/>
          <w:color w:val="000000"/>
          <w:sz w:val="28"/>
        </w:rPr>
        <w:t>
      Комментарии (дополнительная информация) ______________________</w:t>
      </w:r>
    </w:p>
    <w:bookmarkEnd w:id="5283"/>
    <w:bookmarkStart w:name="z5464" w:id="5284"/>
    <w:p>
      <w:pPr>
        <w:spacing w:after="0"/>
        <w:ind w:left="0"/>
        <w:jc w:val="both"/>
      </w:pPr>
      <w:r>
        <w:rPr>
          <w:rFonts w:ascii="Times New Roman"/>
          <w:b w:val="false"/>
          <w:i w:val="false"/>
          <w:color w:val="000000"/>
          <w:sz w:val="28"/>
        </w:rPr>
        <w:t>
       </w:t>
      </w:r>
    </w:p>
    <w:bookmarkEnd w:id="5284"/>
    <w:bookmarkStart w:name="z5465" w:id="5285"/>
    <w:p>
      <w:pPr>
        <w:spacing w:after="0"/>
        <w:ind w:left="0"/>
        <w:jc w:val="both"/>
      </w:pPr>
      <w:r>
        <w:rPr>
          <w:rFonts w:ascii="Times New Roman"/>
          <w:b w:val="false"/>
          <w:i w:val="false"/>
          <w:color w:val="000000"/>
          <w:sz w:val="28"/>
        </w:rPr>
        <w:t>
      4.2. Оценка макета и дизайна</w:t>
      </w:r>
    </w:p>
    <w:bookmarkEnd w:id="52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66" w:id="5286"/>
          <w:p>
            <w:pPr>
              <w:spacing w:after="20"/>
              <w:ind w:left="20"/>
              <w:jc w:val="both"/>
            </w:pPr>
            <w:r>
              <w:rPr>
                <w:rFonts w:ascii="Times New Roman"/>
                <w:b w:val="false"/>
                <w:i w:val="false"/>
                <w:color w:val="000000"/>
                <w:sz w:val="20"/>
              </w:rPr>
              <w:t xml:space="preserve">
Общие принципы дизайна приложения к Требованиям к инструкции по медицинскому применению лекарственного препарата и общей характеристики лекарственного препарата для медицинского применения соблюдены? </w:t>
            </w:r>
          </w:p>
          <w:bookmarkEnd w:id="528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467" w:id="5287"/>
          <w:p>
            <w:pPr>
              <w:spacing w:after="20"/>
              <w:ind w:left="20"/>
              <w:jc w:val="both"/>
            </w:pPr>
            <w:r>
              <w:rPr>
                <w:rFonts w:ascii="Times New Roman"/>
                <w:b w:val="false"/>
                <w:i w:val="false"/>
                <w:color w:val="000000"/>
                <w:sz w:val="20"/>
              </w:rPr>
              <w:t xml:space="preserve">
Текст изложен на языке, понятном для пациентов? </w:t>
            </w:r>
          </w:p>
          <w:bookmarkEnd w:id="528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468" w:id="5288"/>
          <w:p>
            <w:pPr>
              <w:spacing w:after="20"/>
              <w:ind w:left="20"/>
              <w:jc w:val="both"/>
            </w:pPr>
            <w:r>
              <w:rPr>
                <w:rFonts w:ascii="Times New Roman"/>
                <w:b w:val="false"/>
                <w:i w:val="false"/>
                <w:color w:val="000000"/>
                <w:sz w:val="20"/>
              </w:rPr>
              <w:t xml:space="preserve">
По макету легко ориентироваться? </w:t>
            </w:r>
          </w:p>
          <w:bookmarkEnd w:id="528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469" w:id="5289"/>
          <w:p>
            <w:pPr>
              <w:spacing w:after="20"/>
              <w:ind w:left="20"/>
              <w:jc w:val="both"/>
            </w:pPr>
            <w:r>
              <w:rPr>
                <w:rFonts w:ascii="Times New Roman"/>
                <w:b w:val="false"/>
                <w:i w:val="false"/>
                <w:color w:val="000000"/>
                <w:sz w:val="20"/>
              </w:rPr>
              <w:t xml:space="preserve">
Применение схем приемлемо? </w:t>
            </w:r>
          </w:p>
          <w:bookmarkEnd w:id="528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5470" w:id="5290"/>
    <w:p>
      <w:pPr>
        <w:spacing w:after="0"/>
        <w:ind w:left="0"/>
        <w:jc w:val="both"/>
      </w:pPr>
      <w:r>
        <w:rPr>
          <w:rFonts w:ascii="Times New Roman"/>
          <w:b w:val="false"/>
          <w:i w:val="false"/>
          <w:color w:val="000000"/>
          <w:sz w:val="28"/>
        </w:rPr>
        <w:t>
       </w:t>
      </w:r>
    </w:p>
    <w:bookmarkEnd w:id="5290"/>
    <w:bookmarkStart w:name="z5471" w:id="5291"/>
    <w:p>
      <w:pPr>
        <w:spacing w:after="0"/>
        <w:ind w:left="0"/>
        <w:jc w:val="both"/>
      </w:pPr>
      <w:r>
        <w:rPr>
          <w:rFonts w:ascii="Times New Roman"/>
          <w:b w:val="false"/>
          <w:i w:val="false"/>
          <w:color w:val="000000"/>
          <w:sz w:val="28"/>
        </w:rPr>
        <w:t>
      Комментарии (дополнительная информация) ______________________</w:t>
      </w:r>
    </w:p>
    <w:bookmarkEnd w:id="5291"/>
    <w:bookmarkStart w:name="z5472" w:id="5292"/>
    <w:p>
      <w:pPr>
        <w:spacing w:after="0"/>
        <w:ind w:left="0"/>
        <w:jc w:val="both"/>
      </w:pPr>
      <w:r>
        <w:rPr>
          <w:rFonts w:ascii="Times New Roman"/>
          <w:b w:val="false"/>
          <w:i w:val="false"/>
          <w:color w:val="000000"/>
          <w:sz w:val="28"/>
        </w:rPr>
        <w:t>
       </w:t>
      </w:r>
    </w:p>
    <w:bookmarkEnd w:id="5292"/>
    <w:bookmarkStart w:name="z5473" w:id="5293"/>
    <w:p>
      <w:pPr>
        <w:spacing w:after="0"/>
        <w:ind w:left="0"/>
        <w:jc w:val="left"/>
      </w:pPr>
      <w:r>
        <w:rPr>
          <w:rFonts w:ascii="Times New Roman"/>
          <w:b/>
          <w:i w:val="false"/>
          <w:color w:val="000000"/>
        </w:rPr>
        <w:t xml:space="preserve"> 5. Качество диагностики (оценки) </w:t>
      </w:r>
    </w:p>
    <w:bookmarkEnd w:id="5293"/>
    <w:bookmarkStart w:name="z5474" w:id="5294"/>
    <w:p>
      <w:pPr>
        <w:spacing w:after="0"/>
        <w:ind w:left="0"/>
        <w:jc w:val="both"/>
      </w:pPr>
      <w:r>
        <w:rPr>
          <w:rFonts w:ascii="Times New Roman"/>
          <w:b w:val="false"/>
          <w:i w:val="false"/>
          <w:color w:val="000000"/>
          <w:sz w:val="28"/>
        </w:rPr>
        <w:t>
       </w:t>
      </w:r>
    </w:p>
    <w:bookmarkEnd w:id="52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75" w:id="5295"/>
          <w:p>
            <w:pPr>
              <w:spacing w:after="20"/>
              <w:ind w:left="20"/>
              <w:jc w:val="both"/>
            </w:pPr>
            <w:r>
              <w:rPr>
                <w:rFonts w:ascii="Times New Roman"/>
                <w:b w:val="false"/>
                <w:i w:val="false"/>
                <w:color w:val="000000"/>
                <w:sz w:val="20"/>
              </w:rPr>
              <w:t xml:space="preserve">
Какие-либо слабые стороны в ЛВ выявлены? </w:t>
            </w:r>
          </w:p>
          <w:bookmarkEnd w:id="529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476" w:id="5296"/>
          <w:p>
            <w:pPr>
              <w:spacing w:after="20"/>
              <w:ind w:left="20"/>
              <w:jc w:val="both"/>
            </w:pPr>
            <w:r>
              <w:rPr>
                <w:rFonts w:ascii="Times New Roman"/>
                <w:b w:val="false"/>
                <w:i w:val="false"/>
                <w:color w:val="000000"/>
                <w:sz w:val="20"/>
              </w:rPr>
              <w:t xml:space="preserve">
Слабые стороны надлежащим образом устранены? </w:t>
            </w:r>
          </w:p>
          <w:bookmarkEnd w:id="529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bookmarkStart w:name="z5478" w:id="5297"/>
    <w:p>
      <w:pPr>
        <w:spacing w:after="0"/>
        <w:ind w:left="0"/>
        <w:jc w:val="both"/>
      </w:pPr>
      <w:r>
        <w:rPr>
          <w:rFonts w:ascii="Times New Roman"/>
          <w:b w:val="false"/>
          <w:i w:val="false"/>
          <w:color w:val="000000"/>
          <w:sz w:val="28"/>
        </w:rPr>
        <w:t>
      Комментарии (дополнительная информация) ______________________</w:t>
      </w:r>
    </w:p>
    <w:bookmarkEnd w:id="5297"/>
    <w:bookmarkStart w:name="z5479" w:id="5298"/>
    <w:p>
      <w:pPr>
        <w:spacing w:after="0"/>
        <w:ind w:left="0"/>
        <w:jc w:val="both"/>
      </w:pPr>
      <w:r>
        <w:rPr>
          <w:rFonts w:ascii="Times New Roman"/>
          <w:b w:val="false"/>
          <w:i w:val="false"/>
          <w:color w:val="000000"/>
          <w:sz w:val="28"/>
        </w:rPr>
        <w:t>
       </w:t>
      </w:r>
    </w:p>
    <w:bookmarkEnd w:id="5298"/>
    <w:bookmarkStart w:name="z5480" w:id="5299"/>
    <w:p>
      <w:pPr>
        <w:spacing w:after="0"/>
        <w:ind w:left="0"/>
        <w:jc w:val="left"/>
      </w:pPr>
      <w:r>
        <w:rPr>
          <w:rFonts w:ascii="Times New Roman"/>
          <w:b/>
          <w:i w:val="false"/>
          <w:color w:val="000000"/>
        </w:rPr>
        <w:t xml:space="preserve"> 6. Заключение </w:t>
      </w:r>
    </w:p>
    <w:bookmarkEnd w:id="5299"/>
    <w:bookmarkStart w:name="z5481" w:id="5300"/>
    <w:p>
      <w:pPr>
        <w:spacing w:after="0"/>
        <w:ind w:left="0"/>
        <w:jc w:val="both"/>
      </w:pPr>
      <w:r>
        <w:rPr>
          <w:rFonts w:ascii="Times New Roman"/>
          <w:b w:val="false"/>
          <w:i w:val="false"/>
          <w:color w:val="000000"/>
          <w:sz w:val="28"/>
        </w:rPr>
        <w:t>
       </w:t>
      </w:r>
    </w:p>
    <w:bookmarkEnd w:id="5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5301"/>
          <w:p>
            <w:pPr>
              <w:spacing w:after="20"/>
              <w:ind w:left="20"/>
              <w:jc w:val="both"/>
            </w:pPr>
            <w:r>
              <w:rPr>
                <w:rFonts w:ascii="Times New Roman"/>
                <w:b w:val="false"/>
                <w:i w:val="false"/>
                <w:color w:val="000000"/>
                <w:sz w:val="20"/>
              </w:rPr>
              <w:t xml:space="preserve">
Главные задачи пользовательского тестирования достигнуты? </w:t>
            </w:r>
          </w:p>
          <w:bookmarkEnd w:id="5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5302"/>
          <w:p>
            <w:pPr>
              <w:spacing w:after="20"/>
              <w:ind w:left="20"/>
              <w:jc w:val="both"/>
            </w:pPr>
            <w:r>
              <w:rPr>
                <w:rFonts w:ascii="Times New Roman"/>
                <w:b w:val="false"/>
                <w:i w:val="false"/>
                <w:color w:val="000000"/>
                <w:sz w:val="20"/>
              </w:rPr>
              <w:t xml:space="preserve">
Заключение заявителя верно? </w:t>
            </w:r>
          </w:p>
          <w:bookmarkEnd w:id="5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нет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5303"/>
          <w:p>
            <w:pPr>
              <w:spacing w:after="20"/>
              <w:ind w:left="20"/>
              <w:jc w:val="both"/>
            </w:pPr>
            <w:r>
              <w:rPr>
                <w:rFonts w:ascii="Times New Roman"/>
                <w:b w:val="false"/>
                <w:i w:val="false"/>
                <w:color w:val="000000"/>
                <w:sz w:val="20"/>
              </w:rPr>
              <w:t xml:space="preserve">
Общее впечатление от методологии </w:t>
            </w:r>
          </w:p>
          <w:bookmarkEnd w:id="5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положительное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отрицательное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5304"/>
          <w:p>
            <w:pPr>
              <w:spacing w:after="20"/>
              <w:ind w:left="20"/>
              <w:jc w:val="both"/>
            </w:pPr>
            <w:r>
              <w:rPr>
                <w:rFonts w:ascii="Times New Roman"/>
                <w:b w:val="false"/>
                <w:i w:val="false"/>
                <w:color w:val="000000"/>
                <w:sz w:val="20"/>
              </w:rPr>
              <w:t xml:space="preserve">
Общее впечатление от структуры листка-вкладыша </w:t>
            </w:r>
          </w:p>
          <w:bookmarkEnd w:id="5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положительное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отрицательное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5305"/>
          <w:p>
            <w:pPr>
              <w:spacing w:after="20"/>
              <w:ind w:left="20"/>
              <w:jc w:val="both"/>
            </w:pPr>
            <w:r>
              <w:rPr>
                <w:rFonts w:ascii="Times New Roman"/>
                <w:b w:val="false"/>
                <w:i w:val="false"/>
                <w:color w:val="000000"/>
                <w:sz w:val="20"/>
              </w:rPr>
              <w:t>
Заключение (резюме) _____________________________________________________</w:t>
            </w:r>
          </w:p>
          <w:bookmarkEnd w:id="5305"/>
          <w:p>
            <w:pPr>
              <w:spacing w:after="20"/>
              <w:ind w:left="20"/>
              <w:jc w:val="both"/>
            </w:pPr>
            <w:r>
              <w:rPr>
                <w:rFonts w:ascii="Times New Roman"/>
                <w:b w:val="false"/>
                <w:i w:val="false"/>
                <w:color w:val="000000"/>
                <w:sz w:val="20"/>
              </w:rPr>
              <w:t xml:space="preserve">________________________________________________________________________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для медицинского применения</w:t>
            </w:r>
          </w:p>
        </w:tc>
      </w:tr>
    </w:tbl>
    <w:p>
      <w:pPr>
        <w:spacing w:after="0"/>
        <w:ind w:left="0"/>
        <w:jc w:val="both"/>
      </w:pPr>
      <w:r>
        <w:rPr>
          <w:rFonts w:ascii="Times New Roman"/>
          <w:b w:val="false"/>
          <w:i w:val="false"/>
          <w:color w:val="ff0000"/>
          <w:sz w:val="28"/>
        </w:rPr>
        <w:t xml:space="preserve">
      Сноска. Приложение 12 с изменениями, внесенными решением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5490" w:id="5306"/>
    <w:p>
      <w:pPr>
        <w:spacing w:after="0"/>
        <w:ind w:left="0"/>
        <w:jc w:val="left"/>
      </w:pPr>
      <w:r>
        <w:rPr>
          <w:rFonts w:ascii="Times New Roman"/>
          <w:b/>
          <w:i w:val="false"/>
          <w:color w:val="000000"/>
        </w:rPr>
        <w:t xml:space="preserve"> ФОРМА ПРОТОКОЛА ИСПЫТАНИЙ </w:t>
      </w:r>
    </w:p>
    <w:bookmarkEnd w:id="5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5492" w:id="5307"/>
    <w:p>
      <w:pPr>
        <w:spacing w:after="0"/>
        <w:ind w:left="0"/>
        <w:jc w:val="both"/>
      </w:pPr>
      <w:r>
        <w:rPr>
          <w:rFonts w:ascii="Times New Roman"/>
          <w:b w:val="false"/>
          <w:i w:val="false"/>
          <w:color w:val="000000"/>
          <w:sz w:val="28"/>
        </w:rPr>
        <w:t>
      ___________________________________________________________________________</w:t>
      </w:r>
    </w:p>
    <w:bookmarkEnd w:id="5307"/>
    <w:bookmarkStart w:name="z5493" w:id="5308"/>
    <w:p>
      <w:pPr>
        <w:spacing w:after="0"/>
        <w:ind w:left="0"/>
        <w:jc w:val="both"/>
      </w:pPr>
      <w:r>
        <w:rPr>
          <w:rFonts w:ascii="Times New Roman"/>
          <w:b w:val="false"/>
          <w:i w:val="false"/>
          <w:color w:val="000000"/>
          <w:sz w:val="28"/>
        </w:rPr>
        <w:t>
       (наименование уполномоченного органа государства - члена Евразийского</w:t>
      </w:r>
    </w:p>
    <w:bookmarkEnd w:id="5308"/>
    <w:bookmarkStart w:name="z5494" w:id="5309"/>
    <w:p>
      <w:pPr>
        <w:spacing w:after="0"/>
        <w:ind w:left="0"/>
        <w:jc w:val="both"/>
      </w:pPr>
      <w:r>
        <w:rPr>
          <w:rFonts w:ascii="Times New Roman"/>
          <w:b w:val="false"/>
          <w:i w:val="false"/>
          <w:color w:val="000000"/>
          <w:sz w:val="28"/>
        </w:rPr>
        <w:t>
       экономического союза)</w:t>
      </w:r>
    </w:p>
    <w:bookmarkEnd w:id="5309"/>
    <w:bookmarkStart w:name="z5495" w:id="5310"/>
    <w:p>
      <w:pPr>
        <w:spacing w:after="0"/>
        <w:ind w:left="0"/>
        <w:jc w:val="both"/>
      </w:pPr>
      <w:r>
        <w:rPr>
          <w:rFonts w:ascii="Times New Roman"/>
          <w:b w:val="false"/>
          <w:i w:val="false"/>
          <w:color w:val="000000"/>
          <w:sz w:val="28"/>
        </w:rPr>
        <w:t>
      ___________________________________________________________________________</w:t>
      </w:r>
    </w:p>
    <w:bookmarkEnd w:id="5310"/>
    <w:bookmarkStart w:name="z5496" w:id="5311"/>
    <w:p>
      <w:pPr>
        <w:spacing w:after="0"/>
        <w:ind w:left="0"/>
        <w:jc w:val="both"/>
      </w:pPr>
      <w:r>
        <w:rPr>
          <w:rFonts w:ascii="Times New Roman"/>
          <w:b w:val="false"/>
          <w:i w:val="false"/>
          <w:color w:val="000000"/>
          <w:sz w:val="28"/>
        </w:rPr>
        <w:t>
       (наименование экспертной организации или испытательной лаборатории)</w:t>
      </w:r>
    </w:p>
    <w:bookmarkEnd w:id="5311"/>
    <w:bookmarkStart w:name="z5497" w:id="5312"/>
    <w:p>
      <w:pPr>
        <w:spacing w:after="0"/>
        <w:ind w:left="0"/>
        <w:jc w:val="both"/>
      </w:pPr>
      <w:r>
        <w:rPr>
          <w:rFonts w:ascii="Times New Roman"/>
          <w:b w:val="false"/>
          <w:i w:val="false"/>
          <w:color w:val="000000"/>
          <w:sz w:val="28"/>
        </w:rPr>
        <w:t>
      Аттестат аккредитации испытательной лаборатории ___________________________</w:t>
      </w:r>
    </w:p>
    <w:bookmarkEnd w:id="5312"/>
    <w:bookmarkStart w:name="z5498" w:id="5313"/>
    <w:p>
      <w:pPr>
        <w:spacing w:after="0"/>
        <w:ind w:left="0"/>
        <w:jc w:val="both"/>
      </w:pPr>
      <w:r>
        <w:rPr>
          <w:rFonts w:ascii="Times New Roman"/>
          <w:b w:val="false"/>
          <w:i w:val="false"/>
          <w:color w:val="000000"/>
          <w:sz w:val="28"/>
        </w:rPr>
        <w:t>
       (номер, срок действия)</w:t>
      </w:r>
    </w:p>
    <w:bookmarkEnd w:id="5313"/>
    <w:bookmarkStart w:name="z5499" w:id="5314"/>
    <w:p>
      <w:pPr>
        <w:spacing w:after="0"/>
        <w:ind w:left="0"/>
        <w:jc w:val="both"/>
      </w:pPr>
      <w:r>
        <w:rPr>
          <w:rFonts w:ascii="Times New Roman"/>
          <w:b w:val="false"/>
          <w:i w:val="false"/>
          <w:color w:val="000000"/>
          <w:sz w:val="28"/>
        </w:rPr>
        <w:t>
      ___________________________________________________________________________</w:t>
      </w:r>
    </w:p>
    <w:bookmarkEnd w:id="5314"/>
    <w:bookmarkStart w:name="z5500" w:id="5315"/>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bookmarkEnd w:id="5315"/>
    <w:bookmarkStart w:name="z5501" w:id="5316"/>
    <w:p>
      <w:pPr>
        <w:spacing w:after="0"/>
        <w:ind w:left="0"/>
        <w:jc w:val="left"/>
      </w:pPr>
      <w:r>
        <w:rPr>
          <w:rFonts w:ascii="Times New Roman"/>
          <w:b/>
          <w:i w:val="false"/>
          <w:color w:val="000000"/>
        </w:rPr>
        <w:t xml:space="preserve"> ПРОТОКОЛ ИСПЫТАНИЙ № _______ от ДД.ММ.ГГГГ</w:t>
      </w:r>
    </w:p>
    <w:bookmarkEnd w:id="5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5317"/>
          <w:p>
            <w:pPr>
              <w:spacing w:after="20"/>
              <w:ind w:left="20"/>
              <w:jc w:val="both"/>
            </w:pPr>
            <w:r>
              <w:rPr>
                <w:rFonts w:ascii="Times New Roman"/>
                <w:b w:val="false"/>
                <w:i w:val="false"/>
                <w:color w:val="000000"/>
                <w:sz w:val="20"/>
              </w:rPr>
              <w:t xml:space="preserve">
Заявитель: </w:t>
            </w:r>
          </w:p>
          <w:bookmarkEnd w:id="5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5318"/>
          <w:p>
            <w:pPr>
              <w:spacing w:after="20"/>
              <w:ind w:left="20"/>
              <w:jc w:val="both"/>
            </w:pPr>
            <w:r>
              <w:rPr>
                <w:rFonts w:ascii="Times New Roman"/>
                <w:b w:val="false"/>
                <w:i w:val="false"/>
                <w:color w:val="000000"/>
                <w:sz w:val="20"/>
              </w:rPr>
              <w:t xml:space="preserve">
Наименование и вид испытуемого материала: </w:t>
            </w:r>
          </w:p>
          <w:bookmarkEnd w:id="5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5319"/>
          <w:p>
            <w:pPr>
              <w:spacing w:after="20"/>
              <w:ind w:left="20"/>
              <w:jc w:val="both"/>
            </w:pPr>
            <w:r>
              <w:rPr>
                <w:rFonts w:ascii="Times New Roman"/>
                <w:b w:val="false"/>
                <w:i w:val="false"/>
                <w:color w:val="000000"/>
                <w:sz w:val="20"/>
              </w:rPr>
              <w:t xml:space="preserve">
Вид испытаний: </w:t>
            </w:r>
          </w:p>
          <w:bookmarkEnd w:id="5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5320"/>
          <w:p>
            <w:pPr>
              <w:spacing w:after="20"/>
              <w:ind w:left="20"/>
              <w:jc w:val="both"/>
            </w:pPr>
            <w:r>
              <w:rPr>
                <w:rFonts w:ascii="Times New Roman"/>
                <w:b w:val="false"/>
                <w:i w:val="false"/>
                <w:color w:val="000000"/>
                <w:sz w:val="20"/>
              </w:rPr>
              <w:t xml:space="preserve">
Основание: </w:t>
            </w:r>
          </w:p>
          <w:bookmarkEnd w:id="5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5321"/>
          <w:p>
            <w:pPr>
              <w:spacing w:after="20"/>
              <w:ind w:left="20"/>
              <w:jc w:val="both"/>
            </w:pPr>
            <w:r>
              <w:rPr>
                <w:rFonts w:ascii="Times New Roman"/>
                <w:b w:val="false"/>
                <w:i w:val="false"/>
                <w:color w:val="000000"/>
                <w:sz w:val="20"/>
              </w:rPr>
              <w:t xml:space="preserve">
Производитель, страна: </w:t>
            </w:r>
          </w:p>
          <w:bookmarkEnd w:id="5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5322"/>
          <w:p>
            <w:pPr>
              <w:spacing w:after="20"/>
              <w:ind w:left="20"/>
              <w:jc w:val="both"/>
            </w:pPr>
            <w:r>
              <w:rPr>
                <w:rFonts w:ascii="Times New Roman"/>
                <w:b w:val="false"/>
                <w:i w:val="false"/>
                <w:color w:val="000000"/>
                <w:sz w:val="20"/>
              </w:rPr>
              <w:t xml:space="preserve">
Серия, партия: </w:t>
            </w:r>
          </w:p>
          <w:bookmarkEnd w:id="5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5323"/>
          <w:p>
            <w:pPr>
              <w:spacing w:after="20"/>
              <w:ind w:left="20"/>
              <w:jc w:val="both"/>
            </w:pPr>
            <w:r>
              <w:rPr>
                <w:rFonts w:ascii="Times New Roman"/>
                <w:b w:val="false"/>
                <w:i w:val="false"/>
                <w:color w:val="000000"/>
                <w:sz w:val="20"/>
              </w:rPr>
              <w:t xml:space="preserve">
Срок годности: </w:t>
            </w:r>
          </w:p>
          <w:bookmarkEnd w:id="5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5324"/>
          <w:p>
            <w:pPr>
              <w:spacing w:after="20"/>
              <w:ind w:left="20"/>
              <w:jc w:val="both"/>
            </w:pPr>
            <w:r>
              <w:rPr>
                <w:rFonts w:ascii="Times New Roman"/>
                <w:b w:val="false"/>
                <w:i w:val="false"/>
                <w:color w:val="000000"/>
                <w:sz w:val="20"/>
              </w:rPr>
              <w:t xml:space="preserve">
Дата поступления образцов: </w:t>
            </w:r>
          </w:p>
          <w:bookmarkEnd w:id="5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5325"/>
          <w:p>
            <w:pPr>
              <w:spacing w:after="20"/>
              <w:ind w:left="20"/>
              <w:jc w:val="both"/>
            </w:pPr>
            <w:r>
              <w:rPr>
                <w:rFonts w:ascii="Times New Roman"/>
                <w:b w:val="false"/>
                <w:i w:val="false"/>
                <w:color w:val="000000"/>
                <w:sz w:val="20"/>
              </w:rPr>
              <w:t xml:space="preserve">
Код спецификации на материал: </w:t>
            </w:r>
          </w:p>
          <w:bookmarkEnd w:id="5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5" w:id="5326"/>
    <w:p>
      <w:pPr>
        <w:spacing w:after="0"/>
        <w:ind w:left="0"/>
        <w:jc w:val="left"/>
      </w:pPr>
      <w:r>
        <w:rPr>
          <w:rFonts w:ascii="Times New Roman"/>
          <w:b/>
          <w:i w:val="false"/>
          <w:color w:val="000000"/>
        </w:rPr>
        <w:t xml:space="preserve"> Результаты испытаний </w:t>
      </w:r>
    </w:p>
    <w:bookmarkEnd w:id="5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5327"/>
          <w:p>
            <w:pPr>
              <w:spacing w:after="20"/>
              <w:ind w:left="20"/>
              <w:jc w:val="both"/>
            </w:pPr>
            <w:r>
              <w:rPr>
                <w:rFonts w:ascii="Times New Roman"/>
                <w:b w:val="false"/>
                <w:i w:val="false"/>
                <w:color w:val="000000"/>
                <w:sz w:val="20"/>
              </w:rPr>
              <w:t xml:space="preserve">
 Наименование показателя и код аналитической методики </w:t>
            </w:r>
          </w:p>
          <w:bookmarkEnd w:id="5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нормативной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полученные результаты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17.03.2022 </w:t>
            </w:r>
            <w:r>
              <w:rPr>
                <w:rFonts w:ascii="Times New Roman"/>
                <w:b w:val="false"/>
                <w:i w:val="false"/>
                <w:color w:val="ff0000"/>
                <w:sz w:val="20"/>
              </w:rPr>
              <w:t>№ 36</w:t>
            </w:r>
            <w:r>
              <w:rPr>
                <w:rFonts w:ascii="Times New Roman"/>
                <w:b w:val="false"/>
                <w:i w:val="false"/>
                <w:color w:val="ff0000"/>
                <w:sz w:val="20"/>
              </w:rPr>
              <w:t xml:space="preserve"> (вступает в силу по истечении 10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5328"/>
          <w:p>
            <w:pPr>
              <w:spacing w:after="20"/>
              <w:ind w:left="20"/>
              <w:jc w:val="both"/>
            </w:pPr>
          </w:p>
          <w:bookmarkEnd w:id="5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5329"/>
          <w:p>
            <w:pPr>
              <w:spacing w:after="20"/>
              <w:ind w:left="20"/>
              <w:jc w:val="both"/>
            </w:pPr>
          </w:p>
          <w:bookmarkEnd w:id="5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5330"/>
          <w:p>
            <w:pPr>
              <w:spacing w:after="20"/>
              <w:ind w:left="20"/>
              <w:jc w:val="both"/>
            </w:pPr>
          </w:p>
          <w:bookmarkEnd w:id="5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0" w:id="5331"/>
    <w:p>
      <w:pPr>
        <w:spacing w:after="0"/>
        <w:ind w:left="0"/>
        <w:jc w:val="both"/>
      </w:pPr>
      <w:r>
        <w:rPr>
          <w:rFonts w:ascii="Times New Roman"/>
          <w:b w:val="false"/>
          <w:i w:val="false"/>
          <w:color w:val="000000"/>
          <w:sz w:val="28"/>
        </w:rPr>
        <w:t>
      Заключение</w:t>
      </w:r>
    </w:p>
    <w:bookmarkEnd w:id="5331"/>
    <w:bookmarkStart w:name="z5521" w:id="5332"/>
    <w:p>
      <w:pPr>
        <w:spacing w:after="0"/>
        <w:ind w:left="0"/>
        <w:jc w:val="both"/>
      </w:pPr>
      <w:r>
        <w:rPr>
          <w:rFonts w:ascii="Times New Roman"/>
          <w:b w:val="false"/>
          <w:i w:val="false"/>
          <w:color w:val="000000"/>
          <w:sz w:val="28"/>
        </w:rPr>
        <w:t>
      Представленные образцы соответствуют (не соответствуют) требованиям</w:t>
      </w:r>
    </w:p>
    <w:bookmarkEnd w:id="5332"/>
    <w:bookmarkStart w:name="z5522" w:id="5333"/>
    <w:p>
      <w:pPr>
        <w:spacing w:after="0"/>
        <w:ind w:left="0"/>
        <w:jc w:val="both"/>
      </w:pPr>
      <w:r>
        <w:rPr>
          <w:rFonts w:ascii="Times New Roman"/>
          <w:b w:val="false"/>
          <w:i w:val="false"/>
          <w:color w:val="000000"/>
          <w:sz w:val="28"/>
        </w:rPr>
        <w:t>
      нормативной документации.</w:t>
      </w:r>
    </w:p>
    <w:bookmarkEnd w:id="5333"/>
    <w:bookmarkStart w:name="z5523" w:id="5334"/>
    <w:p>
      <w:pPr>
        <w:spacing w:after="0"/>
        <w:ind w:left="0"/>
        <w:jc w:val="both"/>
      </w:pPr>
      <w:r>
        <w:rPr>
          <w:rFonts w:ascii="Times New Roman"/>
          <w:b w:val="false"/>
          <w:i w:val="false"/>
          <w:color w:val="000000"/>
          <w:sz w:val="28"/>
        </w:rPr>
        <w:t>
       Результаты испытаний не соответствуют требованиям нормативной</w:t>
      </w:r>
    </w:p>
    <w:bookmarkEnd w:id="5334"/>
    <w:bookmarkStart w:name="z5524" w:id="5335"/>
    <w:p>
      <w:pPr>
        <w:spacing w:after="0"/>
        <w:ind w:left="0"/>
        <w:jc w:val="both"/>
      </w:pPr>
      <w:r>
        <w:rPr>
          <w:rFonts w:ascii="Times New Roman"/>
          <w:b w:val="false"/>
          <w:i w:val="false"/>
          <w:color w:val="000000"/>
          <w:sz w:val="28"/>
        </w:rPr>
        <w:t>
      документации по следующим показателям:</w:t>
      </w:r>
    </w:p>
    <w:bookmarkEnd w:id="5335"/>
    <w:bookmarkStart w:name="z5525" w:id="5336"/>
    <w:p>
      <w:pPr>
        <w:spacing w:after="0"/>
        <w:ind w:left="0"/>
        <w:jc w:val="both"/>
      </w:pPr>
      <w:r>
        <w:rPr>
          <w:rFonts w:ascii="Times New Roman"/>
          <w:b w:val="false"/>
          <w:i w:val="false"/>
          <w:color w:val="000000"/>
          <w:sz w:val="28"/>
        </w:rPr>
        <w:t>
      1. ...</w:t>
      </w:r>
    </w:p>
    <w:bookmarkEnd w:id="5336"/>
    <w:bookmarkStart w:name="z5526" w:id="5337"/>
    <w:p>
      <w:pPr>
        <w:spacing w:after="0"/>
        <w:ind w:left="0"/>
        <w:jc w:val="both"/>
      </w:pPr>
      <w:r>
        <w:rPr>
          <w:rFonts w:ascii="Times New Roman"/>
          <w:b w:val="false"/>
          <w:i w:val="false"/>
          <w:color w:val="000000"/>
          <w:sz w:val="28"/>
        </w:rPr>
        <w:t>
      2. ...</w:t>
      </w:r>
    </w:p>
    <w:bookmarkEnd w:id="5337"/>
    <w:bookmarkStart w:name="z5527" w:id="5338"/>
    <w:p>
      <w:pPr>
        <w:spacing w:after="0"/>
        <w:ind w:left="0"/>
        <w:jc w:val="both"/>
      </w:pPr>
      <w:r>
        <w:rPr>
          <w:rFonts w:ascii="Times New Roman"/>
          <w:b w:val="false"/>
          <w:i w:val="false"/>
          <w:color w:val="000000"/>
          <w:sz w:val="28"/>
        </w:rPr>
        <w:t>
       </w:t>
      </w:r>
    </w:p>
    <w:bookmarkEnd w:id="5338"/>
    <w:bookmarkStart w:name="z5528" w:id="5339"/>
    <w:p>
      <w:pPr>
        <w:spacing w:after="0"/>
        <w:ind w:left="0"/>
        <w:jc w:val="both"/>
      </w:pPr>
      <w:r>
        <w:rPr>
          <w:rFonts w:ascii="Times New Roman"/>
          <w:b w:val="false"/>
          <w:i w:val="false"/>
          <w:color w:val="000000"/>
          <w:sz w:val="28"/>
        </w:rPr>
        <w:t>
      Директор испытательного центра _____________ __________________________</w:t>
      </w:r>
    </w:p>
    <w:bookmarkEnd w:id="5339"/>
    <w:bookmarkStart w:name="z5529" w:id="5340"/>
    <w:p>
      <w:pPr>
        <w:spacing w:after="0"/>
        <w:ind w:left="0"/>
        <w:jc w:val="both"/>
      </w:pPr>
      <w:r>
        <w:rPr>
          <w:rFonts w:ascii="Times New Roman"/>
          <w:b w:val="false"/>
          <w:i w:val="false"/>
          <w:color w:val="000000"/>
          <w:sz w:val="28"/>
        </w:rPr>
        <w:t>
      (заведующий испытательной             (подпись) (Ф.И.О)</w:t>
      </w:r>
    </w:p>
    <w:bookmarkEnd w:id="5340"/>
    <w:bookmarkStart w:name="z5530" w:id="5341"/>
    <w:p>
      <w:pPr>
        <w:spacing w:after="0"/>
        <w:ind w:left="0"/>
        <w:jc w:val="both"/>
      </w:pPr>
      <w:r>
        <w:rPr>
          <w:rFonts w:ascii="Times New Roman"/>
          <w:b w:val="false"/>
          <w:i w:val="false"/>
          <w:color w:val="000000"/>
          <w:sz w:val="28"/>
        </w:rPr>
        <w:t>
      лабораторией)</w:t>
      </w:r>
    </w:p>
    <w:bookmarkEnd w:id="5341"/>
    <w:bookmarkStart w:name="z5531" w:id="5342"/>
    <w:p>
      <w:pPr>
        <w:spacing w:after="0"/>
        <w:ind w:left="0"/>
        <w:jc w:val="both"/>
      </w:pPr>
      <w:r>
        <w:rPr>
          <w:rFonts w:ascii="Times New Roman"/>
          <w:b w:val="false"/>
          <w:i w:val="false"/>
          <w:color w:val="000000"/>
          <w:sz w:val="28"/>
        </w:rPr>
        <w:t>
       </w:t>
      </w:r>
    </w:p>
    <w:bookmarkEnd w:id="5342"/>
    <w:bookmarkStart w:name="z5532" w:id="5343"/>
    <w:p>
      <w:pPr>
        <w:spacing w:after="0"/>
        <w:ind w:left="0"/>
        <w:jc w:val="both"/>
      </w:pPr>
      <w:r>
        <w:rPr>
          <w:rFonts w:ascii="Times New Roman"/>
          <w:b w:val="false"/>
          <w:i w:val="false"/>
          <w:color w:val="000000"/>
          <w:sz w:val="28"/>
        </w:rPr>
        <w:t>
      Специалист испытательной _____________ __________________________</w:t>
      </w:r>
    </w:p>
    <w:bookmarkEnd w:id="5343"/>
    <w:bookmarkStart w:name="z5533" w:id="5344"/>
    <w:p>
      <w:pPr>
        <w:spacing w:after="0"/>
        <w:ind w:left="0"/>
        <w:jc w:val="both"/>
      </w:pPr>
      <w:r>
        <w:rPr>
          <w:rFonts w:ascii="Times New Roman"/>
          <w:b w:val="false"/>
          <w:i w:val="false"/>
          <w:color w:val="000000"/>
          <w:sz w:val="28"/>
        </w:rPr>
        <w:t>
      Лаборатории                         (подпись) (Ф.И.О)</w:t>
      </w:r>
    </w:p>
    <w:bookmarkEnd w:id="5344"/>
    <w:bookmarkStart w:name="z5534" w:id="5345"/>
    <w:p>
      <w:pPr>
        <w:spacing w:after="0"/>
        <w:ind w:left="0"/>
        <w:jc w:val="both"/>
      </w:pPr>
      <w:r>
        <w:rPr>
          <w:rFonts w:ascii="Times New Roman"/>
          <w:b w:val="false"/>
          <w:i w:val="false"/>
          <w:color w:val="000000"/>
          <w:sz w:val="28"/>
        </w:rPr>
        <w:t>
       _____________ __________________________</w:t>
      </w:r>
    </w:p>
    <w:bookmarkEnd w:id="5345"/>
    <w:bookmarkStart w:name="z5535" w:id="5346"/>
    <w:p>
      <w:pPr>
        <w:spacing w:after="0"/>
        <w:ind w:left="0"/>
        <w:jc w:val="both"/>
      </w:pPr>
      <w:r>
        <w:rPr>
          <w:rFonts w:ascii="Times New Roman"/>
          <w:b w:val="false"/>
          <w:i w:val="false"/>
          <w:color w:val="000000"/>
          <w:sz w:val="28"/>
        </w:rPr>
        <w:t>
             (подпись) (Ф.И.О)</w:t>
      </w:r>
    </w:p>
    <w:bookmarkEnd w:id="5346"/>
    <w:bookmarkStart w:name="z5536" w:id="5347"/>
    <w:p>
      <w:pPr>
        <w:spacing w:after="0"/>
        <w:ind w:left="0"/>
        <w:jc w:val="both"/>
      </w:pPr>
      <w:r>
        <w:rPr>
          <w:rFonts w:ascii="Times New Roman"/>
          <w:b w:val="false"/>
          <w:i w:val="false"/>
          <w:color w:val="000000"/>
          <w:sz w:val="28"/>
        </w:rPr>
        <w:t>
                               _____________ __________________________</w:t>
      </w:r>
    </w:p>
    <w:bookmarkEnd w:id="5347"/>
    <w:bookmarkStart w:name="z5537" w:id="5348"/>
    <w:p>
      <w:pPr>
        <w:spacing w:after="0"/>
        <w:ind w:left="0"/>
        <w:jc w:val="both"/>
      </w:pPr>
      <w:r>
        <w:rPr>
          <w:rFonts w:ascii="Times New Roman"/>
          <w:b w:val="false"/>
          <w:i w:val="false"/>
          <w:color w:val="000000"/>
          <w:sz w:val="28"/>
        </w:rPr>
        <w:t>
             (подпись) (Ф.И.О)</w:t>
      </w:r>
    </w:p>
    <w:bookmarkEnd w:id="5348"/>
    <w:bookmarkStart w:name="z5538" w:id="5349"/>
    <w:p>
      <w:pPr>
        <w:spacing w:after="0"/>
        <w:ind w:left="0"/>
        <w:jc w:val="both"/>
      </w:pPr>
      <w:r>
        <w:rPr>
          <w:rFonts w:ascii="Times New Roman"/>
          <w:b w:val="false"/>
          <w:i w:val="false"/>
          <w:color w:val="000000"/>
          <w:sz w:val="28"/>
        </w:rPr>
        <w:t>
      Результаты испытаний распространяются только на испытанные образцы.</w:t>
      </w:r>
    </w:p>
    <w:bookmarkEnd w:id="5349"/>
    <w:bookmarkStart w:name="z5539" w:id="5350"/>
    <w:p>
      <w:pPr>
        <w:spacing w:after="0"/>
        <w:ind w:left="0"/>
        <w:jc w:val="both"/>
      </w:pPr>
      <w:r>
        <w:rPr>
          <w:rFonts w:ascii="Times New Roman"/>
          <w:b w:val="false"/>
          <w:i w:val="false"/>
          <w:color w:val="000000"/>
          <w:sz w:val="28"/>
        </w:rPr>
        <w:t>
      Полное или частичное воспроизведение протокола без разрешения</w:t>
      </w:r>
    </w:p>
    <w:bookmarkEnd w:id="5350"/>
    <w:bookmarkStart w:name="z5540" w:id="5351"/>
    <w:p>
      <w:pPr>
        <w:spacing w:after="0"/>
        <w:ind w:left="0"/>
        <w:jc w:val="both"/>
      </w:pPr>
      <w:r>
        <w:rPr>
          <w:rFonts w:ascii="Times New Roman"/>
          <w:b w:val="false"/>
          <w:i w:val="false"/>
          <w:color w:val="000000"/>
          <w:sz w:val="28"/>
        </w:rPr>
        <w:t>
      испытательной лаборатории (центра) запрещено.</w:t>
      </w:r>
    </w:p>
    <w:bookmarkEnd w:id="5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13 с изменениями, внесенными решениями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5542" w:id="5352"/>
    <w:p>
      <w:pPr>
        <w:spacing w:after="0"/>
        <w:ind w:left="0"/>
        <w:jc w:val="left"/>
      </w:pPr>
      <w:r>
        <w:rPr>
          <w:rFonts w:ascii="Times New Roman"/>
          <w:b/>
          <w:i w:val="false"/>
          <w:color w:val="000000"/>
        </w:rPr>
        <w:t xml:space="preserve"> УКАЗАНИЯ</w:t>
      </w:r>
      <w:r>
        <w:br/>
      </w:r>
      <w:r>
        <w:rPr>
          <w:rFonts w:ascii="Times New Roman"/>
          <w:b/>
          <w:i w:val="false"/>
          <w:color w:val="000000"/>
        </w:rPr>
        <w:t>ПО СОСТАВЛЕНИЮ ЭКСПЕРТНОГО ОТЧЕТА ПО ОЦЕНКЕ РЕЗУЛЬТАТОВ ДОКЛИНИЧЕСКИХ (НЕКЛИНИЧЕСКИХ) ИССЛЕДОВАНИЙ</w:t>
      </w:r>
    </w:p>
    <w:bookmarkEnd w:id="5352"/>
    <w:bookmarkStart w:name="z5543" w:id="5353"/>
    <w:p>
      <w:pPr>
        <w:spacing w:after="0"/>
        <w:ind w:left="0"/>
        <w:jc w:val="left"/>
      </w:pPr>
      <w:r>
        <w:rPr>
          <w:rFonts w:ascii="Times New Roman"/>
          <w:b/>
          <w:i w:val="false"/>
          <w:color w:val="000000"/>
        </w:rPr>
        <w:t xml:space="preserve"> I. Общие положения</w:t>
      </w:r>
    </w:p>
    <w:bookmarkEnd w:id="5353"/>
    <w:bookmarkStart w:name="z5544" w:id="5354"/>
    <w:p>
      <w:pPr>
        <w:spacing w:after="0"/>
        <w:ind w:left="0"/>
        <w:jc w:val="both"/>
      </w:pPr>
      <w:r>
        <w:rPr>
          <w:rFonts w:ascii="Times New Roman"/>
          <w:b w:val="false"/>
          <w:i w:val="false"/>
          <w:color w:val="000000"/>
          <w:sz w:val="28"/>
        </w:rPr>
        <w:t>
      Экспертный отчет по оценке результатов доклинических (неклинических) исследований (далее - отчет) должен быть в достаточной степени детализирован для возможности проведения его повторной оценки другими экспертами уполномоченных органов и организаций государств - членов Евразийского экономического союза.</w:t>
      </w:r>
    </w:p>
    <w:bookmarkEnd w:id="5354"/>
    <w:bookmarkStart w:name="z5545" w:id="5355"/>
    <w:p>
      <w:pPr>
        <w:spacing w:after="0"/>
        <w:ind w:left="0"/>
        <w:jc w:val="both"/>
      </w:pPr>
      <w:r>
        <w:rPr>
          <w:rFonts w:ascii="Times New Roman"/>
          <w:b w:val="false"/>
          <w:i w:val="false"/>
          <w:color w:val="000000"/>
          <w:sz w:val="28"/>
        </w:rPr>
        <w:t>
      В отчете должны быть описаны наиболее характерные результаты исследований, в частности касающиеся недостатков, а также даны обоснованные замечания, которые предъявляются заявителю. Данные замечания должны быть также перечислены в сводном экспертном отчете "Оценка безопасности, качества, эффективности".</w:t>
      </w:r>
    </w:p>
    <w:bookmarkEnd w:id="5355"/>
    <w:bookmarkStart w:name="z5546" w:id="5356"/>
    <w:p>
      <w:pPr>
        <w:spacing w:after="0"/>
        <w:ind w:left="0"/>
        <w:jc w:val="both"/>
      </w:pPr>
      <w:r>
        <w:rPr>
          <w:rFonts w:ascii="Times New Roman"/>
          <w:b w:val="false"/>
          <w:i w:val="false"/>
          <w:color w:val="000000"/>
          <w:sz w:val="28"/>
        </w:rPr>
        <w:t>
      Для правильного представления источников информации, указанных в отчете (включая специфические разделы досье: общее описание, сводная информация, отчеты об исследованиях), необходимо использовать перекрестные ссылки на документы досье, ссылки на используемую литературу и другие источники.</w:t>
      </w:r>
    </w:p>
    <w:bookmarkEnd w:id="5356"/>
    <w:bookmarkStart w:name="z5547" w:id="5357"/>
    <w:p>
      <w:pPr>
        <w:spacing w:after="0"/>
        <w:ind w:left="0"/>
        <w:jc w:val="both"/>
      </w:pPr>
      <w:r>
        <w:rPr>
          <w:rFonts w:ascii="Times New Roman"/>
          <w:b w:val="false"/>
          <w:i w:val="false"/>
          <w:color w:val="000000"/>
          <w:sz w:val="28"/>
        </w:rPr>
        <w:t>
      Критическая оценка (например, комментарии к достоверности и интерпретации данных, заключения) должна быть указана в подразделе "Комментарий эксперта", которым заканчивается каждый из разделов отчета. При необходимости можно использовать следующую формулировку: "Критическое замечание - см. предлагаемый список замечаний".</w:t>
      </w:r>
    </w:p>
    <w:bookmarkEnd w:id="5357"/>
    <w:bookmarkStart w:name="z5548" w:id="5358"/>
    <w:p>
      <w:pPr>
        <w:spacing w:after="0"/>
        <w:ind w:left="0"/>
        <w:jc w:val="both"/>
      </w:pPr>
      <w:r>
        <w:rPr>
          <w:rFonts w:ascii="Times New Roman"/>
          <w:b w:val="false"/>
          <w:i w:val="false"/>
          <w:color w:val="000000"/>
          <w:sz w:val="28"/>
        </w:rPr>
        <w:t>
      В отчете должно быть указано, влияют ли полученные результаты на обеспечение безопасности применения лекарственного препарата у человека и существует ли необходимость в проведении дополнительной экспертизы для оценки таких последствий (например, имеются данные о канцерогенном действии, но рецепторы у исследуемого вида животных и человека различны).</w:t>
      </w:r>
    </w:p>
    <w:bookmarkEnd w:id="5358"/>
    <w:bookmarkStart w:name="z5549" w:id="5359"/>
    <w:p>
      <w:pPr>
        <w:spacing w:after="0"/>
        <w:ind w:left="0"/>
        <w:jc w:val="both"/>
      </w:pPr>
      <w:r>
        <w:rPr>
          <w:rFonts w:ascii="Times New Roman"/>
          <w:b w:val="false"/>
          <w:i w:val="false"/>
          <w:color w:val="000000"/>
          <w:sz w:val="28"/>
        </w:rPr>
        <w:t>
      В отчете также должны быть отмечены те данные, которые необходимо включить в общую характеристику лекарственного препарата (далее - ОХЛП).</w:t>
      </w:r>
    </w:p>
    <w:bookmarkEnd w:id="5359"/>
    <w:bookmarkStart w:name="z5550" w:id="5360"/>
    <w:p>
      <w:pPr>
        <w:spacing w:after="0"/>
        <w:ind w:left="0"/>
        <w:jc w:val="both"/>
      </w:pPr>
      <w:r>
        <w:rPr>
          <w:rFonts w:ascii="Times New Roman"/>
          <w:b w:val="false"/>
          <w:i w:val="false"/>
          <w:color w:val="000000"/>
          <w:sz w:val="28"/>
        </w:rPr>
        <w:t>
      Ссылки на информацию, являющуюся конфиденциальной и не предназначенную для заявителя (например, ссылки на отчет об оценке другого лекарственного препарата), должны быть отмечены как "Конфиденциальная информация" и выделены желтым фоном. Эти разделы должны быть изъяты из отчета перед его отправкой заявителю.</w:t>
      </w:r>
    </w:p>
    <w:bookmarkEnd w:id="5360"/>
    <w:bookmarkStart w:name="z5551" w:id="5361"/>
    <w:p>
      <w:pPr>
        <w:spacing w:after="0"/>
        <w:ind w:left="0"/>
        <w:jc w:val="both"/>
      </w:pPr>
      <w:r>
        <w:rPr>
          <w:rFonts w:ascii="Times New Roman"/>
          <w:b w:val="false"/>
          <w:i w:val="false"/>
          <w:color w:val="000000"/>
          <w:sz w:val="28"/>
        </w:rPr>
        <w:t>
      По возможности представление информации должно быть выполнено в виде таблиц, графиков и рисунков, примеры которых приведены в приложении № 6 к Правилам регистрации и экспертизы лекарственных средств для медицинского применения (далее - Правила регистрации) и должны использоваться при необходимости. В таблицах с данными по фармакокинетике и токсикокинетике должны быть указаны количество животных и значение стандартного отклонения для каждого параметра. Для исследований при многократном введении необходимо уточнить день взятия образцов для токсикокинетического анализа. В отчет об оценке допускается включение таблиц из досье препарата. При этом следует приводить соответствующие ссылки.</w:t>
      </w:r>
    </w:p>
    <w:bookmarkEnd w:id="5361"/>
    <w:bookmarkStart w:name="z5552" w:id="5362"/>
    <w:p>
      <w:pPr>
        <w:spacing w:after="0"/>
        <w:ind w:left="0"/>
        <w:jc w:val="both"/>
      </w:pPr>
      <w:r>
        <w:rPr>
          <w:rFonts w:ascii="Times New Roman"/>
          <w:b w:val="false"/>
          <w:i w:val="false"/>
          <w:color w:val="000000"/>
          <w:sz w:val="28"/>
        </w:rPr>
        <w:t>
      В шаблон отчета, предусмотренного приложением № 6 к Правилам регистрации, добавлено несколько страниц, предназначенных для списка сокращений и списка литературы, которые следует заполнить при необходимости.</w:t>
      </w:r>
    </w:p>
    <w:bookmarkEnd w:id="5362"/>
    <w:bookmarkStart w:name="z5553" w:id="5363"/>
    <w:p>
      <w:pPr>
        <w:spacing w:after="0"/>
        <w:ind w:left="0"/>
        <w:jc w:val="both"/>
      </w:pPr>
      <w:r>
        <w:rPr>
          <w:rFonts w:ascii="Times New Roman"/>
          <w:b w:val="false"/>
          <w:i w:val="false"/>
          <w:color w:val="000000"/>
          <w:sz w:val="28"/>
        </w:rPr>
        <w:t>
      Основной текст отчета рекомендуется печатать шрифтом Times New Roman размера № 11. В случае если объем отчета превышает 7 листов, следует сделать оглавление.</w:t>
      </w:r>
    </w:p>
    <w:bookmarkEnd w:id="5363"/>
    <w:bookmarkStart w:name="z5554" w:id="5364"/>
    <w:p>
      <w:pPr>
        <w:spacing w:after="0"/>
        <w:ind w:left="0"/>
        <w:jc w:val="both"/>
      </w:pPr>
      <w:r>
        <w:rPr>
          <w:rFonts w:ascii="Times New Roman"/>
          <w:b w:val="false"/>
          <w:i w:val="false"/>
          <w:color w:val="000000"/>
          <w:sz w:val="28"/>
        </w:rPr>
        <w:t>
      При подготовке отчета эксперт также может использовать акты органов Союза по составлению регистрационного досье в формате общего технического документа.</w:t>
      </w:r>
    </w:p>
    <w:bookmarkEnd w:id="5364"/>
    <w:bookmarkStart w:name="z5555" w:id="5365"/>
    <w:p>
      <w:pPr>
        <w:spacing w:after="0"/>
        <w:ind w:left="0"/>
        <w:jc w:val="both"/>
      </w:pPr>
      <w:r>
        <w:rPr>
          <w:rFonts w:ascii="Times New Roman"/>
          <w:b w:val="false"/>
          <w:i w:val="false"/>
          <w:color w:val="000000"/>
          <w:sz w:val="28"/>
        </w:rPr>
        <w:t>
      В настоящих указаниях рассматриваются только те разделы отчета, которые требуют пояснений и комментариев.</w:t>
      </w:r>
    </w:p>
    <w:bookmarkEnd w:id="5365"/>
    <w:bookmarkStart w:name="z5556" w:id="5366"/>
    <w:p>
      <w:pPr>
        <w:spacing w:after="0"/>
        <w:ind w:left="0"/>
        <w:jc w:val="left"/>
      </w:pPr>
      <w:r>
        <w:rPr>
          <w:rFonts w:ascii="Times New Roman"/>
          <w:b/>
          <w:i w:val="false"/>
          <w:color w:val="000000"/>
        </w:rPr>
        <w:t xml:space="preserve"> II. Экспертиза доклинических (неклинических) аспектов</w:t>
      </w:r>
    </w:p>
    <w:bookmarkEnd w:id="5366"/>
    <w:bookmarkStart w:name="z5557" w:id="5367"/>
    <w:p>
      <w:pPr>
        <w:spacing w:after="0"/>
        <w:ind w:left="0"/>
        <w:jc w:val="both"/>
      </w:pPr>
      <w:r>
        <w:rPr>
          <w:rFonts w:ascii="Times New Roman"/>
          <w:b w:val="false"/>
          <w:i w:val="false"/>
          <w:color w:val="000000"/>
          <w:sz w:val="28"/>
        </w:rPr>
        <w:t>
      1. Введение.</w:t>
      </w:r>
    </w:p>
    <w:bookmarkEnd w:id="5367"/>
    <w:bookmarkStart w:name="z5558" w:id="5368"/>
    <w:p>
      <w:pPr>
        <w:spacing w:after="0"/>
        <w:ind w:left="0"/>
        <w:jc w:val="both"/>
      </w:pPr>
      <w:r>
        <w:rPr>
          <w:rFonts w:ascii="Times New Roman"/>
          <w:b w:val="false"/>
          <w:i w:val="false"/>
          <w:color w:val="000000"/>
          <w:sz w:val="28"/>
        </w:rPr>
        <w:t>
      1.1. Тип заявления и вопросы разработки.</w:t>
      </w:r>
    </w:p>
    <w:bookmarkEnd w:id="5368"/>
    <w:bookmarkStart w:name="z5559" w:id="5369"/>
    <w:p>
      <w:pPr>
        <w:spacing w:after="0"/>
        <w:ind w:left="0"/>
        <w:jc w:val="both"/>
      </w:pPr>
      <w:r>
        <w:rPr>
          <w:rFonts w:ascii="Times New Roman"/>
          <w:b w:val="false"/>
          <w:i w:val="false"/>
          <w:color w:val="000000"/>
          <w:sz w:val="28"/>
        </w:rPr>
        <w:t>
      Тип заявления.</w:t>
      </w:r>
    </w:p>
    <w:bookmarkEnd w:id="5369"/>
    <w:bookmarkStart w:name="z5560" w:id="5370"/>
    <w:p>
      <w:pPr>
        <w:spacing w:after="0"/>
        <w:ind w:left="0"/>
        <w:jc w:val="both"/>
      </w:pPr>
      <w:r>
        <w:rPr>
          <w:rFonts w:ascii="Times New Roman"/>
          <w:b w:val="false"/>
          <w:i w:val="false"/>
          <w:color w:val="000000"/>
          <w:sz w:val="28"/>
        </w:rPr>
        <w:t>
      Указываются тип заявления на получение регистрационного удостоверения (ссылка на юридическое основание заявления), например, заявление на оригинальный лекарственный препарат, заявление на основе компиляции собственных и сторонних данных, заявление на основе общепринятого применения, заявление на биологический препарат и др., а также наличие приемлемых обоснований для отказа от определенных исследований или замены оригинальных исследований данными из литературных источников. Если какие-либо исследования существуют только в форме публикаций, важно уточнить, обладают ли они достаточным качеством для возможности проведения всестороннего анализа наиболее критических данных.</w:t>
      </w:r>
    </w:p>
    <w:bookmarkEnd w:id="5370"/>
    <w:bookmarkStart w:name="z5561" w:id="5371"/>
    <w:p>
      <w:pPr>
        <w:spacing w:after="0"/>
        <w:ind w:left="0"/>
        <w:jc w:val="both"/>
      </w:pPr>
      <w:r>
        <w:rPr>
          <w:rFonts w:ascii="Times New Roman"/>
          <w:b w:val="false"/>
          <w:i w:val="false"/>
          <w:color w:val="000000"/>
          <w:sz w:val="28"/>
        </w:rPr>
        <w:t>
      Каждый основной раздел отчета (модули 4 и 5) должен содержать данные, представленные в соответствии с требованиями приложения № 1 к Правилам регистрации. Типы исследований, описываемых в каждом разделе, должны быть указаны со ссылками на номера параграфов (пунктов, разделов), как это указано в приложении № 1 к Правилам регистрации. В отношении каждой разновидности исследований после выделения основных и вспомогательных данных необходимо оценить, представлены ли основные данные собственными отчетами о проведенных доклинических (неклинических) и клинических исследованиях (оригинальные данные), библиографическими ссылками, их комбинациями, либо такие данные отсутствуют.</w:t>
      </w:r>
    </w:p>
    <w:bookmarkEnd w:id="5371"/>
    <w:bookmarkStart w:name="z5562" w:id="5372"/>
    <w:p>
      <w:pPr>
        <w:spacing w:after="0"/>
        <w:ind w:left="0"/>
        <w:jc w:val="both"/>
      </w:pPr>
      <w:r>
        <w:rPr>
          <w:rFonts w:ascii="Times New Roman"/>
          <w:b w:val="false"/>
          <w:i w:val="false"/>
          <w:color w:val="000000"/>
          <w:sz w:val="28"/>
        </w:rPr>
        <w:t>
      Представленные данные должны оцениваться с учетом типа заявления, других нормативных требований, действующих методических рекомендаций и научных критериев.</w:t>
      </w:r>
    </w:p>
    <w:bookmarkEnd w:id="5372"/>
    <w:bookmarkStart w:name="z5563" w:id="5373"/>
    <w:p>
      <w:pPr>
        <w:spacing w:after="0"/>
        <w:ind w:left="0"/>
        <w:jc w:val="both"/>
      </w:pPr>
      <w:r>
        <w:rPr>
          <w:rFonts w:ascii="Times New Roman"/>
          <w:b w:val="false"/>
          <w:i w:val="false"/>
          <w:color w:val="000000"/>
          <w:sz w:val="28"/>
        </w:rPr>
        <w:t>
      Если характер представления данных отличается от существующих требований, необходимо провести оценку приемлемости каждого из обоснований такого отклонения. В частности, обоснованию подлежат отсутствие информации о доклинических (клинических) испытаниях или исследованиях, использование библиографических ссылок, заменяющих полностью или частично данные об основных исследованиях.</w:t>
      </w:r>
    </w:p>
    <w:bookmarkEnd w:id="5373"/>
    <w:bookmarkStart w:name="z5564" w:id="5374"/>
    <w:p>
      <w:pPr>
        <w:spacing w:after="0"/>
        <w:ind w:left="0"/>
        <w:jc w:val="both"/>
      </w:pPr>
      <w:r>
        <w:rPr>
          <w:rFonts w:ascii="Times New Roman"/>
          <w:b w:val="false"/>
          <w:i w:val="false"/>
          <w:color w:val="000000"/>
          <w:sz w:val="28"/>
        </w:rPr>
        <w:t>
      Если заявитель использует данные из научных публикаций либо такие данные применяются в контексте экспертного отчета, необходимо указывать ссылки, позволяющие четко идентифицировать каждую публикацию. Следует рассмотреть возможность составления списка литературы, если в отчете используется большое количество ссылок. При необходимости следует точно сформулировать мнение эксперта относительно публикации (например, если статья используется не только в качестве ссылки на данные, но и в контексте обсуждения).</w:t>
      </w:r>
    </w:p>
    <w:bookmarkEnd w:id="5374"/>
    <w:bookmarkStart w:name="z5565" w:id="5375"/>
    <w:p>
      <w:pPr>
        <w:spacing w:after="0"/>
        <w:ind w:left="0"/>
        <w:jc w:val="both"/>
      </w:pPr>
      <w:r>
        <w:rPr>
          <w:rFonts w:ascii="Times New Roman"/>
          <w:b w:val="false"/>
          <w:i w:val="false"/>
          <w:color w:val="000000"/>
          <w:sz w:val="28"/>
        </w:rPr>
        <w:t>
      В таблице приведены примеры обоснований и их экспертных оценок.</w:t>
      </w:r>
    </w:p>
    <w:bookmarkEnd w:id="5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5376"/>
          <w:p>
            <w:pPr>
              <w:spacing w:after="20"/>
              <w:ind w:left="20"/>
              <w:jc w:val="both"/>
            </w:pPr>
            <w:r>
              <w:rPr>
                <w:rFonts w:ascii="Times New Roman"/>
                <w:b w:val="false"/>
                <w:i w:val="false"/>
                <w:color w:val="000000"/>
                <w:sz w:val="20"/>
              </w:rPr>
              <w:t xml:space="preserve">
Обоснование </w:t>
            </w:r>
          </w:p>
          <w:bookmarkEnd w:id="5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5377"/>
          <w:p>
            <w:pPr>
              <w:spacing w:after="20"/>
              <w:ind w:left="20"/>
              <w:jc w:val="both"/>
            </w:pPr>
            <w:r>
              <w:rPr>
                <w:rFonts w:ascii="Times New Roman"/>
                <w:b w:val="false"/>
                <w:i w:val="false"/>
                <w:color w:val="000000"/>
                <w:sz w:val="20"/>
              </w:rPr>
              <w:t xml:space="preserve">
Приложением № 1 к Правилам регистрации предусмотрены специальные исключения для невыполнения исследований </w:t>
            </w:r>
          </w:p>
          <w:bookmarkEnd w:id="5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данные исключения и подтвердите причины, по которым заявление удовлетворяет изложенным в этих исключениях условиям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5378"/>
          <w:p>
            <w:pPr>
              <w:spacing w:after="20"/>
              <w:ind w:left="20"/>
              <w:jc w:val="both"/>
            </w:pPr>
            <w:r>
              <w:rPr>
                <w:rFonts w:ascii="Times New Roman"/>
                <w:b w:val="false"/>
                <w:i w:val="false"/>
                <w:color w:val="000000"/>
                <w:sz w:val="20"/>
              </w:rPr>
              <w:t xml:space="preserve">
Предусмотрены специальные особенности исследований рекомендациями Союза или методическими руководствами государства-члена </w:t>
            </w:r>
          </w:p>
          <w:bookmarkEnd w:id="5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соответствующие методические документы и предполагаемые особенности, а также подтвердите причины, по которым заявление удовлетворяет изложенным в этих особенностях условиям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5379"/>
          <w:p>
            <w:pPr>
              <w:spacing w:after="20"/>
              <w:ind w:left="20"/>
              <w:jc w:val="both"/>
            </w:pPr>
            <w:r>
              <w:rPr>
                <w:rFonts w:ascii="Times New Roman"/>
                <w:b w:val="false"/>
                <w:i w:val="false"/>
                <w:color w:val="000000"/>
                <w:sz w:val="20"/>
              </w:rPr>
              <w:t xml:space="preserve">
Учитывая уровень научных знаний, проведение определенных клинических исследований считается не соответствующим этическим нормам (в соответствии с правилами надлежащей клинической практики Евразийского экономического союза, утверждаемыми Евразийской экономической комиссией, законодательством государств-членов в отношении гуманного обращения с животными) либо проведение определенных видов испытаний на животных рассматривается как излишнее ввиду возможности использования альтернативных оценок (например, некоторые токсикологические испытания не считаются необходимыми, учитывая большой клинический опыт) </w:t>
            </w:r>
          </w:p>
          <w:bookmarkEnd w:id="5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рассмотрите, какие данные являются основой научных знаний, значимость и надежность таких данных и оцените достоверность любых экстраполяций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опираясь на эти данные, оцените, приведет ли повторное проведение определенных испытаний (тестов) (проведение дополнительных тестов) к увеличению научной базы, которое было бы существенно для оценки соотношения "польза - риск" и предоставления адекватной информации для пациентов и врачей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рассмотрите все отклонения от стандартных планов разработки лекарственного препарата, в частности, в отношении времени проведения испытаний на животных и проведения клинических исследований, описанных в нормативных правовых актах и рекомендациях, проанализируйте влияние таких отклонений на окончательную оценку профиля "польза - риск"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5380"/>
          <w:p>
            <w:pPr>
              <w:spacing w:after="20"/>
              <w:ind w:left="20"/>
              <w:jc w:val="both"/>
            </w:pPr>
            <w:r>
              <w:rPr>
                <w:rFonts w:ascii="Times New Roman"/>
                <w:b w:val="false"/>
                <w:i w:val="false"/>
                <w:color w:val="000000"/>
                <w:sz w:val="20"/>
              </w:rPr>
              <w:t xml:space="preserve">
Заявитель не может представить полные данные по эффективности и безопасности препарата при его использовании в нормальных условиях (исключительные обстоятельства или условная регистрация) </w:t>
            </w:r>
          </w:p>
          <w:bookmarkEnd w:id="5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вынесения заключения о возможном одобрении в исключительных обстоятельствах эксперту следует оценить обоснованность причин согласно разделу "Специальные условия при принятии решения о регистрации лекарственного препарата" Правил регистрации</w:t>
            </w:r>
          </w:p>
          <w:p>
            <w:pPr>
              <w:spacing w:after="20"/>
              <w:ind w:left="20"/>
              <w:jc w:val="both"/>
            </w:pPr>
            <w:r>
              <w:rPr>
                <w:rFonts w:ascii="Times New Roman"/>
                <w:b w:val="false"/>
                <w:i w:val="false"/>
                <w:color w:val="000000"/>
                <w:sz w:val="20"/>
              </w:rPr>
              <w:t xml:space="preserve">для одобрения заявления в варианте условной регистрации эксперт должен оценить обоснованность причин согласно разделу "Специальные условия при принятии решения о регистрации лекарственного препарата" Правил регистрации и отметить необходимость ежегодного одобрения заявления. Условная регистрация, как правило, не обязывает к включению в заявление доклинической информации, за исключением случаев регистрации, обусловленных чрезвычайными ситуациями </w:t>
            </w:r>
          </w:p>
        </w:tc>
      </w:tr>
    </w:tbl>
    <w:bookmarkStart w:name="z5573" w:id="5381"/>
    <w:p>
      <w:pPr>
        <w:spacing w:after="0"/>
        <w:ind w:left="0"/>
        <w:jc w:val="both"/>
      </w:pPr>
      <w:r>
        <w:rPr>
          <w:rFonts w:ascii="Times New Roman"/>
          <w:b w:val="false"/>
          <w:i w:val="false"/>
          <w:color w:val="000000"/>
          <w:sz w:val="28"/>
        </w:rPr>
        <w:t>
      Вопросы разработки.</w:t>
      </w:r>
    </w:p>
    <w:bookmarkEnd w:id="5381"/>
    <w:bookmarkStart w:name="z5574" w:id="5382"/>
    <w:p>
      <w:pPr>
        <w:spacing w:after="0"/>
        <w:ind w:left="0"/>
        <w:jc w:val="both"/>
      </w:pPr>
      <w:r>
        <w:rPr>
          <w:rFonts w:ascii="Times New Roman"/>
          <w:b w:val="false"/>
          <w:i w:val="false"/>
          <w:color w:val="000000"/>
          <w:sz w:val="28"/>
        </w:rPr>
        <w:t>
      Описывается программа разработки по доклиническим исследованиям с точки зрения предлагаемых показаний к применению и режима дозирования (указывается, существуют ли показания к применению у детей). Если регистрация проводится с учетом положений абзаца третьего пункта 6 настоящих Правил, указывается вывод о возможности отнесения регистрируемого лекарственного препарата к категории орфанных. Указывается, соответствует ли объем проведенных исследований рекомендациям Союза и методическим руководствам и требованиям, установленным законодательством государства-члена.</w:t>
      </w:r>
    </w:p>
    <w:bookmarkEnd w:id="5382"/>
    <w:bookmarkStart w:name="z5575" w:id="5383"/>
    <w:p>
      <w:pPr>
        <w:spacing w:after="0"/>
        <w:ind w:left="0"/>
        <w:jc w:val="both"/>
      </w:pPr>
      <w:r>
        <w:rPr>
          <w:rFonts w:ascii="Times New Roman"/>
          <w:b w:val="false"/>
          <w:i w:val="false"/>
          <w:color w:val="000000"/>
          <w:sz w:val="28"/>
        </w:rPr>
        <w:t>
      Указывается, запрашивает ли заявитель проведение оценки и выполнение необходимых критериев экспертизы в ускоренном порядке.</w:t>
      </w:r>
    </w:p>
    <w:bookmarkEnd w:id="5383"/>
    <w:bookmarkStart w:name="z5576" w:id="5384"/>
    <w:p>
      <w:pPr>
        <w:spacing w:after="0"/>
        <w:ind w:left="0"/>
        <w:jc w:val="both"/>
      </w:pPr>
      <w:r>
        <w:rPr>
          <w:rFonts w:ascii="Times New Roman"/>
          <w:b w:val="false"/>
          <w:i w:val="false"/>
          <w:color w:val="000000"/>
          <w:sz w:val="28"/>
        </w:rPr>
        <w:t>
      Для исследования биоподобия необходимо описать, обосновать и оценить стратегию разработки, выбранную компанией, с учетом соответствующих методических руководств. В случае биоаналогичных (биоподобных) лекарственных препаратов следует использовать соответствующие акты, составляющие право Союза. Необходимо провести тщательный сравнительный анализ для того, чтобы показать, что биоаналогичный и референтный препараты, которые уже зарегистрированы в Союзе, имеют схожие профили в отношении качества, безопасности и эффективности. В части отчета, касающейся оценки качества, необходимо в табличном виде представить подробную информацию о референтном препарате (наименование, дозировка, лекарственная форма, держатель регистрационного удостоверения, дата регистрации в Союзе), а также полные сведения о сериях препарата (номера серий, страна производства), которые использовались при сравнении показателей качества, доклинических и клинических данных.</w:t>
      </w:r>
    </w:p>
    <w:bookmarkEnd w:id="5384"/>
    <w:bookmarkStart w:name="z5577" w:id="5385"/>
    <w:p>
      <w:pPr>
        <w:spacing w:after="0"/>
        <w:ind w:left="0"/>
        <w:jc w:val="both"/>
      </w:pPr>
      <w:r>
        <w:rPr>
          <w:rFonts w:ascii="Times New Roman"/>
          <w:b w:val="false"/>
          <w:i w:val="false"/>
          <w:color w:val="000000"/>
          <w:sz w:val="28"/>
        </w:rPr>
        <w:t>
      Указывается, был ли согласован с уполномоченными органами и организациями, осуществляющими экспертизу лекарственных препаратов, план исследования препарата у детей (с отсрочкой и без нее) или отказ от такого плана для конкретного препарата (либо этот отказ распространяется на весь класс лекарственных препаратов). Кратко описываются условия и основные требования к плану исследования препарата у детей в отношении доклинических аспектов (по возможности) и приводится соответствующая информацию о текущем статусе доклинических исследований (завершенные исследования, продолжающиеся исследования и др.).</w:t>
      </w:r>
    </w:p>
    <w:bookmarkEnd w:id="5385"/>
    <w:bookmarkStart w:name="z5578" w:id="5386"/>
    <w:p>
      <w:pPr>
        <w:spacing w:after="0"/>
        <w:ind w:left="0"/>
        <w:jc w:val="both"/>
      </w:pPr>
      <w:r>
        <w:rPr>
          <w:rFonts w:ascii="Times New Roman"/>
          <w:b w:val="false"/>
          <w:i w:val="false"/>
          <w:color w:val="000000"/>
          <w:sz w:val="28"/>
        </w:rPr>
        <w:t>
      Указываются, получал ли заявитель научное консультирование или содействие в составлении протокола (если да, то когда), проблемные вопросы с описанием, использовал ли заявитель полученные рекомендации.</w:t>
      </w:r>
    </w:p>
    <w:bookmarkEnd w:id="5386"/>
    <w:bookmarkStart w:name="z5579" w:id="5387"/>
    <w:p>
      <w:pPr>
        <w:spacing w:after="0"/>
        <w:ind w:left="0"/>
        <w:jc w:val="both"/>
      </w:pPr>
      <w:r>
        <w:rPr>
          <w:rFonts w:ascii="Times New Roman"/>
          <w:b w:val="false"/>
          <w:i w:val="false"/>
          <w:color w:val="000000"/>
          <w:sz w:val="28"/>
        </w:rPr>
        <w:t>
      Указывается, был ли присвоен лекарственному препарату статус орфанного препарата (если да, то когда). При необходимости сообщается о данном решении в отношении сходных по механизму действия препаратов.</w:t>
      </w:r>
    </w:p>
    <w:bookmarkEnd w:id="5387"/>
    <w:bookmarkStart w:name="z5580" w:id="5388"/>
    <w:p>
      <w:pPr>
        <w:spacing w:after="0"/>
        <w:ind w:left="0"/>
        <w:jc w:val="both"/>
      </w:pPr>
      <w:r>
        <w:rPr>
          <w:rFonts w:ascii="Times New Roman"/>
          <w:b w:val="false"/>
          <w:i w:val="false"/>
          <w:color w:val="000000"/>
          <w:sz w:val="28"/>
        </w:rPr>
        <w:t>
      В случае если для исследований частично использовались серии препарата, не предназначенные для продажи на рынке, необходимо провести оценку квалификации новых примесей (при наличии).</w:t>
      </w:r>
    </w:p>
    <w:bookmarkEnd w:id="5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581" w:id="5389"/>
    <w:p>
      <w:pPr>
        <w:spacing w:after="0"/>
        <w:ind w:left="0"/>
        <w:jc w:val="both"/>
      </w:pPr>
      <w:r>
        <w:rPr>
          <w:rFonts w:ascii="Times New Roman"/>
          <w:b w:val="false"/>
          <w:i w:val="false"/>
          <w:color w:val="000000"/>
          <w:sz w:val="28"/>
        </w:rPr>
        <w:t>
      1.2. Аспекты надлежащей лабораторной практики.</w:t>
      </w:r>
    </w:p>
    <w:bookmarkEnd w:id="5389"/>
    <w:bookmarkStart w:name="z5582" w:id="5390"/>
    <w:p>
      <w:pPr>
        <w:spacing w:after="0"/>
        <w:ind w:left="0"/>
        <w:jc w:val="both"/>
      </w:pPr>
      <w:r>
        <w:rPr>
          <w:rFonts w:ascii="Times New Roman"/>
          <w:b w:val="false"/>
          <w:i w:val="false"/>
          <w:color w:val="000000"/>
          <w:sz w:val="28"/>
        </w:rPr>
        <w:t>
      В настоящем разделе, а также в сводном экспертном отчете "Оценка безопасности, качества, эффективности" должно быть указано наличие декларации о соответствии требованиям правил надлежащей лабораторной практики Союза, утверждаемыми Евразийской экономической комиссией (далее - правила надлежащей лабораторной практики).</w:t>
      </w:r>
    </w:p>
    <w:bookmarkEnd w:id="5390"/>
    <w:bookmarkStart w:name="z5583" w:id="5391"/>
    <w:p>
      <w:pPr>
        <w:spacing w:after="0"/>
        <w:ind w:left="0"/>
        <w:jc w:val="both"/>
      </w:pPr>
      <w:r>
        <w:rPr>
          <w:rFonts w:ascii="Times New Roman"/>
          <w:b w:val="false"/>
          <w:i w:val="false"/>
          <w:color w:val="000000"/>
          <w:sz w:val="28"/>
        </w:rPr>
        <w:t>
      Настоящий раздел, в частности, посвящен описанию:</w:t>
      </w:r>
    </w:p>
    <w:bookmarkEnd w:id="5391"/>
    <w:bookmarkStart w:name="z5584" w:id="5392"/>
    <w:p>
      <w:pPr>
        <w:spacing w:after="0"/>
        <w:ind w:left="0"/>
        <w:jc w:val="both"/>
      </w:pPr>
      <w:r>
        <w:rPr>
          <w:rFonts w:ascii="Times New Roman"/>
          <w:b w:val="false"/>
          <w:i w:val="false"/>
          <w:color w:val="000000"/>
          <w:sz w:val="28"/>
        </w:rPr>
        <w:t>
      любых проблем, связанных с соответствием требованиям правил надлежащей лабораторной практики, выявленным в ходе оценки представленных отчетов (правильность данных или соответствие требованиям протокола);</w:t>
      </w:r>
    </w:p>
    <w:bookmarkEnd w:id="5392"/>
    <w:bookmarkStart w:name="z5585" w:id="5393"/>
    <w:p>
      <w:pPr>
        <w:spacing w:after="0"/>
        <w:ind w:left="0"/>
        <w:jc w:val="both"/>
      </w:pPr>
      <w:r>
        <w:rPr>
          <w:rFonts w:ascii="Times New Roman"/>
          <w:b w:val="false"/>
          <w:i w:val="false"/>
          <w:color w:val="000000"/>
          <w:sz w:val="28"/>
        </w:rPr>
        <w:t>
      рассмотрение вопроса о необходимости проведения инспекции для контроля соблюдения норм надлежащей лабораторной практики.</w:t>
      </w:r>
    </w:p>
    <w:bookmarkEnd w:id="5393"/>
    <w:bookmarkStart w:name="z5586" w:id="5394"/>
    <w:p>
      <w:pPr>
        <w:spacing w:after="0"/>
        <w:ind w:left="0"/>
        <w:jc w:val="both"/>
      </w:pPr>
      <w:r>
        <w:rPr>
          <w:rFonts w:ascii="Times New Roman"/>
          <w:b w:val="false"/>
          <w:i w:val="false"/>
          <w:color w:val="000000"/>
          <w:sz w:val="28"/>
        </w:rPr>
        <w:t>
      Для запроса о проведении инспекции на соответствие требованиям правил надлежащей лабораторной практики необходимо:</w:t>
      </w:r>
    </w:p>
    <w:bookmarkEnd w:id="5394"/>
    <w:bookmarkStart w:name="z5587" w:id="5395"/>
    <w:p>
      <w:pPr>
        <w:spacing w:after="0"/>
        <w:ind w:left="0"/>
        <w:jc w:val="both"/>
      </w:pPr>
      <w:r>
        <w:rPr>
          <w:rFonts w:ascii="Times New Roman"/>
          <w:b w:val="false"/>
          <w:i w:val="false"/>
          <w:color w:val="000000"/>
          <w:sz w:val="28"/>
        </w:rPr>
        <w:t>
      обратиться в фармацевтический инспекторат государства-члена;</w:t>
      </w:r>
    </w:p>
    <w:bookmarkEnd w:id="5395"/>
    <w:bookmarkStart w:name="z5588" w:id="5396"/>
    <w:p>
      <w:pPr>
        <w:spacing w:after="0"/>
        <w:ind w:left="0"/>
        <w:jc w:val="both"/>
      </w:pPr>
      <w:r>
        <w:rPr>
          <w:rFonts w:ascii="Times New Roman"/>
          <w:b w:val="false"/>
          <w:i w:val="false"/>
          <w:color w:val="000000"/>
          <w:sz w:val="28"/>
        </w:rPr>
        <w:t>
      определить вместе с инспекторатом исследования, объекты и специфические вопросы или проблемы, имеющие отношение к проведению инспекции;</w:t>
      </w:r>
    </w:p>
    <w:bookmarkEnd w:id="5396"/>
    <w:bookmarkStart w:name="z5589" w:id="5397"/>
    <w:p>
      <w:pPr>
        <w:spacing w:after="0"/>
        <w:ind w:left="0"/>
        <w:jc w:val="both"/>
      </w:pPr>
      <w:r>
        <w:rPr>
          <w:rFonts w:ascii="Times New Roman"/>
          <w:b w:val="false"/>
          <w:i w:val="false"/>
          <w:color w:val="000000"/>
          <w:sz w:val="28"/>
        </w:rPr>
        <w:t>
      подготовить официальный запрос на проведение инспекции, который подается на рассмотрение инспекторов и дальнейшее согласование с уполномоченными экспертными организациями государств-членов, после чего запрос утверждается уполномоченными органами этих государств и включается в план инспекций (60 или 80 рабочий день общего срока процедуры регистрации).</w:t>
      </w:r>
    </w:p>
    <w:bookmarkEnd w:id="5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590" w:id="5398"/>
    <w:p>
      <w:pPr>
        <w:spacing w:after="0"/>
        <w:ind w:left="0"/>
        <w:jc w:val="both"/>
      </w:pPr>
      <w:r>
        <w:rPr>
          <w:rFonts w:ascii="Times New Roman"/>
          <w:b w:val="false"/>
          <w:i w:val="false"/>
          <w:color w:val="000000"/>
          <w:sz w:val="28"/>
        </w:rPr>
        <w:t>
      2. Фармакология (модули 2.6.2 и 4.2.1).</w:t>
      </w:r>
    </w:p>
    <w:bookmarkEnd w:id="5398"/>
    <w:bookmarkStart w:name="z5591" w:id="5399"/>
    <w:p>
      <w:pPr>
        <w:spacing w:after="0"/>
        <w:ind w:left="0"/>
        <w:jc w:val="both"/>
      </w:pPr>
      <w:r>
        <w:rPr>
          <w:rFonts w:ascii="Times New Roman"/>
          <w:b w:val="false"/>
          <w:i w:val="false"/>
          <w:color w:val="000000"/>
          <w:sz w:val="28"/>
        </w:rPr>
        <w:t>
      Краткое описание</w:t>
      </w:r>
    </w:p>
    <w:bookmarkEnd w:id="5399"/>
    <w:bookmarkStart w:name="z5592" w:id="5400"/>
    <w:p>
      <w:pPr>
        <w:spacing w:after="0"/>
        <w:ind w:left="0"/>
        <w:jc w:val="both"/>
      </w:pPr>
      <w:r>
        <w:rPr>
          <w:rFonts w:ascii="Times New Roman"/>
          <w:b w:val="false"/>
          <w:i w:val="false"/>
          <w:color w:val="000000"/>
          <w:sz w:val="28"/>
        </w:rPr>
        <w:t>
      В настоящем разделе необходимо описать действующее вещество, механизм действия и краткое обоснование разработки лекарственного препарата в соответствии с предлагаемым показанием к применению.</w:t>
      </w:r>
    </w:p>
    <w:bookmarkEnd w:id="5400"/>
    <w:bookmarkStart w:name="z5593" w:id="5401"/>
    <w:p>
      <w:pPr>
        <w:spacing w:after="0"/>
        <w:ind w:left="0"/>
        <w:jc w:val="both"/>
      </w:pPr>
      <w:r>
        <w:rPr>
          <w:rFonts w:ascii="Times New Roman"/>
          <w:b w:val="false"/>
          <w:i w:val="false"/>
          <w:color w:val="000000"/>
          <w:sz w:val="28"/>
        </w:rPr>
        <w:t>
      Для биоаналогичных (биоподобных) лекарственных препаратов в настоящем разделе необходимо отразить сравнительный характер исследований и обоснование программы доклинической разработки. В конце раздела в пункте "обсуждение" можно проанализировать результаты исследований.</w:t>
      </w:r>
    </w:p>
    <w:bookmarkEnd w:id="5401"/>
    <w:bookmarkStart w:name="z5594" w:id="5402"/>
    <w:p>
      <w:pPr>
        <w:spacing w:after="0"/>
        <w:ind w:left="0"/>
        <w:jc w:val="both"/>
      </w:pPr>
      <w:r>
        <w:rPr>
          <w:rFonts w:ascii="Times New Roman"/>
          <w:b w:val="false"/>
          <w:i w:val="false"/>
          <w:color w:val="000000"/>
          <w:sz w:val="28"/>
        </w:rPr>
        <w:t>
      Физическо-химические свойства</w:t>
      </w:r>
    </w:p>
    <w:bookmarkEnd w:id="5402"/>
    <w:bookmarkStart w:name="z5595" w:id="5403"/>
    <w:p>
      <w:pPr>
        <w:spacing w:after="0"/>
        <w:ind w:left="0"/>
        <w:jc w:val="both"/>
      </w:pPr>
      <w:r>
        <w:rPr>
          <w:rFonts w:ascii="Times New Roman"/>
          <w:b w:val="false"/>
          <w:i w:val="false"/>
          <w:color w:val="000000"/>
          <w:sz w:val="28"/>
        </w:rPr>
        <w:t>
      Следует заполнить предлагаемую форму таблицы в соответствии с приложением № 8 к Правилам регистрации. При невозможности заполнения отдельных полей таблицы следует сделать об этом отметку и оценить критичность отсутствующей информации.</w:t>
      </w:r>
    </w:p>
    <w:bookmarkEnd w:id="5403"/>
    <w:bookmarkStart w:name="z5596" w:id="5404"/>
    <w:p>
      <w:pPr>
        <w:spacing w:after="0"/>
        <w:ind w:left="0"/>
        <w:jc w:val="both"/>
      </w:pPr>
      <w:r>
        <w:rPr>
          <w:rFonts w:ascii="Times New Roman"/>
          <w:b w:val="false"/>
          <w:i w:val="false"/>
          <w:color w:val="000000"/>
          <w:sz w:val="28"/>
        </w:rPr>
        <w:t>
      2.1. Первичная фармакодинамика.</w:t>
      </w:r>
    </w:p>
    <w:bookmarkEnd w:id="5404"/>
    <w:bookmarkStart w:name="z5597" w:id="5405"/>
    <w:p>
      <w:pPr>
        <w:spacing w:after="0"/>
        <w:ind w:left="0"/>
        <w:jc w:val="both"/>
      </w:pPr>
      <w:r>
        <w:rPr>
          <w:rFonts w:ascii="Times New Roman"/>
          <w:b w:val="false"/>
          <w:i w:val="false"/>
          <w:color w:val="000000"/>
          <w:sz w:val="28"/>
        </w:rPr>
        <w:t>
      В настоящем разделе описываются фармакодинамические исследования по оценке действующего вещества в отношении основного (целевого) заболевания исходя из предполагаемых показаний к применению, включая следующие вопросы:</w:t>
      </w:r>
    </w:p>
    <w:bookmarkEnd w:id="5405"/>
    <w:bookmarkStart w:name="z5598" w:id="5406"/>
    <w:p>
      <w:pPr>
        <w:spacing w:after="0"/>
        <w:ind w:left="0"/>
        <w:jc w:val="both"/>
      </w:pPr>
      <w:r>
        <w:rPr>
          <w:rFonts w:ascii="Times New Roman"/>
          <w:b w:val="false"/>
          <w:i w:val="false"/>
          <w:color w:val="000000"/>
          <w:sz w:val="28"/>
        </w:rPr>
        <w:t>
      подтверждение концепции (in vitro и in vivo) и механизм действия;</w:t>
      </w:r>
    </w:p>
    <w:bookmarkEnd w:id="5406"/>
    <w:bookmarkStart w:name="z5599" w:id="5407"/>
    <w:p>
      <w:pPr>
        <w:spacing w:after="0"/>
        <w:ind w:left="0"/>
        <w:jc w:val="both"/>
      </w:pPr>
      <w:r>
        <w:rPr>
          <w:rFonts w:ascii="Times New Roman"/>
          <w:b w:val="false"/>
          <w:i w:val="false"/>
          <w:color w:val="000000"/>
          <w:sz w:val="28"/>
        </w:rPr>
        <w:t>
      наличие животных моделей, соответствующих предлагаемым показаниям к применению и пригодных для межвидового анализа;</w:t>
      </w:r>
    </w:p>
    <w:bookmarkEnd w:id="5407"/>
    <w:bookmarkStart w:name="z5600" w:id="5408"/>
    <w:p>
      <w:pPr>
        <w:spacing w:after="0"/>
        <w:ind w:left="0"/>
        <w:jc w:val="both"/>
      </w:pPr>
      <w:r>
        <w:rPr>
          <w:rFonts w:ascii="Times New Roman"/>
          <w:b w:val="false"/>
          <w:i w:val="false"/>
          <w:color w:val="000000"/>
          <w:sz w:val="28"/>
        </w:rPr>
        <w:t>
      активность (например, ED</w:t>
      </w:r>
      <w:r>
        <w:rPr>
          <w:rFonts w:ascii="Times New Roman"/>
          <w:b w:val="false"/>
          <w:i w:val="false"/>
          <w:color w:val="000000"/>
          <w:vertAlign w:val="subscript"/>
        </w:rPr>
        <w:t>50</w:t>
      </w:r>
      <w:r>
        <w:rPr>
          <w:rFonts w:ascii="Times New Roman"/>
          <w:b w:val="false"/>
          <w:i w:val="false"/>
          <w:color w:val="000000"/>
          <w:sz w:val="28"/>
        </w:rPr>
        <w:t>), включая виды животных, используемых в токсикологических исследованиях;</w:t>
      </w:r>
    </w:p>
    <w:bookmarkEnd w:id="5408"/>
    <w:bookmarkStart w:name="z5601" w:id="5409"/>
    <w:p>
      <w:pPr>
        <w:spacing w:after="0"/>
        <w:ind w:left="0"/>
        <w:jc w:val="both"/>
      </w:pPr>
      <w:r>
        <w:rPr>
          <w:rFonts w:ascii="Times New Roman"/>
          <w:b w:val="false"/>
          <w:i w:val="false"/>
          <w:color w:val="000000"/>
          <w:sz w:val="28"/>
        </w:rPr>
        <w:t>
      предварительные фармакокинетические параметры (концентрация в плазме) на животных (при наличии данных);</w:t>
      </w:r>
    </w:p>
    <w:bookmarkEnd w:id="5409"/>
    <w:bookmarkStart w:name="z5602" w:id="5410"/>
    <w:p>
      <w:pPr>
        <w:spacing w:after="0"/>
        <w:ind w:left="0"/>
        <w:jc w:val="both"/>
      </w:pPr>
      <w:r>
        <w:rPr>
          <w:rFonts w:ascii="Times New Roman"/>
          <w:b w:val="false"/>
          <w:i w:val="false"/>
          <w:color w:val="000000"/>
          <w:sz w:val="28"/>
        </w:rPr>
        <w:t>
      продолжительность (обратимость) эффектов, профили резистентности (противоинфекционные препараты);</w:t>
      </w:r>
    </w:p>
    <w:bookmarkEnd w:id="5410"/>
    <w:bookmarkStart w:name="z5603" w:id="5411"/>
    <w:p>
      <w:pPr>
        <w:spacing w:after="0"/>
        <w:ind w:left="0"/>
        <w:jc w:val="both"/>
      </w:pPr>
      <w:r>
        <w:rPr>
          <w:rFonts w:ascii="Times New Roman"/>
          <w:b w:val="false"/>
          <w:i w:val="false"/>
          <w:color w:val="000000"/>
          <w:sz w:val="28"/>
        </w:rPr>
        <w:t>
      фармакологически активные метаболиты (относительный вклад в фармакодинамику);</w:t>
      </w:r>
    </w:p>
    <w:bookmarkEnd w:id="5411"/>
    <w:bookmarkStart w:name="z5604" w:id="5412"/>
    <w:p>
      <w:pPr>
        <w:spacing w:after="0"/>
        <w:ind w:left="0"/>
        <w:jc w:val="both"/>
      </w:pPr>
      <w:r>
        <w:rPr>
          <w:rFonts w:ascii="Times New Roman"/>
          <w:b w:val="false"/>
          <w:i w:val="false"/>
          <w:color w:val="000000"/>
          <w:sz w:val="28"/>
        </w:rPr>
        <w:t>
      иммунологические свойства, включая антигенную специфичность для моноклональных антител.</w:t>
      </w:r>
    </w:p>
    <w:bookmarkEnd w:id="5412"/>
    <w:bookmarkStart w:name="z5605" w:id="5413"/>
    <w:p>
      <w:pPr>
        <w:spacing w:after="0"/>
        <w:ind w:left="0"/>
        <w:jc w:val="both"/>
      </w:pPr>
      <w:r>
        <w:rPr>
          <w:rFonts w:ascii="Times New Roman"/>
          <w:b w:val="false"/>
          <w:i w:val="false"/>
          <w:color w:val="000000"/>
          <w:sz w:val="28"/>
        </w:rPr>
        <w:t>
      Для противомикробных препаратов необходимо привести описание механизма действия, спектра активности in vitro, включая распределение "диких" штаммов по значениям минимальных подавляющих концентраций (при наличии данных), постантибиотических эффектов и механизма резистентности. В качестве примера следует привести данные об эффективности in vivo на животных в отношении разных видов бактерий.</w:t>
      </w:r>
    </w:p>
    <w:bookmarkEnd w:id="5413"/>
    <w:bookmarkStart w:name="z5606" w:id="5414"/>
    <w:p>
      <w:pPr>
        <w:spacing w:after="0"/>
        <w:ind w:left="0"/>
        <w:jc w:val="both"/>
      </w:pPr>
      <w:r>
        <w:rPr>
          <w:rFonts w:ascii="Times New Roman"/>
          <w:b w:val="false"/>
          <w:i w:val="false"/>
          <w:color w:val="000000"/>
          <w:sz w:val="28"/>
        </w:rPr>
        <w:t>
      В настоящем разделе (как и в разделе, посвященном фармакокинетике) можно описать взаимосвязь между фармакокинетическими и фармакодинамическими параметрами, определенными на животных. В разделе, посвященном клиническим данным, должны приводиться перекрестные ссылки на эту информацию.</w:t>
      </w:r>
    </w:p>
    <w:bookmarkEnd w:id="5414"/>
    <w:bookmarkStart w:name="z5607" w:id="5415"/>
    <w:p>
      <w:pPr>
        <w:spacing w:after="0"/>
        <w:ind w:left="0"/>
        <w:jc w:val="both"/>
      </w:pPr>
      <w:r>
        <w:rPr>
          <w:rFonts w:ascii="Times New Roman"/>
          <w:b w:val="false"/>
          <w:i w:val="false"/>
          <w:color w:val="000000"/>
          <w:sz w:val="28"/>
        </w:rPr>
        <w:t>
      Для биоаналогичных (биоподобных) препаратов:</w:t>
      </w:r>
    </w:p>
    <w:bookmarkEnd w:id="5415"/>
    <w:bookmarkStart w:name="z5608" w:id="5416"/>
    <w:p>
      <w:pPr>
        <w:spacing w:after="0"/>
        <w:ind w:left="0"/>
        <w:jc w:val="both"/>
      </w:pPr>
      <w:r>
        <w:rPr>
          <w:rFonts w:ascii="Times New Roman"/>
          <w:b w:val="false"/>
          <w:i w:val="false"/>
          <w:color w:val="000000"/>
          <w:sz w:val="28"/>
        </w:rPr>
        <w:t>
      Набор (батарея) тестов изучения связывания с рецепторами или тестов, выполненных на клетках (которые могут быть доступны в результате проведенного ранее изучения качества препарата на биологических системах), - основной элемент сравнительного анализа, проводимого с целью оценки различий в реактивности и определении их вероятного причинного фактора.</w:t>
      </w:r>
    </w:p>
    <w:bookmarkEnd w:id="5416"/>
    <w:bookmarkStart w:name="z5609" w:id="5417"/>
    <w:p>
      <w:pPr>
        <w:spacing w:after="0"/>
        <w:ind w:left="0"/>
        <w:jc w:val="both"/>
      </w:pPr>
      <w:r>
        <w:rPr>
          <w:rFonts w:ascii="Times New Roman"/>
          <w:b w:val="false"/>
          <w:i w:val="false"/>
          <w:color w:val="000000"/>
          <w:sz w:val="28"/>
        </w:rPr>
        <w:t>
      Исследования на животных должны были быть спланированы таким образом, чтобы представлять максимальный объем информации для сравнения референтного препарата и биоаналогичного препарата, который в последующем использовался в клинических исследованиях. Такие исследования должны проводиться на релевантных видах животных с использованием наиболее современных технологий.</w:t>
      </w:r>
    </w:p>
    <w:bookmarkEnd w:id="5417"/>
    <w:bookmarkStart w:name="z5610" w:id="5418"/>
    <w:p>
      <w:pPr>
        <w:spacing w:after="0"/>
        <w:ind w:left="0"/>
        <w:jc w:val="both"/>
      </w:pPr>
      <w:r>
        <w:rPr>
          <w:rFonts w:ascii="Times New Roman"/>
          <w:b w:val="false"/>
          <w:i w:val="false"/>
          <w:color w:val="000000"/>
          <w:sz w:val="28"/>
        </w:rPr>
        <w:t>
      2.2. Вторичная фармакодинамика.</w:t>
      </w:r>
    </w:p>
    <w:bookmarkEnd w:id="5418"/>
    <w:bookmarkStart w:name="z5611" w:id="5419"/>
    <w:p>
      <w:pPr>
        <w:spacing w:after="0"/>
        <w:ind w:left="0"/>
        <w:jc w:val="both"/>
      </w:pPr>
      <w:r>
        <w:rPr>
          <w:rFonts w:ascii="Times New Roman"/>
          <w:b w:val="false"/>
          <w:i w:val="false"/>
          <w:color w:val="000000"/>
          <w:sz w:val="28"/>
        </w:rPr>
        <w:t>
      Данный раздел посвящен описанию фармакологических эффектов, не связанных с первичной терапевтической активностью. При необходимости указывается информацию о скрининге результатов взаимодействия с рецепторами.</w:t>
      </w:r>
    </w:p>
    <w:bookmarkEnd w:id="5419"/>
    <w:bookmarkStart w:name="z5612" w:id="5420"/>
    <w:p>
      <w:pPr>
        <w:spacing w:after="0"/>
        <w:ind w:left="0"/>
        <w:jc w:val="both"/>
      </w:pPr>
      <w:r>
        <w:rPr>
          <w:rFonts w:ascii="Times New Roman"/>
          <w:b w:val="false"/>
          <w:i w:val="false"/>
          <w:color w:val="000000"/>
          <w:sz w:val="28"/>
        </w:rPr>
        <w:t>
      Для моноклональных антител дается подробная информация об иммунологических свойствах, которые отличаются от предполагаемых, в том числе о комплимент-связывающих свойствах и любых непредусмотренных видах реактивности и (или) цитотоксичности в отношении тканей человека, отличных от тканей-мишеней для данного препарата. Подобные исследования перекрестной реактивности могут проводиться с использованием различных тканей человека. Информация о таких исследованиях должна содержаться в этом разделе.</w:t>
      </w:r>
    </w:p>
    <w:bookmarkEnd w:id="5420"/>
    <w:bookmarkStart w:name="z5613" w:id="5421"/>
    <w:p>
      <w:pPr>
        <w:spacing w:after="0"/>
        <w:ind w:left="0"/>
        <w:jc w:val="both"/>
      </w:pPr>
      <w:r>
        <w:rPr>
          <w:rFonts w:ascii="Times New Roman"/>
          <w:b w:val="false"/>
          <w:i w:val="false"/>
          <w:color w:val="000000"/>
          <w:sz w:val="28"/>
        </w:rPr>
        <w:t>
      2.3. Фармакологическая безопасность.</w:t>
      </w:r>
    </w:p>
    <w:bookmarkEnd w:id="5421"/>
    <w:bookmarkStart w:name="z5614" w:id="5422"/>
    <w:p>
      <w:pPr>
        <w:spacing w:after="0"/>
        <w:ind w:left="0"/>
        <w:jc w:val="both"/>
      </w:pPr>
      <w:r>
        <w:rPr>
          <w:rFonts w:ascii="Times New Roman"/>
          <w:b w:val="false"/>
          <w:i w:val="false"/>
          <w:color w:val="000000"/>
          <w:sz w:val="28"/>
        </w:rPr>
        <w:t>
      В данном разделе рассматриваются следующие вопросы:</w:t>
      </w:r>
    </w:p>
    <w:bookmarkEnd w:id="5422"/>
    <w:bookmarkStart w:name="z5615" w:id="5423"/>
    <w:p>
      <w:pPr>
        <w:spacing w:after="0"/>
        <w:ind w:left="0"/>
        <w:jc w:val="both"/>
      </w:pPr>
      <w:r>
        <w:rPr>
          <w:rFonts w:ascii="Times New Roman"/>
          <w:b w:val="false"/>
          <w:i w:val="false"/>
          <w:color w:val="000000"/>
          <w:sz w:val="28"/>
        </w:rPr>
        <w:t>
      а) батарея основных тестов (в соответствии с правилами надлежащей лабораторной практики):</w:t>
      </w:r>
    </w:p>
    <w:bookmarkEnd w:id="5423"/>
    <w:bookmarkStart w:name="z5616" w:id="5424"/>
    <w:p>
      <w:pPr>
        <w:spacing w:after="0"/>
        <w:ind w:left="0"/>
        <w:jc w:val="both"/>
      </w:pPr>
      <w:r>
        <w:rPr>
          <w:rFonts w:ascii="Times New Roman"/>
          <w:b w:val="false"/>
          <w:i w:val="false"/>
          <w:color w:val="000000"/>
          <w:sz w:val="28"/>
        </w:rPr>
        <w:t>
      сердечно-сосудистая система (включая удлинение интервала QT в исследованиях in vitro или in vivo);</w:t>
      </w:r>
    </w:p>
    <w:bookmarkEnd w:id="5424"/>
    <w:bookmarkStart w:name="z5617" w:id="5425"/>
    <w:p>
      <w:pPr>
        <w:spacing w:after="0"/>
        <w:ind w:left="0"/>
        <w:jc w:val="both"/>
      </w:pPr>
      <w:r>
        <w:rPr>
          <w:rFonts w:ascii="Times New Roman"/>
          <w:b w:val="false"/>
          <w:i w:val="false"/>
          <w:color w:val="000000"/>
          <w:sz w:val="28"/>
        </w:rPr>
        <w:t>
      центральная нервная система;</w:t>
      </w:r>
    </w:p>
    <w:bookmarkEnd w:id="5425"/>
    <w:bookmarkStart w:name="z5618" w:id="5426"/>
    <w:p>
      <w:pPr>
        <w:spacing w:after="0"/>
        <w:ind w:left="0"/>
        <w:jc w:val="both"/>
      </w:pPr>
      <w:r>
        <w:rPr>
          <w:rFonts w:ascii="Times New Roman"/>
          <w:b w:val="false"/>
          <w:i w:val="false"/>
          <w:color w:val="000000"/>
          <w:sz w:val="28"/>
        </w:rPr>
        <w:t>
      дыхательная система;</w:t>
      </w:r>
    </w:p>
    <w:bookmarkEnd w:id="5426"/>
    <w:bookmarkStart w:name="z5619" w:id="5427"/>
    <w:p>
      <w:pPr>
        <w:spacing w:after="0"/>
        <w:ind w:left="0"/>
        <w:jc w:val="both"/>
      </w:pPr>
      <w:r>
        <w:rPr>
          <w:rFonts w:ascii="Times New Roman"/>
          <w:b w:val="false"/>
          <w:i w:val="false"/>
          <w:color w:val="000000"/>
          <w:sz w:val="28"/>
        </w:rPr>
        <w:t>
      б) прочие тесты (например, почки, желудочно-кишечный тракт и др.).</w:t>
      </w:r>
    </w:p>
    <w:bookmarkEnd w:id="5427"/>
    <w:bookmarkStart w:name="z5620" w:id="5428"/>
    <w:p>
      <w:pPr>
        <w:spacing w:after="0"/>
        <w:ind w:left="0"/>
        <w:jc w:val="both"/>
      </w:pPr>
      <w:r>
        <w:rPr>
          <w:rFonts w:ascii="Times New Roman"/>
          <w:b w:val="false"/>
          <w:i w:val="false"/>
          <w:color w:val="000000"/>
          <w:sz w:val="28"/>
        </w:rPr>
        <w:t>
      Для биоаналогичных (биоподобных) препаратов, как правило, не требуется проведение других рутинных токсикологических исследований, например, исследования фармакологической безопасности, кроме случаев, при которых проведение таких тестов обусловлено результатами исследований токсичности многократного введения.</w:t>
      </w:r>
    </w:p>
    <w:bookmarkEnd w:id="5428"/>
    <w:bookmarkStart w:name="z5621" w:id="5429"/>
    <w:p>
      <w:pPr>
        <w:spacing w:after="0"/>
        <w:ind w:left="0"/>
        <w:jc w:val="both"/>
      </w:pPr>
      <w:r>
        <w:rPr>
          <w:rFonts w:ascii="Times New Roman"/>
          <w:b w:val="false"/>
          <w:i w:val="false"/>
          <w:color w:val="000000"/>
          <w:sz w:val="28"/>
        </w:rPr>
        <w:t>
      2.4. Фармакодинамические лекарственные взаимодействия.</w:t>
      </w:r>
    </w:p>
    <w:bookmarkEnd w:id="5429"/>
    <w:bookmarkStart w:name="z5622" w:id="5430"/>
    <w:p>
      <w:pPr>
        <w:spacing w:after="0"/>
        <w:ind w:left="0"/>
        <w:jc w:val="both"/>
      </w:pPr>
      <w:r>
        <w:rPr>
          <w:rFonts w:ascii="Times New Roman"/>
          <w:b w:val="false"/>
          <w:i w:val="false"/>
          <w:color w:val="000000"/>
          <w:sz w:val="28"/>
        </w:rPr>
        <w:t>
      Потенциальные фармакодинамические лекарственные взаимодействия могут включать в себя:</w:t>
      </w:r>
    </w:p>
    <w:bookmarkEnd w:id="5430"/>
    <w:bookmarkStart w:name="z5623" w:id="5431"/>
    <w:p>
      <w:pPr>
        <w:spacing w:after="0"/>
        <w:ind w:left="0"/>
        <w:jc w:val="both"/>
      </w:pPr>
      <w:r>
        <w:rPr>
          <w:rFonts w:ascii="Times New Roman"/>
          <w:b w:val="false"/>
          <w:i w:val="false"/>
          <w:color w:val="000000"/>
          <w:sz w:val="28"/>
        </w:rPr>
        <w:t>
      взаимодействие на уровне рецепторов;</w:t>
      </w:r>
    </w:p>
    <w:bookmarkEnd w:id="5431"/>
    <w:bookmarkStart w:name="z5624" w:id="5432"/>
    <w:p>
      <w:pPr>
        <w:spacing w:after="0"/>
        <w:ind w:left="0"/>
        <w:jc w:val="both"/>
      </w:pPr>
      <w:r>
        <w:rPr>
          <w:rFonts w:ascii="Times New Roman"/>
          <w:b w:val="false"/>
          <w:i w:val="false"/>
          <w:color w:val="000000"/>
          <w:sz w:val="28"/>
        </w:rPr>
        <w:t>
      возможное совместное применение препаратов в условиях клинической практики;</w:t>
      </w:r>
    </w:p>
    <w:bookmarkEnd w:id="5432"/>
    <w:bookmarkStart w:name="z5625" w:id="5433"/>
    <w:p>
      <w:pPr>
        <w:spacing w:after="0"/>
        <w:ind w:left="0"/>
        <w:jc w:val="both"/>
      </w:pPr>
      <w:r>
        <w:rPr>
          <w:rFonts w:ascii="Times New Roman"/>
          <w:b w:val="false"/>
          <w:i w:val="false"/>
          <w:color w:val="000000"/>
          <w:sz w:val="28"/>
        </w:rPr>
        <w:t>
      сообщения о нежелательных реакциях, полученные в ходе исследований фармакологической безопасности, фармакокинетики (метаболизма) или токсикологии.</w:t>
      </w:r>
    </w:p>
    <w:bookmarkEnd w:id="5433"/>
    <w:bookmarkStart w:name="z5626" w:id="5434"/>
    <w:p>
      <w:pPr>
        <w:spacing w:after="0"/>
        <w:ind w:left="0"/>
        <w:jc w:val="both"/>
      </w:pPr>
      <w:r>
        <w:rPr>
          <w:rFonts w:ascii="Times New Roman"/>
          <w:b w:val="false"/>
          <w:i w:val="false"/>
          <w:color w:val="000000"/>
          <w:sz w:val="28"/>
        </w:rPr>
        <w:t>
      2.5. Общее заключение эксперта по фармакологии.</w:t>
      </w:r>
    </w:p>
    <w:bookmarkEnd w:id="5434"/>
    <w:bookmarkStart w:name="z5627" w:id="5435"/>
    <w:p>
      <w:pPr>
        <w:spacing w:after="0"/>
        <w:ind w:left="0"/>
        <w:jc w:val="both"/>
      </w:pPr>
      <w:r>
        <w:rPr>
          <w:rFonts w:ascii="Times New Roman"/>
          <w:b w:val="false"/>
          <w:i w:val="false"/>
          <w:color w:val="000000"/>
          <w:sz w:val="28"/>
        </w:rPr>
        <w:t>
      Содержание настоящего раздела может быть перенесено в раздел сводного экспертного отчета "Оценка безопасности, качества, эффективности".</w:t>
      </w:r>
    </w:p>
    <w:bookmarkEnd w:id="5435"/>
    <w:bookmarkStart w:name="z5628" w:id="5436"/>
    <w:p>
      <w:pPr>
        <w:spacing w:after="0"/>
        <w:ind w:left="0"/>
        <w:jc w:val="both"/>
      </w:pPr>
      <w:r>
        <w:rPr>
          <w:rFonts w:ascii="Times New Roman"/>
          <w:b w:val="false"/>
          <w:i w:val="false"/>
          <w:color w:val="000000"/>
          <w:sz w:val="28"/>
        </w:rPr>
        <w:t>
      Для того чтобы у лиц, работающих с отчетом имелась возможность полностью оценить все значимые результаты, необходимо максимально подробно составить настоящий раздел.</w:t>
      </w:r>
    </w:p>
    <w:bookmarkEnd w:id="5436"/>
    <w:bookmarkStart w:name="z5629" w:id="5437"/>
    <w:p>
      <w:pPr>
        <w:spacing w:after="0"/>
        <w:ind w:left="0"/>
        <w:jc w:val="both"/>
      </w:pPr>
      <w:r>
        <w:rPr>
          <w:rFonts w:ascii="Times New Roman"/>
          <w:b w:val="false"/>
          <w:i w:val="false"/>
          <w:color w:val="000000"/>
          <w:sz w:val="28"/>
        </w:rPr>
        <w:t>
      Кратко следует описать основные результаты фармакологических исследований и проанализировать пригодность моделей, использованных для предполагаемых терапевтических показаний.</w:t>
      </w:r>
    </w:p>
    <w:bookmarkEnd w:id="5437"/>
    <w:bookmarkStart w:name="z5630" w:id="5438"/>
    <w:p>
      <w:pPr>
        <w:spacing w:after="0"/>
        <w:ind w:left="0"/>
        <w:jc w:val="both"/>
      </w:pPr>
      <w:r>
        <w:rPr>
          <w:rFonts w:ascii="Times New Roman"/>
          <w:b w:val="false"/>
          <w:i w:val="false"/>
          <w:color w:val="000000"/>
          <w:sz w:val="28"/>
        </w:rPr>
        <w:t>
      Также следует кратко указать результаты исследований фармакологической безопасности, отметив данные, которые могут указывать на возможные нежелательные реакции у человека.</w:t>
      </w:r>
    </w:p>
    <w:bookmarkEnd w:id="5438"/>
    <w:bookmarkStart w:name="z5631" w:id="5439"/>
    <w:p>
      <w:pPr>
        <w:spacing w:after="0"/>
        <w:ind w:left="0"/>
        <w:jc w:val="both"/>
      </w:pPr>
      <w:r>
        <w:rPr>
          <w:rFonts w:ascii="Times New Roman"/>
          <w:b w:val="false"/>
          <w:i w:val="false"/>
          <w:color w:val="000000"/>
          <w:sz w:val="28"/>
        </w:rPr>
        <w:t>
      В качестве альтернативного варианта в настоящем разделе могут содержаться только основные выводы, при этом требуется отдельная разработка раздела "Краткое описание".</w:t>
      </w:r>
    </w:p>
    <w:bookmarkEnd w:id="5439"/>
    <w:bookmarkStart w:name="z5632" w:id="5440"/>
    <w:p>
      <w:pPr>
        <w:spacing w:after="0"/>
        <w:ind w:left="0"/>
        <w:jc w:val="both"/>
      </w:pPr>
      <w:r>
        <w:rPr>
          <w:rFonts w:ascii="Times New Roman"/>
          <w:b w:val="false"/>
          <w:i w:val="false"/>
          <w:color w:val="000000"/>
          <w:sz w:val="28"/>
        </w:rPr>
        <w:t>
      Следует выделить разделы "доклинического обзора" представленного досье препарата, с которыми эксперт согласен или не согласен, и дать комментарии относительно пригодности использованных в нем формулировок и сведений для ОХЛП. Следует проверить соответствие текста в досье и ОХЛП (в частности в разделе отчета 5.3 "Данные доклинических исследований безопасности", а также в разделах отчета 4.3 "Противопоказания", 4.5 "Лекарственные взаимодействия", 4.6 "Беременность и кормление грудью", 5.1 "Фармакодинамические свойства"), а также убедиться в том, что вся информация, содержащаяся в ОХЛП, полностью подтверждена результатами научной экспертизы.</w:t>
      </w:r>
    </w:p>
    <w:bookmarkEnd w:id="5440"/>
    <w:bookmarkStart w:name="z5633" w:id="5441"/>
    <w:p>
      <w:pPr>
        <w:spacing w:after="0"/>
        <w:ind w:left="0"/>
        <w:jc w:val="both"/>
      </w:pPr>
      <w:r>
        <w:rPr>
          <w:rFonts w:ascii="Times New Roman"/>
          <w:b w:val="false"/>
          <w:i w:val="false"/>
          <w:color w:val="000000"/>
          <w:sz w:val="28"/>
        </w:rPr>
        <w:t>
      3. Фармакокинетика (модули 2.6.4 и 4.2.2).</w:t>
      </w:r>
    </w:p>
    <w:bookmarkEnd w:id="5441"/>
    <w:bookmarkStart w:name="z5634" w:id="5442"/>
    <w:p>
      <w:pPr>
        <w:spacing w:after="0"/>
        <w:ind w:left="0"/>
        <w:jc w:val="both"/>
      </w:pPr>
      <w:r>
        <w:rPr>
          <w:rFonts w:ascii="Times New Roman"/>
          <w:b w:val="false"/>
          <w:i w:val="false"/>
          <w:color w:val="000000"/>
          <w:sz w:val="28"/>
        </w:rPr>
        <w:t>
      Фармакокинетические исследования</w:t>
      </w:r>
    </w:p>
    <w:bookmarkEnd w:id="5442"/>
    <w:bookmarkStart w:name="z5635" w:id="5443"/>
    <w:p>
      <w:pPr>
        <w:spacing w:after="0"/>
        <w:ind w:left="0"/>
        <w:jc w:val="both"/>
      </w:pPr>
      <w:r>
        <w:rPr>
          <w:rFonts w:ascii="Times New Roman"/>
          <w:b w:val="false"/>
          <w:i w:val="false"/>
          <w:color w:val="000000"/>
          <w:sz w:val="28"/>
        </w:rPr>
        <w:t>
      В настоящем разделе приводится краткий обзор исследований. Описание токсикокинетических исследований приводится в разделе, посвященном токсичности при многократном введении.</w:t>
      </w:r>
    </w:p>
    <w:bookmarkEnd w:id="5443"/>
    <w:bookmarkStart w:name="z5636" w:id="5444"/>
    <w:p>
      <w:pPr>
        <w:spacing w:after="0"/>
        <w:ind w:left="0"/>
        <w:jc w:val="both"/>
      </w:pPr>
      <w:r>
        <w:rPr>
          <w:rFonts w:ascii="Times New Roman"/>
          <w:b w:val="false"/>
          <w:i w:val="false"/>
          <w:color w:val="000000"/>
          <w:sz w:val="28"/>
        </w:rPr>
        <w:t>
      3.1. Методы исследований.</w:t>
      </w:r>
    </w:p>
    <w:bookmarkEnd w:id="5444"/>
    <w:bookmarkStart w:name="z5637" w:id="5445"/>
    <w:p>
      <w:pPr>
        <w:spacing w:after="0"/>
        <w:ind w:left="0"/>
        <w:jc w:val="both"/>
      </w:pPr>
      <w:r>
        <w:rPr>
          <w:rFonts w:ascii="Times New Roman"/>
          <w:b w:val="false"/>
          <w:i w:val="false"/>
          <w:color w:val="000000"/>
          <w:sz w:val="28"/>
        </w:rPr>
        <w:t>
      Отчет должен содержать краткое рассмотрение биоаналитических методик и их валидации. При токсикокинетических исследованиях методики должны соответствовать требованиям правил надлежащей лабораторной практики.</w:t>
      </w:r>
    </w:p>
    <w:bookmarkEnd w:id="5445"/>
    <w:bookmarkStart w:name="z5638" w:id="5446"/>
    <w:p>
      <w:pPr>
        <w:spacing w:after="0"/>
        <w:ind w:left="0"/>
        <w:jc w:val="both"/>
      </w:pPr>
      <w:r>
        <w:rPr>
          <w:rFonts w:ascii="Times New Roman"/>
          <w:b w:val="false"/>
          <w:i w:val="false"/>
          <w:color w:val="000000"/>
          <w:sz w:val="28"/>
        </w:rPr>
        <w:t>
      Необходимо четко указать концентрации в единицах измерения (например, моль/л или мг/мл) и по возможности приводить данные в той же размерности.</w:t>
      </w:r>
    </w:p>
    <w:bookmarkEnd w:id="5446"/>
    <w:bookmarkStart w:name="z5639" w:id="5447"/>
    <w:p>
      <w:pPr>
        <w:spacing w:after="0"/>
        <w:ind w:left="0"/>
        <w:jc w:val="both"/>
      </w:pPr>
      <w:r>
        <w:rPr>
          <w:rFonts w:ascii="Times New Roman"/>
          <w:b w:val="false"/>
          <w:i w:val="false"/>
          <w:color w:val="000000"/>
          <w:sz w:val="28"/>
        </w:rPr>
        <w:t>
      Эксперт при оценке должен дать комментарий относительно наличия указанной информации и любых несоответствиях между исследованиями.</w:t>
      </w:r>
    </w:p>
    <w:bookmarkEnd w:id="5447"/>
    <w:bookmarkStart w:name="z5640" w:id="5448"/>
    <w:p>
      <w:pPr>
        <w:spacing w:after="0"/>
        <w:ind w:left="0"/>
        <w:jc w:val="both"/>
      </w:pPr>
      <w:r>
        <w:rPr>
          <w:rFonts w:ascii="Times New Roman"/>
          <w:b w:val="false"/>
          <w:i w:val="false"/>
          <w:color w:val="000000"/>
          <w:sz w:val="28"/>
        </w:rPr>
        <w:t>
      3.2. Абсорбция.</w:t>
      </w:r>
    </w:p>
    <w:bookmarkEnd w:id="5448"/>
    <w:bookmarkStart w:name="z5641" w:id="5449"/>
    <w:p>
      <w:pPr>
        <w:spacing w:after="0"/>
        <w:ind w:left="0"/>
        <w:jc w:val="both"/>
      </w:pPr>
      <w:r>
        <w:rPr>
          <w:rFonts w:ascii="Times New Roman"/>
          <w:b w:val="false"/>
          <w:i w:val="false"/>
          <w:color w:val="000000"/>
          <w:sz w:val="28"/>
        </w:rPr>
        <w:t>
      Перечень рассматриваемых вопросов в настоящем разделе может включать в себя в том числе:</w:t>
      </w:r>
    </w:p>
    <w:bookmarkEnd w:id="5449"/>
    <w:bookmarkStart w:name="z5642" w:id="5450"/>
    <w:p>
      <w:pPr>
        <w:spacing w:after="0"/>
        <w:ind w:left="0"/>
        <w:jc w:val="both"/>
      </w:pPr>
      <w:r>
        <w:rPr>
          <w:rFonts w:ascii="Times New Roman"/>
          <w:b w:val="false"/>
          <w:i w:val="false"/>
          <w:color w:val="000000"/>
          <w:sz w:val="28"/>
        </w:rPr>
        <w:t>
      если применимо, описание места абсорбции для лекарственных форм для приема внутрь (как правило, неизвестно, в каких именно отделах желудочно-кишечного тракта происходит всасывание);</w:t>
      </w:r>
    </w:p>
    <w:bookmarkEnd w:id="5450"/>
    <w:bookmarkStart w:name="z5643" w:id="5451"/>
    <w:p>
      <w:pPr>
        <w:spacing w:after="0"/>
        <w:ind w:left="0"/>
        <w:jc w:val="both"/>
      </w:pPr>
      <w:r>
        <w:rPr>
          <w:rFonts w:ascii="Times New Roman"/>
          <w:b w:val="false"/>
          <w:i w:val="false"/>
          <w:color w:val="000000"/>
          <w:sz w:val="28"/>
        </w:rPr>
        <w:t>
      кинетику при однократном и многократном применении;</w:t>
      </w:r>
    </w:p>
    <w:bookmarkEnd w:id="5451"/>
    <w:bookmarkStart w:name="z5644" w:id="5452"/>
    <w:p>
      <w:pPr>
        <w:spacing w:after="0"/>
        <w:ind w:left="0"/>
        <w:jc w:val="both"/>
      </w:pPr>
      <w:r>
        <w:rPr>
          <w:rFonts w:ascii="Times New Roman"/>
          <w:b w:val="false"/>
          <w:i w:val="false"/>
          <w:color w:val="000000"/>
          <w:sz w:val="28"/>
        </w:rPr>
        <w:t>
      пропорциональность кинетики доз;</w:t>
      </w:r>
    </w:p>
    <w:bookmarkEnd w:id="5452"/>
    <w:bookmarkStart w:name="z5645" w:id="5453"/>
    <w:p>
      <w:pPr>
        <w:spacing w:after="0"/>
        <w:ind w:left="0"/>
        <w:jc w:val="both"/>
      </w:pPr>
      <w:r>
        <w:rPr>
          <w:rFonts w:ascii="Times New Roman"/>
          <w:b w:val="false"/>
          <w:i w:val="false"/>
          <w:color w:val="000000"/>
          <w:sz w:val="28"/>
        </w:rPr>
        <w:t>
      половые различия (при наличии);</w:t>
      </w:r>
    </w:p>
    <w:bookmarkEnd w:id="5453"/>
    <w:bookmarkStart w:name="z5646" w:id="5454"/>
    <w:p>
      <w:pPr>
        <w:spacing w:after="0"/>
        <w:ind w:left="0"/>
        <w:jc w:val="both"/>
      </w:pPr>
      <w:r>
        <w:rPr>
          <w:rFonts w:ascii="Times New Roman"/>
          <w:b w:val="false"/>
          <w:i w:val="false"/>
          <w:color w:val="000000"/>
          <w:sz w:val="28"/>
        </w:rPr>
        <w:t>
      межвидовое сравнение (необходимо включить данные о видах животных, используемых в токсикологических исследованиях, и информацию по применению у человека);</w:t>
      </w:r>
    </w:p>
    <w:bookmarkEnd w:id="5454"/>
    <w:bookmarkStart w:name="z5647" w:id="5455"/>
    <w:p>
      <w:pPr>
        <w:spacing w:after="0"/>
        <w:ind w:left="0"/>
        <w:jc w:val="both"/>
      </w:pPr>
      <w:r>
        <w:rPr>
          <w:rFonts w:ascii="Times New Roman"/>
          <w:b w:val="false"/>
          <w:i w:val="false"/>
          <w:color w:val="000000"/>
          <w:sz w:val="28"/>
        </w:rPr>
        <w:t>
      абсолютную биодоступность;</w:t>
      </w:r>
    </w:p>
    <w:bookmarkEnd w:id="5455"/>
    <w:bookmarkStart w:name="z5648" w:id="5456"/>
    <w:p>
      <w:pPr>
        <w:spacing w:after="0"/>
        <w:ind w:left="0"/>
        <w:jc w:val="both"/>
      </w:pPr>
      <w:r>
        <w:rPr>
          <w:rFonts w:ascii="Times New Roman"/>
          <w:b w:val="false"/>
          <w:i w:val="false"/>
          <w:color w:val="000000"/>
          <w:sz w:val="28"/>
        </w:rPr>
        <w:t>
      образование нейтрализующих антител (для биотехнологических препаратов).</w:t>
      </w:r>
    </w:p>
    <w:bookmarkEnd w:id="5456"/>
    <w:bookmarkStart w:name="z5649" w:id="5457"/>
    <w:p>
      <w:pPr>
        <w:spacing w:after="0"/>
        <w:ind w:left="0"/>
        <w:jc w:val="both"/>
      </w:pPr>
      <w:r>
        <w:rPr>
          <w:rFonts w:ascii="Times New Roman"/>
          <w:b w:val="false"/>
          <w:i w:val="false"/>
          <w:color w:val="000000"/>
          <w:sz w:val="28"/>
        </w:rPr>
        <w:t>
      Рекомендуется представление данных в табличном виде, включая информацию о видах животных, дозах, способе введения препарата, параметрах C</w:t>
      </w:r>
      <w:r>
        <w:rPr>
          <w:rFonts w:ascii="Times New Roman"/>
          <w:b w:val="false"/>
          <w:i w:val="false"/>
          <w:color w:val="000000"/>
          <w:vertAlign w:val="subscript"/>
        </w:rPr>
        <w:t>max</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AUC, t</w:t>
      </w:r>
      <w:r>
        <w:rPr>
          <w:rFonts w:ascii="Times New Roman"/>
          <w:b w:val="false"/>
          <w:i w:val="false"/>
          <w:color w:val="000000"/>
          <w:vertAlign w:val="subscript"/>
        </w:rPr>
        <w:t>1/2</w:t>
      </w:r>
      <w:r>
        <w:rPr>
          <w:rFonts w:ascii="Times New Roman"/>
          <w:b w:val="false"/>
          <w:i w:val="false"/>
          <w:color w:val="000000"/>
          <w:sz w:val="28"/>
        </w:rPr>
        <w:t>, V</w:t>
      </w:r>
      <w:r>
        <w:rPr>
          <w:rFonts w:ascii="Times New Roman"/>
          <w:b w:val="false"/>
          <w:i w:val="false"/>
          <w:color w:val="000000"/>
          <w:vertAlign w:val="subscript"/>
        </w:rPr>
        <w:t>d</w:t>
      </w:r>
      <w:r>
        <w:rPr>
          <w:rFonts w:ascii="Times New Roman"/>
          <w:b w:val="false"/>
          <w:i w:val="false"/>
          <w:color w:val="000000"/>
          <w:sz w:val="28"/>
        </w:rPr>
        <w:t>, Cl</w:t>
      </w:r>
      <w:r>
        <w:rPr>
          <w:rFonts w:ascii="Times New Roman"/>
          <w:b w:val="false"/>
          <w:i w:val="false"/>
          <w:color w:val="000000"/>
          <w:vertAlign w:val="subscript"/>
        </w:rPr>
        <w:t>t</w:t>
      </w:r>
      <w:r>
        <w:rPr>
          <w:rFonts w:ascii="Times New Roman"/>
          <w:b w:val="false"/>
          <w:i w:val="false"/>
          <w:color w:val="000000"/>
          <w:sz w:val="28"/>
        </w:rPr>
        <w:t xml:space="preserve"> и f% (как это указано в примере таблицы данного раздела приложения № 6 к Правилам регистрации). Если фармакокинетика является линейной, достаточным будет описать данные по одной из групп (доз).</w:t>
      </w:r>
    </w:p>
    <w:bookmarkEnd w:id="5457"/>
    <w:bookmarkStart w:name="z5650" w:id="5458"/>
    <w:p>
      <w:pPr>
        <w:spacing w:after="0"/>
        <w:ind w:left="0"/>
        <w:jc w:val="both"/>
      </w:pPr>
      <w:r>
        <w:rPr>
          <w:rFonts w:ascii="Times New Roman"/>
          <w:b w:val="false"/>
          <w:i w:val="false"/>
          <w:color w:val="000000"/>
          <w:sz w:val="28"/>
        </w:rPr>
        <w:t>
      3.3. Распределение.</w:t>
      </w:r>
    </w:p>
    <w:bookmarkEnd w:id="5458"/>
    <w:bookmarkStart w:name="z5651" w:id="5459"/>
    <w:p>
      <w:pPr>
        <w:spacing w:after="0"/>
        <w:ind w:left="0"/>
        <w:jc w:val="both"/>
      </w:pPr>
      <w:r>
        <w:rPr>
          <w:rFonts w:ascii="Times New Roman"/>
          <w:b w:val="false"/>
          <w:i w:val="false"/>
          <w:color w:val="000000"/>
          <w:sz w:val="28"/>
        </w:rPr>
        <w:t>
      В настоящем разделе необходимо рассмотреть следующие вопросы:</w:t>
      </w:r>
    </w:p>
    <w:bookmarkEnd w:id="5459"/>
    <w:bookmarkStart w:name="z5652" w:id="5460"/>
    <w:p>
      <w:pPr>
        <w:spacing w:after="0"/>
        <w:ind w:left="0"/>
        <w:jc w:val="both"/>
      </w:pPr>
      <w:r>
        <w:rPr>
          <w:rFonts w:ascii="Times New Roman"/>
          <w:b w:val="false"/>
          <w:i w:val="false"/>
          <w:color w:val="000000"/>
          <w:sz w:val="28"/>
        </w:rPr>
        <w:t>
      метод, применяемый в исследованиях по изучению распределения в тканях (например, авторадиографический анализ);</w:t>
      </w:r>
    </w:p>
    <w:bookmarkEnd w:id="5460"/>
    <w:bookmarkStart w:name="z5653" w:id="5461"/>
    <w:p>
      <w:pPr>
        <w:spacing w:after="0"/>
        <w:ind w:left="0"/>
        <w:jc w:val="both"/>
      </w:pPr>
      <w:r>
        <w:rPr>
          <w:rFonts w:ascii="Times New Roman"/>
          <w:b w:val="false"/>
          <w:i w:val="false"/>
          <w:color w:val="000000"/>
          <w:sz w:val="28"/>
        </w:rPr>
        <w:t>
      связывание с белками (альбумином и др.) у различных видов животных с оценкой несвязанной фракции вещества, в том числе у человека;</w:t>
      </w:r>
    </w:p>
    <w:bookmarkEnd w:id="5461"/>
    <w:bookmarkStart w:name="z5654" w:id="5462"/>
    <w:p>
      <w:pPr>
        <w:spacing w:after="0"/>
        <w:ind w:left="0"/>
        <w:jc w:val="both"/>
      </w:pPr>
      <w:r>
        <w:rPr>
          <w:rFonts w:ascii="Times New Roman"/>
          <w:b w:val="false"/>
          <w:i w:val="false"/>
          <w:color w:val="000000"/>
          <w:sz w:val="28"/>
        </w:rPr>
        <w:t>
      распределение в форменных элементах крови (не является постоянным обязательным видом исследований), если применимо;</w:t>
      </w:r>
    </w:p>
    <w:bookmarkEnd w:id="5462"/>
    <w:bookmarkStart w:name="z5655" w:id="5463"/>
    <w:p>
      <w:pPr>
        <w:spacing w:after="0"/>
        <w:ind w:left="0"/>
        <w:jc w:val="both"/>
      </w:pPr>
      <w:r>
        <w:rPr>
          <w:rFonts w:ascii="Times New Roman"/>
          <w:b w:val="false"/>
          <w:i w:val="false"/>
          <w:color w:val="000000"/>
          <w:sz w:val="28"/>
        </w:rPr>
        <w:t>
      исследования проникновения через плаценту;</w:t>
      </w:r>
    </w:p>
    <w:bookmarkEnd w:id="5463"/>
    <w:bookmarkStart w:name="z5656" w:id="5464"/>
    <w:p>
      <w:pPr>
        <w:spacing w:after="0"/>
        <w:ind w:left="0"/>
        <w:jc w:val="both"/>
      </w:pPr>
      <w:r>
        <w:rPr>
          <w:rFonts w:ascii="Times New Roman"/>
          <w:b w:val="false"/>
          <w:i w:val="false"/>
          <w:color w:val="000000"/>
          <w:sz w:val="28"/>
        </w:rPr>
        <w:t>
      связывание с меланином (специальное исследование на пигментированных крысах);</w:t>
      </w:r>
    </w:p>
    <w:bookmarkEnd w:id="5464"/>
    <w:bookmarkStart w:name="z5657" w:id="5465"/>
    <w:p>
      <w:pPr>
        <w:spacing w:after="0"/>
        <w:ind w:left="0"/>
        <w:jc w:val="both"/>
      </w:pPr>
      <w:r>
        <w:rPr>
          <w:rFonts w:ascii="Times New Roman"/>
          <w:b w:val="false"/>
          <w:i w:val="false"/>
          <w:color w:val="000000"/>
          <w:sz w:val="28"/>
        </w:rPr>
        <w:t>
      данные по выведению препарата с грудным молоком (следует оценить отдельно).</w:t>
      </w:r>
    </w:p>
    <w:bookmarkEnd w:id="5465"/>
    <w:bookmarkStart w:name="z5658" w:id="5466"/>
    <w:p>
      <w:pPr>
        <w:spacing w:after="0"/>
        <w:ind w:left="0"/>
        <w:jc w:val="both"/>
      </w:pPr>
      <w:r>
        <w:rPr>
          <w:rFonts w:ascii="Times New Roman"/>
          <w:b w:val="false"/>
          <w:i w:val="false"/>
          <w:color w:val="000000"/>
          <w:sz w:val="28"/>
        </w:rPr>
        <w:t>
      Следует привести сведения о степени распределения в возможных органах-мишенях в контексте токсичности и кумуляции препарата в тканях (по возможности) (в частности при наличии тканеспецифичных нежелательных реакций в тканях, в которых наблюдается кумуляция).</w:t>
      </w:r>
    </w:p>
    <w:bookmarkEnd w:id="5466"/>
    <w:bookmarkStart w:name="z5659" w:id="5467"/>
    <w:p>
      <w:pPr>
        <w:spacing w:after="0"/>
        <w:ind w:left="0"/>
        <w:jc w:val="both"/>
      </w:pPr>
      <w:r>
        <w:rPr>
          <w:rFonts w:ascii="Times New Roman"/>
          <w:b w:val="false"/>
          <w:i w:val="false"/>
          <w:color w:val="000000"/>
          <w:sz w:val="28"/>
        </w:rPr>
        <w:t>
      Необходимо детально рассмотреть вопрос о связывании вещества с белками плазмы. Следует привести данные о применении препарата у человека и провести межвидовое сравнение. Следует оценить необходимость сравнения значений концентраций несвязанной фракции вещества у различных видов.</w:t>
      </w:r>
    </w:p>
    <w:bookmarkEnd w:id="5467"/>
    <w:bookmarkStart w:name="z5660" w:id="5468"/>
    <w:p>
      <w:pPr>
        <w:spacing w:after="0"/>
        <w:ind w:left="0"/>
        <w:jc w:val="both"/>
      </w:pPr>
      <w:r>
        <w:rPr>
          <w:rFonts w:ascii="Times New Roman"/>
          <w:b w:val="false"/>
          <w:i w:val="false"/>
          <w:color w:val="000000"/>
          <w:sz w:val="28"/>
        </w:rPr>
        <w:t>
      При наличии признаков, указывающих на связывание с меланином, следует рассмотреть вопрос о необходимости оценки фототоксичности (например, с учетом степени поглощения света), возможность связывания с ДНК.</w:t>
      </w:r>
    </w:p>
    <w:bookmarkEnd w:id="5468"/>
    <w:bookmarkStart w:name="z5661" w:id="5469"/>
    <w:p>
      <w:pPr>
        <w:spacing w:after="0"/>
        <w:ind w:left="0"/>
        <w:jc w:val="both"/>
      </w:pPr>
      <w:r>
        <w:rPr>
          <w:rFonts w:ascii="Times New Roman"/>
          <w:b w:val="false"/>
          <w:i w:val="false"/>
          <w:color w:val="000000"/>
          <w:sz w:val="28"/>
        </w:rPr>
        <w:t>
      При необходимости в настоящем разделе следует описать характер распределения исходного препарата в сравнении с распределением его метаболитов.</w:t>
      </w:r>
    </w:p>
    <w:bookmarkEnd w:id="5469"/>
    <w:bookmarkStart w:name="z5662" w:id="5470"/>
    <w:p>
      <w:pPr>
        <w:spacing w:after="0"/>
        <w:ind w:left="0"/>
        <w:jc w:val="both"/>
      </w:pPr>
      <w:r>
        <w:rPr>
          <w:rFonts w:ascii="Times New Roman"/>
          <w:b w:val="false"/>
          <w:i w:val="false"/>
          <w:color w:val="000000"/>
          <w:sz w:val="28"/>
        </w:rPr>
        <w:t>
      3.4. Метаболизм.</w:t>
      </w:r>
    </w:p>
    <w:bookmarkEnd w:id="5470"/>
    <w:bookmarkStart w:name="z5663" w:id="5471"/>
    <w:p>
      <w:pPr>
        <w:spacing w:after="0"/>
        <w:ind w:left="0"/>
        <w:jc w:val="both"/>
      </w:pPr>
      <w:r>
        <w:rPr>
          <w:rFonts w:ascii="Times New Roman"/>
          <w:b w:val="false"/>
          <w:i w:val="false"/>
          <w:color w:val="000000"/>
          <w:sz w:val="28"/>
        </w:rPr>
        <w:t>
      В настоящем разделе рассматривается следующая информация:</w:t>
      </w:r>
    </w:p>
    <w:bookmarkEnd w:id="5471"/>
    <w:bookmarkStart w:name="z5664" w:id="5472"/>
    <w:p>
      <w:pPr>
        <w:spacing w:after="0"/>
        <w:ind w:left="0"/>
        <w:jc w:val="both"/>
      </w:pPr>
      <w:r>
        <w:rPr>
          <w:rFonts w:ascii="Times New Roman"/>
          <w:b w:val="false"/>
          <w:i w:val="false"/>
          <w:color w:val="000000"/>
          <w:sz w:val="28"/>
        </w:rPr>
        <w:t>
      химическая структура и содержание метаболитов в биологических средах (в виде таблицы);</w:t>
      </w:r>
    </w:p>
    <w:bookmarkEnd w:id="5472"/>
    <w:bookmarkStart w:name="z5665" w:id="5473"/>
    <w:p>
      <w:pPr>
        <w:spacing w:after="0"/>
        <w:ind w:left="0"/>
        <w:jc w:val="both"/>
      </w:pPr>
      <w:r>
        <w:rPr>
          <w:rFonts w:ascii="Times New Roman"/>
          <w:b w:val="false"/>
          <w:i w:val="false"/>
          <w:color w:val="000000"/>
          <w:sz w:val="28"/>
        </w:rPr>
        <w:t>
      возможные пути метаболизма (при наличии в досье следует дополнить схемой);</w:t>
      </w:r>
    </w:p>
    <w:bookmarkEnd w:id="5473"/>
    <w:bookmarkStart w:name="z5666" w:id="5474"/>
    <w:p>
      <w:pPr>
        <w:spacing w:after="0"/>
        <w:ind w:left="0"/>
        <w:jc w:val="both"/>
      </w:pPr>
      <w:r>
        <w:rPr>
          <w:rFonts w:ascii="Times New Roman"/>
          <w:b w:val="false"/>
          <w:i w:val="false"/>
          <w:color w:val="000000"/>
          <w:sz w:val="28"/>
        </w:rPr>
        <w:t>
      пресистемный метаболизм (эффекты первого прохождения через ЖКТ (печень));</w:t>
      </w:r>
    </w:p>
    <w:bookmarkEnd w:id="5474"/>
    <w:bookmarkStart w:name="z5667" w:id="5475"/>
    <w:p>
      <w:pPr>
        <w:spacing w:after="0"/>
        <w:ind w:left="0"/>
        <w:jc w:val="both"/>
      </w:pPr>
      <w:r>
        <w:rPr>
          <w:rFonts w:ascii="Times New Roman"/>
          <w:b w:val="false"/>
          <w:i w:val="false"/>
          <w:color w:val="000000"/>
          <w:sz w:val="28"/>
        </w:rPr>
        <w:t>
      метаболизм in vitro, в первую очередь исследования цитохрома P</w:t>
      </w:r>
      <w:r>
        <w:rPr>
          <w:rFonts w:ascii="Times New Roman"/>
          <w:b w:val="false"/>
          <w:i w:val="false"/>
          <w:color w:val="000000"/>
          <w:vertAlign w:val="subscript"/>
        </w:rPr>
        <w:t>450</w:t>
      </w:r>
      <w:r>
        <w:rPr>
          <w:rFonts w:ascii="Times New Roman"/>
          <w:b w:val="false"/>
          <w:i w:val="false"/>
          <w:color w:val="000000"/>
          <w:sz w:val="28"/>
        </w:rPr>
        <w:t xml:space="preserve"> (микросомального): сродство, специфичность субстрата к изоформам, исследования ингибирующей активности (при положительном результате тип ингибирования: обратимое, суицидное), лекарственные взаимодействия (клинически значимые взаимосвязи). При необходимости описываются реакции немикросомального окисления, восстановления, гидролиза;</w:t>
      </w:r>
    </w:p>
    <w:bookmarkEnd w:id="5475"/>
    <w:bookmarkStart w:name="z5668" w:id="5476"/>
    <w:p>
      <w:pPr>
        <w:spacing w:after="0"/>
        <w:ind w:left="0"/>
        <w:jc w:val="both"/>
      </w:pPr>
      <w:r>
        <w:rPr>
          <w:rFonts w:ascii="Times New Roman"/>
          <w:b w:val="false"/>
          <w:i w:val="false"/>
          <w:color w:val="000000"/>
          <w:sz w:val="28"/>
        </w:rPr>
        <w:t>
      индукция ферментов;</w:t>
      </w:r>
    </w:p>
    <w:bookmarkEnd w:id="5476"/>
    <w:bookmarkStart w:name="z5669" w:id="5477"/>
    <w:p>
      <w:pPr>
        <w:spacing w:after="0"/>
        <w:ind w:left="0"/>
        <w:jc w:val="both"/>
      </w:pPr>
      <w:r>
        <w:rPr>
          <w:rFonts w:ascii="Times New Roman"/>
          <w:b w:val="false"/>
          <w:i w:val="false"/>
          <w:color w:val="000000"/>
          <w:sz w:val="28"/>
        </w:rPr>
        <w:t>
      вторая стадия (конъюгация) метаболизма (в первую очередь, в исследованиях in vivo).</w:t>
      </w:r>
    </w:p>
    <w:bookmarkEnd w:id="5477"/>
    <w:bookmarkStart w:name="z5670" w:id="5478"/>
    <w:p>
      <w:pPr>
        <w:spacing w:after="0"/>
        <w:ind w:left="0"/>
        <w:jc w:val="both"/>
      </w:pPr>
      <w:r>
        <w:rPr>
          <w:rFonts w:ascii="Times New Roman"/>
          <w:b w:val="false"/>
          <w:i w:val="false"/>
          <w:color w:val="000000"/>
          <w:sz w:val="28"/>
        </w:rPr>
        <w:t>
      Следует сравнить характер метаболизма у человека и животных.</w:t>
      </w:r>
    </w:p>
    <w:bookmarkEnd w:id="5478"/>
    <w:bookmarkStart w:name="z5671" w:id="5479"/>
    <w:p>
      <w:pPr>
        <w:spacing w:after="0"/>
        <w:ind w:left="0"/>
        <w:jc w:val="both"/>
      </w:pPr>
      <w:r>
        <w:rPr>
          <w:rFonts w:ascii="Times New Roman"/>
          <w:b w:val="false"/>
          <w:i w:val="false"/>
          <w:color w:val="000000"/>
          <w:sz w:val="28"/>
        </w:rPr>
        <w:t>
      Необходимо указать, имеют ли место видоспецифичные метаболиты, особенно в случае, если животные, используемые в испытаниях безопасности препарата, не образуют метаболитов, обнаруживаемых у человека.</w:t>
      </w:r>
    </w:p>
    <w:bookmarkEnd w:id="5479"/>
    <w:bookmarkStart w:name="z5672" w:id="5480"/>
    <w:p>
      <w:pPr>
        <w:spacing w:after="0"/>
        <w:ind w:left="0"/>
        <w:jc w:val="both"/>
      </w:pPr>
      <w:r>
        <w:rPr>
          <w:rFonts w:ascii="Times New Roman"/>
          <w:b w:val="false"/>
          <w:i w:val="false"/>
          <w:color w:val="000000"/>
          <w:sz w:val="28"/>
        </w:rPr>
        <w:t>
      Указанная информация является важной частью оценки пригодности используемых моделей животных.</w:t>
      </w:r>
    </w:p>
    <w:bookmarkEnd w:id="5480"/>
    <w:bookmarkStart w:name="z5673" w:id="5481"/>
    <w:p>
      <w:pPr>
        <w:spacing w:after="0"/>
        <w:ind w:left="0"/>
        <w:jc w:val="both"/>
      </w:pPr>
      <w:r>
        <w:rPr>
          <w:rFonts w:ascii="Times New Roman"/>
          <w:b w:val="false"/>
          <w:i w:val="false"/>
          <w:color w:val="000000"/>
          <w:sz w:val="28"/>
        </w:rPr>
        <w:t>
      3.5. Выведение.</w:t>
      </w:r>
    </w:p>
    <w:bookmarkEnd w:id="5481"/>
    <w:bookmarkStart w:name="z5674" w:id="5482"/>
    <w:p>
      <w:pPr>
        <w:spacing w:after="0"/>
        <w:ind w:left="0"/>
        <w:jc w:val="both"/>
      </w:pPr>
      <w:r>
        <w:rPr>
          <w:rFonts w:ascii="Times New Roman"/>
          <w:b w:val="false"/>
          <w:i w:val="false"/>
          <w:color w:val="000000"/>
          <w:sz w:val="28"/>
        </w:rPr>
        <w:t>
      В настоящем разделе следует по возможности использовать табличное представление данных. Описываются пути выведения препарата, которые являются значимыми для оценки органоспецифической токсичности.</w:t>
      </w:r>
    </w:p>
    <w:bookmarkEnd w:id="5482"/>
    <w:bookmarkStart w:name="z5675" w:id="5483"/>
    <w:p>
      <w:pPr>
        <w:spacing w:after="0"/>
        <w:ind w:left="0"/>
        <w:jc w:val="both"/>
      </w:pPr>
      <w:r>
        <w:rPr>
          <w:rFonts w:ascii="Times New Roman"/>
          <w:b w:val="false"/>
          <w:i w:val="false"/>
          <w:color w:val="000000"/>
          <w:sz w:val="28"/>
        </w:rPr>
        <w:t>
      При наличии существенных различий в способах выведения (в том числе метаболитов) у животных и человека пути выведения у животных могут быть менее значимыми в контексте оценки токсичности, связанной с соответствующим органом, отвечающим за выведение у человека.</w:t>
      </w:r>
    </w:p>
    <w:bookmarkEnd w:id="5483"/>
    <w:bookmarkStart w:name="z5676" w:id="5484"/>
    <w:p>
      <w:pPr>
        <w:spacing w:after="0"/>
        <w:ind w:left="0"/>
        <w:jc w:val="both"/>
      </w:pPr>
      <w:r>
        <w:rPr>
          <w:rFonts w:ascii="Times New Roman"/>
          <w:b w:val="false"/>
          <w:i w:val="false"/>
          <w:color w:val="000000"/>
          <w:sz w:val="28"/>
        </w:rPr>
        <w:t>
      В настоящем разделе следует также привести данные и комментарии по материальному балансу.</w:t>
      </w:r>
    </w:p>
    <w:bookmarkEnd w:id="5484"/>
    <w:bookmarkStart w:name="z5677" w:id="5485"/>
    <w:p>
      <w:pPr>
        <w:spacing w:after="0"/>
        <w:ind w:left="0"/>
        <w:jc w:val="both"/>
      </w:pPr>
      <w:r>
        <w:rPr>
          <w:rFonts w:ascii="Times New Roman"/>
          <w:b w:val="false"/>
          <w:i w:val="false"/>
          <w:color w:val="000000"/>
          <w:sz w:val="28"/>
        </w:rPr>
        <w:t>
      3.6. Фармакокинетические лекарственные взаимодействия.</w:t>
      </w:r>
    </w:p>
    <w:bookmarkEnd w:id="5485"/>
    <w:bookmarkStart w:name="z5678" w:id="5486"/>
    <w:p>
      <w:pPr>
        <w:spacing w:after="0"/>
        <w:ind w:left="0"/>
        <w:jc w:val="both"/>
      </w:pPr>
      <w:r>
        <w:rPr>
          <w:rFonts w:ascii="Times New Roman"/>
          <w:b w:val="false"/>
          <w:i w:val="false"/>
          <w:color w:val="000000"/>
          <w:sz w:val="28"/>
        </w:rPr>
        <w:t>
      Следует уделить основное внимание взаимодействию с лекарственными препаратами, которые могут потенциально использоваться в комбинированной терапии с исследуемым препаратом в клинической практике.</w:t>
      </w:r>
    </w:p>
    <w:bookmarkEnd w:id="5486"/>
    <w:bookmarkStart w:name="z5679" w:id="5487"/>
    <w:p>
      <w:pPr>
        <w:spacing w:after="0"/>
        <w:ind w:left="0"/>
        <w:jc w:val="both"/>
      </w:pPr>
      <w:r>
        <w:rPr>
          <w:rFonts w:ascii="Times New Roman"/>
          <w:b w:val="false"/>
          <w:i w:val="false"/>
          <w:color w:val="000000"/>
          <w:sz w:val="28"/>
        </w:rPr>
        <w:t>
      3.7. Другие фармакокинетические исследования.</w:t>
      </w:r>
    </w:p>
    <w:bookmarkEnd w:id="5487"/>
    <w:bookmarkStart w:name="z5680" w:id="5488"/>
    <w:p>
      <w:pPr>
        <w:spacing w:after="0"/>
        <w:ind w:left="0"/>
        <w:jc w:val="both"/>
      </w:pPr>
      <w:r>
        <w:rPr>
          <w:rFonts w:ascii="Times New Roman"/>
          <w:b w:val="false"/>
          <w:i w:val="false"/>
          <w:color w:val="000000"/>
          <w:sz w:val="28"/>
        </w:rPr>
        <w:t>
      При необходимости следует использовать в настоящем разделе следующие подзаголовки:</w:t>
      </w:r>
    </w:p>
    <w:bookmarkEnd w:id="5488"/>
    <w:bookmarkStart w:name="z5681" w:id="5489"/>
    <w:p>
      <w:pPr>
        <w:spacing w:after="0"/>
        <w:ind w:left="0"/>
        <w:jc w:val="both"/>
      </w:pPr>
      <w:r>
        <w:rPr>
          <w:rFonts w:ascii="Times New Roman"/>
          <w:b w:val="false"/>
          <w:i w:val="false"/>
          <w:color w:val="000000"/>
          <w:sz w:val="28"/>
        </w:rPr>
        <w:t>
      исследования, проводимые на молодняке животных;</w:t>
      </w:r>
    </w:p>
    <w:bookmarkEnd w:id="5489"/>
    <w:bookmarkStart w:name="z5682" w:id="5490"/>
    <w:p>
      <w:pPr>
        <w:spacing w:after="0"/>
        <w:ind w:left="0"/>
        <w:jc w:val="both"/>
      </w:pPr>
      <w:r>
        <w:rPr>
          <w:rFonts w:ascii="Times New Roman"/>
          <w:b w:val="false"/>
          <w:i w:val="false"/>
          <w:color w:val="000000"/>
          <w:sz w:val="28"/>
        </w:rPr>
        <w:t>
      исследования, проводимые на беременных животных;</w:t>
      </w:r>
    </w:p>
    <w:bookmarkEnd w:id="5490"/>
    <w:bookmarkStart w:name="z5683" w:id="5491"/>
    <w:p>
      <w:pPr>
        <w:spacing w:after="0"/>
        <w:ind w:left="0"/>
        <w:jc w:val="both"/>
      </w:pPr>
      <w:r>
        <w:rPr>
          <w:rFonts w:ascii="Times New Roman"/>
          <w:b w:val="false"/>
          <w:i w:val="false"/>
          <w:color w:val="000000"/>
          <w:sz w:val="28"/>
        </w:rPr>
        <w:t>
      исследования, проводимые с использованием моделей животных с определенной болезнью.</w:t>
      </w:r>
    </w:p>
    <w:bookmarkEnd w:id="5491"/>
    <w:bookmarkStart w:name="z5684" w:id="5492"/>
    <w:p>
      <w:pPr>
        <w:spacing w:after="0"/>
        <w:ind w:left="0"/>
        <w:jc w:val="both"/>
      </w:pPr>
      <w:r>
        <w:rPr>
          <w:rFonts w:ascii="Times New Roman"/>
          <w:b w:val="false"/>
          <w:i w:val="false"/>
          <w:color w:val="000000"/>
          <w:sz w:val="28"/>
        </w:rPr>
        <w:t>
      3.8. Общее заключение эксперта по фамакокинетике.</w:t>
      </w:r>
    </w:p>
    <w:bookmarkEnd w:id="5492"/>
    <w:bookmarkStart w:name="z5685" w:id="5493"/>
    <w:p>
      <w:pPr>
        <w:spacing w:after="0"/>
        <w:ind w:left="0"/>
        <w:jc w:val="both"/>
      </w:pPr>
      <w:r>
        <w:rPr>
          <w:rFonts w:ascii="Times New Roman"/>
          <w:b w:val="false"/>
          <w:i w:val="false"/>
          <w:color w:val="000000"/>
          <w:sz w:val="28"/>
        </w:rPr>
        <w:t>
      Содержание настоящего раздела может быть перенесено в модуль сводного экспертного отчета "Оценка безопасности, качества, эффективности".</w:t>
      </w:r>
    </w:p>
    <w:bookmarkEnd w:id="5493"/>
    <w:bookmarkStart w:name="z5686" w:id="5494"/>
    <w:p>
      <w:pPr>
        <w:spacing w:after="0"/>
        <w:ind w:left="0"/>
        <w:jc w:val="both"/>
      </w:pPr>
      <w:r>
        <w:rPr>
          <w:rFonts w:ascii="Times New Roman"/>
          <w:b w:val="false"/>
          <w:i w:val="false"/>
          <w:color w:val="000000"/>
          <w:sz w:val="28"/>
        </w:rPr>
        <w:t>
      Для того чтобы у лиц, работающих с отчетом, имелась возможность полностью оценить профиль соотношения "польза - риск", необходимо особенно тщательно подойти к работе над настоящем разделом.</w:t>
      </w:r>
    </w:p>
    <w:bookmarkEnd w:id="5494"/>
    <w:bookmarkStart w:name="z5687" w:id="5495"/>
    <w:p>
      <w:pPr>
        <w:spacing w:after="0"/>
        <w:ind w:left="0"/>
        <w:jc w:val="both"/>
      </w:pPr>
      <w:r>
        <w:rPr>
          <w:rFonts w:ascii="Times New Roman"/>
          <w:b w:val="false"/>
          <w:i w:val="false"/>
          <w:color w:val="000000"/>
          <w:sz w:val="28"/>
        </w:rPr>
        <w:t>
      Следует выполнить общий обзор наиболее важных фармакокинетических характеристик, прокомментировать пригодность использованных моделей животных при изучении токсичности для оценки безопасности применения лекарственного средства у человека: в частности в отношении возможных различий в путях метаболизма. К другим важным аспектам относятся существенные различия в показателях абсорбции (биодоступности), межиндивидуальной (межвидовой) вариабельности, скорости элиминации (различные значения t</w:t>
      </w:r>
      <w:r>
        <w:rPr>
          <w:rFonts w:ascii="Times New Roman"/>
          <w:b w:val="false"/>
          <w:i w:val="false"/>
          <w:color w:val="000000"/>
          <w:vertAlign w:val="subscript"/>
        </w:rPr>
        <w:t>1/2</w:t>
      </w:r>
      <w:r>
        <w:rPr>
          <w:rFonts w:ascii="Times New Roman"/>
          <w:b w:val="false"/>
          <w:i w:val="false"/>
          <w:color w:val="000000"/>
          <w:sz w:val="28"/>
        </w:rPr>
        <w:t>) и др.</w:t>
      </w:r>
    </w:p>
    <w:bookmarkEnd w:id="5495"/>
    <w:bookmarkStart w:name="z5688" w:id="5496"/>
    <w:p>
      <w:pPr>
        <w:spacing w:after="0"/>
        <w:ind w:left="0"/>
        <w:jc w:val="both"/>
      </w:pPr>
      <w:r>
        <w:rPr>
          <w:rFonts w:ascii="Times New Roman"/>
          <w:b w:val="false"/>
          <w:i w:val="false"/>
          <w:color w:val="000000"/>
          <w:sz w:val="28"/>
        </w:rPr>
        <w:t>
      Затем следует описать иные вопросы, имеющие важное значение для оценки безопасности, например, характер распределения в органах-мишенях, пути выведения, фармакологически активные метаболиты. Описать выявленные межвидовые отличия и провести сравнение с возможной клинической ситуацией.</w:t>
      </w:r>
    </w:p>
    <w:bookmarkEnd w:id="5496"/>
    <w:bookmarkStart w:name="z5689" w:id="5497"/>
    <w:p>
      <w:pPr>
        <w:spacing w:after="0"/>
        <w:ind w:left="0"/>
        <w:jc w:val="both"/>
      </w:pPr>
      <w:r>
        <w:rPr>
          <w:rFonts w:ascii="Times New Roman"/>
          <w:b w:val="false"/>
          <w:i w:val="false"/>
          <w:color w:val="000000"/>
          <w:sz w:val="28"/>
        </w:rPr>
        <w:t>
      Также в настоящем разделе могут содержаться только основные выводы, и в таком случае текст раздела сводного экспертного отчета "Оценка безопасности, качества, эффективности" должен прорабатываться отдельно.</w:t>
      </w:r>
    </w:p>
    <w:bookmarkEnd w:id="5497"/>
    <w:bookmarkStart w:name="z5690" w:id="5498"/>
    <w:p>
      <w:pPr>
        <w:spacing w:after="0"/>
        <w:ind w:left="0"/>
        <w:jc w:val="both"/>
      </w:pPr>
      <w:r>
        <w:rPr>
          <w:rFonts w:ascii="Times New Roman"/>
          <w:b w:val="false"/>
          <w:i w:val="false"/>
          <w:color w:val="000000"/>
          <w:sz w:val="28"/>
        </w:rPr>
        <w:t>
      Следует проверить соответствие текста в досье и ОХЛП (в частности в разделе отчета 5.3 "Данные доклинических исследований безопасности", а также в разделах отчета 5.2 "Фармакокинетические свойства", 4.3 "Противопоказания", 4.5 "Лекарственные взаимодействия", 4.6 "Беременность и кормление грудью"), а также убедиться в том, что вся информация, содержащаяся в ОХЛП, полностью подтверждена результатами научной оценки.</w:t>
      </w:r>
    </w:p>
    <w:bookmarkEnd w:id="5498"/>
    <w:bookmarkStart w:name="z5691" w:id="5499"/>
    <w:p>
      <w:pPr>
        <w:spacing w:after="0"/>
        <w:ind w:left="0"/>
        <w:jc w:val="both"/>
      </w:pPr>
      <w:r>
        <w:rPr>
          <w:rFonts w:ascii="Times New Roman"/>
          <w:b w:val="false"/>
          <w:i w:val="false"/>
          <w:color w:val="000000"/>
          <w:sz w:val="28"/>
        </w:rPr>
        <w:t>
      4. Токсикология (модули 2.6.6 и 4.3.3).</w:t>
      </w:r>
    </w:p>
    <w:bookmarkEnd w:id="5499"/>
    <w:bookmarkStart w:name="z5692" w:id="5500"/>
    <w:p>
      <w:pPr>
        <w:spacing w:after="0"/>
        <w:ind w:left="0"/>
        <w:jc w:val="both"/>
      </w:pPr>
      <w:r>
        <w:rPr>
          <w:rFonts w:ascii="Times New Roman"/>
          <w:b w:val="false"/>
          <w:i w:val="false"/>
          <w:color w:val="000000"/>
          <w:sz w:val="28"/>
        </w:rPr>
        <w:t>
      4.1. Токсичность при однократном введении.</w:t>
      </w:r>
    </w:p>
    <w:bookmarkEnd w:id="5500"/>
    <w:bookmarkStart w:name="z5693" w:id="5501"/>
    <w:p>
      <w:pPr>
        <w:spacing w:after="0"/>
        <w:ind w:left="0"/>
        <w:jc w:val="both"/>
      </w:pPr>
      <w:r>
        <w:rPr>
          <w:rFonts w:ascii="Times New Roman"/>
          <w:b w:val="false"/>
          <w:i w:val="false"/>
          <w:color w:val="000000"/>
          <w:sz w:val="28"/>
        </w:rPr>
        <w:t>
      В настоящем раздел необходимо включить информацию с продолжительностью наблюдения от 14 календарных дней для стандартного исследования, проводимого в соответствии с требованиями правил надлежащей лабораторной практики и сделать краткое заключение о том, выявили ли проведенные исследования ярко выраженные или слабые реакции острой токсичности.</w:t>
      </w:r>
    </w:p>
    <w:bookmarkEnd w:id="5501"/>
    <w:bookmarkStart w:name="z5694" w:id="5502"/>
    <w:p>
      <w:pPr>
        <w:spacing w:after="0"/>
        <w:ind w:left="0"/>
        <w:jc w:val="both"/>
      </w:pPr>
      <w:r>
        <w:rPr>
          <w:rFonts w:ascii="Times New Roman"/>
          <w:b w:val="false"/>
          <w:i w:val="false"/>
          <w:color w:val="000000"/>
          <w:sz w:val="28"/>
        </w:rPr>
        <w:t>
      Рекомендуется привести данные о приблизительном уровне летальной дозы или наблюдаемой максимальной нелетальной дозы.</w:t>
      </w:r>
    </w:p>
    <w:bookmarkEnd w:id="5502"/>
    <w:bookmarkStart w:name="z5695" w:id="5503"/>
    <w:p>
      <w:pPr>
        <w:spacing w:after="0"/>
        <w:ind w:left="0"/>
        <w:jc w:val="both"/>
      </w:pPr>
      <w:r>
        <w:rPr>
          <w:rFonts w:ascii="Times New Roman"/>
          <w:b w:val="false"/>
          <w:i w:val="false"/>
          <w:color w:val="000000"/>
          <w:sz w:val="28"/>
        </w:rPr>
        <w:t>
      Следует описать клинические признаки острой токсичности (кратко), характер и время летального исхода (до окончания срока наблюдения (в тот же день) либо с отсрочкой).</w:t>
      </w:r>
    </w:p>
    <w:bookmarkEnd w:id="5503"/>
    <w:bookmarkStart w:name="z5696" w:id="5504"/>
    <w:p>
      <w:pPr>
        <w:spacing w:after="0"/>
        <w:ind w:left="0"/>
        <w:jc w:val="both"/>
      </w:pPr>
      <w:r>
        <w:rPr>
          <w:rFonts w:ascii="Times New Roman"/>
          <w:b w:val="false"/>
          <w:i w:val="false"/>
          <w:color w:val="000000"/>
          <w:sz w:val="28"/>
        </w:rPr>
        <w:t>
      При необходимости привести сведения об органах-мишенях, результатах патоморфологического исследования.</w:t>
      </w:r>
    </w:p>
    <w:bookmarkEnd w:id="5504"/>
    <w:bookmarkStart w:name="z5697" w:id="5505"/>
    <w:p>
      <w:pPr>
        <w:spacing w:after="0"/>
        <w:ind w:left="0"/>
        <w:jc w:val="both"/>
      </w:pPr>
      <w:r>
        <w:rPr>
          <w:rFonts w:ascii="Times New Roman"/>
          <w:b w:val="false"/>
          <w:i w:val="false"/>
          <w:color w:val="000000"/>
          <w:sz w:val="28"/>
        </w:rPr>
        <w:t>
      4.2. Токсичность при многократном введении.</w:t>
      </w:r>
    </w:p>
    <w:bookmarkEnd w:id="5505"/>
    <w:bookmarkStart w:name="z5698" w:id="5506"/>
    <w:p>
      <w:pPr>
        <w:spacing w:after="0"/>
        <w:ind w:left="0"/>
        <w:jc w:val="both"/>
      </w:pPr>
      <w:r>
        <w:rPr>
          <w:rFonts w:ascii="Times New Roman"/>
          <w:b w:val="false"/>
          <w:i w:val="false"/>
          <w:color w:val="000000"/>
          <w:sz w:val="28"/>
        </w:rPr>
        <w:t>
      Информация об основных исследованиях должна быть разбита по видам животных и путям введения препарата. Следует прокомментировать общее соответствие программы исследований требованиям правил надлежащей лабораторной практики и все имевшие место отклонения от нее (например, контаминация животных контрольной группы).</w:t>
      </w:r>
    </w:p>
    <w:bookmarkEnd w:id="5506"/>
    <w:bookmarkStart w:name="z5699" w:id="5507"/>
    <w:p>
      <w:pPr>
        <w:spacing w:after="0"/>
        <w:ind w:left="0"/>
        <w:jc w:val="both"/>
      </w:pPr>
      <w:r>
        <w:rPr>
          <w:rFonts w:ascii="Times New Roman"/>
          <w:b w:val="false"/>
          <w:i w:val="false"/>
          <w:color w:val="000000"/>
          <w:sz w:val="28"/>
        </w:rPr>
        <w:t>
      Следует привести краткое описание плана исследований (линия животных, путь введения, режимы дозирования, количество (пол, группы) животных, группы восстановления (при наличии), токсикокинетические исследования - в случае их проведения).</w:t>
      </w:r>
    </w:p>
    <w:bookmarkEnd w:id="5507"/>
    <w:bookmarkStart w:name="z5700" w:id="5508"/>
    <w:p>
      <w:pPr>
        <w:spacing w:after="0"/>
        <w:ind w:left="0"/>
        <w:jc w:val="both"/>
      </w:pPr>
      <w:r>
        <w:rPr>
          <w:rFonts w:ascii="Times New Roman"/>
          <w:b w:val="false"/>
          <w:i w:val="false"/>
          <w:color w:val="000000"/>
          <w:sz w:val="28"/>
        </w:rPr>
        <w:t>
      Необходимо подробно описать основные результаты исследований, в том числе: летальные исходы, динамику масса тела, релевантные лабораторные данные, патоморфологические изменения в органах-мишенях, зависимость изменений от дозы, время наступления реакции, степень тяжести реакции, различия в токсических эффектах и их продолжительность в зависимости от вида и пола животных.</w:t>
      </w:r>
    </w:p>
    <w:bookmarkEnd w:id="5508"/>
    <w:bookmarkStart w:name="z5701" w:id="5509"/>
    <w:p>
      <w:pPr>
        <w:spacing w:after="0"/>
        <w:ind w:left="0"/>
        <w:jc w:val="both"/>
      </w:pPr>
      <w:r>
        <w:rPr>
          <w:rFonts w:ascii="Times New Roman"/>
          <w:b w:val="false"/>
          <w:i w:val="false"/>
          <w:color w:val="000000"/>
          <w:sz w:val="28"/>
        </w:rPr>
        <w:t>
      Указать значение уровня невыявления нежелательного воздействия (NOAEL) для различных видов животных в случае установления такового, описать взаимосвязь между экспозицией данной дозы у животных и экспозицией максимальной рекомендуемой дозы препарата у человека (предел экспозиции).</w:t>
      </w:r>
    </w:p>
    <w:bookmarkEnd w:id="5509"/>
    <w:bookmarkStart w:name="z5702" w:id="5510"/>
    <w:p>
      <w:pPr>
        <w:spacing w:after="0"/>
        <w:ind w:left="0"/>
        <w:jc w:val="both"/>
      </w:pPr>
      <w:r>
        <w:rPr>
          <w:rFonts w:ascii="Times New Roman"/>
          <w:b w:val="false"/>
          <w:i w:val="false"/>
          <w:color w:val="000000"/>
          <w:sz w:val="28"/>
        </w:rPr>
        <w:t>
      В настоящий раздел также необходимо включить данные о том, была ли обнаружена обратимость реакций в группе восстановления.</w:t>
      </w:r>
    </w:p>
    <w:bookmarkEnd w:id="5510"/>
    <w:bookmarkStart w:name="z5703" w:id="5511"/>
    <w:p>
      <w:pPr>
        <w:spacing w:after="0"/>
        <w:ind w:left="0"/>
        <w:jc w:val="both"/>
      </w:pPr>
      <w:r>
        <w:rPr>
          <w:rFonts w:ascii="Times New Roman"/>
          <w:b w:val="false"/>
          <w:i w:val="false"/>
          <w:color w:val="000000"/>
          <w:sz w:val="28"/>
        </w:rPr>
        <w:t>
      Следует прокомментировать информацию о токсикокинетических параметрах (линейность, зависимость от пола, кумуляция).</w:t>
      </w:r>
    </w:p>
    <w:bookmarkEnd w:id="5511"/>
    <w:bookmarkStart w:name="z5704" w:id="5512"/>
    <w:p>
      <w:pPr>
        <w:spacing w:after="0"/>
        <w:ind w:left="0"/>
        <w:jc w:val="both"/>
      </w:pPr>
      <w:r>
        <w:rPr>
          <w:rFonts w:ascii="Times New Roman"/>
          <w:b w:val="false"/>
          <w:i w:val="false"/>
          <w:color w:val="000000"/>
          <w:sz w:val="28"/>
        </w:rPr>
        <w:t>
      Для облегчения понимания значительного объема информации, представленного в указанных тестах, рекомендуется использовать таблицы или рисунки.</w:t>
      </w:r>
    </w:p>
    <w:bookmarkEnd w:id="5512"/>
    <w:bookmarkStart w:name="z5705" w:id="5513"/>
    <w:p>
      <w:pPr>
        <w:spacing w:after="0"/>
        <w:ind w:left="0"/>
        <w:jc w:val="both"/>
      </w:pPr>
      <w:r>
        <w:rPr>
          <w:rFonts w:ascii="Times New Roman"/>
          <w:b w:val="false"/>
          <w:i w:val="false"/>
          <w:color w:val="000000"/>
          <w:sz w:val="28"/>
        </w:rPr>
        <w:t>
      Следует отметить главные результаты исследований, кратко описать механизм действия препарата и предел экспозиции для клинического применения лекарственного препарата.</w:t>
      </w:r>
    </w:p>
    <w:bookmarkEnd w:id="5513"/>
    <w:bookmarkStart w:name="z5706" w:id="5514"/>
    <w:p>
      <w:pPr>
        <w:spacing w:after="0"/>
        <w:ind w:left="0"/>
        <w:jc w:val="both"/>
      </w:pPr>
      <w:r>
        <w:rPr>
          <w:rFonts w:ascii="Times New Roman"/>
          <w:b w:val="false"/>
          <w:i w:val="false"/>
          <w:color w:val="000000"/>
          <w:sz w:val="28"/>
        </w:rPr>
        <w:t>
      Для биоаналогичных (биоподобных) препаратов, как правило, проводится, только 1 исследование токсичности при многократном введении, включая изучение токсикокинетических параметров. Токсикокинетические данные включают в себя определение титров антител, перекрестной реактивности и нейтрализующей способности. Указанные исследования позволяют определить значимые отличия токсических и (или) иммунных ответов между биоаналогичным и референтным препаратом.</w:t>
      </w:r>
    </w:p>
    <w:bookmarkEnd w:id="5514"/>
    <w:bookmarkStart w:name="z5707" w:id="5515"/>
    <w:p>
      <w:pPr>
        <w:spacing w:after="0"/>
        <w:ind w:left="0"/>
        <w:jc w:val="both"/>
      </w:pPr>
      <w:r>
        <w:rPr>
          <w:rFonts w:ascii="Times New Roman"/>
          <w:b w:val="false"/>
          <w:i w:val="false"/>
          <w:color w:val="000000"/>
          <w:sz w:val="28"/>
        </w:rPr>
        <w:t>
      Как правило, для биоаналогичных (биоподобных) препаратов не требуется проведение иных стандартных токсикологических исследований, включая исследования репродуктивной токсичности, мутагенного и канцерогенного действия, за исключением случаев, при которых этого требуют результаты исследований токсичности при многократном введении.</w:t>
      </w:r>
    </w:p>
    <w:bookmarkEnd w:id="5515"/>
    <w:bookmarkStart w:name="z5708" w:id="5516"/>
    <w:p>
      <w:pPr>
        <w:spacing w:after="0"/>
        <w:ind w:left="0"/>
        <w:jc w:val="both"/>
      </w:pPr>
      <w:r>
        <w:rPr>
          <w:rFonts w:ascii="Times New Roman"/>
          <w:b w:val="false"/>
          <w:i w:val="false"/>
          <w:color w:val="000000"/>
          <w:sz w:val="28"/>
        </w:rPr>
        <w:t>
      Токсикокинетика</w:t>
      </w:r>
    </w:p>
    <w:bookmarkEnd w:id="5516"/>
    <w:bookmarkStart w:name="z5709" w:id="5517"/>
    <w:p>
      <w:pPr>
        <w:spacing w:after="0"/>
        <w:ind w:left="0"/>
        <w:jc w:val="both"/>
      </w:pPr>
      <w:r>
        <w:rPr>
          <w:rFonts w:ascii="Times New Roman"/>
          <w:b w:val="false"/>
          <w:i w:val="false"/>
          <w:color w:val="000000"/>
          <w:sz w:val="28"/>
        </w:rPr>
        <w:t>
      В настоящем разделе должны быть указаны также данные по кинетике, полученные на основе анализа образцов плазмы у животных контрольной группы.</w:t>
      </w:r>
    </w:p>
    <w:bookmarkEnd w:id="5517"/>
    <w:bookmarkStart w:name="z5710" w:id="5518"/>
    <w:p>
      <w:pPr>
        <w:spacing w:after="0"/>
        <w:ind w:left="0"/>
        <w:jc w:val="both"/>
      </w:pPr>
      <w:r>
        <w:rPr>
          <w:rFonts w:ascii="Times New Roman"/>
          <w:b w:val="false"/>
          <w:i w:val="false"/>
          <w:color w:val="000000"/>
          <w:sz w:val="28"/>
        </w:rPr>
        <w:t>
      4.3. Генотоксичность.</w:t>
      </w:r>
    </w:p>
    <w:bookmarkEnd w:id="5518"/>
    <w:bookmarkStart w:name="z5711" w:id="5519"/>
    <w:p>
      <w:pPr>
        <w:spacing w:after="0"/>
        <w:ind w:left="0"/>
        <w:jc w:val="both"/>
      </w:pPr>
      <w:r>
        <w:rPr>
          <w:rFonts w:ascii="Times New Roman"/>
          <w:b w:val="false"/>
          <w:i w:val="false"/>
          <w:color w:val="000000"/>
          <w:sz w:val="28"/>
        </w:rPr>
        <w:t>
      Следует кратко описать все проведенные исследования.</w:t>
      </w:r>
    </w:p>
    <w:bookmarkEnd w:id="5519"/>
    <w:bookmarkStart w:name="z5712" w:id="5520"/>
    <w:p>
      <w:pPr>
        <w:spacing w:after="0"/>
        <w:ind w:left="0"/>
        <w:jc w:val="both"/>
      </w:pPr>
      <w:r>
        <w:rPr>
          <w:rFonts w:ascii="Times New Roman"/>
          <w:b w:val="false"/>
          <w:i w:val="false"/>
          <w:color w:val="000000"/>
          <w:sz w:val="28"/>
        </w:rPr>
        <w:t>
      Необходимо выполнить группировку проведенных тестов согласно уровню генотоксичности, то есть в соответствии с мутагенным действием (индукцией мутаций генов), хромосомными аберрациями (кластогенностью) in vitro, хромосомными аберрациями (кластогенностью) in vivo, первичным повреждением ДНК и другими генотоксическими эффектами.</w:t>
      </w:r>
    </w:p>
    <w:bookmarkEnd w:id="5520"/>
    <w:bookmarkStart w:name="z5713" w:id="5521"/>
    <w:p>
      <w:pPr>
        <w:spacing w:after="0"/>
        <w:ind w:left="0"/>
        <w:jc w:val="both"/>
      </w:pPr>
      <w:r>
        <w:rPr>
          <w:rFonts w:ascii="Times New Roman"/>
          <w:b w:val="false"/>
          <w:i w:val="false"/>
          <w:color w:val="000000"/>
          <w:sz w:val="28"/>
        </w:rPr>
        <w:t>
      Рекомендуется представить результаты исследований в табличном виде (как это указано в примере таблицы настоящего раздела приложения № 6 к Правилам регистрации) с добавлением комментариев в виде текста (при необходимости).</w:t>
      </w:r>
    </w:p>
    <w:bookmarkEnd w:id="5521"/>
    <w:bookmarkStart w:name="z5714" w:id="5522"/>
    <w:p>
      <w:pPr>
        <w:spacing w:after="0"/>
        <w:ind w:left="0"/>
        <w:jc w:val="both"/>
      </w:pPr>
      <w:r>
        <w:rPr>
          <w:rFonts w:ascii="Times New Roman"/>
          <w:b w:val="false"/>
          <w:i w:val="false"/>
          <w:color w:val="000000"/>
          <w:sz w:val="28"/>
        </w:rPr>
        <w:t>
      Если испытания in vitro не дали значимых результатов, достаточно привести только табличные данные.</w:t>
      </w:r>
    </w:p>
    <w:bookmarkEnd w:id="5522"/>
    <w:bookmarkStart w:name="z5715" w:id="5523"/>
    <w:p>
      <w:pPr>
        <w:spacing w:after="0"/>
        <w:ind w:left="0"/>
        <w:jc w:val="both"/>
      </w:pPr>
      <w:r>
        <w:rPr>
          <w:rFonts w:ascii="Times New Roman"/>
          <w:b w:val="false"/>
          <w:i w:val="false"/>
          <w:color w:val="000000"/>
          <w:sz w:val="28"/>
        </w:rPr>
        <w:t>
      В настоящем разделе необходимо рассмотреть вопрос пригодности видов животных, использованных в тестах in vivo, и системы, применяемой для изучения метаболизма (например, S9-фракция) в испытаниях in vitro, проводя их сравнение с путями метаболизма у человека.</w:t>
      </w:r>
    </w:p>
    <w:bookmarkEnd w:id="5523"/>
    <w:bookmarkStart w:name="z5716" w:id="5524"/>
    <w:p>
      <w:pPr>
        <w:spacing w:after="0"/>
        <w:ind w:left="0"/>
        <w:jc w:val="both"/>
      </w:pPr>
      <w:r>
        <w:rPr>
          <w:rFonts w:ascii="Times New Roman"/>
          <w:b w:val="false"/>
          <w:i w:val="false"/>
          <w:color w:val="000000"/>
          <w:sz w:val="28"/>
        </w:rPr>
        <w:t>
      Для тестов in vivo всегда следует указывать информацию об уровне экспозиции.</w:t>
      </w:r>
    </w:p>
    <w:bookmarkEnd w:id="5524"/>
    <w:bookmarkStart w:name="z5717" w:id="5525"/>
    <w:p>
      <w:pPr>
        <w:spacing w:after="0"/>
        <w:ind w:left="0"/>
        <w:jc w:val="both"/>
      </w:pPr>
      <w:r>
        <w:rPr>
          <w:rFonts w:ascii="Times New Roman"/>
          <w:b w:val="false"/>
          <w:i w:val="false"/>
          <w:color w:val="000000"/>
          <w:sz w:val="28"/>
        </w:rPr>
        <w:t>
      Вопросы, которые следует отразить при оценке испытаний на генотоксичность, включают в себя:</w:t>
      </w:r>
    </w:p>
    <w:bookmarkEnd w:id="5525"/>
    <w:bookmarkStart w:name="z5718" w:id="5526"/>
    <w:p>
      <w:pPr>
        <w:spacing w:after="0"/>
        <w:ind w:left="0"/>
        <w:jc w:val="both"/>
      </w:pPr>
      <w:r>
        <w:rPr>
          <w:rFonts w:ascii="Times New Roman"/>
          <w:b w:val="false"/>
          <w:i w:val="false"/>
          <w:color w:val="000000"/>
          <w:sz w:val="28"/>
        </w:rPr>
        <w:t>
      а) в случае испытаний in vitro:</w:t>
      </w:r>
    </w:p>
    <w:bookmarkEnd w:id="5526"/>
    <w:bookmarkStart w:name="z5719" w:id="5527"/>
    <w:p>
      <w:pPr>
        <w:spacing w:after="0"/>
        <w:ind w:left="0"/>
        <w:jc w:val="both"/>
      </w:pPr>
      <w:r>
        <w:rPr>
          <w:rFonts w:ascii="Times New Roman"/>
          <w:b w:val="false"/>
          <w:i w:val="false"/>
          <w:color w:val="000000"/>
          <w:sz w:val="28"/>
        </w:rPr>
        <w:t>
      какие использованы штаммы (клетки) и конечные точки;</w:t>
      </w:r>
    </w:p>
    <w:bookmarkEnd w:id="5527"/>
    <w:bookmarkStart w:name="z5720" w:id="5528"/>
    <w:p>
      <w:pPr>
        <w:spacing w:after="0"/>
        <w:ind w:left="0"/>
        <w:jc w:val="both"/>
      </w:pPr>
      <w:r>
        <w:rPr>
          <w:rFonts w:ascii="Times New Roman"/>
          <w:b w:val="false"/>
          <w:i w:val="false"/>
          <w:color w:val="000000"/>
          <w:sz w:val="28"/>
        </w:rPr>
        <w:t>
      выбор используемых концентраций;</w:t>
      </w:r>
    </w:p>
    <w:bookmarkEnd w:id="5528"/>
    <w:bookmarkStart w:name="z5721" w:id="5529"/>
    <w:p>
      <w:pPr>
        <w:spacing w:after="0"/>
        <w:ind w:left="0"/>
        <w:jc w:val="both"/>
      </w:pPr>
      <w:r>
        <w:rPr>
          <w:rFonts w:ascii="Times New Roman"/>
          <w:b w:val="false"/>
          <w:i w:val="false"/>
          <w:color w:val="000000"/>
          <w:sz w:val="28"/>
        </w:rPr>
        <w:t>
      стабильность в среде (контроль концентрации (продуктов распада));</w:t>
      </w:r>
    </w:p>
    <w:bookmarkEnd w:id="5529"/>
    <w:bookmarkStart w:name="z5722" w:id="5530"/>
    <w:p>
      <w:pPr>
        <w:spacing w:after="0"/>
        <w:ind w:left="0"/>
        <w:jc w:val="both"/>
      </w:pPr>
      <w:r>
        <w:rPr>
          <w:rFonts w:ascii="Times New Roman"/>
          <w:b w:val="false"/>
          <w:i w:val="false"/>
          <w:color w:val="000000"/>
          <w:sz w:val="28"/>
        </w:rPr>
        <w:t>
      метаболизирующая система;</w:t>
      </w:r>
    </w:p>
    <w:bookmarkEnd w:id="5530"/>
    <w:bookmarkStart w:name="z5723" w:id="5531"/>
    <w:p>
      <w:pPr>
        <w:spacing w:after="0"/>
        <w:ind w:left="0"/>
        <w:jc w:val="both"/>
      </w:pPr>
      <w:r>
        <w:rPr>
          <w:rFonts w:ascii="Times New Roman"/>
          <w:b w:val="false"/>
          <w:i w:val="false"/>
          <w:color w:val="000000"/>
          <w:sz w:val="28"/>
        </w:rPr>
        <w:t>
      положительный и отрицательный контроль;</w:t>
      </w:r>
    </w:p>
    <w:bookmarkEnd w:id="5531"/>
    <w:bookmarkStart w:name="z5724" w:id="5532"/>
    <w:p>
      <w:pPr>
        <w:spacing w:after="0"/>
        <w:ind w:left="0"/>
        <w:jc w:val="both"/>
      </w:pPr>
      <w:r>
        <w:rPr>
          <w:rFonts w:ascii="Times New Roman"/>
          <w:b w:val="false"/>
          <w:i w:val="false"/>
          <w:color w:val="000000"/>
          <w:sz w:val="28"/>
        </w:rPr>
        <w:t>
      продолжительность терапии (время отбора образцов);</w:t>
      </w:r>
    </w:p>
    <w:bookmarkEnd w:id="5532"/>
    <w:bookmarkStart w:name="z5725" w:id="5533"/>
    <w:p>
      <w:pPr>
        <w:spacing w:after="0"/>
        <w:ind w:left="0"/>
        <w:jc w:val="both"/>
      </w:pPr>
      <w:r>
        <w:rPr>
          <w:rFonts w:ascii="Times New Roman"/>
          <w:b w:val="false"/>
          <w:i w:val="false"/>
          <w:color w:val="000000"/>
          <w:sz w:val="28"/>
        </w:rPr>
        <w:t>
      критерии положительного ответа;</w:t>
      </w:r>
    </w:p>
    <w:bookmarkEnd w:id="5533"/>
    <w:bookmarkStart w:name="z5726" w:id="5534"/>
    <w:p>
      <w:pPr>
        <w:spacing w:after="0"/>
        <w:ind w:left="0"/>
        <w:jc w:val="both"/>
      </w:pPr>
      <w:r>
        <w:rPr>
          <w:rFonts w:ascii="Times New Roman"/>
          <w:b w:val="false"/>
          <w:i w:val="false"/>
          <w:color w:val="000000"/>
          <w:sz w:val="28"/>
        </w:rPr>
        <w:t>
      взаимосвязь концентрация - ответ;</w:t>
      </w:r>
    </w:p>
    <w:bookmarkEnd w:id="5534"/>
    <w:bookmarkStart w:name="z5727" w:id="5535"/>
    <w:p>
      <w:pPr>
        <w:spacing w:after="0"/>
        <w:ind w:left="0"/>
        <w:jc w:val="both"/>
      </w:pPr>
      <w:r>
        <w:rPr>
          <w:rFonts w:ascii="Times New Roman"/>
          <w:b w:val="false"/>
          <w:i w:val="false"/>
          <w:color w:val="000000"/>
          <w:sz w:val="28"/>
        </w:rPr>
        <w:t>
      воспроизводимость;</w:t>
      </w:r>
    </w:p>
    <w:bookmarkEnd w:id="5535"/>
    <w:bookmarkStart w:name="z5728" w:id="5536"/>
    <w:p>
      <w:pPr>
        <w:spacing w:after="0"/>
        <w:ind w:left="0"/>
        <w:jc w:val="both"/>
      </w:pPr>
      <w:r>
        <w:rPr>
          <w:rFonts w:ascii="Times New Roman"/>
          <w:b w:val="false"/>
          <w:i w:val="false"/>
          <w:color w:val="000000"/>
          <w:sz w:val="28"/>
        </w:rPr>
        <w:t>
      цитотоксичность (выживаемость) клеток;</w:t>
      </w:r>
    </w:p>
    <w:bookmarkEnd w:id="5536"/>
    <w:bookmarkStart w:name="z5729" w:id="5537"/>
    <w:p>
      <w:pPr>
        <w:spacing w:after="0"/>
        <w:ind w:left="0"/>
        <w:jc w:val="both"/>
      </w:pPr>
      <w:r>
        <w:rPr>
          <w:rFonts w:ascii="Times New Roman"/>
          <w:b w:val="false"/>
          <w:i w:val="false"/>
          <w:color w:val="000000"/>
          <w:sz w:val="28"/>
        </w:rPr>
        <w:t>
      б) в случае испытаний in vivo:</w:t>
      </w:r>
    </w:p>
    <w:bookmarkEnd w:id="5537"/>
    <w:bookmarkStart w:name="z5730" w:id="5538"/>
    <w:p>
      <w:pPr>
        <w:spacing w:after="0"/>
        <w:ind w:left="0"/>
        <w:jc w:val="both"/>
      </w:pPr>
      <w:r>
        <w:rPr>
          <w:rFonts w:ascii="Times New Roman"/>
          <w:b w:val="false"/>
          <w:i w:val="false"/>
          <w:color w:val="000000"/>
          <w:sz w:val="28"/>
        </w:rPr>
        <w:t>
      какие использованы штаммы (виды животных, модели);</w:t>
      </w:r>
    </w:p>
    <w:bookmarkEnd w:id="5538"/>
    <w:bookmarkStart w:name="z5731" w:id="5539"/>
    <w:p>
      <w:pPr>
        <w:spacing w:after="0"/>
        <w:ind w:left="0"/>
        <w:jc w:val="both"/>
      </w:pPr>
      <w:r>
        <w:rPr>
          <w:rFonts w:ascii="Times New Roman"/>
          <w:b w:val="false"/>
          <w:i w:val="false"/>
          <w:color w:val="000000"/>
          <w:sz w:val="28"/>
        </w:rPr>
        <w:t>
      количество и пол животных;</w:t>
      </w:r>
    </w:p>
    <w:bookmarkEnd w:id="5539"/>
    <w:bookmarkStart w:name="z5732" w:id="5540"/>
    <w:p>
      <w:pPr>
        <w:spacing w:after="0"/>
        <w:ind w:left="0"/>
        <w:jc w:val="both"/>
      </w:pPr>
      <w:r>
        <w:rPr>
          <w:rFonts w:ascii="Times New Roman"/>
          <w:b w:val="false"/>
          <w:i w:val="false"/>
          <w:color w:val="000000"/>
          <w:sz w:val="28"/>
        </w:rPr>
        <w:t>
      дозы и экспозиция;</w:t>
      </w:r>
    </w:p>
    <w:bookmarkEnd w:id="5540"/>
    <w:bookmarkStart w:name="z5733" w:id="5541"/>
    <w:p>
      <w:pPr>
        <w:spacing w:after="0"/>
        <w:ind w:left="0"/>
        <w:jc w:val="both"/>
      </w:pPr>
      <w:r>
        <w:rPr>
          <w:rFonts w:ascii="Times New Roman"/>
          <w:b w:val="false"/>
          <w:i w:val="false"/>
          <w:color w:val="000000"/>
          <w:sz w:val="28"/>
        </w:rPr>
        <w:t>
      экспозиция, установленная по токсичности или кинетическим параметрам;</w:t>
      </w:r>
    </w:p>
    <w:bookmarkEnd w:id="5541"/>
    <w:bookmarkStart w:name="z5734" w:id="5542"/>
    <w:p>
      <w:pPr>
        <w:spacing w:after="0"/>
        <w:ind w:left="0"/>
        <w:jc w:val="both"/>
      </w:pPr>
      <w:r>
        <w:rPr>
          <w:rFonts w:ascii="Times New Roman"/>
          <w:b w:val="false"/>
          <w:i w:val="false"/>
          <w:color w:val="000000"/>
          <w:sz w:val="28"/>
        </w:rPr>
        <w:t>
      различия в метаболизме между животными и человеком;</w:t>
      </w:r>
    </w:p>
    <w:bookmarkEnd w:id="5542"/>
    <w:bookmarkStart w:name="z5735" w:id="5543"/>
    <w:p>
      <w:pPr>
        <w:spacing w:after="0"/>
        <w:ind w:left="0"/>
        <w:jc w:val="both"/>
      </w:pPr>
      <w:r>
        <w:rPr>
          <w:rFonts w:ascii="Times New Roman"/>
          <w:b w:val="false"/>
          <w:i w:val="false"/>
          <w:color w:val="000000"/>
          <w:sz w:val="28"/>
        </w:rPr>
        <w:t>
      продолжительность терапии (время отбора образцов);</w:t>
      </w:r>
    </w:p>
    <w:bookmarkEnd w:id="5543"/>
    <w:bookmarkStart w:name="z5736" w:id="5544"/>
    <w:p>
      <w:pPr>
        <w:spacing w:after="0"/>
        <w:ind w:left="0"/>
        <w:jc w:val="both"/>
      </w:pPr>
      <w:r>
        <w:rPr>
          <w:rFonts w:ascii="Times New Roman"/>
          <w:b w:val="false"/>
          <w:i w:val="false"/>
          <w:color w:val="000000"/>
          <w:sz w:val="28"/>
        </w:rPr>
        <w:t>
      критерии, предлагаемые заявителем к оценке как положительный ответ;</w:t>
      </w:r>
    </w:p>
    <w:bookmarkEnd w:id="5544"/>
    <w:bookmarkStart w:name="z5737" w:id="5545"/>
    <w:p>
      <w:pPr>
        <w:spacing w:after="0"/>
        <w:ind w:left="0"/>
        <w:jc w:val="both"/>
      </w:pPr>
      <w:r>
        <w:rPr>
          <w:rFonts w:ascii="Times New Roman"/>
          <w:b w:val="false"/>
          <w:i w:val="false"/>
          <w:color w:val="000000"/>
          <w:sz w:val="28"/>
        </w:rPr>
        <w:t>
      зависимость доза - время - ответ.</w:t>
      </w:r>
    </w:p>
    <w:bookmarkEnd w:id="5545"/>
    <w:bookmarkStart w:name="z5738" w:id="5546"/>
    <w:p>
      <w:pPr>
        <w:spacing w:after="0"/>
        <w:ind w:left="0"/>
        <w:jc w:val="both"/>
      </w:pPr>
      <w:r>
        <w:rPr>
          <w:rFonts w:ascii="Times New Roman"/>
          <w:b w:val="false"/>
          <w:i w:val="false"/>
          <w:color w:val="000000"/>
          <w:sz w:val="28"/>
        </w:rPr>
        <w:t>
      Пример формулировки, которая может использоваться для краткого описания батареи тестов на генотоксичность:</w:t>
      </w:r>
    </w:p>
    <w:bookmarkEnd w:id="5546"/>
    <w:bookmarkStart w:name="z5739" w:id="5547"/>
    <w:p>
      <w:pPr>
        <w:spacing w:after="0"/>
        <w:ind w:left="0"/>
        <w:jc w:val="both"/>
      </w:pPr>
      <w:r>
        <w:rPr>
          <w:rFonts w:ascii="Times New Roman"/>
          <w:b w:val="false"/>
          <w:i w:val="false"/>
          <w:color w:val="000000"/>
          <w:sz w:val="28"/>
        </w:rPr>
        <w:t>
      "Исследование генотоксичности препарата &lt;X&gt; было проведено путем изучения генных мутаций у бактерий и в клетках млекопитающих, а также хромосомных аберраций in vitro и in vivo. Дополнительно были проведены тесты на первичное повреждение ДНК in vitro и образование опухолевых клеток".</w:t>
      </w:r>
    </w:p>
    <w:bookmarkEnd w:id="5547"/>
    <w:bookmarkStart w:name="z5740" w:id="5548"/>
    <w:p>
      <w:pPr>
        <w:spacing w:after="0"/>
        <w:ind w:left="0"/>
        <w:jc w:val="both"/>
      </w:pPr>
      <w:r>
        <w:rPr>
          <w:rFonts w:ascii="Times New Roman"/>
          <w:b w:val="false"/>
          <w:i w:val="false"/>
          <w:color w:val="000000"/>
          <w:sz w:val="28"/>
        </w:rPr>
        <w:t>
      Аспекты, которые следует проанализировать в данном разделе экспертного обзора:</w:t>
      </w:r>
    </w:p>
    <w:bookmarkEnd w:id="5548"/>
    <w:bookmarkStart w:name="z5741" w:id="5549"/>
    <w:p>
      <w:pPr>
        <w:spacing w:after="0"/>
        <w:ind w:left="0"/>
        <w:jc w:val="both"/>
      </w:pPr>
      <w:r>
        <w:rPr>
          <w:rFonts w:ascii="Times New Roman"/>
          <w:b w:val="false"/>
          <w:i w:val="false"/>
          <w:color w:val="000000"/>
          <w:sz w:val="28"/>
        </w:rPr>
        <w:t>
      положительные результаты тестов in vitro или in vivo;</w:t>
      </w:r>
    </w:p>
    <w:bookmarkEnd w:id="5549"/>
    <w:bookmarkStart w:name="z5742" w:id="5550"/>
    <w:p>
      <w:pPr>
        <w:spacing w:after="0"/>
        <w:ind w:left="0"/>
        <w:jc w:val="both"/>
      </w:pPr>
      <w:r>
        <w:rPr>
          <w:rFonts w:ascii="Times New Roman"/>
          <w:b w:val="false"/>
          <w:i w:val="false"/>
          <w:color w:val="000000"/>
          <w:sz w:val="28"/>
        </w:rPr>
        <w:t>
      описание механизма действия: мутагенный или кластогенный;</w:t>
      </w:r>
    </w:p>
    <w:bookmarkEnd w:id="5550"/>
    <w:bookmarkStart w:name="z5743" w:id="5551"/>
    <w:p>
      <w:pPr>
        <w:spacing w:after="0"/>
        <w:ind w:left="0"/>
        <w:jc w:val="both"/>
      </w:pPr>
      <w:r>
        <w:rPr>
          <w:rFonts w:ascii="Times New Roman"/>
          <w:b w:val="false"/>
          <w:i w:val="false"/>
          <w:color w:val="000000"/>
          <w:sz w:val="28"/>
        </w:rPr>
        <w:t>
      возможно ли использование подхода с определением пороговых значений и если такой подход возможен, то каковы пределы безопасного воздействия с учетом концентрации препарата в плазме (экспозиции у человека);</w:t>
      </w:r>
    </w:p>
    <w:bookmarkEnd w:id="5551"/>
    <w:bookmarkStart w:name="z5744" w:id="5552"/>
    <w:p>
      <w:pPr>
        <w:spacing w:after="0"/>
        <w:ind w:left="0"/>
        <w:jc w:val="both"/>
      </w:pPr>
      <w:r>
        <w:rPr>
          <w:rFonts w:ascii="Times New Roman"/>
          <w:b w:val="false"/>
          <w:i w:val="false"/>
          <w:color w:val="000000"/>
          <w:sz w:val="28"/>
        </w:rPr>
        <w:t>
      заключение по генотоксическому потенциалу.</w:t>
      </w:r>
    </w:p>
    <w:bookmarkEnd w:id="5552"/>
    <w:bookmarkStart w:name="z5745" w:id="5553"/>
    <w:p>
      <w:pPr>
        <w:spacing w:after="0"/>
        <w:ind w:left="0"/>
        <w:jc w:val="both"/>
      </w:pPr>
      <w:r>
        <w:rPr>
          <w:rFonts w:ascii="Times New Roman"/>
          <w:b w:val="false"/>
          <w:i w:val="false"/>
          <w:color w:val="000000"/>
          <w:sz w:val="28"/>
        </w:rPr>
        <w:t>
      4.4. Канцерогенное действие.</w:t>
      </w:r>
    </w:p>
    <w:bookmarkEnd w:id="5553"/>
    <w:bookmarkStart w:name="z5746" w:id="5554"/>
    <w:p>
      <w:pPr>
        <w:spacing w:after="0"/>
        <w:ind w:left="0"/>
        <w:jc w:val="both"/>
      </w:pPr>
      <w:r>
        <w:rPr>
          <w:rFonts w:ascii="Times New Roman"/>
          <w:b w:val="false"/>
          <w:i w:val="false"/>
          <w:color w:val="000000"/>
          <w:sz w:val="28"/>
        </w:rPr>
        <w:t>
      4.4.1. Долгосрочные исследования.</w:t>
      </w:r>
    </w:p>
    <w:bookmarkEnd w:id="5554"/>
    <w:bookmarkStart w:name="z5747" w:id="5555"/>
    <w:p>
      <w:pPr>
        <w:spacing w:after="0"/>
        <w:ind w:left="0"/>
        <w:jc w:val="both"/>
      </w:pPr>
      <w:r>
        <w:rPr>
          <w:rFonts w:ascii="Times New Roman"/>
          <w:b w:val="false"/>
          <w:i w:val="false"/>
          <w:color w:val="000000"/>
          <w:sz w:val="28"/>
        </w:rPr>
        <w:t>
      Следует привести краткое описание проведенных исследований, предпочтительно, в виде таблицы под соответствующим подзаголовком (например, долгосрочные исследования, краткосрочные исследования и др. - как это указано в примере таблицы настоящего раздела приложения № 6 к Правилам регистрации).</w:t>
      </w:r>
    </w:p>
    <w:bookmarkEnd w:id="5555"/>
    <w:bookmarkStart w:name="z5748" w:id="5556"/>
    <w:p>
      <w:pPr>
        <w:spacing w:after="0"/>
        <w:ind w:left="0"/>
        <w:jc w:val="both"/>
      </w:pPr>
      <w:r>
        <w:rPr>
          <w:rFonts w:ascii="Times New Roman"/>
          <w:b w:val="false"/>
          <w:i w:val="false"/>
          <w:color w:val="000000"/>
          <w:sz w:val="28"/>
        </w:rPr>
        <w:t>
      Если исследования канцерогенного действия препарата не проводились, необходимо провести анализ обоснования заявителя в отношении невыполнения таких исследований.</w:t>
      </w:r>
    </w:p>
    <w:bookmarkEnd w:id="5556"/>
    <w:bookmarkStart w:name="z5749" w:id="5557"/>
    <w:p>
      <w:pPr>
        <w:spacing w:after="0"/>
        <w:ind w:left="0"/>
        <w:jc w:val="both"/>
      </w:pPr>
      <w:r>
        <w:rPr>
          <w:rFonts w:ascii="Times New Roman"/>
          <w:b w:val="false"/>
          <w:i w:val="false"/>
          <w:color w:val="000000"/>
          <w:sz w:val="28"/>
        </w:rPr>
        <w:t>
      Следует кратко отразить результаты исследований, включая данные о неопластических изменениях и при необходимости значимых изменениях, не относящихся к неопластическим. Описание не неопластических изменений должно сопровождаться ссылками на наблюдения, имевшие место в ходе исследований токсичности при многократном введении. Рекомендуется представить результаты в виде таблицы (как это указано в примере таблицы настоящего раздела приложения № 6 к Правилам регистрации).</w:t>
      </w:r>
    </w:p>
    <w:bookmarkEnd w:id="5557"/>
    <w:bookmarkStart w:name="z5750" w:id="5558"/>
    <w:p>
      <w:pPr>
        <w:spacing w:after="0"/>
        <w:ind w:left="0"/>
        <w:jc w:val="both"/>
      </w:pPr>
      <w:r>
        <w:rPr>
          <w:rFonts w:ascii="Times New Roman"/>
          <w:b w:val="false"/>
          <w:i w:val="false"/>
          <w:color w:val="000000"/>
          <w:sz w:val="28"/>
        </w:rPr>
        <w:t>
      Аспекты, требующие детализации в данном разделе:</w:t>
      </w:r>
    </w:p>
    <w:bookmarkEnd w:id="5558"/>
    <w:bookmarkStart w:name="z5751" w:id="5559"/>
    <w:p>
      <w:pPr>
        <w:spacing w:after="0"/>
        <w:ind w:left="0"/>
        <w:jc w:val="both"/>
      </w:pPr>
      <w:r>
        <w:rPr>
          <w:rFonts w:ascii="Times New Roman"/>
          <w:b w:val="false"/>
          <w:i w:val="false"/>
          <w:color w:val="000000"/>
          <w:sz w:val="28"/>
        </w:rPr>
        <w:t>
      линия и пол животных;</w:t>
      </w:r>
    </w:p>
    <w:bookmarkEnd w:id="5559"/>
    <w:bookmarkStart w:name="z5752" w:id="5560"/>
    <w:p>
      <w:pPr>
        <w:spacing w:after="0"/>
        <w:ind w:left="0"/>
        <w:jc w:val="both"/>
      </w:pPr>
      <w:r>
        <w:rPr>
          <w:rFonts w:ascii="Times New Roman"/>
          <w:b w:val="false"/>
          <w:i w:val="false"/>
          <w:color w:val="000000"/>
          <w:sz w:val="28"/>
        </w:rPr>
        <w:t>
      число групп (контрольных групп);</w:t>
      </w:r>
    </w:p>
    <w:bookmarkEnd w:id="5560"/>
    <w:bookmarkStart w:name="z5753" w:id="5561"/>
    <w:p>
      <w:pPr>
        <w:spacing w:after="0"/>
        <w:ind w:left="0"/>
        <w:jc w:val="both"/>
      </w:pPr>
      <w:r>
        <w:rPr>
          <w:rFonts w:ascii="Times New Roman"/>
          <w:b w:val="false"/>
          <w:i w:val="false"/>
          <w:color w:val="000000"/>
          <w:sz w:val="28"/>
        </w:rPr>
        <w:t>
      число животных в каждой группе;</w:t>
      </w:r>
    </w:p>
    <w:bookmarkEnd w:id="5561"/>
    <w:bookmarkStart w:name="z5754" w:id="5562"/>
    <w:p>
      <w:pPr>
        <w:spacing w:after="0"/>
        <w:ind w:left="0"/>
        <w:jc w:val="both"/>
      </w:pPr>
      <w:r>
        <w:rPr>
          <w:rFonts w:ascii="Times New Roman"/>
          <w:b w:val="false"/>
          <w:i w:val="false"/>
          <w:color w:val="000000"/>
          <w:sz w:val="28"/>
        </w:rPr>
        <w:t>
      путь введения препарата;</w:t>
      </w:r>
    </w:p>
    <w:bookmarkEnd w:id="5562"/>
    <w:bookmarkStart w:name="z5755" w:id="5563"/>
    <w:p>
      <w:pPr>
        <w:spacing w:after="0"/>
        <w:ind w:left="0"/>
        <w:jc w:val="both"/>
      </w:pPr>
      <w:r>
        <w:rPr>
          <w:rFonts w:ascii="Times New Roman"/>
          <w:b w:val="false"/>
          <w:i w:val="false"/>
          <w:color w:val="000000"/>
          <w:sz w:val="28"/>
        </w:rPr>
        <w:t>
      продолжительность введения (экспозиции);</w:t>
      </w:r>
    </w:p>
    <w:bookmarkEnd w:id="5563"/>
    <w:bookmarkStart w:name="z5756" w:id="5564"/>
    <w:p>
      <w:pPr>
        <w:spacing w:after="0"/>
        <w:ind w:left="0"/>
        <w:jc w:val="both"/>
      </w:pPr>
      <w:r>
        <w:rPr>
          <w:rFonts w:ascii="Times New Roman"/>
          <w:b w:val="false"/>
          <w:i w:val="false"/>
          <w:color w:val="000000"/>
          <w:sz w:val="28"/>
        </w:rPr>
        <w:t>
      общее развитие (набор массы тела, потребление пищи);</w:t>
      </w:r>
    </w:p>
    <w:bookmarkEnd w:id="5564"/>
    <w:bookmarkStart w:name="z5757" w:id="5565"/>
    <w:p>
      <w:pPr>
        <w:spacing w:after="0"/>
        <w:ind w:left="0"/>
        <w:jc w:val="both"/>
      </w:pPr>
      <w:r>
        <w:rPr>
          <w:rFonts w:ascii="Times New Roman"/>
          <w:b w:val="false"/>
          <w:i w:val="false"/>
          <w:color w:val="000000"/>
          <w:sz w:val="28"/>
        </w:rPr>
        <w:t>
      уровень выживаемости в конце исследования;</w:t>
      </w:r>
    </w:p>
    <w:bookmarkEnd w:id="5565"/>
    <w:bookmarkStart w:name="z5758" w:id="5566"/>
    <w:p>
      <w:pPr>
        <w:spacing w:after="0"/>
        <w:ind w:left="0"/>
        <w:jc w:val="both"/>
      </w:pPr>
      <w:r>
        <w:rPr>
          <w:rFonts w:ascii="Times New Roman"/>
          <w:b w:val="false"/>
          <w:i w:val="false"/>
          <w:color w:val="000000"/>
          <w:sz w:val="28"/>
        </w:rPr>
        <w:t>
      токсикокинетические параметры (в виде таблицы: день отбора образцов, AUC). Отбор контрольных образцов;</w:t>
      </w:r>
    </w:p>
    <w:bookmarkEnd w:id="5566"/>
    <w:bookmarkStart w:name="z5759" w:id="5567"/>
    <w:p>
      <w:pPr>
        <w:spacing w:after="0"/>
        <w:ind w:left="0"/>
        <w:jc w:val="both"/>
      </w:pPr>
      <w:r>
        <w:rPr>
          <w:rFonts w:ascii="Times New Roman"/>
          <w:b w:val="false"/>
          <w:i w:val="false"/>
          <w:color w:val="000000"/>
          <w:sz w:val="28"/>
        </w:rPr>
        <w:t>
      органы, в которых обнаружены опухолевые клетки, тип (доброкачественный или злокачественный), степень распространения;</w:t>
      </w:r>
    </w:p>
    <w:bookmarkEnd w:id="5567"/>
    <w:bookmarkStart w:name="z5760" w:id="5568"/>
    <w:p>
      <w:pPr>
        <w:spacing w:after="0"/>
        <w:ind w:left="0"/>
        <w:jc w:val="both"/>
      </w:pPr>
      <w:r>
        <w:rPr>
          <w:rFonts w:ascii="Times New Roman"/>
          <w:b w:val="false"/>
          <w:i w:val="false"/>
          <w:color w:val="000000"/>
          <w:sz w:val="28"/>
        </w:rPr>
        <w:t>
      предопухолевые состояния;</w:t>
      </w:r>
    </w:p>
    <w:bookmarkEnd w:id="5568"/>
    <w:bookmarkStart w:name="z5761" w:id="5569"/>
    <w:p>
      <w:pPr>
        <w:spacing w:after="0"/>
        <w:ind w:left="0"/>
        <w:jc w:val="both"/>
      </w:pPr>
      <w:r>
        <w:rPr>
          <w:rFonts w:ascii="Times New Roman"/>
          <w:b w:val="false"/>
          <w:i w:val="false"/>
          <w:color w:val="000000"/>
          <w:sz w:val="28"/>
        </w:rPr>
        <w:t>
      описание типов опухолей;</w:t>
      </w:r>
    </w:p>
    <w:bookmarkEnd w:id="5569"/>
    <w:bookmarkStart w:name="z5762" w:id="5570"/>
    <w:p>
      <w:pPr>
        <w:spacing w:after="0"/>
        <w:ind w:left="0"/>
        <w:jc w:val="both"/>
      </w:pPr>
      <w:r>
        <w:rPr>
          <w:rFonts w:ascii="Times New Roman"/>
          <w:b w:val="false"/>
          <w:i w:val="false"/>
          <w:color w:val="000000"/>
          <w:sz w:val="28"/>
        </w:rPr>
        <w:t>
      использованные статистические методы;</w:t>
      </w:r>
    </w:p>
    <w:bookmarkEnd w:id="5570"/>
    <w:bookmarkStart w:name="z5763" w:id="5571"/>
    <w:p>
      <w:pPr>
        <w:spacing w:after="0"/>
        <w:ind w:left="0"/>
        <w:jc w:val="both"/>
      </w:pPr>
      <w:r>
        <w:rPr>
          <w:rFonts w:ascii="Times New Roman"/>
          <w:b w:val="false"/>
          <w:i w:val="false"/>
          <w:color w:val="000000"/>
          <w:sz w:val="28"/>
        </w:rPr>
        <w:t>
      токсические реакции, не наблюдавшиеся в ходе менее продолжительных исследований.</w:t>
      </w:r>
    </w:p>
    <w:bookmarkEnd w:id="5571"/>
    <w:bookmarkStart w:name="z5764" w:id="5572"/>
    <w:p>
      <w:pPr>
        <w:spacing w:after="0"/>
        <w:ind w:left="0"/>
        <w:jc w:val="both"/>
      </w:pPr>
      <w:r>
        <w:rPr>
          <w:rFonts w:ascii="Times New Roman"/>
          <w:b w:val="false"/>
          <w:i w:val="false"/>
          <w:color w:val="000000"/>
          <w:sz w:val="28"/>
        </w:rPr>
        <w:t>
      4.4.2. Краткосрочные и среднесрочные исследования.</w:t>
      </w:r>
    </w:p>
    <w:bookmarkEnd w:id="5572"/>
    <w:bookmarkStart w:name="z5765" w:id="5573"/>
    <w:p>
      <w:pPr>
        <w:spacing w:after="0"/>
        <w:ind w:left="0"/>
        <w:jc w:val="both"/>
      </w:pPr>
      <w:r>
        <w:rPr>
          <w:rFonts w:ascii="Times New Roman"/>
          <w:b w:val="false"/>
          <w:i w:val="false"/>
          <w:color w:val="000000"/>
          <w:sz w:val="28"/>
        </w:rPr>
        <w:t>
      Следует описать новые (неклассические) модели:</w:t>
      </w:r>
    </w:p>
    <w:bookmarkEnd w:id="5573"/>
    <w:bookmarkStart w:name="z5766" w:id="5574"/>
    <w:p>
      <w:pPr>
        <w:spacing w:after="0"/>
        <w:ind w:left="0"/>
        <w:jc w:val="both"/>
      </w:pPr>
      <w:r>
        <w:rPr>
          <w:rFonts w:ascii="Times New Roman"/>
          <w:b w:val="false"/>
          <w:i w:val="false"/>
          <w:color w:val="000000"/>
          <w:sz w:val="28"/>
        </w:rPr>
        <w:t>
      вид модели и обоснование ее использования;</w:t>
      </w:r>
    </w:p>
    <w:bookmarkEnd w:id="5574"/>
    <w:bookmarkStart w:name="z5767" w:id="5575"/>
    <w:p>
      <w:pPr>
        <w:spacing w:after="0"/>
        <w:ind w:left="0"/>
        <w:jc w:val="both"/>
      </w:pPr>
      <w:r>
        <w:rPr>
          <w:rFonts w:ascii="Times New Roman"/>
          <w:b w:val="false"/>
          <w:i w:val="false"/>
          <w:color w:val="000000"/>
          <w:sz w:val="28"/>
        </w:rPr>
        <w:t>
      является ли генотоксичность предметом исследования;</w:t>
      </w:r>
    </w:p>
    <w:bookmarkEnd w:id="5575"/>
    <w:bookmarkStart w:name="z5768" w:id="5576"/>
    <w:p>
      <w:pPr>
        <w:spacing w:after="0"/>
        <w:ind w:left="0"/>
        <w:jc w:val="both"/>
      </w:pPr>
      <w:r>
        <w:rPr>
          <w:rFonts w:ascii="Times New Roman"/>
          <w:b w:val="false"/>
          <w:i w:val="false"/>
          <w:color w:val="000000"/>
          <w:sz w:val="28"/>
        </w:rPr>
        <w:t>
      количество животных и продолжительность введения (экспозиции);</w:t>
      </w:r>
    </w:p>
    <w:bookmarkEnd w:id="5576"/>
    <w:bookmarkStart w:name="z5769" w:id="5577"/>
    <w:p>
      <w:pPr>
        <w:spacing w:after="0"/>
        <w:ind w:left="0"/>
        <w:jc w:val="both"/>
      </w:pPr>
      <w:r>
        <w:rPr>
          <w:rFonts w:ascii="Times New Roman"/>
          <w:b w:val="false"/>
          <w:i w:val="false"/>
          <w:color w:val="000000"/>
          <w:sz w:val="28"/>
        </w:rPr>
        <w:t>
      использование положительного контроля и оценки ответа на него;</w:t>
      </w:r>
    </w:p>
    <w:bookmarkEnd w:id="5577"/>
    <w:bookmarkStart w:name="z5770" w:id="5578"/>
    <w:p>
      <w:pPr>
        <w:spacing w:after="0"/>
        <w:ind w:left="0"/>
        <w:jc w:val="both"/>
      </w:pPr>
      <w:r>
        <w:rPr>
          <w:rFonts w:ascii="Times New Roman"/>
          <w:b w:val="false"/>
          <w:i w:val="false"/>
          <w:color w:val="000000"/>
          <w:sz w:val="28"/>
        </w:rPr>
        <w:t>
      использование контрольных веществ для сравнения (в соответствующих случаях);</w:t>
      </w:r>
    </w:p>
    <w:bookmarkEnd w:id="5578"/>
    <w:bookmarkStart w:name="z5771" w:id="5579"/>
    <w:p>
      <w:pPr>
        <w:spacing w:after="0"/>
        <w:ind w:left="0"/>
        <w:jc w:val="both"/>
      </w:pPr>
      <w:r>
        <w:rPr>
          <w:rFonts w:ascii="Times New Roman"/>
          <w:b w:val="false"/>
          <w:i w:val="false"/>
          <w:color w:val="000000"/>
          <w:sz w:val="28"/>
        </w:rPr>
        <w:t>
      статистический анализ наиболее значимых типов опухолей.</w:t>
      </w:r>
    </w:p>
    <w:bookmarkEnd w:id="5579"/>
    <w:bookmarkStart w:name="z5772" w:id="5580"/>
    <w:p>
      <w:pPr>
        <w:spacing w:after="0"/>
        <w:ind w:left="0"/>
        <w:jc w:val="both"/>
      </w:pPr>
      <w:r>
        <w:rPr>
          <w:rFonts w:ascii="Times New Roman"/>
          <w:b w:val="false"/>
          <w:i w:val="false"/>
          <w:color w:val="000000"/>
          <w:sz w:val="28"/>
        </w:rPr>
        <w:t>
      4.4.3. Другие исследования.</w:t>
      </w:r>
    </w:p>
    <w:bookmarkEnd w:id="5580"/>
    <w:bookmarkStart w:name="z5773" w:id="5581"/>
    <w:p>
      <w:pPr>
        <w:spacing w:after="0"/>
        <w:ind w:left="0"/>
        <w:jc w:val="both"/>
      </w:pPr>
      <w:r>
        <w:rPr>
          <w:rFonts w:ascii="Times New Roman"/>
          <w:b w:val="false"/>
          <w:i w:val="false"/>
          <w:color w:val="000000"/>
          <w:sz w:val="28"/>
        </w:rPr>
        <w:t>
      Описание других типов исследований (если таковые проводились), например, исследования механизма действия, направленные на объяснение онкогенного эффекта препарата или его метаболитов.</w:t>
      </w:r>
    </w:p>
    <w:bookmarkEnd w:id="5581"/>
    <w:bookmarkStart w:name="z5774" w:id="5582"/>
    <w:p>
      <w:pPr>
        <w:spacing w:after="0"/>
        <w:ind w:left="0"/>
        <w:jc w:val="both"/>
      </w:pPr>
      <w:r>
        <w:rPr>
          <w:rFonts w:ascii="Times New Roman"/>
          <w:b w:val="false"/>
          <w:i w:val="false"/>
          <w:color w:val="000000"/>
          <w:sz w:val="28"/>
        </w:rPr>
        <w:t>
      4.5. Репродуктивная и онтогенетическая токсичность.</w:t>
      </w:r>
    </w:p>
    <w:bookmarkEnd w:id="5582"/>
    <w:bookmarkStart w:name="z5775" w:id="5583"/>
    <w:p>
      <w:pPr>
        <w:spacing w:after="0"/>
        <w:ind w:left="0"/>
        <w:jc w:val="both"/>
      </w:pPr>
      <w:r>
        <w:rPr>
          <w:rFonts w:ascii="Times New Roman"/>
          <w:b w:val="false"/>
          <w:i w:val="false"/>
          <w:color w:val="000000"/>
          <w:sz w:val="28"/>
        </w:rPr>
        <w:t>
      Следует привести краткое описание проведенных исследований, предпочтительно, в виде таблицы (как это указано в примере таблицы данного раздела приложения № 6 к Правилам регистрации и экспертизы лекарственных средств для медицинского применения), включая исследования с подбором дозы.</w:t>
      </w:r>
    </w:p>
    <w:bookmarkEnd w:id="5583"/>
    <w:bookmarkStart w:name="z5776" w:id="5584"/>
    <w:p>
      <w:pPr>
        <w:spacing w:after="0"/>
        <w:ind w:left="0"/>
        <w:jc w:val="both"/>
      </w:pPr>
      <w:r>
        <w:rPr>
          <w:rFonts w:ascii="Times New Roman"/>
          <w:b w:val="false"/>
          <w:i w:val="false"/>
          <w:color w:val="000000"/>
          <w:sz w:val="28"/>
        </w:rPr>
        <w:t>
      Следует привести комментарий по соответствию правилам надлежащей лабораторной практики каждого основного исследования в данной группе. Если информация в таблице недостаточна для подробного описания конкретного исследования, следует привести ее ниже под соответствующим заголовком в виде фактических данных.</w:t>
      </w:r>
    </w:p>
    <w:bookmarkEnd w:id="5584"/>
    <w:bookmarkStart w:name="z5777" w:id="5585"/>
    <w:p>
      <w:pPr>
        <w:spacing w:after="0"/>
        <w:ind w:left="0"/>
        <w:jc w:val="both"/>
      </w:pPr>
      <w:r>
        <w:rPr>
          <w:rFonts w:ascii="Times New Roman"/>
          <w:b w:val="false"/>
          <w:i w:val="false"/>
          <w:color w:val="000000"/>
          <w:sz w:val="28"/>
        </w:rPr>
        <w:t>
      Необходимо рассмотреть информацию, имеющую отношение к реакциям репродуктивной токсичности, упомянутым в других разделах досье лекарственного препарата, в форме перекрестных ссылок или фактических сведений. В качестве примера можно проанализировать патоморфологию репродуктивных органов в результате токсического действия при многократном введении, эффекты со стороны эндокринной системы, фармакокинетические и фармакодинамические показатели.</w:t>
      </w:r>
    </w:p>
    <w:bookmarkEnd w:id="5585"/>
    <w:bookmarkStart w:name="z5778" w:id="5586"/>
    <w:p>
      <w:pPr>
        <w:spacing w:after="0"/>
        <w:ind w:left="0"/>
        <w:jc w:val="both"/>
      </w:pPr>
      <w:r>
        <w:rPr>
          <w:rFonts w:ascii="Times New Roman"/>
          <w:b w:val="false"/>
          <w:i w:val="false"/>
          <w:color w:val="000000"/>
          <w:sz w:val="28"/>
        </w:rPr>
        <w:t>
      4.5.4. Исследования, в которых препарат вводится неполовозрелым особям и (или) проводится дальнейшая оценка их развития.</w:t>
      </w:r>
    </w:p>
    <w:bookmarkEnd w:id="5586"/>
    <w:bookmarkStart w:name="z5779" w:id="5587"/>
    <w:p>
      <w:pPr>
        <w:spacing w:after="0"/>
        <w:ind w:left="0"/>
        <w:jc w:val="both"/>
      </w:pPr>
      <w:r>
        <w:rPr>
          <w:rFonts w:ascii="Times New Roman"/>
          <w:b w:val="false"/>
          <w:i w:val="false"/>
          <w:color w:val="000000"/>
          <w:sz w:val="28"/>
        </w:rPr>
        <w:t>
      Выводы в отношении репродуктивной токсичности.</w:t>
      </w:r>
    </w:p>
    <w:bookmarkEnd w:id="5587"/>
    <w:bookmarkStart w:name="z5780" w:id="5588"/>
    <w:p>
      <w:pPr>
        <w:spacing w:after="0"/>
        <w:ind w:left="0"/>
        <w:jc w:val="both"/>
      </w:pPr>
      <w:r>
        <w:rPr>
          <w:rFonts w:ascii="Times New Roman"/>
          <w:b w:val="false"/>
          <w:i w:val="false"/>
          <w:color w:val="000000"/>
          <w:sz w:val="28"/>
        </w:rPr>
        <w:t>
      Следует проанализировать релевантность применяемых тест-систем (например, виды (линии) животных), используя сравнение показателей метаболизма, фармакокинетических и фармакодинамических параметров или иной принцип.</w:t>
      </w:r>
    </w:p>
    <w:bookmarkEnd w:id="5588"/>
    <w:bookmarkStart w:name="z5781" w:id="5589"/>
    <w:p>
      <w:pPr>
        <w:spacing w:after="0"/>
        <w:ind w:left="0"/>
        <w:jc w:val="both"/>
      </w:pPr>
      <w:r>
        <w:rPr>
          <w:rFonts w:ascii="Times New Roman"/>
          <w:b w:val="false"/>
          <w:i w:val="false"/>
          <w:color w:val="000000"/>
          <w:sz w:val="28"/>
        </w:rPr>
        <w:t>
      Необходимо указать оценку экспозиции препарата и характер распределения у беременных и (или) кормящих животных, а также у потомства (включая данные о выведении с грудным молоком).</w:t>
      </w:r>
    </w:p>
    <w:bookmarkEnd w:id="5589"/>
    <w:bookmarkStart w:name="z5782" w:id="5590"/>
    <w:p>
      <w:pPr>
        <w:spacing w:after="0"/>
        <w:ind w:left="0"/>
        <w:jc w:val="both"/>
      </w:pPr>
      <w:r>
        <w:rPr>
          <w:rFonts w:ascii="Times New Roman"/>
          <w:b w:val="false"/>
          <w:i w:val="false"/>
          <w:color w:val="000000"/>
          <w:sz w:val="28"/>
        </w:rPr>
        <w:t>
      Следует провести критическую оценку каждого специфического аспекта исследований и сделать краткие выводы в отношении значимых результатов.</w:t>
      </w:r>
    </w:p>
    <w:bookmarkEnd w:id="5590"/>
    <w:bookmarkStart w:name="z5783" w:id="5591"/>
    <w:p>
      <w:pPr>
        <w:spacing w:after="0"/>
        <w:ind w:left="0"/>
        <w:jc w:val="both"/>
      </w:pPr>
      <w:r>
        <w:rPr>
          <w:rFonts w:ascii="Times New Roman"/>
          <w:b w:val="false"/>
          <w:i w:val="false"/>
          <w:color w:val="000000"/>
          <w:sz w:val="28"/>
        </w:rPr>
        <w:t>
      Следует проанализировать пороги экспозиции и оценить клиническую значимость этих данных.</w:t>
      </w:r>
    </w:p>
    <w:bookmarkEnd w:id="5591"/>
    <w:bookmarkStart w:name="z5784" w:id="5592"/>
    <w:p>
      <w:pPr>
        <w:spacing w:after="0"/>
        <w:ind w:left="0"/>
        <w:jc w:val="both"/>
      </w:pPr>
      <w:r>
        <w:rPr>
          <w:rFonts w:ascii="Times New Roman"/>
          <w:b w:val="false"/>
          <w:i w:val="false"/>
          <w:color w:val="000000"/>
          <w:sz w:val="28"/>
        </w:rPr>
        <w:t>
      Необходимо представить собственные обоснованные рекомендации для включения этой информации в ОХЛП.</w:t>
      </w:r>
    </w:p>
    <w:bookmarkEnd w:id="5592"/>
    <w:bookmarkStart w:name="z5785" w:id="5593"/>
    <w:p>
      <w:pPr>
        <w:spacing w:after="0"/>
        <w:ind w:left="0"/>
        <w:jc w:val="both"/>
      </w:pPr>
      <w:r>
        <w:rPr>
          <w:rFonts w:ascii="Times New Roman"/>
          <w:b w:val="false"/>
          <w:i w:val="false"/>
          <w:color w:val="000000"/>
          <w:sz w:val="28"/>
        </w:rPr>
        <w:t>
      4.6. Местная переносимость.</w:t>
      </w:r>
    </w:p>
    <w:bookmarkEnd w:id="5593"/>
    <w:bookmarkStart w:name="z5786" w:id="5594"/>
    <w:p>
      <w:pPr>
        <w:spacing w:after="0"/>
        <w:ind w:left="0"/>
        <w:jc w:val="both"/>
      </w:pPr>
      <w:r>
        <w:rPr>
          <w:rFonts w:ascii="Times New Roman"/>
          <w:b w:val="false"/>
          <w:i w:val="false"/>
          <w:color w:val="000000"/>
          <w:sz w:val="28"/>
        </w:rPr>
        <w:t>
      Следует кратко описать, оказывал ли препарат раздражающее действие в месте его введения. При необходимости (в случае подкожного введения), в этот раздел следует включить информацию об исследованиях на сенсибилизирующее действие (продублировав ее в разделе 4.7.1 отчета).</w:t>
      </w:r>
    </w:p>
    <w:bookmarkEnd w:id="5594"/>
    <w:bookmarkStart w:name="z5787" w:id="5595"/>
    <w:p>
      <w:pPr>
        <w:spacing w:after="0"/>
        <w:ind w:left="0"/>
        <w:jc w:val="both"/>
      </w:pPr>
      <w:r>
        <w:rPr>
          <w:rFonts w:ascii="Times New Roman"/>
          <w:b w:val="false"/>
          <w:i w:val="false"/>
          <w:color w:val="000000"/>
          <w:sz w:val="28"/>
        </w:rPr>
        <w:t>
      4.7. Другие исследования токсичности.</w:t>
      </w:r>
    </w:p>
    <w:bookmarkEnd w:id="5595"/>
    <w:bookmarkStart w:name="z5788" w:id="5596"/>
    <w:p>
      <w:pPr>
        <w:spacing w:after="0"/>
        <w:ind w:left="0"/>
        <w:jc w:val="both"/>
      </w:pPr>
      <w:r>
        <w:rPr>
          <w:rFonts w:ascii="Times New Roman"/>
          <w:b w:val="false"/>
          <w:i w:val="false"/>
          <w:color w:val="000000"/>
          <w:sz w:val="28"/>
        </w:rPr>
        <w:t>
      Следует отметить наличие всех других проведенных исследований и обсудить полученные результаты.</w:t>
      </w:r>
    </w:p>
    <w:bookmarkEnd w:id="5596"/>
    <w:bookmarkStart w:name="z5789" w:id="5597"/>
    <w:p>
      <w:pPr>
        <w:spacing w:after="0"/>
        <w:ind w:left="0"/>
        <w:jc w:val="both"/>
      </w:pPr>
      <w:r>
        <w:rPr>
          <w:rFonts w:ascii="Times New Roman"/>
          <w:b w:val="false"/>
          <w:i w:val="false"/>
          <w:color w:val="000000"/>
          <w:sz w:val="28"/>
        </w:rPr>
        <w:t>
      4.7.1. Антигенность.</w:t>
      </w:r>
    </w:p>
    <w:bookmarkEnd w:id="5597"/>
    <w:bookmarkStart w:name="z5790" w:id="5598"/>
    <w:p>
      <w:pPr>
        <w:spacing w:after="0"/>
        <w:ind w:left="0"/>
        <w:jc w:val="both"/>
      </w:pPr>
      <w:r>
        <w:rPr>
          <w:rFonts w:ascii="Times New Roman"/>
          <w:b w:val="false"/>
          <w:i w:val="false"/>
          <w:color w:val="000000"/>
          <w:sz w:val="28"/>
        </w:rPr>
        <w:t>
      Следует описать случаи образования антител, реакции сенсибилизации (пробы на морских свинках, если это применимо). В частном случае биоаналогичных (биоподобных) препаратов особое внимание необходимо уделить оценке различий в иммуногенности у биоаналогичного и референтного препаратов. Здесь следует рассмотреть все возможные последствия для клинической эффективности и безопасности с учетом мнения экспертов по оценке качества (модуля 3) и клинической части (модуля 5) регистрационного досье.</w:t>
      </w:r>
    </w:p>
    <w:bookmarkEnd w:id="5598"/>
    <w:bookmarkStart w:name="z5791" w:id="5599"/>
    <w:p>
      <w:pPr>
        <w:spacing w:after="0"/>
        <w:ind w:left="0"/>
        <w:jc w:val="both"/>
      </w:pPr>
      <w:r>
        <w:rPr>
          <w:rFonts w:ascii="Times New Roman"/>
          <w:b w:val="false"/>
          <w:i w:val="false"/>
          <w:color w:val="000000"/>
          <w:sz w:val="28"/>
        </w:rPr>
        <w:t>
      4.7.2. Иммунотоксичность.</w:t>
      </w:r>
    </w:p>
    <w:bookmarkEnd w:id="5599"/>
    <w:bookmarkStart w:name="z5792" w:id="5600"/>
    <w:p>
      <w:pPr>
        <w:spacing w:after="0"/>
        <w:ind w:left="0"/>
        <w:jc w:val="both"/>
      </w:pPr>
      <w:r>
        <w:rPr>
          <w:rFonts w:ascii="Times New Roman"/>
          <w:b w:val="false"/>
          <w:i w:val="false"/>
          <w:color w:val="000000"/>
          <w:sz w:val="28"/>
        </w:rPr>
        <w:t>
      В этом разделе рассматриваются проведенные специфические исследования иммунотоксичности (во взаимосвязи с результатами исследований токсичности при многократном введении), особенно в случаях, когда имеются данные о возможных клинических ее проявлениях.</w:t>
      </w:r>
    </w:p>
    <w:bookmarkEnd w:id="5600"/>
    <w:bookmarkStart w:name="z5793" w:id="5601"/>
    <w:p>
      <w:pPr>
        <w:spacing w:after="0"/>
        <w:ind w:left="0"/>
        <w:jc w:val="both"/>
      </w:pPr>
      <w:r>
        <w:rPr>
          <w:rFonts w:ascii="Times New Roman"/>
          <w:b w:val="false"/>
          <w:i w:val="false"/>
          <w:color w:val="000000"/>
          <w:sz w:val="28"/>
        </w:rPr>
        <w:t>
      К таким исследованиям могут относиться испытания с использованием маркеров клеточной поверхности (иммуногистохимия или проточная цитометрия), функциональные тесты (формирование первичных антител на эритроциты барана, активность натуральных клеток-киллеров, функция макрофагов, гиперчувствительность замедленного типа, тесты на резистентность организма-носителя, активация комплемента и др.).</w:t>
      </w:r>
    </w:p>
    <w:bookmarkEnd w:id="5601"/>
    <w:bookmarkStart w:name="z5794" w:id="5602"/>
    <w:p>
      <w:pPr>
        <w:spacing w:after="0"/>
        <w:ind w:left="0"/>
        <w:jc w:val="both"/>
      </w:pPr>
      <w:r>
        <w:rPr>
          <w:rFonts w:ascii="Times New Roman"/>
          <w:b w:val="false"/>
          <w:i w:val="false"/>
          <w:color w:val="000000"/>
          <w:sz w:val="28"/>
        </w:rPr>
        <w:t>
      Для проведения оценки эксперт может воспользоваться подходящими руководствами по исследованию токсичности при многократном введении.</w:t>
      </w:r>
    </w:p>
    <w:bookmarkEnd w:id="5602"/>
    <w:bookmarkStart w:name="z5795" w:id="5603"/>
    <w:p>
      <w:pPr>
        <w:spacing w:after="0"/>
        <w:ind w:left="0"/>
        <w:jc w:val="both"/>
      </w:pPr>
      <w:r>
        <w:rPr>
          <w:rFonts w:ascii="Times New Roman"/>
          <w:b w:val="false"/>
          <w:i w:val="false"/>
          <w:color w:val="000000"/>
          <w:sz w:val="28"/>
        </w:rPr>
        <w:t>
      В данном разделе также следует привести данные о подавлении иммунитета, аутоиммунном потенциале, реакциях гиперчувствительности, наблюдаемых у человека.</w:t>
      </w:r>
    </w:p>
    <w:bookmarkEnd w:id="5603"/>
    <w:bookmarkStart w:name="z5796" w:id="5604"/>
    <w:p>
      <w:pPr>
        <w:spacing w:after="0"/>
        <w:ind w:left="0"/>
        <w:jc w:val="both"/>
      </w:pPr>
      <w:r>
        <w:rPr>
          <w:rFonts w:ascii="Times New Roman"/>
          <w:b w:val="false"/>
          <w:i w:val="false"/>
          <w:color w:val="000000"/>
          <w:sz w:val="28"/>
        </w:rPr>
        <w:t>
      4.7.3. Зависимость.</w:t>
      </w:r>
    </w:p>
    <w:bookmarkEnd w:id="5604"/>
    <w:bookmarkStart w:name="z5797" w:id="5605"/>
    <w:p>
      <w:pPr>
        <w:spacing w:after="0"/>
        <w:ind w:left="0"/>
        <w:jc w:val="both"/>
      </w:pPr>
      <w:r>
        <w:rPr>
          <w:rFonts w:ascii="Times New Roman"/>
          <w:b w:val="false"/>
          <w:i w:val="false"/>
          <w:color w:val="000000"/>
          <w:sz w:val="28"/>
        </w:rPr>
        <w:t>
      В этом разделе описываются различные виды лекарственной зависимости, наблюдавшиеся в фармакодинамических исследованиях (моделях) (обычно не выполняются в рутинных токсикологических исследованиях).</w:t>
      </w:r>
    </w:p>
    <w:bookmarkEnd w:id="5605"/>
    <w:bookmarkStart w:name="z5798" w:id="5606"/>
    <w:p>
      <w:pPr>
        <w:spacing w:after="0"/>
        <w:ind w:left="0"/>
        <w:jc w:val="both"/>
      </w:pPr>
      <w:r>
        <w:rPr>
          <w:rFonts w:ascii="Times New Roman"/>
          <w:b w:val="false"/>
          <w:i w:val="false"/>
          <w:color w:val="000000"/>
          <w:sz w:val="28"/>
        </w:rPr>
        <w:t>
      4.7.4. Метаболиты.</w:t>
      </w:r>
    </w:p>
    <w:bookmarkEnd w:id="5606"/>
    <w:bookmarkStart w:name="z5799" w:id="5607"/>
    <w:p>
      <w:pPr>
        <w:spacing w:after="0"/>
        <w:ind w:left="0"/>
        <w:jc w:val="both"/>
      </w:pPr>
      <w:r>
        <w:rPr>
          <w:rFonts w:ascii="Times New Roman"/>
          <w:b w:val="false"/>
          <w:i w:val="false"/>
          <w:color w:val="000000"/>
          <w:sz w:val="28"/>
        </w:rPr>
        <w:t>
      Следует описать специфические исследования основных метаболитов (или изомеров) у человека, которые присутствуют в организме животных в недостаточной степени.</w:t>
      </w:r>
    </w:p>
    <w:bookmarkEnd w:id="5607"/>
    <w:bookmarkStart w:name="z5800" w:id="5608"/>
    <w:p>
      <w:pPr>
        <w:spacing w:after="0"/>
        <w:ind w:left="0"/>
        <w:jc w:val="both"/>
      </w:pPr>
      <w:r>
        <w:rPr>
          <w:rFonts w:ascii="Times New Roman"/>
          <w:b w:val="false"/>
          <w:i w:val="false"/>
          <w:color w:val="000000"/>
          <w:sz w:val="28"/>
        </w:rPr>
        <w:t>
      4.7.5. Исследования примесей.</w:t>
      </w:r>
    </w:p>
    <w:bookmarkEnd w:id="5608"/>
    <w:bookmarkStart w:name="z5801" w:id="5609"/>
    <w:p>
      <w:pPr>
        <w:spacing w:after="0"/>
        <w:ind w:left="0"/>
        <w:jc w:val="both"/>
      </w:pPr>
      <w:r>
        <w:rPr>
          <w:rFonts w:ascii="Times New Roman"/>
          <w:b w:val="false"/>
          <w:i w:val="false"/>
          <w:color w:val="000000"/>
          <w:sz w:val="28"/>
        </w:rPr>
        <w:t>
      Следует описать исследования по квалификации примесей: исследования при однократном и многократном введении, генотоксичности, репродуктивной токсичности. При составлении раздела экспертом могут быть использованы подходящие руководства.</w:t>
      </w:r>
    </w:p>
    <w:bookmarkEnd w:id="5609"/>
    <w:bookmarkStart w:name="z5802" w:id="5610"/>
    <w:p>
      <w:pPr>
        <w:spacing w:after="0"/>
        <w:ind w:left="0"/>
        <w:jc w:val="both"/>
      </w:pPr>
      <w:r>
        <w:rPr>
          <w:rFonts w:ascii="Times New Roman"/>
          <w:b w:val="false"/>
          <w:i w:val="false"/>
          <w:color w:val="000000"/>
          <w:sz w:val="28"/>
        </w:rPr>
        <w:t>
      4.7.6. Другие исследования.</w:t>
      </w:r>
    </w:p>
    <w:bookmarkEnd w:id="5610"/>
    <w:bookmarkStart w:name="z5803" w:id="5611"/>
    <w:p>
      <w:pPr>
        <w:spacing w:after="0"/>
        <w:ind w:left="0"/>
        <w:jc w:val="both"/>
      </w:pPr>
      <w:r>
        <w:rPr>
          <w:rFonts w:ascii="Times New Roman"/>
          <w:b w:val="false"/>
          <w:i w:val="false"/>
          <w:color w:val="000000"/>
          <w:sz w:val="28"/>
        </w:rPr>
        <w:t>
      В отчет включаются также следующие исследования (при необходимости):</w:t>
      </w:r>
    </w:p>
    <w:bookmarkEnd w:id="5611"/>
    <w:bookmarkStart w:name="z5804" w:id="5612"/>
    <w:p>
      <w:pPr>
        <w:spacing w:after="0"/>
        <w:ind w:left="0"/>
        <w:jc w:val="both"/>
      </w:pPr>
      <w:r>
        <w:rPr>
          <w:rFonts w:ascii="Times New Roman"/>
          <w:b w:val="false"/>
          <w:i w:val="false"/>
          <w:color w:val="000000"/>
          <w:sz w:val="28"/>
        </w:rPr>
        <w:t>
      фототоксичность. Включая информацию о кожной (глазной) фототоксичности, фотосенсибилизации, фотогенотоксичности и фотоканцерогенности. Возможная необходимость таких исследований зависит от фото-абсорбции (разложения), экспозиция (способ применения) (подкожное введение, инстилляция в глаза) (При составлении раздела экспертом могут быть использованы подходящие руководства);</w:t>
      </w:r>
    </w:p>
    <w:bookmarkEnd w:id="5612"/>
    <w:bookmarkStart w:name="z5805" w:id="5613"/>
    <w:p>
      <w:pPr>
        <w:spacing w:after="0"/>
        <w:ind w:left="0"/>
        <w:jc w:val="both"/>
      </w:pPr>
      <w:r>
        <w:rPr>
          <w:rFonts w:ascii="Times New Roman"/>
          <w:b w:val="false"/>
          <w:i w:val="false"/>
          <w:color w:val="000000"/>
          <w:sz w:val="28"/>
        </w:rPr>
        <w:t>
      молекулярная токсикологи:</w:t>
      </w:r>
    </w:p>
    <w:bookmarkEnd w:id="5613"/>
    <w:bookmarkStart w:name="z5806" w:id="5614"/>
    <w:p>
      <w:pPr>
        <w:spacing w:after="0"/>
        <w:ind w:left="0"/>
        <w:jc w:val="both"/>
      </w:pPr>
      <w:r>
        <w:rPr>
          <w:rFonts w:ascii="Times New Roman"/>
          <w:b w:val="false"/>
          <w:i w:val="false"/>
          <w:color w:val="000000"/>
          <w:sz w:val="28"/>
        </w:rPr>
        <w:t>
      реакционноспособные метаболиты (ковалентное связывание in vitro с белками, жирами, нуклеиновыми кислотами). Возможные последствия в виде идиосинкразических реакций или аутоиммунных заболеваний;</w:t>
      </w:r>
    </w:p>
    <w:bookmarkEnd w:id="5614"/>
    <w:bookmarkStart w:name="z5807" w:id="5615"/>
    <w:p>
      <w:pPr>
        <w:spacing w:after="0"/>
        <w:ind w:left="0"/>
        <w:jc w:val="both"/>
      </w:pPr>
      <w:r>
        <w:rPr>
          <w:rFonts w:ascii="Times New Roman"/>
          <w:b w:val="false"/>
          <w:i w:val="false"/>
          <w:color w:val="000000"/>
          <w:sz w:val="28"/>
        </w:rPr>
        <w:t>
      другие исследования механизма действия (митохондриальная токсичность, химическая активность в отношении гемоглобина и др.);</w:t>
      </w:r>
    </w:p>
    <w:bookmarkEnd w:id="5615"/>
    <w:bookmarkStart w:name="z5808" w:id="5616"/>
    <w:p>
      <w:pPr>
        <w:spacing w:after="0"/>
        <w:ind w:left="0"/>
        <w:jc w:val="both"/>
      </w:pPr>
      <w:r>
        <w:rPr>
          <w:rFonts w:ascii="Times New Roman"/>
          <w:b w:val="false"/>
          <w:i w:val="false"/>
          <w:color w:val="000000"/>
          <w:sz w:val="28"/>
        </w:rPr>
        <w:t>
      данные исследований в области протеомики, геномики и др. разделов молекулярной биологии.</w:t>
      </w:r>
    </w:p>
    <w:bookmarkEnd w:id="5616"/>
    <w:bookmarkStart w:name="z5809" w:id="5617"/>
    <w:p>
      <w:pPr>
        <w:spacing w:after="0"/>
        <w:ind w:left="0"/>
        <w:jc w:val="both"/>
      </w:pPr>
      <w:r>
        <w:rPr>
          <w:rFonts w:ascii="Times New Roman"/>
          <w:b w:val="false"/>
          <w:i w:val="false"/>
          <w:color w:val="000000"/>
          <w:sz w:val="28"/>
        </w:rPr>
        <w:t>
       </w:t>
      </w:r>
    </w:p>
    <w:bookmarkEnd w:id="5617"/>
    <w:bookmarkStart w:name="z5810" w:id="5618"/>
    <w:p>
      <w:pPr>
        <w:spacing w:after="0"/>
        <w:ind w:left="0"/>
        <w:jc w:val="both"/>
      </w:pPr>
      <w:r>
        <w:rPr>
          <w:rFonts w:ascii="Times New Roman"/>
          <w:b w:val="false"/>
          <w:i w:val="false"/>
          <w:color w:val="000000"/>
          <w:sz w:val="28"/>
        </w:rPr>
        <w:t>
      4.8. Общее заключение по токсикологии эксперта по оценке.</w:t>
      </w:r>
    </w:p>
    <w:bookmarkEnd w:id="5618"/>
    <w:bookmarkStart w:name="z5811" w:id="5619"/>
    <w:p>
      <w:pPr>
        <w:spacing w:after="0"/>
        <w:ind w:left="0"/>
        <w:jc w:val="both"/>
      </w:pPr>
      <w:r>
        <w:rPr>
          <w:rFonts w:ascii="Times New Roman"/>
          <w:b w:val="false"/>
          <w:i w:val="false"/>
          <w:color w:val="000000"/>
          <w:sz w:val="28"/>
        </w:rPr>
        <w:t>
      Содержание настоящего раздела может быть перенесено в модуль сводного экспертного отчета "Оценка безопасности, качества, эффективности".</w:t>
      </w:r>
    </w:p>
    <w:bookmarkEnd w:id="5619"/>
    <w:bookmarkStart w:name="z5812" w:id="5620"/>
    <w:p>
      <w:pPr>
        <w:spacing w:after="0"/>
        <w:ind w:left="0"/>
        <w:jc w:val="both"/>
      </w:pPr>
      <w:r>
        <w:rPr>
          <w:rFonts w:ascii="Times New Roman"/>
          <w:b w:val="false"/>
          <w:i w:val="false"/>
          <w:color w:val="000000"/>
          <w:sz w:val="28"/>
        </w:rPr>
        <w:t>
      Для наиболее полной оценки профиля соотношения "польза - риск" необходимо провести тщательный анализ информации и максимально детально составить данный раздел.</w:t>
      </w:r>
    </w:p>
    <w:bookmarkEnd w:id="5620"/>
    <w:bookmarkStart w:name="z5813" w:id="5621"/>
    <w:p>
      <w:pPr>
        <w:spacing w:after="0"/>
        <w:ind w:left="0"/>
        <w:jc w:val="both"/>
      </w:pPr>
      <w:r>
        <w:rPr>
          <w:rFonts w:ascii="Times New Roman"/>
          <w:b w:val="false"/>
          <w:i w:val="false"/>
          <w:color w:val="000000"/>
          <w:sz w:val="28"/>
        </w:rPr>
        <w:t>
      Необходимо провести анализ всех отклонений от программы токсикологических исследований, указанной в соответствующих руководствах или требований надлежащей лабораторной практики, или отсутствия требуемых исследований.</w:t>
      </w:r>
    </w:p>
    <w:bookmarkEnd w:id="5621"/>
    <w:bookmarkStart w:name="z5814" w:id="5622"/>
    <w:p>
      <w:pPr>
        <w:spacing w:after="0"/>
        <w:ind w:left="0"/>
        <w:jc w:val="both"/>
      </w:pPr>
      <w:r>
        <w:rPr>
          <w:rFonts w:ascii="Times New Roman"/>
          <w:b w:val="false"/>
          <w:i w:val="false"/>
          <w:color w:val="000000"/>
          <w:sz w:val="28"/>
        </w:rPr>
        <w:t>
      Если заявление основана на библиографических данных, используемых в качестве подтверждающей информации, важно отразить данный момент.</w:t>
      </w:r>
    </w:p>
    <w:bookmarkEnd w:id="5622"/>
    <w:bookmarkStart w:name="z5815" w:id="5623"/>
    <w:p>
      <w:pPr>
        <w:spacing w:after="0"/>
        <w:ind w:left="0"/>
        <w:jc w:val="both"/>
      </w:pPr>
      <w:r>
        <w:rPr>
          <w:rFonts w:ascii="Times New Roman"/>
          <w:b w:val="false"/>
          <w:i w:val="false"/>
          <w:color w:val="000000"/>
          <w:sz w:val="28"/>
        </w:rPr>
        <w:t>
      Следует дать оценку обоснованности выбора видов животных (систем испытаний), продолжительности, доз (концентраций), использованных в исследованиях.</w:t>
      </w:r>
    </w:p>
    <w:bookmarkEnd w:id="5623"/>
    <w:bookmarkStart w:name="z5816" w:id="5624"/>
    <w:p>
      <w:pPr>
        <w:spacing w:after="0"/>
        <w:ind w:left="0"/>
        <w:jc w:val="both"/>
      </w:pPr>
      <w:r>
        <w:rPr>
          <w:rFonts w:ascii="Times New Roman"/>
          <w:b w:val="false"/>
          <w:i w:val="false"/>
          <w:color w:val="000000"/>
          <w:sz w:val="28"/>
        </w:rPr>
        <w:t>
      Необходимо резюмировать наблюдаемые эффекты, а также формулировки относительно потенциальной значимости этих эффектов для человека, предложенные заявителем, и по возможности составить собственное заключение по данному вопросу.</w:t>
      </w:r>
    </w:p>
    <w:bookmarkEnd w:id="5624"/>
    <w:bookmarkStart w:name="z5817" w:id="5625"/>
    <w:p>
      <w:pPr>
        <w:spacing w:after="0"/>
        <w:ind w:left="0"/>
        <w:jc w:val="both"/>
      </w:pPr>
      <w:r>
        <w:rPr>
          <w:rFonts w:ascii="Times New Roman"/>
          <w:b w:val="false"/>
          <w:i w:val="false"/>
          <w:color w:val="000000"/>
          <w:sz w:val="28"/>
        </w:rPr>
        <w:t>
      Следует привести данные о возможных последствиях различий в хиральности, модификации молекулы действующего вещества (соль, эфир, гидрат и т.п.) и профиле примесей, имеющихся у вещества, использовавшегося в доклинических исследованиях, и препарата, который будет находиться на фармацевтическом рынке.</w:t>
      </w:r>
    </w:p>
    <w:bookmarkEnd w:id="5625"/>
    <w:bookmarkStart w:name="z5818" w:id="5626"/>
    <w:p>
      <w:pPr>
        <w:spacing w:after="0"/>
        <w:ind w:left="0"/>
        <w:jc w:val="both"/>
      </w:pPr>
      <w:r>
        <w:rPr>
          <w:rFonts w:ascii="Times New Roman"/>
          <w:b w:val="false"/>
          <w:i w:val="false"/>
          <w:color w:val="000000"/>
          <w:sz w:val="28"/>
        </w:rPr>
        <w:t>
      Следует рассмотреть межвидовые сравнительные исследования метаболизма и системного воздействия у человека и животных (AUC, C</w:t>
      </w:r>
      <w:r>
        <w:rPr>
          <w:rFonts w:ascii="Times New Roman"/>
          <w:b w:val="false"/>
          <w:i w:val="false"/>
          <w:color w:val="000000"/>
          <w:vertAlign w:val="subscript"/>
        </w:rPr>
        <w:t>max</w:t>
      </w:r>
      <w:r>
        <w:rPr>
          <w:rFonts w:ascii="Times New Roman"/>
          <w:b w:val="false"/>
          <w:i w:val="false"/>
          <w:color w:val="000000"/>
          <w:sz w:val="28"/>
        </w:rPr>
        <w:t>, другие параметры), а также обсудить ограничения и применимость этих исследований для прогнозирования возможных нежелательных реакций у человека.</w:t>
      </w:r>
    </w:p>
    <w:bookmarkEnd w:id="5626"/>
    <w:bookmarkStart w:name="z5819" w:id="5627"/>
    <w:p>
      <w:pPr>
        <w:spacing w:after="0"/>
        <w:ind w:left="0"/>
        <w:jc w:val="both"/>
      </w:pPr>
      <w:r>
        <w:rPr>
          <w:rFonts w:ascii="Times New Roman"/>
          <w:b w:val="false"/>
          <w:i w:val="false"/>
          <w:color w:val="000000"/>
          <w:sz w:val="28"/>
        </w:rPr>
        <w:t>
      Следует отметить пригодность видов животных, использованных в токсикологических исследованиях, в контексте потенциальных межвидовых различий с точки зрения фармакологии.</w:t>
      </w:r>
    </w:p>
    <w:bookmarkEnd w:id="5627"/>
    <w:bookmarkStart w:name="z5820" w:id="5628"/>
    <w:p>
      <w:pPr>
        <w:spacing w:after="0"/>
        <w:ind w:left="0"/>
        <w:jc w:val="both"/>
      </w:pPr>
      <w:r>
        <w:rPr>
          <w:rFonts w:ascii="Times New Roman"/>
          <w:b w:val="false"/>
          <w:i w:val="false"/>
          <w:color w:val="000000"/>
          <w:sz w:val="28"/>
        </w:rPr>
        <w:t>
      Особое внимание необходимо уделить результатам исследований генотоксичности, канцерогенного действия, репродуктивной и онтогенетической токсичности. При наличии положительных генотоксических эффектов следует проанализировать данные об образовании опухолей и (или) влиянии препарата на репродуктивную функцию (онтогенез), потенциальное значение этой информации для человека, и по возможности сделать соответствующий вывод.</w:t>
      </w:r>
    </w:p>
    <w:bookmarkEnd w:id="5628"/>
    <w:bookmarkStart w:name="z5821" w:id="5629"/>
    <w:p>
      <w:pPr>
        <w:spacing w:after="0"/>
        <w:ind w:left="0"/>
        <w:jc w:val="both"/>
      </w:pPr>
      <w:r>
        <w:rPr>
          <w:rFonts w:ascii="Times New Roman"/>
          <w:b w:val="false"/>
          <w:i w:val="false"/>
          <w:color w:val="000000"/>
          <w:sz w:val="28"/>
        </w:rPr>
        <w:t>
      В отношении канцерогенного потенциала необходимо обратить внимание на следующее: биологическую значимость роста опухолей, данные за прошлые периоды, связь с фармакологическим эффектом, эффекты, зависящие от дозы, видоспецифические различия, исследования механизма действия, связь с генотоксичностью, сравнение экспозиции у человека и животных и др.</w:t>
      </w:r>
    </w:p>
    <w:bookmarkEnd w:id="5629"/>
    <w:bookmarkStart w:name="z5822" w:id="5630"/>
    <w:p>
      <w:pPr>
        <w:spacing w:after="0"/>
        <w:ind w:left="0"/>
        <w:jc w:val="both"/>
      </w:pPr>
      <w:r>
        <w:rPr>
          <w:rFonts w:ascii="Times New Roman"/>
          <w:b w:val="false"/>
          <w:i w:val="false"/>
          <w:color w:val="000000"/>
          <w:sz w:val="28"/>
        </w:rPr>
        <w:t>
      В качестве варианта в данном разделе экспертом могут приводиться только основные выводы, и в таком случае текст модуля сводного экспертного отчета "Оценка безопасности, качества, эффективности" должен прорабатываться отдельно.</w:t>
      </w:r>
    </w:p>
    <w:bookmarkEnd w:id="5630"/>
    <w:bookmarkStart w:name="z5823" w:id="5631"/>
    <w:p>
      <w:pPr>
        <w:spacing w:after="0"/>
        <w:ind w:left="0"/>
        <w:jc w:val="both"/>
      </w:pPr>
      <w:r>
        <w:rPr>
          <w:rFonts w:ascii="Times New Roman"/>
          <w:b w:val="false"/>
          <w:i w:val="false"/>
          <w:color w:val="000000"/>
          <w:sz w:val="28"/>
        </w:rPr>
        <w:t>
      Следует особо подчеркнуть случаи, когда требуется проведение дополнительной экспертизы для оценки возможных последствий применения препарата человеком. В эту группу относится вопрос о необходимости получения заключения специалистов-экспертов в области педиатрии на основании полученных данных исследований, имеющих отношение к неполовозрелым особям.</w:t>
      </w:r>
    </w:p>
    <w:bookmarkEnd w:id="5631"/>
    <w:bookmarkStart w:name="z5824" w:id="5632"/>
    <w:p>
      <w:pPr>
        <w:spacing w:after="0"/>
        <w:ind w:left="0"/>
        <w:jc w:val="both"/>
      </w:pPr>
      <w:r>
        <w:rPr>
          <w:rFonts w:ascii="Times New Roman"/>
          <w:b w:val="false"/>
          <w:i w:val="false"/>
          <w:color w:val="000000"/>
          <w:sz w:val="28"/>
        </w:rPr>
        <w:t>
      Следует привести комментарии по пригодности формулировок для ОХЛП. Проверить соответствие текста в досье и ОХЛП (в частности в разделе 5.3 "Данные доклинических исследований безопасности", а также в разделах 4.3 "Противопоказания", 4.5 "Лекарственные взаимодействия", 4.6 "Беременность и кормление грудью"), а также убедиться в том, что вся информация, содержащаяся в ОХЛП, полностью подтверждена результатами научной оценки.</w:t>
      </w:r>
    </w:p>
    <w:bookmarkEnd w:id="5632"/>
    <w:bookmarkStart w:name="z5825" w:id="5633"/>
    <w:p>
      <w:pPr>
        <w:spacing w:after="0"/>
        <w:ind w:left="0"/>
        <w:jc w:val="both"/>
      </w:pPr>
      <w:r>
        <w:rPr>
          <w:rFonts w:ascii="Times New Roman"/>
          <w:b w:val="false"/>
          <w:i w:val="false"/>
          <w:color w:val="000000"/>
          <w:sz w:val="28"/>
        </w:rPr>
        <w:t>
      Для биоаналогичных (биоподобных) препаратов необходимо проанализировать аналогичность (различие) терапевтического ответа у биоаналогичного и референтного препарата, а не только ответ per se.</w:t>
      </w:r>
    </w:p>
    <w:bookmarkEnd w:id="5633"/>
    <w:bookmarkStart w:name="z5826" w:id="5634"/>
    <w:p>
      <w:pPr>
        <w:spacing w:after="0"/>
        <w:ind w:left="0"/>
        <w:jc w:val="both"/>
      </w:pPr>
      <w:r>
        <w:rPr>
          <w:rFonts w:ascii="Times New Roman"/>
          <w:b w:val="false"/>
          <w:i w:val="false"/>
          <w:color w:val="000000"/>
          <w:sz w:val="28"/>
        </w:rPr>
        <w:t>
      6. Перечень замечаний, выдвигаемых экспертом в рамках проведенной экспертизы.</w:t>
      </w:r>
    </w:p>
    <w:bookmarkEnd w:id="5634"/>
    <w:bookmarkStart w:name="z5827" w:id="5635"/>
    <w:p>
      <w:pPr>
        <w:spacing w:after="0"/>
        <w:ind w:left="0"/>
        <w:jc w:val="both"/>
      </w:pPr>
      <w:r>
        <w:rPr>
          <w:rFonts w:ascii="Times New Roman"/>
          <w:b w:val="false"/>
          <w:i w:val="false"/>
          <w:color w:val="000000"/>
          <w:sz w:val="28"/>
        </w:rPr>
        <w:t>
      Наличие критических замечаний делает невозможным рекомендацию об одобрении заявления на регистрацию лекарственного препарата. Теоретически одно критическое замечание может включать в себя более 1 вопроса, поэтому следует использовать параграфы и подзаголовки. Важно, чтобы критическое замечание было понятным и логичным. Для этого могут понадобиться подробные комментарии со ссылками на соответствующие акты и рекомендации (руководства).</w:t>
      </w:r>
    </w:p>
    <w:bookmarkEnd w:id="5635"/>
    <w:bookmarkStart w:name="z5828" w:id="5636"/>
    <w:p>
      <w:pPr>
        <w:spacing w:after="0"/>
        <w:ind w:left="0"/>
        <w:jc w:val="both"/>
      </w:pPr>
      <w:r>
        <w:rPr>
          <w:rFonts w:ascii="Times New Roman"/>
          <w:b w:val="false"/>
          <w:i w:val="false"/>
          <w:color w:val="000000"/>
          <w:sz w:val="28"/>
        </w:rPr>
        <w:t>
      В идеальном случае, замечание должно включать в себя разъяснение относительно ответа (мер), ожидаемого от заявителя.</w:t>
      </w:r>
    </w:p>
    <w:bookmarkEnd w:id="5636"/>
    <w:bookmarkStart w:name="z5829" w:id="5637"/>
    <w:p>
      <w:pPr>
        <w:spacing w:after="0"/>
        <w:ind w:left="0"/>
        <w:jc w:val="both"/>
      </w:pPr>
      <w:r>
        <w:rPr>
          <w:rFonts w:ascii="Times New Roman"/>
          <w:b w:val="false"/>
          <w:i w:val="false"/>
          <w:color w:val="000000"/>
          <w:sz w:val="28"/>
        </w:rPr>
        <w:t>
      "Прочие замечания" могут повлиять на предлагаемые условия получения регистрационного удостоверения и содержание информации о лекарственном препарате. Эти проблемные вопросы должны быть решены перед одобрением заявления, в противном случае заявление может быть отклонена.</w:t>
      </w:r>
    </w:p>
    <w:bookmarkEnd w:id="5637"/>
    <w:bookmarkStart w:name="z5830" w:id="5638"/>
    <w:p>
      <w:pPr>
        <w:spacing w:after="0"/>
        <w:ind w:left="0"/>
        <w:jc w:val="both"/>
      </w:pPr>
      <w:r>
        <w:rPr>
          <w:rFonts w:ascii="Times New Roman"/>
          <w:b w:val="false"/>
          <w:i w:val="false"/>
          <w:color w:val="000000"/>
          <w:sz w:val="28"/>
        </w:rPr>
        <w:t>
      Данный список замечаний необходимо скопировать в модуль сводного экспертного отчета "Оценка безопасности, качества, эффективности".</w:t>
      </w:r>
    </w:p>
    <w:bookmarkEnd w:id="5638"/>
    <w:bookmarkStart w:name="z5831" w:id="5639"/>
    <w:p>
      <w:pPr>
        <w:spacing w:after="0"/>
        <w:ind w:left="0"/>
        <w:jc w:val="both"/>
      </w:pPr>
      <w:r>
        <w:rPr>
          <w:rFonts w:ascii="Times New Roman"/>
          <w:b w:val="false"/>
          <w:i w:val="false"/>
          <w:color w:val="000000"/>
          <w:sz w:val="28"/>
        </w:rPr>
        <w:t>
      "Рекомендации" содержат замечания эксперта (условия), не препятствующие регистрации лекарственного препарата, которые могут быть учтены после регистрации препарата и включены (изменены) в рамках процедуры внесения изменений.</w:t>
      </w:r>
    </w:p>
    <w:bookmarkEnd w:id="5639"/>
    <w:bookmarkStart w:name="z5832" w:id="5640"/>
    <w:p>
      <w:pPr>
        <w:spacing w:after="0"/>
        <w:ind w:left="0"/>
        <w:jc w:val="both"/>
      </w:pPr>
      <w:r>
        <w:rPr>
          <w:rFonts w:ascii="Times New Roman"/>
          <w:b w:val="false"/>
          <w:i w:val="false"/>
          <w:color w:val="000000"/>
          <w:sz w:val="28"/>
        </w:rPr>
        <w:t>
      7. Рекомендуемые экспертом условия.</w:t>
      </w:r>
    </w:p>
    <w:bookmarkEnd w:id="5640"/>
    <w:bookmarkStart w:name="z5833" w:id="5641"/>
    <w:p>
      <w:pPr>
        <w:spacing w:after="0"/>
        <w:ind w:left="0"/>
        <w:jc w:val="both"/>
      </w:pPr>
      <w:r>
        <w:rPr>
          <w:rFonts w:ascii="Times New Roman"/>
          <w:b w:val="false"/>
          <w:i w:val="false"/>
          <w:color w:val="000000"/>
          <w:sz w:val="28"/>
        </w:rPr>
        <w:t>
      Вопросы, рассматриваемые в данном разделе, должны быть проанализированы в соответствующем разделе модуля сводного экспертного отчета "Оценка безопасности, качества, эффективности" (например, комментарии относительно информации о лекарственном препарате).</w:t>
      </w:r>
    </w:p>
    <w:bookmarkEnd w:id="5641"/>
    <w:bookmarkStart w:name="z5834" w:id="5642"/>
    <w:p>
      <w:pPr>
        <w:spacing w:after="0"/>
        <w:ind w:left="0"/>
        <w:jc w:val="both"/>
      </w:pPr>
      <w:r>
        <w:rPr>
          <w:rFonts w:ascii="Times New Roman"/>
          <w:b w:val="false"/>
          <w:i w:val="false"/>
          <w:color w:val="000000"/>
          <w:sz w:val="28"/>
        </w:rPr>
        <w:t>
      В этом разделе также можно дать комментарии более общего характера.</w:t>
      </w:r>
    </w:p>
    <w:bookmarkEnd w:id="5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14 с изменениями, внесенными решениями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836" w:id="5643"/>
    <w:p>
      <w:pPr>
        <w:spacing w:after="0"/>
        <w:ind w:left="0"/>
        <w:jc w:val="left"/>
      </w:pPr>
      <w:r>
        <w:rPr>
          <w:rFonts w:ascii="Times New Roman"/>
          <w:b/>
          <w:i w:val="false"/>
          <w:color w:val="000000"/>
        </w:rPr>
        <w:t xml:space="preserve"> УКАЗАНИЯ</w:t>
      </w:r>
      <w:r>
        <w:br/>
      </w:r>
      <w:r>
        <w:rPr>
          <w:rFonts w:ascii="Times New Roman"/>
          <w:b/>
          <w:i w:val="false"/>
          <w:color w:val="000000"/>
        </w:rPr>
        <w:t>ПО СОСТАВЛЕНИЮ ЭКСПЕРТНОГО ОТЧЕТА О КРИТИЧЕСКОЙ ОЦЕНКЕ АСПЕКТОВ КАЧЕСТВА ЛЕКАРСТВЕННОГО ПРЕПАРАТА</w:t>
      </w:r>
    </w:p>
    <w:bookmarkEnd w:id="5643"/>
    <w:bookmarkStart w:name="z5837" w:id="5644"/>
    <w:p>
      <w:pPr>
        <w:spacing w:after="0"/>
        <w:ind w:left="0"/>
        <w:jc w:val="left"/>
      </w:pPr>
      <w:r>
        <w:rPr>
          <w:rFonts w:ascii="Times New Roman"/>
          <w:b/>
          <w:i w:val="false"/>
          <w:color w:val="000000"/>
        </w:rPr>
        <w:t xml:space="preserve"> I. Общие указания</w:t>
      </w:r>
    </w:p>
    <w:bookmarkEnd w:id="5644"/>
    <w:bookmarkStart w:name="z5838" w:id="5645"/>
    <w:p>
      <w:pPr>
        <w:spacing w:after="0"/>
        <w:ind w:left="0"/>
        <w:jc w:val="both"/>
      </w:pPr>
      <w:r>
        <w:rPr>
          <w:rFonts w:ascii="Times New Roman"/>
          <w:b w:val="false"/>
          <w:i w:val="false"/>
          <w:color w:val="000000"/>
          <w:sz w:val="28"/>
        </w:rPr>
        <w:t>
      В настоящих Указаниях рассматриваются только те разделы отчета, которые требуют пояснений и комментариев.</w:t>
      </w:r>
    </w:p>
    <w:bookmarkEnd w:id="5645"/>
    <w:bookmarkStart w:name="z5839" w:id="5646"/>
    <w:p>
      <w:pPr>
        <w:spacing w:after="0"/>
        <w:ind w:left="0"/>
        <w:jc w:val="both"/>
      </w:pPr>
      <w:r>
        <w:rPr>
          <w:rFonts w:ascii="Times New Roman"/>
          <w:b w:val="false"/>
          <w:i w:val="false"/>
          <w:color w:val="000000"/>
          <w:sz w:val="28"/>
        </w:rPr>
        <w:t>
      При работе над отчетом необходимо учитывать следующие аспекты:</w:t>
      </w:r>
    </w:p>
    <w:bookmarkEnd w:id="5646"/>
    <w:bookmarkStart w:name="z5840" w:id="5647"/>
    <w:p>
      <w:pPr>
        <w:spacing w:after="0"/>
        <w:ind w:left="0"/>
        <w:jc w:val="both"/>
      </w:pPr>
      <w:r>
        <w:rPr>
          <w:rFonts w:ascii="Times New Roman"/>
          <w:b w:val="false"/>
          <w:i w:val="false"/>
          <w:color w:val="000000"/>
          <w:sz w:val="28"/>
        </w:rPr>
        <w:t>
      Отчет должен быть в достаточной степени детализирован для возможности проведения его повторной оценки другими экспертами уполномоченных органов и организаций государств - членов Евразийского экономического союза (далее соответственно - государства-члены, Союз).</w:t>
      </w:r>
    </w:p>
    <w:bookmarkEnd w:id="5647"/>
    <w:bookmarkStart w:name="z5841" w:id="5648"/>
    <w:p>
      <w:pPr>
        <w:spacing w:after="0"/>
        <w:ind w:left="0"/>
        <w:jc w:val="both"/>
      </w:pPr>
      <w:r>
        <w:rPr>
          <w:rFonts w:ascii="Times New Roman"/>
          <w:b w:val="false"/>
          <w:i w:val="false"/>
          <w:color w:val="000000"/>
          <w:sz w:val="28"/>
        </w:rPr>
        <w:t>
      В отчете должны быть описаны наиболее характерные аспекты качества, особенно касающиеся недостатков, а также поставлены обоснованные замечания, которые предъявляются заявителю. Данные замечания должны быть также перечислены в модуле сводного экспертного отчета "Оценка безопасности, качества, эффективности".</w:t>
      </w:r>
    </w:p>
    <w:bookmarkEnd w:id="5648"/>
    <w:bookmarkStart w:name="z5842" w:id="5649"/>
    <w:p>
      <w:pPr>
        <w:spacing w:after="0"/>
        <w:ind w:left="0"/>
        <w:jc w:val="both"/>
      </w:pPr>
      <w:r>
        <w:rPr>
          <w:rFonts w:ascii="Times New Roman"/>
          <w:b w:val="false"/>
          <w:i w:val="false"/>
          <w:color w:val="000000"/>
          <w:sz w:val="28"/>
        </w:rPr>
        <w:t>
      Для правильного представления источников информации, указанных в отчете (включая специфические разделы досье - общее описание, сводная информация, отчеты об исследованиях), необходимо использовать перекрестные ссылки на документы досье, ссылки на литературу и другие источники.</w:t>
      </w:r>
    </w:p>
    <w:bookmarkEnd w:id="5649"/>
    <w:bookmarkStart w:name="z5843" w:id="5650"/>
    <w:p>
      <w:pPr>
        <w:spacing w:after="0"/>
        <w:ind w:left="0"/>
        <w:jc w:val="both"/>
      </w:pPr>
      <w:r>
        <w:rPr>
          <w:rFonts w:ascii="Times New Roman"/>
          <w:b w:val="false"/>
          <w:i w:val="false"/>
          <w:color w:val="000000"/>
          <w:sz w:val="28"/>
        </w:rPr>
        <w:t>
      В отчете также должны быть особым образом подчеркнуты те данные, которые необходимо включить в общую характеристику лекарственного препарата (далее - ОХЛП).</w:t>
      </w:r>
    </w:p>
    <w:bookmarkEnd w:id="5650"/>
    <w:bookmarkStart w:name="z5844" w:id="5651"/>
    <w:p>
      <w:pPr>
        <w:spacing w:after="0"/>
        <w:ind w:left="0"/>
        <w:jc w:val="both"/>
      </w:pPr>
      <w:r>
        <w:rPr>
          <w:rFonts w:ascii="Times New Roman"/>
          <w:b w:val="false"/>
          <w:i w:val="false"/>
          <w:color w:val="000000"/>
          <w:sz w:val="28"/>
        </w:rPr>
        <w:t>
      По возможности представление информации должно быть выполнено в виде таблиц, графиков и рисунков, примеры которых даны в приложении № 8 к Правилам регистрации и экспертизы лекарственных средств для медицинского применения, утверждаемым Евразийской экономической комиссией, и должны использоваться при необходимости. В отчет допускается включение таблиц из досье препарата. При этом следует приводить соответствующие ссылки. Для упрощения восприятия материала могут быть в ограниченном количестве включены такие данные заявителя, как блок-схемы, спецификации и т.д.</w:t>
      </w:r>
    </w:p>
    <w:bookmarkEnd w:id="5651"/>
    <w:bookmarkStart w:name="z5845" w:id="5652"/>
    <w:p>
      <w:pPr>
        <w:spacing w:after="0"/>
        <w:ind w:left="0"/>
        <w:jc w:val="both"/>
      </w:pPr>
      <w:r>
        <w:rPr>
          <w:rFonts w:ascii="Times New Roman"/>
          <w:b w:val="false"/>
          <w:i w:val="false"/>
          <w:color w:val="000000"/>
          <w:sz w:val="28"/>
        </w:rPr>
        <w:t>
      В шаблон отчета приложения № 8 к Правилам регистрации и экспертизы лекарственных средств для медицинского применения, утверждаемым Евразийской экономической комиссией, добавлено несколько отдельных страниц, предназначенных для списка сокращений и списка литературы, эти страницы следует заполнить при необходимости.</w:t>
      </w:r>
    </w:p>
    <w:bookmarkEnd w:id="5652"/>
    <w:bookmarkStart w:name="z5846" w:id="5653"/>
    <w:p>
      <w:pPr>
        <w:spacing w:after="0"/>
        <w:ind w:left="0"/>
        <w:jc w:val="both"/>
      </w:pPr>
      <w:r>
        <w:rPr>
          <w:rFonts w:ascii="Times New Roman"/>
          <w:b w:val="false"/>
          <w:i w:val="false"/>
          <w:color w:val="000000"/>
          <w:sz w:val="28"/>
        </w:rPr>
        <w:t>
      В качестве шрифта основного текста рекомендуется использовать гарнитуру Times New Roman, кегль не менее 11 пт. В случае если объем отчета превышает 7 листов, следует сделать оглавление для облегчения ориентирования в тексте экспертного отчета.</w:t>
      </w:r>
    </w:p>
    <w:bookmarkEnd w:id="5653"/>
    <w:bookmarkStart w:name="z5847" w:id="5654"/>
    <w:p>
      <w:pPr>
        <w:spacing w:after="0"/>
        <w:ind w:left="0"/>
        <w:jc w:val="both"/>
      </w:pPr>
      <w:r>
        <w:rPr>
          <w:rFonts w:ascii="Times New Roman"/>
          <w:b w:val="false"/>
          <w:i w:val="false"/>
          <w:color w:val="000000"/>
          <w:sz w:val="28"/>
        </w:rPr>
        <w:t>
       </w:t>
      </w:r>
    </w:p>
    <w:bookmarkEnd w:id="5654"/>
    <w:bookmarkStart w:name="z5848" w:id="5655"/>
    <w:p>
      <w:pPr>
        <w:spacing w:after="0"/>
        <w:ind w:left="0"/>
        <w:jc w:val="left"/>
      </w:pPr>
      <w:r>
        <w:rPr>
          <w:rFonts w:ascii="Times New Roman"/>
          <w:b/>
          <w:i w:val="false"/>
          <w:color w:val="000000"/>
        </w:rPr>
        <w:t xml:space="preserve"> II. Критическая оценка и экспертиза качества </w:t>
      </w:r>
    </w:p>
    <w:bookmarkEnd w:id="5655"/>
    <w:bookmarkStart w:name="z5849" w:id="5656"/>
    <w:p>
      <w:pPr>
        <w:spacing w:after="0"/>
        <w:ind w:left="0"/>
        <w:jc w:val="both"/>
      </w:pPr>
      <w:r>
        <w:rPr>
          <w:rFonts w:ascii="Times New Roman"/>
          <w:b w:val="false"/>
          <w:i w:val="false"/>
          <w:color w:val="000000"/>
          <w:sz w:val="28"/>
        </w:rPr>
        <w:t>
      Приведенная ниже структура отчета о критической оценке качества, в основном, соответствует структуре регистрационного досье, кроме некоторых предварительных разделов, например, раздела "Введение", для представления ознакомительной информации о продукте.</w:t>
      </w:r>
    </w:p>
    <w:bookmarkEnd w:id="5656"/>
    <w:bookmarkStart w:name="z5850" w:id="5657"/>
    <w:p>
      <w:pPr>
        <w:spacing w:after="0"/>
        <w:ind w:left="0"/>
        <w:jc w:val="both"/>
      </w:pPr>
      <w:r>
        <w:rPr>
          <w:rFonts w:ascii="Times New Roman"/>
          <w:b w:val="false"/>
          <w:i w:val="false"/>
          <w:color w:val="000000"/>
          <w:sz w:val="28"/>
        </w:rPr>
        <w:t>
      Хотя данное руководство подходит как для новых, так и известных химических активных субстанций и биотехнологических/биологических продуктов, в некоторых случаях приведены конкретные дополнительные указания либо для новых химических субстанций, либо биотехнологических (биологических) продуктов.</w:t>
      </w:r>
    </w:p>
    <w:bookmarkEnd w:id="5657"/>
    <w:bookmarkStart w:name="z5851" w:id="5658"/>
    <w:p>
      <w:pPr>
        <w:spacing w:after="0"/>
        <w:ind w:left="0"/>
        <w:jc w:val="both"/>
      </w:pPr>
      <w:r>
        <w:rPr>
          <w:rFonts w:ascii="Times New Roman"/>
          <w:b w:val="false"/>
          <w:i w:val="false"/>
          <w:color w:val="000000"/>
          <w:sz w:val="28"/>
        </w:rPr>
        <w:t>
      Следует также ознакомиться с рекомендациями по составлению регистрационного досье для заявителя - не столько для применения данных инструкций в настоящем документе, сколько для того, чтобы обратить внимание экспертов на некоторые дополнительные аспекты, специально не описанные в регистрационном досье. Необходимо обратить внимание на то, что для простоты, в структуре отчета, приведенного ниже, приводятся только "основные" заголовки регистрационного досье. Эксперты могут добавить некоторые заголовки, в зависимости от особенностей продукта.</w:t>
      </w:r>
    </w:p>
    <w:bookmarkEnd w:id="5658"/>
    <w:bookmarkStart w:name="z5852" w:id="5659"/>
    <w:p>
      <w:pPr>
        <w:spacing w:after="0"/>
        <w:ind w:left="0"/>
        <w:jc w:val="both"/>
      </w:pPr>
      <w:r>
        <w:rPr>
          <w:rFonts w:ascii="Times New Roman"/>
          <w:b w:val="false"/>
          <w:i w:val="false"/>
          <w:color w:val="000000"/>
          <w:sz w:val="28"/>
        </w:rPr>
        <w:t>
      Ссылки на информацию, являющуюся конфиденциальной и не предназначенную для сведения заявителя (например, ссылки на отчет об оценке другого лекарственного препарата), должны быть четко отмечены как "Конфиденциальная информация" и выделены желтым фоном. Эти разделы должны быть изъяты из отчета перед его отправкой заявителю.</w:t>
      </w:r>
    </w:p>
    <w:bookmarkEnd w:id="5659"/>
    <w:bookmarkStart w:name="z5853" w:id="5660"/>
    <w:p>
      <w:pPr>
        <w:spacing w:after="0"/>
        <w:ind w:left="0"/>
        <w:jc w:val="both"/>
      </w:pPr>
      <w:r>
        <w:rPr>
          <w:rFonts w:ascii="Times New Roman"/>
          <w:b w:val="false"/>
          <w:i w:val="false"/>
          <w:color w:val="000000"/>
          <w:sz w:val="28"/>
        </w:rPr>
        <w:t>
      Настоящий отчет о критической оценке качества должен представлять собой самостоятельный документ, что может быть достигнуто следующими способами:</w:t>
      </w:r>
    </w:p>
    <w:bookmarkEnd w:id="5660"/>
    <w:bookmarkStart w:name="z5854" w:id="5661"/>
    <w:p>
      <w:pPr>
        <w:spacing w:after="0"/>
        <w:ind w:left="0"/>
        <w:jc w:val="both"/>
      </w:pPr>
      <w:r>
        <w:rPr>
          <w:rFonts w:ascii="Times New Roman"/>
          <w:b w:val="false"/>
          <w:i w:val="false"/>
          <w:color w:val="000000"/>
          <w:sz w:val="28"/>
        </w:rPr>
        <w:t>
      представлением или копированием данных, взятых из досье заявителя, с последующей собственной критической оценкой этих данных экспертом, в частности, в отношении вопросов безопасности (эффективности), и акцентированием внимания на соответствии требованиям определенных руководящих документов. В таких случаях, во избежание путаницы комментарии вводятся под соответствующим заголовком "Комментарии эксперта".</w:t>
      </w:r>
    </w:p>
    <w:bookmarkEnd w:id="5661"/>
    <w:bookmarkStart w:name="z5855" w:id="5662"/>
    <w:p>
      <w:pPr>
        <w:spacing w:after="0"/>
        <w:ind w:left="0"/>
        <w:jc w:val="both"/>
      </w:pPr>
      <w:r>
        <w:rPr>
          <w:rFonts w:ascii="Times New Roman"/>
          <w:b w:val="false"/>
          <w:i w:val="false"/>
          <w:color w:val="000000"/>
          <w:sz w:val="28"/>
        </w:rPr>
        <w:t>
      изложением в отчете, в основном, собственных взглядов эксперта со ссылками на данные заявителя и (или) Общее резюме по качеству. В этом случае заключение эксперта подлежит прочтению вместе с приложенным Общим резюме по качеству. При этом необходимость в дополнительных заголовках для комментариев эксперта отсутствует.</w:t>
      </w:r>
    </w:p>
    <w:bookmarkEnd w:id="5662"/>
    <w:bookmarkStart w:name="z5856" w:id="5663"/>
    <w:p>
      <w:pPr>
        <w:spacing w:after="0"/>
        <w:ind w:left="0"/>
        <w:jc w:val="both"/>
      </w:pPr>
      <w:r>
        <w:rPr>
          <w:rFonts w:ascii="Times New Roman"/>
          <w:b w:val="false"/>
          <w:i w:val="false"/>
          <w:color w:val="000000"/>
          <w:sz w:val="28"/>
        </w:rPr>
        <w:t>
      Эксперт также может пользоваться подходящими руководствами и рекомендациями при составлении заключения.</w:t>
      </w:r>
    </w:p>
    <w:bookmarkEnd w:id="5663"/>
    <w:bookmarkStart w:name="z5857" w:id="5664"/>
    <w:p>
      <w:pPr>
        <w:spacing w:after="0"/>
        <w:ind w:left="0"/>
        <w:jc w:val="both"/>
      </w:pPr>
      <w:r>
        <w:rPr>
          <w:rFonts w:ascii="Times New Roman"/>
          <w:b w:val="false"/>
          <w:i w:val="false"/>
          <w:color w:val="000000"/>
          <w:sz w:val="28"/>
        </w:rPr>
        <w:t>
      Эксперт, как правило, должен соотнести вопросы качества с эффективностью и безопасностью рассматриваемого лекарственного препарата. Также следует сформулировать вопросы, возникшие по результатам научной оценки (описанной в подразделах 2 – 6 настоящего раздела и дополнениях № 1 – 3 к настоящим Указаниям) и касающиеся информации о препарате (замечания в отношении ОХЛП, инструкции по медицинскому применению (листка-вкладыша) лекарственного препарата, макетов упаковок лекарственного препарата).</w:t>
      </w:r>
    </w:p>
    <w:bookmarkEnd w:id="5664"/>
    <w:bookmarkStart w:name="z5858" w:id="5665"/>
    <w:p>
      <w:pPr>
        <w:spacing w:after="0"/>
        <w:ind w:left="0"/>
        <w:jc w:val="both"/>
      </w:pPr>
      <w:r>
        <w:rPr>
          <w:rFonts w:ascii="Times New Roman"/>
          <w:b w:val="false"/>
          <w:i w:val="false"/>
          <w:color w:val="000000"/>
          <w:sz w:val="28"/>
        </w:rPr>
        <w:t>
      При подаче заявления на регистрацию биоаналогичного (биоподобного) лекарственного препарата необходимо представить развернутую сопоставительную оценку для подтверждения того, что биоаналогичный (биоподобный) лекарственный препарат и уже зарегистрированные в Союзе референтные препараты имеют сходные характеристики в отношении качества, безопасности и эффективности.</w:t>
      </w:r>
    </w:p>
    <w:bookmarkEnd w:id="5665"/>
    <w:bookmarkStart w:name="z5859" w:id="5666"/>
    <w:p>
      <w:pPr>
        <w:spacing w:after="0"/>
        <w:ind w:left="0"/>
        <w:jc w:val="both"/>
      </w:pPr>
      <w:r>
        <w:rPr>
          <w:rFonts w:ascii="Times New Roman"/>
          <w:b w:val="false"/>
          <w:i w:val="false"/>
          <w:color w:val="000000"/>
          <w:sz w:val="28"/>
        </w:rPr>
        <w:t>
      Подробная информация о дозировке, лекарственной форме препарата сравнения (название), держателе регистрационного удостоверения, дате выдачи регистрационного удостоверения должна быть проверена на этапе валидации (оценки комплектности) регистрационного досье. В дополнение к данной информации экспертом подтверждаются номера серий и сведения о стране происхождения серий лекарственного препарата, используемых при сопоставительной оценке (характеристик качества, данных доклинических и клинических исследований) с последующим представлением в табличной форме в разделе, касающемся качества препарата (Стандартные образцы и материалы, приложение № 4 к Правилам регистрации и экспертизы лекарственных средств для медицинского применения, утверждаемым Евразийской экономической комиссией, ОТД модуль 3.2.P.6).</w:t>
      </w:r>
    </w:p>
    <w:bookmarkEnd w:id="5666"/>
    <w:bookmarkStart w:name="z5860" w:id="5667"/>
    <w:p>
      <w:pPr>
        <w:spacing w:after="0"/>
        <w:ind w:left="0"/>
        <w:jc w:val="both"/>
      </w:pPr>
      <w:r>
        <w:rPr>
          <w:rFonts w:ascii="Times New Roman"/>
          <w:b w:val="false"/>
          <w:i w:val="false"/>
          <w:color w:val="000000"/>
          <w:sz w:val="28"/>
        </w:rPr>
        <w:t>
      При экспертизе регистрационных досье на биоаналогичные (биоподобные) лекарственные препараты следует руководствоваться требованиями, изложенными в руководствах Союза и подходящих национальных руководствах государств-членов. Помимо указанных, в случае приемлемости, могут быть применимы иные подходящие руководства по биотехнологическим лекарственным препаратам.</w:t>
      </w:r>
    </w:p>
    <w:bookmarkEnd w:id="5667"/>
    <w:bookmarkStart w:name="z5861" w:id="5668"/>
    <w:p>
      <w:pPr>
        <w:spacing w:after="0"/>
        <w:ind w:left="0"/>
        <w:jc w:val="both"/>
      </w:pPr>
      <w:r>
        <w:rPr>
          <w:rFonts w:ascii="Times New Roman"/>
          <w:b w:val="false"/>
          <w:i w:val="false"/>
          <w:color w:val="000000"/>
          <w:sz w:val="28"/>
        </w:rPr>
        <w:t>
      Результаты сравнительной оценки характеристик биоаналогичного (биоподобного) лекарственного препарата являются дополнительным элементом к регистрационному досье в формате ОТД, которая выполняется, в случае приемлемости, на основании представленных заявителем отдельных разделов, содержащих сравнительные данные. При этом на основе заключения в модуле сводного экспертного отчета "Оценка безопасности, качества, эффективности" должно быть определено, была ли подтверждена сопоставимость как для активной фармацевтической субстанции, так и лекарственного препарата.</w:t>
      </w:r>
    </w:p>
    <w:bookmarkEnd w:id="5668"/>
    <w:bookmarkStart w:name="z5862" w:id="5669"/>
    <w:p>
      <w:pPr>
        <w:spacing w:after="0"/>
        <w:ind w:left="0"/>
        <w:jc w:val="both"/>
      </w:pPr>
      <w:r>
        <w:rPr>
          <w:rFonts w:ascii="Times New Roman"/>
          <w:b w:val="false"/>
          <w:i w:val="false"/>
          <w:color w:val="000000"/>
          <w:sz w:val="28"/>
        </w:rPr>
        <w:t>
       </w:t>
      </w:r>
    </w:p>
    <w:bookmarkEnd w:id="5669"/>
    <w:bookmarkStart w:name="z5863" w:id="5670"/>
    <w:p>
      <w:pPr>
        <w:spacing w:after="0"/>
        <w:ind w:left="0"/>
        <w:jc w:val="left"/>
      </w:pPr>
      <w:r>
        <w:rPr>
          <w:rFonts w:ascii="Times New Roman"/>
          <w:b/>
          <w:i w:val="false"/>
          <w:color w:val="000000"/>
        </w:rPr>
        <w:t xml:space="preserve"> 1. Запрос на проведение инспекции фармацевтического производства до выдачи регистрационного удостоверения</w:t>
      </w:r>
    </w:p>
    <w:bookmarkEnd w:id="5670"/>
    <w:bookmarkStart w:name="z5864" w:id="5671"/>
    <w:p>
      <w:pPr>
        <w:spacing w:after="0"/>
        <w:ind w:left="0"/>
        <w:jc w:val="both"/>
      </w:pPr>
      <w:r>
        <w:rPr>
          <w:rFonts w:ascii="Times New Roman"/>
          <w:b w:val="false"/>
          <w:i w:val="false"/>
          <w:color w:val="000000"/>
          <w:sz w:val="28"/>
        </w:rPr>
        <w:t>
      При выявления в ходе проведения процедуры экспертизы фактов, ставящих под сомнение достоверность сведений, представленных в регистрационном досье в отношении производства лекарственного препарата и требующих проведения инспекции производства, на этапе оценки регистрационного досье соответствующий уполномоченный орган должен быть уведомлен в максимально короткие сроки. Поскольку для организации инспектирования требуется время, такое действие необходимо предпринять до выдачи регистрационного удостоверения. Соответствующий уполномоченный орган должен быть уведомлен, по возможности, до подготовки отчета о критической оценке регистрационного досье, причем данный запрос должен быть в последующем указан в соответствующей части отчета. Следует отметить, что запросы могут выноситься по результатам экспертизы любых разделов модулей регистрационного досье, касающихся аспектов качества. Основания для запроса должны быть кратко описаны как в отношении проверки общего соответствия правилам надлежащей производственной практики и (или) инспекций для оценки производственного процесса так и качества конкретного продукта в соответствующем разделе и более подробно в соответствующем разделе отчета ниже, например, S.2, P.3.</w:t>
      </w:r>
    </w:p>
    <w:bookmarkEnd w:id="5671"/>
    <w:bookmarkStart w:name="z5865" w:id="5672"/>
    <w:p>
      <w:pPr>
        <w:spacing w:after="0"/>
        <w:ind w:left="0"/>
        <w:jc w:val="both"/>
      </w:pPr>
      <w:r>
        <w:rPr>
          <w:rFonts w:ascii="Times New Roman"/>
          <w:b w:val="false"/>
          <w:i w:val="false"/>
          <w:color w:val="000000"/>
          <w:sz w:val="28"/>
        </w:rPr>
        <w:t>
       </w:t>
      </w:r>
    </w:p>
    <w:bookmarkEnd w:id="5672"/>
    <w:bookmarkStart w:name="z5866" w:id="5673"/>
    <w:p>
      <w:pPr>
        <w:spacing w:after="0"/>
        <w:ind w:left="0"/>
        <w:jc w:val="left"/>
      </w:pPr>
      <w:r>
        <w:rPr>
          <w:rFonts w:ascii="Times New Roman"/>
          <w:b/>
          <w:i w:val="false"/>
          <w:color w:val="000000"/>
        </w:rPr>
        <w:t xml:space="preserve"> Производство активной фармацевтической субстанции </w:t>
      </w:r>
    </w:p>
    <w:bookmarkEnd w:id="5673"/>
    <w:bookmarkStart w:name="z5867" w:id="5674"/>
    <w:p>
      <w:pPr>
        <w:spacing w:after="0"/>
        <w:ind w:left="0"/>
        <w:jc w:val="both"/>
      </w:pPr>
      <w:r>
        <w:rPr>
          <w:rFonts w:ascii="Times New Roman"/>
          <w:b w:val="false"/>
          <w:i w:val="false"/>
          <w:color w:val="000000"/>
          <w:sz w:val="28"/>
        </w:rPr>
        <w:t>
       </w:t>
      </w:r>
    </w:p>
    <w:bookmarkEnd w:id="5674"/>
    <w:bookmarkStart w:name="z5868" w:id="5675"/>
    <w:p>
      <w:pPr>
        <w:spacing w:after="0"/>
        <w:ind w:left="0"/>
        <w:jc w:val="both"/>
      </w:pPr>
      <w:r>
        <w:rPr>
          <w:rFonts w:ascii="Times New Roman"/>
          <w:b w:val="false"/>
          <w:i w:val="false"/>
          <w:color w:val="000000"/>
          <w:sz w:val="28"/>
        </w:rPr>
        <w:t>
      Производство активных фармацевтических субстанций, используемых в производстве лекарственных препаратов, должны соответствовать требованиям Правил надлежащей производственной практики Евразийского экономического союза, утверждаемым Евразийской экономической комиссией. Обеспечение соблюдения правил надлежащей производственной практики производителями активных фармацевтических субстанций является обязанностью держателей лицензии на фармацевтическое производство, использующих активные фармацевтические субстанции в качестве исходного сырья. При возникновении у эксперта вопросов, связанных с обоснованными сомнениями в качестве активной фармацевтической субстанции, допускается запрос на проведение инспекции производственной площадки данной активной фармацевтической субстанции.</w:t>
      </w:r>
    </w:p>
    <w:bookmarkEnd w:id="5675"/>
    <w:bookmarkStart w:name="z5869" w:id="5676"/>
    <w:p>
      <w:pPr>
        <w:spacing w:after="0"/>
        <w:ind w:left="0"/>
        <w:jc w:val="both"/>
      </w:pPr>
      <w:r>
        <w:rPr>
          <w:rFonts w:ascii="Times New Roman"/>
          <w:b w:val="false"/>
          <w:i w:val="false"/>
          <w:color w:val="000000"/>
          <w:sz w:val="28"/>
        </w:rPr>
        <w:t>
      Инспекции инициируются автоматически в случае биологических субстанций или при наличии стадии стерилизации в производстве стерильной активной фармацевтической субстанции, когда нет никаких доказательств того, что площадка проходила плановые инспекции уполномоченным органом.</w:t>
      </w:r>
    </w:p>
    <w:bookmarkEnd w:id="5676"/>
    <w:bookmarkStart w:name="z5870" w:id="5677"/>
    <w:p>
      <w:pPr>
        <w:spacing w:after="0"/>
        <w:ind w:left="0"/>
        <w:jc w:val="both"/>
      </w:pPr>
      <w:r>
        <w:rPr>
          <w:rFonts w:ascii="Times New Roman"/>
          <w:b w:val="false"/>
          <w:i w:val="false"/>
          <w:color w:val="000000"/>
          <w:sz w:val="28"/>
        </w:rPr>
        <w:t>
       </w:t>
      </w:r>
    </w:p>
    <w:bookmarkEnd w:id="5677"/>
    <w:bookmarkStart w:name="z5871" w:id="5678"/>
    <w:p>
      <w:pPr>
        <w:spacing w:after="0"/>
        <w:ind w:left="0"/>
        <w:jc w:val="left"/>
      </w:pPr>
      <w:r>
        <w:rPr>
          <w:rFonts w:ascii="Times New Roman"/>
          <w:b/>
          <w:i w:val="false"/>
          <w:color w:val="000000"/>
        </w:rPr>
        <w:t xml:space="preserve"> Производство лекарственного препарата </w:t>
      </w:r>
    </w:p>
    <w:bookmarkEnd w:id="5678"/>
    <w:bookmarkStart w:name="z5872" w:id="5679"/>
    <w:p>
      <w:pPr>
        <w:spacing w:after="0"/>
        <w:ind w:left="0"/>
        <w:jc w:val="both"/>
      </w:pPr>
      <w:r>
        <w:rPr>
          <w:rFonts w:ascii="Times New Roman"/>
          <w:b w:val="false"/>
          <w:i w:val="false"/>
          <w:color w:val="000000"/>
          <w:sz w:val="28"/>
        </w:rPr>
        <w:t>
       </w:t>
      </w:r>
    </w:p>
    <w:bookmarkEnd w:id="5679"/>
    <w:bookmarkStart w:name="z5873" w:id="5680"/>
    <w:p>
      <w:pPr>
        <w:spacing w:after="0"/>
        <w:ind w:left="0"/>
        <w:jc w:val="both"/>
      </w:pPr>
      <w:r>
        <w:rPr>
          <w:rFonts w:ascii="Times New Roman"/>
          <w:b w:val="false"/>
          <w:i w:val="false"/>
          <w:color w:val="000000"/>
          <w:sz w:val="28"/>
        </w:rPr>
        <w:t>
      Производственная площадка является территориально обособленным комплексом производителя лекарственных средств, предназначенным для выполнения всего процесса производства лекарственных средств или его определенной стадии, включая промежуточные стадии и контроль качества. При возникновении у эксперта вопросов, связанных с обоснованными сомнениями в качестве лекарственного препарата, допускается запрос на проведение инспекции производственной площадки данного препарата.</w:t>
      </w:r>
    </w:p>
    <w:bookmarkEnd w:id="5680"/>
    <w:bookmarkStart w:name="z5874" w:id="5681"/>
    <w:p>
      <w:pPr>
        <w:spacing w:after="0"/>
        <w:ind w:left="0"/>
        <w:jc w:val="both"/>
      </w:pPr>
      <w:r>
        <w:rPr>
          <w:rFonts w:ascii="Times New Roman"/>
          <w:b w:val="false"/>
          <w:i w:val="false"/>
          <w:color w:val="000000"/>
          <w:sz w:val="28"/>
        </w:rPr>
        <w:t>
       </w:t>
      </w:r>
    </w:p>
    <w:bookmarkEnd w:id="5681"/>
    <w:bookmarkStart w:name="z5875" w:id="5682"/>
    <w:p>
      <w:pPr>
        <w:spacing w:after="0"/>
        <w:ind w:left="0"/>
        <w:jc w:val="left"/>
      </w:pPr>
      <w:r>
        <w:rPr>
          <w:rFonts w:ascii="Times New Roman"/>
          <w:b/>
          <w:i w:val="false"/>
          <w:color w:val="000000"/>
        </w:rPr>
        <w:t xml:space="preserve"> Испытания</w:t>
      </w:r>
    </w:p>
    <w:bookmarkEnd w:id="5682"/>
    <w:bookmarkStart w:name="z5876" w:id="5683"/>
    <w:p>
      <w:pPr>
        <w:spacing w:after="0"/>
        <w:ind w:left="0"/>
        <w:jc w:val="both"/>
      </w:pPr>
      <w:r>
        <w:rPr>
          <w:rFonts w:ascii="Times New Roman"/>
          <w:b w:val="false"/>
          <w:i w:val="false"/>
          <w:color w:val="000000"/>
          <w:sz w:val="28"/>
        </w:rPr>
        <w:t>
      При проведении лабораторных исследований в соответствии с Правилами регистрации и экспертизы лекарственных средств для медицинского применения, утверждаемыми Евразийской экономической комиссией, эксперт определяет тип исследуемых образцов (активная фармацевтическая субстанция, нерасфасованный лекарственный препарат, лекарственный препарат), перечисляет испытания, необходимые для выполнения, количество образцов; количество серий, выбирает лабораторию (лаборатории) для проведения указанных испытаний.</w:t>
      </w:r>
    </w:p>
    <w:bookmarkEnd w:id="5683"/>
    <w:bookmarkStart w:name="z5877" w:id="5684"/>
    <w:p>
      <w:pPr>
        <w:spacing w:after="0"/>
        <w:ind w:left="0"/>
        <w:jc w:val="both"/>
      </w:pPr>
      <w:r>
        <w:rPr>
          <w:rFonts w:ascii="Times New Roman"/>
          <w:b w:val="false"/>
          <w:i w:val="false"/>
          <w:color w:val="000000"/>
          <w:sz w:val="28"/>
        </w:rPr>
        <w:t>
       </w:t>
      </w:r>
    </w:p>
    <w:bookmarkEnd w:id="5684"/>
    <w:bookmarkStart w:name="z5878" w:id="5685"/>
    <w:p>
      <w:pPr>
        <w:spacing w:after="0"/>
        <w:ind w:left="0"/>
        <w:jc w:val="left"/>
      </w:pPr>
      <w:r>
        <w:rPr>
          <w:rFonts w:ascii="Times New Roman"/>
          <w:b/>
          <w:i w:val="false"/>
          <w:color w:val="000000"/>
        </w:rPr>
        <w:t xml:space="preserve"> 2. Введение</w:t>
      </w:r>
    </w:p>
    <w:bookmarkEnd w:id="5685"/>
    <w:bookmarkStart w:name="z5879" w:id="5686"/>
    <w:p>
      <w:pPr>
        <w:spacing w:after="0"/>
        <w:ind w:left="0"/>
        <w:jc w:val="left"/>
      </w:pPr>
      <w:r>
        <w:rPr>
          <w:rFonts w:ascii="Times New Roman"/>
          <w:b/>
          <w:i w:val="false"/>
          <w:color w:val="000000"/>
        </w:rPr>
        <w:t xml:space="preserve"> Общие сведения о лекарственном препарате.</w:t>
      </w:r>
    </w:p>
    <w:bookmarkEnd w:id="5686"/>
    <w:bookmarkStart w:name="z5880" w:id="5687"/>
    <w:p>
      <w:pPr>
        <w:spacing w:after="0"/>
        <w:ind w:left="0"/>
        <w:jc w:val="both"/>
      </w:pPr>
      <w:r>
        <w:rPr>
          <w:rFonts w:ascii="Times New Roman"/>
          <w:b w:val="false"/>
          <w:i w:val="false"/>
          <w:color w:val="000000"/>
          <w:sz w:val="28"/>
        </w:rPr>
        <w:t>
      Общие сведения о лекарственном препарате включают в себя следующее:</w:t>
      </w:r>
    </w:p>
    <w:bookmarkEnd w:id="5687"/>
    <w:bookmarkStart w:name="z5881" w:id="5688"/>
    <w:p>
      <w:pPr>
        <w:spacing w:after="0"/>
        <w:ind w:left="0"/>
        <w:jc w:val="both"/>
      </w:pPr>
      <w:r>
        <w:rPr>
          <w:rFonts w:ascii="Times New Roman"/>
          <w:b w:val="false"/>
          <w:i w:val="false"/>
          <w:color w:val="000000"/>
          <w:sz w:val="28"/>
        </w:rPr>
        <w:t>
      краткое описание типа лекарственного препарата (активная фармацевтическая субстанция (например, новое химическое соединение, известное химическое соединение, биотехнологическая (биологическая) субстанция), радиофармацевтический препарат, растительный лекарственный препарат), лекарственная форма, упаковка). Следует особо отметить, если данный лекарственный препарат предназначен для применения у детей;</w:t>
      </w:r>
    </w:p>
    <w:bookmarkEnd w:id="5688"/>
    <w:bookmarkStart w:name="z5882" w:id="5689"/>
    <w:p>
      <w:pPr>
        <w:spacing w:after="0"/>
        <w:ind w:left="0"/>
        <w:jc w:val="both"/>
      </w:pPr>
      <w:r>
        <w:rPr>
          <w:rFonts w:ascii="Times New Roman"/>
          <w:b w:val="false"/>
          <w:i w:val="false"/>
          <w:color w:val="000000"/>
          <w:sz w:val="28"/>
        </w:rPr>
        <w:t>
      указание статуса орфанного лекарственного препарата (ОЛП), в случае применимости или наличия оснований для регистрации лекарственного препарата в качестве орфанного с учетом положений абзаца третьего пункта 6 настоящих Правил;</w:t>
      </w:r>
    </w:p>
    <w:bookmarkEnd w:id="5689"/>
    <w:bookmarkStart w:name="z5883" w:id="5690"/>
    <w:p>
      <w:pPr>
        <w:spacing w:after="0"/>
        <w:ind w:left="0"/>
        <w:jc w:val="both"/>
      </w:pPr>
      <w:r>
        <w:rPr>
          <w:rFonts w:ascii="Times New Roman"/>
          <w:b w:val="false"/>
          <w:i w:val="false"/>
          <w:color w:val="000000"/>
          <w:sz w:val="28"/>
        </w:rPr>
        <w:t>
      показания, целевая группа населения, режим дозирования (с учетом способности лекарственного препарата обеспечивать требуемый режим дозирования, например, делимых таблеток), путь введения (при особенностях пути введения - устройство для введения);</w:t>
      </w:r>
    </w:p>
    <w:bookmarkEnd w:id="5690"/>
    <w:bookmarkStart w:name="z5884" w:id="5691"/>
    <w:p>
      <w:pPr>
        <w:spacing w:after="0"/>
        <w:ind w:left="0"/>
        <w:jc w:val="both"/>
      </w:pPr>
      <w:r>
        <w:rPr>
          <w:rFonts w:ascii="Times New Roman"/>
          <w:b w:val="false"/>
          <w:i w:val="false"/>
          <w:color w:val="000000"/>
          <w:sz w:val="28"/>
        </w:rPr>
        <w:t>
      сведения о взаимосвязи между данным лекарственным веществом и другими веществами того же терапевтического класса;</w:t>
      </w:r>
    </w:p>
    <w:bookmarkEnd w:id="5691"/>
    <w:bookmarkStart w:name="z5885" w:id="5692"/>
    <w:p>
      <w:pPr>
        <w:spacing w:after="0"/>
        <w:ind w:left="0"/>
        <w:jc w:val="both"/>
      </w:pPr>
      <w:r>
        <w:rPr>
          <w:rFonts w:ascii="Times New Roman"/>
          <w:b w:val="false"/>
          <w:i w:val="false"/>
          <w:color w:val="000000"/>
          <w:sz w:val="28"/>
        </w:rPr>
        <w:t>
      приготовление лекарственного препарата перед применением (например, радиофармацевтический препарат, лиофилизат);</w:t>
      </w:r>
    </w:p>
    <w:bookmarkEnd w:id="5692"/>
    <w:bookmarkStart w:name="z5886" w:id="5693"/>
    <w:p>
      <w:pPr>
        <w:spacing w:after="0"/>
        <w:ind w:left="0"/>
        <w:jc w:val="both"/>
      </w:pPr>
      <w:r>
        <w:rPr>
          <w:rFonts w:ascii="Times New Roman"/>
          <w:b w:val="false"/>
          <w:i w:val="false"/>
          <w:color w:val="000000"/>
          <w:sz w:val="28"/>
        </w:rPr>
        <w:t>
      другие особенности лекарственного препарата, например, системы доставки или введения, устройства для применения и т.д.;</w:t>
      </w:r>
    </w:p>
    <w:bookmarkEnd w:id="5693"/>
    <w:bookmarkStart w:name="z5887" w:id="5694"/>
    <w:p>
      <w:pPr>
        <w:spacing w:after="0"/>
        <w:ind w:left="0"/>
        <w:jc w:val="both"/>
      </w:pPr>
      <w:r>
        <w:rPr>
          <w:rFonts w:ascii="Times New Roman"/>
          <w:b w:val="false"/>
          <w:i w:val="false"/>
          <w:color w:val="000000"/>
          <w:sz w:val="28"/>
        </w:rPr>
        <w:t>
      связанные или взаимозависимые заявления (например, заявление на регистрацию лекарственного препарата, действующее вещество которого является метаболитом ранее зарегистрированного данным заявителем пролекарства, лекарственный препарат, предназначенный для расширения линейки ассортимента).</w:t>
      </w:r>
    </w:p>
    <w:bookmarkEnd w:id="5694"/>
    <w:bookmarkStart w:name="z5888" w:id="5695"/>
    <w:p>
      <w:pPr>
        <w:spacing w:after="0"/>
        <w:ind w:left="0"/>
        <w:jc w:val="both"/>
      </w:pPr>
      <w:r>
        <w:rPr>
          <w:rFonts w:ascii="Times New Roman"/>
          <w:b w:val="false"/>
          <w:i w:val="false"/>
          <w:color w:val="000000"/>
          <w:sz w:val="28"/>
        </w:rPr>
        <w:t>
      Информация, представленная ниже, предназначена для составления резюме основных критических особенностей лекарственного препарата. Объем представленной информации зависит от свойств конкретного препарата. Следует также привести резюме по результатам клинического применения.</w:t>
      </w:r>
    </w:p>
    <w:bookmarkEnd w:id="5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5696"/>
          <w:p>
            <w:pPr>
              <w:spacing w:after="20"/>
              <w:ind w:left="20"/>
              <w:jc w:val="both"/>
            </w:pPr>
            <w:r>
              <w:rPr>
                <w:rFonts w:ascii="Times New Roman"/>
                <w:b w:val="false"/>
                <w:i w:val="false"/>
                <w:color w:val="000000"/>
                <w:sz w:val="20"/>
              </w:rPr>
              <w:t xml:space="preserve">
Наименование </w:t>
            </w:r>
          </w:p>
          <w:bookmarkEnd w:id="5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5697"/>
          <w:p>
            <w:pPr>
              <w:spacing w:after="20"/>
              <w:ind w:left="20"/>
              <w:jc w:val="both"/>
            </w:pPr>
            <w:r>
              <w:rPr>
                <w:rFonts w:ascii="Times New Roman"/>
                <w:b w:val="false"/>
                <w:i w:val="false"/>
                <w:color w:val="000000"/>
                <w:sz w:val="20"/>
              </w:rPr>
              <w:t xml:space="preserve">
Лекарственная форма и дозировка (концентрация) </w:t>
            </w:r>
          </w:p>
          <w:bookmarkEnd w:id="5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5698"/>
          <w:p>
            <w:pPr>
              <w:spacing w:after="20"/>
              <w:ind w:left="20"/>
              <w:jc w:val="both"/>
            </w:pPr>
            <w:r>
              <w:rPr>
                <w:rFonts w:ascii="Times New Roman"/>
                <w:b w:val="false"/>
                <w:i w:val="false"/>
                <w:color w:val="000000"/>
                <w:sz w:val="20"/>
              </w:rPr>
              <w:t xml:space="preserve">
Процедура регистрации </w:t>
            </w:r>
          </w:p>
          <w:bookmarkEnd w:id="5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5699"/>
          <w:p>
            <w:pPr>
              <w:spacing w:after="20"/>
              <w:ind w:left="20"/>
              <w:jc w:val="both"/>
            </w:pPr>
            <w:r>
              <w:rPr>
                <w:rFonts w:ascii="Times New Roman"/>
                <w:b w:val="false"/>
                <w:i w:val="false"/>
                <w:color w:val="000000"/>
                <w:sz w:val="20"/>
              </w:rPr>
              <w:t xml:space="preserve">
Терапевтический класс или показание </w:t>
            </w:r>
          </w:p>
          <w:bookmarkEnd w:id="5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5700"/>
          <w:p>
            <w:pPr>
              <w:spacing w:after="20"/>
              <w:ind w:left="20"/>
              <w:jc w:val="both"/>
            </w:pPr>
            <w:r>
              <w:rPr>
                <w:rFonts w:ascii="Times New Roman"/>
                <w:b w:val="false"/>
                <w:i w:val="false"/>
                <w:color w:val="000000"/>
                <w:sz w:val="20"/>
              </w:rPr>
              <w:t xml:space="preserve">
Предлагаемый диапазон доз </w:t>
            </w:r>
          </w:p>
          <w:bookmarkEnd w:id="5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4" w:id="5701"/>
    <w:p>
      <w:pPr>
        <w:spacing w:after="0"/>
        <w:ind w:left="0"/>
        <w:jc w:val="left"/>
      </w:pPr>
      <w:r>
        <w:rPr>
          <w:rFonts w:ascii="Times New Roman"/>
          <w:b/>
          <w:i w:val="false"/>
          <w:color w:val="000000"/>
        </w:rPr>
        <w:t xml:space="preserve"> 3. Активная фармацевтическая субстанция (АФС, модуль 3.2.S) </w:t>
      </w:r>
    </w:p>
    <w:bookmarkEnd w:id="5701"/>
    <w:bookmarkStart w:name="z5895" w:id="5702"/>
    <w:p>
      <w:pPr>
        <w:spacing w:after="0"/>
        <w:ind w:left="0"/>
        <w:jc w:val="both"/>
      </w:pPr>
      <w:r>
        <w:rPr>
          <w:rFonts w:ascii="Times New Roman"/>
          <w:b w:val="false"/>
          <w:i w:val="false"/>
          <w:color w:val="000000"/>
          <w:sz w:val="28"/>
        </w:rPr>
        <w:t>
      Следует сделать указание, что информация об активной фармацевтической субстанции содержится в закрытой части мастер-файла активной фармацевтической субстанции (МФАФС). Результаты экспертизы закрытого раздела подлежат отражению в отдельном экспертном отчете вместе с отдельным перечнем замечаний в виде дополнения к настоящему экспертному отчету (см. приложение № 8 к Правилам регистрации и экспертизы лекарственных средств для медицинского применения, утверждаемым Евразийской экономической комиссией). Требования в отношении МФАФС не распространяются на биологические лекарственные препараты.</w:t>
      </w:r>
    </w:p>
    <w:bookmarkEnd w:id="5702"/>
    <w:bookmarkStart w:name="z5896" w:id="5703"/>
    <w:p>
      <w:pPr>
        <w:spacing w:after="0"/>
        <w:ind w:left="0"/>
        <w:jc w:val="both"/>
      </w:pPr>
      <w:r>
        <w:rPr>
          <w:rFonts w:ascii="Times New Roman"/>
          <w:b w:val="false"/>
          <w:i w:val="false"/>
          <w:color w:val="000000"/>
          <w:sz w:val="28"/>
        </w:rPr>
        <w:t>
      3.1. Общая информация относительно исходных материалов и сырья (Модуль 3.2.S.1).</w:t>
      </w:r>
    </w:p>
    <w:bookmarkEnd w:id="5703"/>
    <w:bookmarkStart w:name="z5897" w:id="5704"/>
    <w:p>
      <w:pPr>
        <w:spacing w:after="0"/>
        <w:ind w:left="0"/>
        <w:jc w:val="both"/>
      </w:pPr>
      <w:r>
        <w:rPr>
          <w:rFonts w:ascii="Times New Roman"/>
          <w:b w:val="false"/>
          <w:i w:val="false"/>
          <w:color w:val="000000"/>
          <w:sz w:val="28"/>
        </w:rPr>
        <w:t>
      Под данным заголовком отражают сведения, указанные в разделах, которые приведены ниже.</w:t>
      </w:r>
    </w:p>
    <w:bookmarkEnd w:id="5704"/>
    <w:bookmarkStart w:name="z5898" w:id="5705"/>
    <w:p>
      <w:pPr>
        <w:spacing w:after="0"/>
        <w:ind w:left="0"/>
        <w:jc w:val="both"/>
      </w:pPr>
      <w:r>
        <w:rPr>
          <w:rFonts w:ascii="Times New Roman"/>
          <w:b w:val="false"/>
          <w:i w:val="false"/>
          <w:color w:val="000000"/>
          <w:sz w:val="28"/>
        </w:rPr>
        <w:t>
      S.1.1. Информация о названии АФС.</w:t>
      </w:r>
    </w:p>
    <w:bookmarkEnd w:id="5705"/>
    <w:bookmarkStart w:name="z5899" w:id="5706"/>
    <w:p>
      <w:pPr>
        <w:spacing w:after="0"/>
        <w:ind w:left="0"/>
        <w:jc w:val="both"/>
      </w:pPr>
      <w:r>
        <w:rPr>
          <w:rFonts w:ascii="Times New Roman"/>
          <w:b w:val="false"/>
          <w:i w:val="false"/>
          <w:color w:val="000000"/>
          <w:sz w:val="28"/>
        </w:rPr>
        <w:t>
      Указывают химическое название (если это применимо). Подтверждают, имеет ли препарат рекомендованное международное непатентованное название, предложенное международное непатентованное название, общепринятое название и т.д.</w:t>
      </w:r>
    </w:p>
    <w:bookmarkEnd w:id="5706"/>
    <w:bookmarkStart w:name="z5900" w:id="5707"/>
    <w:p>
      <w:pPr>
        <w:spacing w:after="0"/>
        <w:ind w:left="0"/>
        <w:jc w:val="both"/>
      </w:pPr>
      <w:r>
        <w:rPr>
          <w:rFonts w:ascii="Times New Roman"/>
          <w:b w:val="false"/>
          <w:i w:val="false"/>
          <w:color w:val="000000"/>
          <w:sz w:val="28"/>
        </w:rPr>
        <w:t>
      S.1.2. Структура АФС.</w:t>
      </w:r>
    </w:p>
    <w:bookmarkEnd w:id="5707"/>
    <w:bookmarkStart w:name="z5901" w:id="5708"/>
    <w:p>
      <w:pPr>
        <w:spacing w:after="0"/>
        <w:ind w:left="0"/>
        <w:jc w:val="both"/>
      </w:pPr>
      <w:r>
        <w:rPr>
          <w:rFonts w:ascii="Times New Roman"/>
          <w:b w:val="false"/>
          <w:i w:val="false"/>
          <w:color w:val="000000"/>
          <w:sz w:val="28"/>
        </w:rPr>
        <w:t>
      Приводят сведения о структуре активного вещества и соединениях, имеющих аналогичные характеристики или структуру.</w:t>
      </w:r>
    </w:p>
    <w:bookmarkEnd w:id="5708"/>
    <w:bookmarkStart w:name="z5902" w:id="5709"/>
    <w:p>
      <w:pPr>
        <w:spacing w:after="0"/>
        <w:ind w:left="0"/>
        <w:jc w:val="both"/>
      </w:pPr>
      <w:r>
        <w:rPr>
          <w:rFonts w:ascii="Times New Roman"/>
          <w:b w:val="false"/>
          <w:i w:val="false"/>
          <w:color w:val="000000"/>
          <w:sz w:val="28"/>
        </w:rPr>
        <w:t>
      S.1.3. Общие свойства АФС.</w:t>
      </w:r>
    </w:p>
    <w:bookmarkEnd w:id="5709"/>
    <w:bookmarkStart w:name="z5903" w:id="5710"/>
    <w:p>
      <w:pPr>
        <w:spacing w:after="0"/>
        <w:ind w:left="0"/>
        <w:jc w:val="both"/>
      </w:pPr>
      <w:r>
        <w:rPr>
          <w:rFonts w:ascii="Times New Roman"/>
          <w:b w:val="false"/>
          <w:i w:val="false"/>
          <w:color w:val="000000"/>
          <w:sz w:val="28"/>
        </w:rPr>
        <w:t>
      Указывают (если это применимо) свойства, значимые для клинической практики, выразив их через такие характеристики, как рКа, растворимость, полиморфизм, изомерия, распределение частиц по размерам и т.д.</w:t>
      </w:r>
    </w:p>
    <w:bookmarkEnd w:id="5710"/>
    <w:bookmarkStart w:name="z5904" w:id="5711"/>
    <w:p>
      <w:pPr>
        <w:spacing w:after="0"/>
        <w:ind w:left="0"/>
        <w:jc w:val="both"/>
      </w:pPr>
      <w:r>
        <w:rPr>
          <w:rFonts w:ascii="Times New Roman"/>
          <w:b w:val="false"/>
          <w:i w:val="false"/>
          <w:color w:val="000000"/>
          <w:sz w:val="28"/>
        </w:rPr>
        <w:t>
      Для биотехнологических (биологических) субстанций в пункт S.1 следует включить описание активного вещества. Необходимо привести название и описание молекулы. Описание должно включать в себя такие свойства, как гликозилирование/посттрансляционные модификации, модификации структуры (аминокислотная замена, ПЭГ-илирование), размер молекулы. Если приемлемо, следует привести информацию о вторичной и третичной структуре. Выделяют и рассматривают элементы структуры, важные для механизма действия.</w:t>
      </w:r>
    </w:p>
    <w:bookmarkEnd w:id="5711"/>
    <w:bookmarkStart w:name="z5905" w:id="5712"/>
    <w:p>
      <w:pPr>
        <w:spacing w:after="0"/>
        <w:ind w:left="0"/>
        <w:jc w:val="both"/>
      </w:pPr>
      <w:r>
        <w:rPr>
          <w:rFonts w:ascii="Times New Roman"/>
          <w:b w:val="false"/>
          <w:i w:val="false"/>
          <w:color w:val="000000"/>
          <w:sz w:val="28"/>
        </w:rPr>
        <w:t>
      Следует определить вопросы, не отраженные в досье должным образом и подлежащие рассмотрению в Перечне замечаний (со ссылкой на номер вопроса, при необходимости). Определяют критические замечания.</w:t>
      </w:r>
    </w:p>
    <w:bookmarkEnd w:id="5712"/>
    <w:bookmarkStart w:name="z5906" w:id="5713"/>
    <w:p>
      <w:pPr>
        <w:spacing w:after="0"/>
        <w:ind w:left="0"/>
        <w:jc w:val="both"/>
      </w:pPr>
      <w:r>
        <w:rPr>
          <w:rFonts w:ascii="Times New Roman"/>
          <w:b w:val="false"/>
          <w:i w:val="false"/>
          <w:color w:val="000000"/>
          <w:sz w:val="28"/>
        </w:rPr>
        <w:t>
      Примечания. 1. Следует отметить, представлены ли Сертификат соответствия монографии Европейской фармакопеи (СЕР), или МФАФС, или полная информация об активной фармацевтической субстанции.</w:t>
      </w:r>
    </w:p>
    <w:bookmarkEnd w:id="5713"/>
    <w:bookmarkStart w:name="z5907" w:id="5714"/>
    <w:p>
      <w:pPr>
        <w:spacing w:after="0"/>
        <w:ind w:left="0"/>
        <w:jc w:val="both"/>
      </w:pPr>
      <w:r>
        <w:rPr>
          <w:rFonts w:ascii="Times New Roman"/>
          <w:b w:val="false"/>
          <w:i w:val="false"/>
          <w:color w:val="000000"/>
          <w:sz w:val="28"/>
        </w:rPr>
        <w:t>
      2. При использовании МФАФС следует указать, что результаты его экспертизы представляются в отдельном экспертном отчете по критической оценке МФАФС с конфиденциальным приложением в отношении закрытой части документа.</w:t>
      </w:r>
    </w:p>
    <w:bookmarkEnd w:id="5714"/>
    <w:bookmarkStart w:name="z5908" w:id="5715"/>
    <w:p>
      <w:pPr>
        <w:spacing w:after="0"/>
        <w:ind w:left="0"/>
        <w:jc w:val="both"/>
      </w:pPr>
      <w:r>
        <w:rPr>
          <w:rFonts w:ascii="Times New Roman"/>
          <w:b w:val="false"/>
          <w:i w:val="false"/>
          <w:color w:val="000000"/>
          <w:sz w:val="28"/>
        </w:rPr>
        <w:t>
      3. При наличии в досье сведений по нескольким МФАФС по каждому МФАФС представляется отдельный отчет.</w:t>
      </w:r>
    </w:p>
    <w:bookmarkEnd w:id="5715"/>
    <w:bookmarkStart w:name="z5909" w:id="5716"/>
    <w:p>
      <w:pPr>
        <w:spacing w:after="0"/>
        <w:ind w:left="0"/>
        <w:jc w:val="both"/>
      </w:pPr>
      <w:r>
        <w:rPr>
          <w:rFonts w:ascii="Times New Roman"/>
          <w:b w:val="false"/>
          <w:i w:val="false"/>
          <w:color w:val="000000"/>
          <w:sz w:val="28"/>
        </w:rPr>
        <w:t>
      4. В отношении рассматриваемого лекарственного препарата необходимо привести сведения о разрешении на доступ к конфиденциальной информации.</w:t>
      </w:r>
    </w:p>
    <w:bookmarkEnd w:id="5716"/>
    <w:bookmarkStart w:name="z5910" w:id="5717"/>
    <w:p>
      <w:pPr>
        <w:spacing w:after="0"/>
        <w:ind w:left="0"/>
        <w:jc w:val="both"/>
      </w:pPr>
      <w:r>
        <w:rPr>
          <w:rFonts w:ascii="Times New Roman"/>
          <w:b w:val="false"/>
          <w:i w:val="false"/>
          <w:color w:val="000000"/>
          <w:sz w:val="28"/>
        </w:rPr>
        <w:t>
      5. При использовании СЕР и МФАФС необходимо заполнить только разделы отчета 3.4 "Контроль качества активной фармацевтической субстанции" и 3.5 "Стандартные образцы или материалы", связанные с производством лекарственного препарата, если заявитель не предоставил дополнительные данные, а именно, в соответствии с разделом 3.2.S.7 данные о стабильности для подтверждения более длительного периода повторного испытания.</w:t>
      </w:r>
    </w:p>
    <w:bookmarkEnd w:id="5717"/>
    <w:bookmarkStart w:name="z5911" w:id="5718"/>
    <w:p>
      <w:pPr>
        <w:spacing w:after="0"/>
        <w:ind w:left="0"/>
        <w:jc w:val="both"/>
      </w:pPr>
      <w:r>
        <w:rPr>
          <w:rFonts w:ascii="Times New Roman"/>
          <w:b w:val="false"/>
          <w:i w:val="false"/>
          <w:color w:val="000000"/>
          <w:sz w:val="28"/>
        </w:rPr>
        <w:t>
      6. Вопросы по закрытой части отчетов МФАФС направляются не заявителю, а только соответствующему производителю активной фармацевтической субстанции/держателю МФАФС.</w:t>
      </w:r>
    </w:p>
    <w:bookmarkEnd w:id="5718"/>
    <w:bookmarkStart w:name="z5912" w:id="5719"/>
    <w:p>
      <w:pPr>
        <w:spacing w:after="0"/>
        <w:ind w:left="0"/>
        <w:jc w:val="both"/>
      </w:pPr>
      <w:r>
        <w:rPr>
          <w:rFonts w:ascii="Times New Roman"/>
          <w:b w:val="false"/>
          <w:i w:val="false"/>
          <w:color w:val="000000"/>
          <w:sz w:val="28"/>
        </w:rPr>
        <w:t>
      7. При использовании СЕР и МФАФС следует уточнить источник (заявитель, или держатель МФАФС, или держатель СЕР) и уровень детализации сведений для составления отчета о критической оценке.</w:t>
      </w:r>
    </w:p>
    <w:bookmarkEnd w:id="5719"/>
    <w:bookmarkStart w:name="z5913" w:id="5720"/>
    <w:p>
      <w:pPr>
        <w:spacing w:after="0"/>
        <w:ind w:left="0"/>
        <w:jc w:val="both"/>
      </w:pPr>
      <w:r>
        <w:rPr>
          <w:rFonts w:ascii="Times New Roman"/>
          <w:b w:val="false"/>
          <w:i w:val="false"/>
          <w:color w:val="000000"/>
          <w:sz w:val="28"/>
        </w:rPr>
        <w:t>
      8. Оценка качества активной фармацевтической субстанции в настоящем отчете должна также отражать дополнительную информацию, представленную заявителем, которая не включена в открытую часть документа, представляемого держателем МФАФС. Если заявителем представляется полная информация об активной фармацевтической субстанции, в отчет должна быть включена оценка этой информации.</w:t>
      </w:r>
    </w:p>
    <w:bookmarkEnd w:id="5720"/>
    <w:bookmarkStart w:name="z5914" w:id="5721"/>
    <w:p>
      <w:pPr>
        <w:spacing w:after="0"/>
        <w:ind w:left="0"/>
        <w:jc w:val="left"/>
      </w:pPr>
      <w:r>
        <w:rPr>
          <w:rFonts w:ascii="Times New Roman"/>
          <w:b/>
          <w:i w:val="false"/>
          <w:color w:val="000000"/>
        </w:rPr>
        <w:t xml:space="preserve"> Информация о наименовании АФС (модуль S.1.1)</w:t>
      </w:r>
    </w:p>
    <w:bookmarkEnd w:id="5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5722"/>
          <w:p>
            <w:pPr>
              <w:spacing w:after="20"/>
              <w:ind w:left="20"/>
              <w:jc w:val="both"/>
            </w:pPr>
            <w:r>
              <w:rPr>
                <w:rFonts w:ascii="Times New Roman"/>
                <w:b w:val="false"/>
                <w:i w:val="false"/>
                <w:color w:val="000000"/>
                <w:sz w:val="20"/>
              </w:rPr>
              <w:t xml:space="preserve">
Международное непатентованное наименование (МНН) </w:t>
            </w:r>
          </w:p>
          <w:bookmarkEnd w:id="5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5723"/>
          <w:p>
            <w:pPr>
              <w:spacing w:after="20"/>
              <w:ind w:left="20"/>
              <w:jc w:val="both"/>
            </w:pPr>
            <w:r>
              <w:rPr>
                <w:rFonts w:ascii="Times New Roman"/>
                <w:b w:val="false"/>
                <w:i w:val="false"/>
                <w:color w:val="000000"/>
                <w:sz w:val="20"/>
              </w:rPr>
              <w:t xml:space="preserve">
Химическое название </w:t>
            </w:r>
          </w:p>
          <w:bookmarkEnd w:id="5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5724"/>
          <w:p>
            <w:pPr>
              <w:spacing w:after="20"/>
              <w:ind w:left="20"/>
              <w:jc w:val="both"/>
            </w:pPr>
            <w:r>
              <w:rPr>
                <w:rFonts w:ascii="Times New Roman"/>
                <w:b w:val="false"/>
                <w:i w:val="false"/>
                <w:color w:val="000000"/>
                <w:sz w:val="20"/>
              </w:rPr>
              <w:t xml:space="preserve">
Иное название (если применимо) </w:t>
            </w:r>
          </w:p>
          <w:bookmarkEnd w:id="5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5725"/>
          <w:p>
            <w:pPr>
              <w:spacing w:after="20"/>
              <w:ind w:left="20"/>
              <w:jc w:val="both"/>
            </w:pPr>
            <w:r>
              <w:rPr>
                <w:rFonts w:ascii="Times New Roman"/>
                <w:b w:val="false"/>
                <w:i w:val="false"/>
                <w:color w:val="000000"/>
                <w:sz w:val="20"/>
              </w:rPr>
              <w:t xml:space="preserve">
Название по номенклатуре IUPAC </w:t>
            </w:r>
          </w:p>
          <w:bookmarkEnd w:id="5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5726"/>
          <w:p>
            <w:pPr>
              <w:spacing w:after="20"/>
              <w:ind w:left="20"/>
              <w:jc w:val="both"/>
            </w:pPr>
            <w:r>
              <w:rPr>
                <w:rFonts w:ascii="Times New Roman"/>
                <w:b w:val="false"/>
                <w:i w:val="false"/>
                <w:color w:val="000000"/>
                <w:sz w:val="20"/>
              </w:rPr>
              <w:t xml:space="preserve">
CAS-номер </w:t>
            </w:r>
          </w:p>
          <w:bookmarkEnd w:id="5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5727"/>
          <w:p>
            <w:pPr>
              <w:spacing w:after="20"/>
              <w:ind w:left="20"/>
              <w:jc w:val="both"/>
            </w:pPr>
            <w:r>
              <w:rPr>
                <w:rFonts w:ascii="Times New Roman"/>
                <w:b w:val="false"/>
                <w:i w:val="false"/>
                <w:color w:val="000000"/>
                <w:sz w:val="20"/>
              </w:rPr>
              <w:t xml:space="preserve">
Лабораторный код </w:t>
            </w:r>
          </w:p>
          <w:bookmarkEnd w:id="5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5728"/>
          <w:p>
            <w:pPr>
              <w:spacing w:after="20"/>
              <w:ind w:left="20"/>
              <w:jc w:val="both"/>
            </w:pPr>
            <w:r>
              <w:rPr>
                <w:rFonts w:ascii="Times New Roman"/>
                <w:b w:val="false"/>
                <w:i w:val="false"/>
                <w:color w:val="000000"/>
                <w:sz w:val="20"/>
              </w:rPr>
              <w:t xml:space="preserve">
Молекулярная формула </w:t>
            </w:r>
          </w:p>
          <w:bookmarkEnd w:id="5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5729"/>
          <w:p>
            <w:pPr>
              <w:spacing w:after="20"/>
              <w:ind w:left="20"/>
              <w:jc w:val="both"/>
            </w:pPr>
            <w:r>
              <w:rPr>
                <w:rFonts w:ascii="Times New Roman"/>
                <w:b w:val="false"/>
                <w:i w:val="false"/>
                <w:color w:val="000000"/>
                <w:sz w:val="20"/>
              </w:rPr>
              <w:t xml:space="preserve">
Относительная молекулярная масса </w:t>
            </w:r>
          </w:p>
          <w:bookmarkEnd w:id="5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3" w:id="5730"/>
    <w:p>
      <w:pPr>
        <w:spacing w:after="0"/>
        <w:ind w:left="0"/>
        <w:jc w:val="left"/>
      </w:pPr>
      <w:r>
        <w:rPr>
          <w:rFonts w:ascii="Times New Roman"/>
          <w:b/>
          <w:i w:val="false"/>
          <w:color w:val="000000"/>
        </w:rPr>
        <w:t xml:space="preserve"> Структура АФС (модуль S.1.2):</w:t>
      </w:r>
    </w:p>
    <w:bookmarkEnd w:id="5730"/>
    <w:bookmarkStart w:name="z5924" w:id="5731"/>
    <w:p>
      <w:pPr>
        <w:spacing w:after="0"/>
        <w:ind w:left="0"/>
        <w:jc w:val="left"/>
      </w:pPr>
      <w:r>
        <w:rPr>
          <w:rFonts w:ascii="Times New Roman"/>
          <w:b/>
          <w:i w:val="false"/>
          <w:color w:val="000000"/>
        </w:rPr>
        <w:t xml:space="preserve"> Общие свойства АФС (модуль S.1.3) </w:t>
      </w:r>
    </w:p>
    <w:bookmarkEnd w:id="5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5732"/>
          <w:p>
            <w:pPr>
              <w:spacing w:after="20"/>
              <w:ind w:left="20"/>
              <w:jc w:val="both"/>
            </w:pPr>
            <w:r>
              <w:rPr>
                <w:rFonts w:ascii="Times New Roman"/>
                <w:b w:val="false"/>
                <w:i w:val="false"/>
                <w:color w:val="000000"/>
                <w:sz w:val="20"/>
              </w:rPr>
              <w:t xml:space="preserve">
Физические характеристики </w:t>
            </w:r>
          </w:p>
          <w:bookmarkEnd w:id="5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5733"/>
          <w:p>
            <w:pPr>
              <w:spacing w:after="20"/>
              <w:ind w:left="20"/>
              <w:jc w:val="both"/>
            </w:pPr>
            <w:r>
              <w:rPr>
                <w:rFonts w:ascii="Times New Roman"/>
                <w:b w:val="false"/>
                <w:i w:val="false"/>
                <w:color w:val="000000"/>
                <w:sz w:val="20"/>
              </w:rPr>
              <w:t xml:space="preserve">
Растворимость </w:t>
            </w:r>
          </w:p>
          <w:bookmarkEnd w:id="5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5734"/>
          <w:p>
            <w:pPr>
              <w:spacing w:after="20"/>
              <w:ind w:left="20"/>
              <w:jc w:val="both"/>
            </w:pPr>
            <w:r>
              <w:rPr>
                <w:rFonts w:ascii="Times New Roman"/>
                <w:b w:val="false"/>
                <w:i w:val="false"/>
                <w:color w:val="000000"/>
                <w:sz w:val="20"/>
              </w:rPr>
              <w:t xml:space="preserve">
Значение рКа (если возможно) </w:t>
            </w:r>
          </w:p>
          <w:bookmarkEnd w:id="5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5735"/>
          <w:p>
            <w:pPr>
              <w:spacing w:after="20"/>
              <w:ind w:left="20"/>
              <w:jc w:val="both"/>
            </w:pPr>
            <w:r>
              <w:rPr>
                <w:rFonts w:ascii="Times New Roman"/>
                <w:b w:val="false"/>
                <w:i w:val="false"/>
                <w:color w:val="000000"/>
                <w:sz w:val="20"/>
              </w:rPr>
              <w:t xml:space="preserve">
Значение pH раствора (если возможно) </w:t>
            </w:r>
          </w:p>
          <w:bookmarkEnd w:id="5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5736"/>
          <w:p>
            <w:pPr>
              <w:spacing w:after="20"/>
              <w:ind w:left="20"/>
              <w:jc w:val="both"/>
            </w:pPr>
            <w:r>
              <w:rPr>
                <w:rFonts w:ascii="Times New Roman"/>
                <w:b w:val="false"/>
                <w:i w:val="false"/>
                <w:color w:val="000000"/>
                <w:sz w:val="20"/>
              </w:rPr>
              <w:t xml:space="preserve">
Температура плавления (для твердых веществ) </w:t>
            </w:r>
          </w:p>
          <w:bookmarkEnd w:id="5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5737"/>
          <w:p>
            <w:pPr>
              <w:spacing w:after="20"/>
              <w:ind w:left="20"/>
              <w:jc w:val="both"/>
            </w:pPr>
            <w:r>
              <w:rPr>
                <w:rFonts w:ascii="Times New Roman"/>
                <w:b w:val="false"/>
                <w:i w:val="false"/>
                <w:color w:val="000000"/>
                <w:sz w:val="20"/>
              </w:rPr>
              <w:t xml:space="preserve">
Коэффициент распределения </w:t>
            </w:r>
          </w:p>
          <w:bookmarkEnd w:id="5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5738"/>
          <w:p>
            <w:pPr>
              <w:spacing w:after="20"/>
              <w:ind w:left="20"/>
              <w:jc w:val="both"/>
            </w:pPr>
            <w:r>
              <w:rPr>
                <w:rFonts w:ascii="Times New Roman"/>
                <w:b w:val="false"/>
                <w:i w:val="false"/>
                <w:color w:val="000000"/>
                <w:sz w:val="20"/>
              </w:rPr>
              <w:t xml:space="preserve">
Гигроскопичность </w:t>
            </w:r>
          </w:p>
          <w:bookmarkEnd w:id="5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5739"/>
          <w:p>
            <w:pPr>
              <w:spacing w:after="20"/>
              <w:ind w:left="20"/>
              <w:jc w:val="both"/>
            </w:pPr>
            <w:r>
              <w:rPr>
                <w:rFonts w:ascii="Times New Roman"/>
                <w:b w:val="false"/>
                <w:i w:val="false"/>
                <w:color w:val="000000"/>
                <w:sz w:val="20"/>
              </w:rPr>
              <w:t xml:space="preserve">
Стереохимия </w:t>
            </w:r>
          </w:p>
          <w:bookmarkEnd w:id="5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5740"/>
          <w:p>
            <w:pPr>
              <w:spacing w:after="20"/>
              <w:ind w:left="20"/>
              <w:jc w:val="both"/>
            </w:pPr>
            <w:r>
              <w:rPr>
                <w:rFonts w:ascii="Times New Roman"/>
                <w:b w:val="false"/>
                <w:i w:val="false"/>
                <w:color w:val="000000"/>
                <w:sz w:val="20"/>
              </w:rPr>
              <w:t xml:space="preserve">
Полиморфизм </w:t>
            </w:r>
          </w:p>
          <w:bookmarkEnd w:id="5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5741"/>
          <w:p>
            <w:pPr>
              <w:spacing w:after="20"/>
              <w:ind w:left="20"/>
              <w:jc w:val="both"/>
            </w:pPr>
            <w:r>
              <w:rPr>
                <w:rFonts w:ascii="Times New Roman"/>
                <w:b w:val="false"/>
                <w:i w:val="false"/>
                <w:color w:val="000000"/>
                <w:sz w:val="20"/>
              </w:rPr>
              <w:t xml:space="preserve">
Степень кристалличности (для твердых веществ) </w:t>
            </w:r>
          </w:p>
          <w:bookmarkEnd w:id="5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5" w:id="5742"/>
    <w:p>
      <w:pPr>
        <w:spacing w:after="0"/>
        <w:ind w:left="0"/>
        <w:jc w:val="both"/>
      </w:pPr>
      <w:r>
        <w:rPr>
          <w:rFonts w:ascii="Times New Roman"/>
          <w:b w:val="false"/>
          <w:i w:val="false"/>
          <w:color w:val="000000"/>
          <w:sz w:val="28"/>
        </w:rPr>
        <w:t>
       </w:t>
      </w:r>
    </w:p>
    <w:bookmarkEnd w:id="5742"/>
    <w:bookmarkStart w:name="z5936" w:id="5743"/>
    <w:p>
      <w:pPr>
        <w:spacing w:after="0"/>
        <w:ind w:left="0"/>
        <w:jc w:val="left"/>
      </w:pPr>
      <w:r>
        <w:rPr>
          <w:rFonts w:ascii="Times New Roman"/>
          <w:b/>
          <w:i w:val="false"/>
          <w:color w:val="000000"/>
        </w:rPr>
        <w:t xml:space="preserve"> 3.2. Процесс производства АФС (модуль 3.2.S.2) </w:t>
      </w:r>
    </w:p>
    <w:bookmarkEnd w:id="5743"/>
    <w:bookmarkStart w:name="z5937" w:id="5744"/>
    <w:p>
      <w:pPr>
        <w:spacing w:after="0"/>
        <w:ind w:left="0"/>
        <w:jc w:val="both"/>
      </w:pPr>
      <w:r>
        <w:rPr>
          <w:rFonts w:ascii="Times New Roman"/>
          <w:b w:val="false"/>
          <w:i w:val="false"/>
          <w:color w:val="000000"/>
          <w:sz w:val="28"/>
        </w:rPr>
        <w:t>
      Под данным заголовком отражают сведения, указанные в следующих разделах:</w:t>
      </w:r>
    </w:p>
    <w:bookmarkEnd w:id="5744"/>
    <w:bookmarkStart w:name="z5938" w:id="5745"/>
    <w:p>
      <w:pPr>
        <w:spacing w:after="0"/>
        <w:ind w:left="0"/>
        <w:jc w:val="both"/>
      </w:pPr>
      <w:r>
        <w:rPr>
          <w:rFonts w:ascii="Times New Roman"/>
          <w:b w:val="false"/>
          <w:i w:val="false"/>
          <w:color w:val="000000"/>
          <w:sz w:val="28"/>
        </w:rPr>
        <w:t>
      S.2.1. Производитель (производители).</w:t>
      </w:r>
    </w:p>
    <w:bookmarkEnd w:id="5745"/>
    <w:bookmarkStart w:name="z5939" w:id="5746"/>
    <w:p>
      <w:pPr>
        <w:spacing w:after="0"/>
        <w:ind w:left="0"/>
        <w:jc w:val="both"/>
      </w:pPr>
      <w:r>
        <w:rPr>
          <w:rFonts w:ascii="Times New Roman"/>
          <w:b w:val="false"/>
          <w:i w:val="false"/>
          <w:color w:val="000000"/>
          <w:sz w:val="28"/>
        </w:rPr>
        <w:t>
      S.2.2. Описание производственного процесса и его контроля.</w:t>
      </w:r>
    </w:p>
    <w:bookmarkEnd w:id="5746"/>
    <w:bookmarkStart w:name="z5940" w:id="5747"/>
    <w:p>
      <w:pPr>
        <w:spacing w:after="0"/>
        <w:ind w:left="0"/>
        <w:jc w:val="both"/>
      </w:pPr>
      <w:r>
        <w:rPr>
          <w:rFonts w:ascii="Times New Roman"/>
          <w:b w:val="false"/>
          <w:i w:val="false"/>
          <w:color w:val="000000"/>
          <w:sz w:val="28"/>
        </w:rPr>
        <w:t>
      S.2.3. Контроль исходных материалов.</w:t>
      </w:r>
    </w:p>
    <w:bookmarkEnd w:id="5747"/>
    <w:bookmarkStart w:name="z5941" w:id="5748"/>
    <w:p>
      <w:pPr>
        <w:spacing w:after="0"/>
        <w:ind w:left="0"/>
        <w:jc w:val="both"/>
      </w:pPr>
      <w:r>
        <w:rPr>
          <w:rFonts w:ascii="Times New Roman"/>
          <w:b w:val="false"/>
          <w:i w:val="false"/>
          <w:color w:val="000000"/>
          <w:sz w:val="28"/>
        </w:rPr>
        <w:t>
      S.2.4. Контроль критических стадий и промежуточной продукции.</w:t>
      </w:r>
    </w:p>
    <w:bookmarkEnd w:id="5748"/>
    <w:bookmarkStart w:name="z5942" w:id="5749"/>
    <w:p>
      <w:pPr>
        <w:spacing w:after="0"/>
        <w:ind w:left="0"/>
        <w:jc w:val="both"/>
      </w:pPr>
      <w:r>
        <w:rPr>
          <w:rFonts w:ascii="Times New Roman"/>
          <w:b w:val="false"/>
          <w:i w:val="false"/>
          <w:color w:val="000000"/>
          <w:sz w:val="28"/>
        </w:rPr>
        <w:t>
      S.2.5. Валидация производственного процесса и (или) его оценка.</w:t>
      </w:r>
    </w:p>
    <w:bookmarkEnd w:id="5749"/>
    <w:bookmarkStart w:name="z5943" w:id="5750"/>
    <w:p>
      <w:pPr>
        <w:spacing w:after="0"/>
        <w:ind w:left="0"/>
        <w:jc w:val="both"/>
      </w:pPr>
      <w:r>
        <w:rPr>
          <w:rFonts w:ascii="Times New Roman"/>
          <w:b w:val="false"/>
          <w:i w:val="false"/>
          <w:color w:val="000000"/>
          <w:sz w:val="28"/>
        </w:rPr>
        <w:t>
      S.2.6. Разработка производственного процесса.</w:t>
      </w:r>
    </w:p>
    <w:bookmarkEnd w:id="5750"/>
    <w:bookmarkStart w:name="z5944" w:id="5751"/>
    <w:p>
      <w:pPr>
        <w:spacing w:after="0"/>
        <w:ind w:left="0"/>
        <w:jc w:val="both"/>
      </w:pPr>
      <w:r>
        <w:rPr>
          <w:rFonts w:ascii="Times New Roman"/>
          <w:b w:val="false"/>
          <w:i w:val="false"/>
          <w:color w:val="000000"/>
          <w:sz w:val="28"/>
        </w:rPr>
        <w:t>
       </w:t>
      </w:r>
    </w:p>
    <w:bookmarkEnd w:id="5751"/>
    <w:bookmarkStart w:name="z5945" w:id="5752"/>
    <w:p>
      <w:pPr>
        <w:spacing w:after="0"/>
        <w:ind w:left="0"/>
        <w:jc w:val="left"/>
      </w:pPr>
      <w:r>
        <w:rPr>
          <w:rFonts w:ascii="Times New Roman"/>
          <w:b/>
          <w:i w:val="false"/>
          <w:color w:val="000000"/>
        </w:rPr>
        <w:t xml:space="preserve"> Новые или известные химические соединения </w:t>
      </w:r>
    </w:p>
    <w:bookmarkEnd w:id="5752"/>
    <w:bookmarkStart w:name="z5946" w:id="5753"/>
    <w:p>
      <w:pPr>
        <w:spacing w:after="0"/>
        <w:ind w:left="0"/>
        <w:jc w:val="both"/>
      </w:pPr>
      <w:r>
        <w:rPr>
          <w:rFonts w:ascii="Times New Roman"/>
          <w:b w:val="false"/>
          <w:i w:val="false"/>
          <w:color w:val="000000"/>
          <w:sz w:val="28"/>
        </w:rPr>
        <w:t>
      S.2.1. Производители.</w:t>
      </w:r>
    </w:p>
    <w:bookmarkEnd w:id="5753"/>
    <w:bookmarkStart w:name="z5947" w:id="5754"/>
    <w:p>
      <w:pPr>
        <w:spacing w:after="0"/>
        <w:ind w:left="0"/>
        <w:jc w:val="both"/>
      </w:pPr>
      <w:r>
        <w:rPr>
          <w:rFonts w:ascii="Times New Roman"/>
          <w:b w:val="false"/>
          <w:i w:val="false"/>
          <w:color w:val="000000"/>
          <w:sz w:val="28"/>
        </w:rPr>
        <w:t>
      Следует указать название и страну производителя (а также название завода, если применимо).</w:t>
      </w:r>
    </w:p>
    <w:bookmarkEnd w:id="5754"/>
    <w:bookmarkStart w:name="z5948" w:id="5755"/>
    <w:p>
      <w:pPr>
        <w:spacing w:after="0"/>
        <w:ind w:left="0"/>
        <w:jc w:val="both"/>
      </w:pPr>
      <w:r>
        <w:rPr>
          <w:rFonts w:ascii="Times New Roman"/>
          <w:b w:val="false"/>
          <w:i w:val="false"/>
          <w:color w:val="000000"/>
          <w:sz w:val="28"/>
        </w:rPr>
        <w:t>
      S.2.2. Описание производственного процесса и его контроля.</w:t>
      </w:r>
    </w:p>
    <w:bookmarkEnd w:id="5755"/>
    <w:bookmarkStart w:name="z5949" w:id="5756"/>
    <w:p>
      <w:pPr>
        <w:spacing w:after="0"/>
        <w:ind w:left="0"/>
        <w:jc w:val="both"/>
      </w:pPr>
      <w:r>
        <w:rPr>
          <w:rFonts w:ascii="Times New Roman"/>
          <w:b w:val="false"/>
          <w:i w:val="false"/>
          <w:color w:val="000000"/>
          <w:sz w:val="28"/>
        </w:rPr>
        <w:t>
      Приводится химическая схема синтеза, схема технологического процесса (по возможности предпочтительно включить данную схему в содержание отчета, чем приводить в приложении) с указанием критических стадий.</w:t>
      </w:r>
    </w:p>
    <w:bookmarkEnd w:id="5756"/>
    <w:bookmarkStart w:name="z5950" w:id="5757"/>
    <w:p>
      <w:pPr>
        <w:spacing w:after="0"/>
        <w:ind w:left="0"/>
        <w:jc w:val="both"/>
      </w:pPr>
      <w:r>
        <w:rPr>
          <w:rFonts w:ascii="Times New Roman"/>
          <w:b w:val="false"/>
          <w:i w:val="false"/>
          <w:color w:val="000000"/>
          <w:sz w:val="28"/>
        </w:rPr>
        <w:t>
      Также указывается заявленный размер промышленной серии.</w:t>
      </w:r>
    </w:p>
    <w:bookmarkEnd w:id="5757"/>
    <w:bookmarkStart w:name="z5951" w:id="5758"/>
    <w:p>
      <w:pPr>
        <w:spacing w:after="0"/>
        <w:ind w:left="0"/>
        <w:jc w:val="both"/>
      </w:pPr>
      <w:r>
        <w:rPr>
          <w:rFonts w:ascii="Times New Roman"/>
          <w:b w:val="false"/>
          <w:i w:val="false"/>
          <w:color w:val="000000"/>
          <w:sz w:val="28"/>
        </w:rPr>
        <w:t>
      Альтернативные процессы - включают комментарии при наличии данных процессов.</w:t>
      </w:r>
    </w:p>
    <w:bookmarkEnd w:id="5758"/>
    <w:bookmarkStart w:name="z5952" w:id="5759"/>
    <w:p>
      <w:pPr>
        <w:spacing w:after="0"/>
        <w:ind w:left="0"/>
        <w:jc w:val="both"/>
      </w:pPr>
      <w:r>
        <w:rPr>
          <w:rFonts w:ascii="Times New Roman"/>
          <w:b w:val="false"/>
          <w:i w:val="false"/>
          <w:color w:val="000000"/>
          <w:sz w:val="28"/>
        </w:rPr>
        <w:t>
      Переработка - включают комментарии при наличии такого процесса (например, на каком этапе данный процесс может иметь место).</w:t>
      </w:r>
    </w:p>
    <w:bookmarkEnd w:id="5759"/>
    <w:bookmarkStart w:name="z5953" w:id="5760"/>
    <w:p>
      <w:pPr>
        <w:spacing w:after="0"/>
        <w:ind w:left="0"/>
        <w:jc w:val="both"/>
      </w:pPr>
      <w:r>
        <w:rPr>
          <w:rFonts w:ascii="Times New Roman"/>
          <w:b w:val="false"/>
          <w:i w:val="false"/>
          <w:color w:val="000000"/>
          <w:sz w:val="28"/>
        </w:rPr>
        <w:t>
      Катализаторы и растворители - при отсутствии соответствующих сведений в регистрационном досье включают комментарии, если эти сведения содержатся в закрытой части МФАФС.</w:t>
      </w:r>
    </w:p>
    <w:bookmarkEnd w:id="5760"/>
    <w:bookmarkStart w:name="z5954" w:id="5761"/>
    <w:p>
      <w:pPr>
        <w:spacing w:after="0"/>
        <w:ind w:left="0"/>
        <w:jc w:val="both"/>
      </w:pPr>
      <w:r>
        <w:rPr>
          <w:rFonts w:ascii="Times New Roman"/>
          <w:b w:val="false"/>
          <w:i w:val="false"/>
          <w:color w:val="000000"/>
          <w:sz w:val="28"/>
        </w:rPr>
        <w:t>
      S.2.3. Контроль исходных материалов.</w:t>
      </w:r>
    </w:p>
    <w:bookmarkEnd w:id="5761"/>
    <w:bookmarkStart w:name="z5955" w:id="5762"/>
    <w:p>
      <w:pPr>
        <w:spacing w:after="0"/>
        <w:ind w:left="0"/>
        <w:jc w:val="both"/>
      </w:pPr>
      <w:r>
        <w:rPr>
          <w:rFonts w:ascii="Times New Roman"/>
          <w:b w:val="false"/>
          <w:i w:val="false"/>
          <w:color w:val="000000"/>
          <w:sz w:val="28"/>
        </w:rPr>
        <w:t>
      Включают комментарии по степени соответствия установленным требованиям предложенных спецификаций, обращая особое внимание на контроль содержания всех примесей (включая растворители), которые могут повлиять на качество активной субстанции, особенно, если примеси в ней не контролируются. Предоставляют комментарии в отношении субстанций биологического происхождения.</w:t>
      </w:r>
    </w:p>
    <w:bookmarkEnd w:id="5762"/>
    <w:bookmarkStart w:name="z5956" w:id="5763"/>
    <w:p>
      <w:pPr>
        <w:spacing w:after="0"/>
        <w:ind w:left="0"/>
        <w:jc w:val="both"/>
      </w:pPr>
      <w:r>
        <w:rPr>
          <w:rFonts w:ascii="Times New Roman"/>
          <w:b w:val="false"/>
          <w:i w:val="false"/>
          <w:color w:val="000000"/>
          <w:sz w:val="28"/>
        </w:rPr>
        <w:t>
      S.2.4. Контроль критических стадий и промежуточной продукции.</w:t>
      </w:r>
    </w:p>
    <w:bookmarkEnd w:id="5763"/>
    <w:bookmarkStart w:name="z5957" w:id="5764"/>
    <w:p>
      <w:pPr>
        <w:spacing w:after="0"/>
        <w:ind w:left="0"/>
        <w:jc w:val="both"/>
      </w:pPr>
      <w:r>
        <w:rPr>
          <w:rFonts w:ascii="Times New Roman"/>
          <w:b w:val="false"/>
          <w:i w:val="false"/>
          <w:color w:val="000000"/>
          <w:sz w:val="28"/>
        </w:rPr>
        <w:t>
      Обсуждают степень соответствия предлагаемых средств контроля технологических процессов установленным требованиям.</w:t>
      </w:r>
    </w:p>
    <w:bookmarkEnd w:id="5764"/>
    <w:bookmarkStart w:name="z5958" w:id="5765"/>
    <w:p>
      <w:pPr>
        <w:spacing w:after="0"/>
        <w:ind w:left="0"/>
        <w:jc w:val="both"/>
      </w:pPr>
      <w:r>
        <w:rPr>
          <w:rFonts w:ascii="Times New Roman"/>
          <w:b w:val="false"/>
          <w:i w:val="false"/>
          <w:color w:val="000000"/>
          <w:sz w:val="28"/>
        </w:rPr>
        <w:t>
      S.2.5. Валидация производственного процесса и (или) его оценка.</w:t>
      </w:r>
    </w:p>
    <w:bookmarkEnd w:id="5765"/>
    <w:bookmarkStart w:name="z5959" w:id="5766"/>
    <w:p>
      <w:pPr>
        <w:spacing w:after="0"/>
        <w:ind w:left="0"/>
        <w:jc w:val="both"/>
      </w:pPr>
      <w:r>
        <w:rPr>
          <w:rFonts w:ascii="Times New Roman"/>
          <w:b w:val="false"/>
          <w:i w:val="false"/>
          <w:color w:val="000000"/>
          <w:sz w:val="28"/>
        </w:rPr>
        <w:t>
      Кратко излагают данные и результаты.</w:t>
      </w:r>
    </w:p>
    <w:bookmarkEnd w:id="5766"/>
    <w:bookmarkStart w:name="z5960" w:id="5767"/>
    <w:p>
      <w:pPr>
        <w:spacing w:after="0"/>
        <w:ind w:left="0"/>
        <w:jc w:val="both"/>
      </w:pPr>
      <w:r>
        <w:rPr>
          <w:rFonts w:ascii="Times New Roman"/>
          <w:b w:val="false"/>
          <w:i w:val="false"/>
          <w:color w:val="000000"/>
          <w:sz w:val="28"/>
        </w:rPr>
        <w:t>
      S.2.6. Разработка производственного процесса.</w:t>
      </w:r>
    </w:p>
    <w:bookmarkEnd w:id="5767"/>
    <w:bookmarkStart w:name="z5961" w:id="5768"/>
    <w:p>
      <w:pPr>
        <w:spacing w:after="0"/>
        <w:ind w:left="0"/>
        <w:jc w:val="both"/>
      </w:pPr>
      <w:r>
        <w:rPr>
          <w:rFonts w:ascii="Times New Roman"/>
          <w:b w:val="false"/>
          <w:i w:val="false"/>
          <w:color w:val="000000"/>
          <w:sz w:val="28"/>
        </w:rPr>
        <w:t>
      Кратко излагают данные и результаты со ссылкой на вещества, использованные в доклинических (клинических) исследованиях, если применимо.</w:t>
      </w:r>
    </w:p>
    <w:bookmarkEnd w:id="5768"/>
    <w:bookmarkStart w:name="z5962" w:id="5769"/>
    <w:p>
      <w:pPr>
        <w:spacing w:after="0"/>
        <w:ind w:left="0"/>
        <w:jc w:val="both"/>
      </w:pPr>
      <w:r>
        <w:rPr>
          <w:rFonts w:ascii="Times New Roman"/>
          <w:b w:val="false"/>
          <w:i w:val="false"/>
          <w:color w:val="000000"/>
          <w:sz w:val="28"/>
        </w:rPr>
        <w:t>
      Указывают, предлагается ли проектное поле (то есть обоснование допустимого набора показателей качества и пределов изменения их показателей под влиянием состава лекарственного препарата, технологических процессов, воздействия физических факторов в процессе хранения, основанное на статистических методах оценки и анализа риска. Использование проектного поля позволяет определить качество лекарственного препарата, задать его в момент разработки такого лекарственного препарата и осуществлять обоснованную коррекцию при изменении его состава и процессов производства в ходе разработки и управления жизненным циклом), установлена ли многофакторная зависимость между входными данными процесса (свойствами материалов и параметрами процесса) и критическими показателями качества активной субстанции. Если предлагается проектное поле (дополнение № 3 к настоящему документу).</w:t>
      </w:r>
    </w:p>
    <w:bookmarkEnd w:id="5769"/>
    <w:bookmarkStart w:name="z5963" w:id="5770"/>
    <w:p>
      <w:pPr>
        <w:spacing w:after="0"/>
        <w:ind w:left="0"/>
        <w:jc w:val="both"/>
      </w:pPr>
      <w:r>
        <w:rPr>
          <w:rFonts w:ascii="Times New Roman"/>
          <w:b w:val="false"/>
          <w:i w:val="false"/>
          <w:color w:val="000000"/>
          <w:sz w:val="28"/>
        </w:rPr>
        <w:t>
      В целом, от эксперта требуется представление критических замечаний в отношении адекватности описания синтеза, контроля качества материалов и промежуточных продуктов, воспроизводимости производственного процесса, с выявлением вопросов, недостаточно освещенных в регистрационном досье и подлежащих решению в Перечне замечаний (со ссылкой на номер, при необходимости). Необходимо выделить критические замечания.</w:t>
      </w:r>
    </w:p>
    <w:bookmarkEnd w:id="5770"/>
    <w:bookmarkStart w:name="z5964" w:id="5771"/>
    <w:p>
      <w:pPr>
        <w:spacing w:after="0"/>
        <w:ind w:left="0"/>
        <w:jc w:val="both"/>
      </w:pPr>
      <w:r>
        <w:rPr>
          <w:rFonts w:ascii="Times New Roman"/>
          <w:b w:val="false"/>
          <w:i w:val="false"/>
          <w:color w:val="000000"/>
          <w:sz w:val="28"/>
        </w:rPr>
        <w:t>
       </w:t>
      </w:r>
    </w:p>
    <w:bookmarkEnd w:id="5771"/>
    <w:bookmarkStart w:name="z5965" w:id="5772"/>
    <w:p>
      <w:pPr>
        <w:spacing w:after="0"/>
        <w:ind w:left="0"/>
        <w:jc w:val="left"/>
      </w:pPr>
      <w:r>
        <w:rPr>
          <w:rFonts w:ascii="Times New Roman"/>
          <w:b/>
          <w:i w:val="false"/>
          <w:color w:val="000000"/>
        </w:rPr>
        <w:t xml:space="preserve"> Биотехнологические препараты </w:t>
      </w:r>
    </w:p>
    <w:bookmarkEnd w:id="5772"/>
    <w:bookmarkStart w:name="z5966" w:id="5773"/>
    <w:p>
      <w:pPr>
        <w:spacing w:after="0"/>
        <w:ind w:left="0"/>
        <w:jc w:val="both"/>
      </w:pPr>
      <w:r>
        <w:rPr>
          <w:rFonts w:ascii="Times New Roman"/>
          <w:b w:val="false"/>
          <w:i w:val="false"/>
          <w:color w:val="000000"/>
          <w:sz w:val="28"/>
        </w:rPr>
        <w:t>
      S.2.1. Производители.</w:t>
      </w:r>
    </w:p>
    <w:bookmarkEnd w:id="5773"/>
    <w:bookmarkStart w:name="z5967" w:id="5774"/>
    <w:p>
      <w:pPr>
        <w:spacing w:after="0"/>
        <w:ind w:left="0"/>
        <w:jc w:val="both"/>
      </w:pPr>
      <w:r>
        <w:rPr>
          <w:rFonts w:ascii="Times New Roman"/>
          <w:b w:val="false"/>
          <w:i w:val="false"/>
          <w:color w:val="000000"/>
          <w:sz w:val="28"/>
        </w:rPr>
        <w:t>
      Приводят перечень производителей. Следует выделить из данного перечня производителей, у которых обнаруживаются проблемы с сопоставимостью показателей качества или другие проблемы с качеством. Следует выделить потенциальные проблемы, связанные с соответствием правилам надлежащей производственной практики Евразийского экономического союза, утверждаемым Евразийской экономической комиссией (например, транспортировка между производственными площадками и т.п.).</w:t>
      </w:r>
    </w:p>
    <w:bookmarkEnd w:id="5774"/>
    <w:bookmarkStart w:name="z5968" w:id="5775"/>
    <w:p>
      <w:pPr>
        <w:spacing w:after="0"/>
        <w:ind w:left="0"/>
        <w:jc w:val="both"/>
      </w:pPr>
      <w:r>
        <w:rPr>
          <w:rFonts w:ascii="Times New Roman"/>
          <w:b w:val="false"/>
          <w:i w:val="false"/>
          <w:color w:val="000000"/>
          <w:sz w:val="28"/>
        </w:rPr>
        <w:t>
      S.2.2. Описание производственного процесса и его контроля.</w:t>
      </w:r>
    </w:p>
    <w:bookmarkEnd w:id="5775"/>
    <w:bookmarkStart w:name="z5969" w:id="5776"/>
    <w:p>
      <w:pPr>
        <w:spacing w:after="0"/>
        <w:ind w:left="0"/>
        <w:jc w:val="both"/>
      </w:pPr>
      <w:r>
        <w:rPr>
          <w:rFonts w:ascii="Times New Roman"/>
          <w:b w:val="false"/>
          <w:i w:val="false"/>
          <w:color w:val="000000"/>
          <w:sz w:val="28"/>
        </w:rPr>
        <w:t>
      Представляют краткое описание производственного процесса и внутрипроизводственного контроля (особенно в отношении обеспечения безопасности продукта, например испытания на наличие посторонних агентов, RT-активность), выделяют процессы переработки продукта.</w:t>
      </w:r>
    </w:p>
    <w:bookmarkEnd w:id="5776"/>
    <w:bookmarkStart w:name="z5970" w:id="5777"/>
    <w:p>
      <w:pPr>
        <w:spacing w:after="0"/>
        <w:ind w:left="0"/>
        <w:jc w:val="both"/>
      </w:pPr>
      <w:r>
        <w:rPr>
          <w:rFonts w:ascii="Times New Roman"/>
          <w:b w:val="false"/>
          <w:i w:val="false"/>
          <w:color w:val="000000"/>
          <w:sz w:val="28"/>
        </w:rPr>
        <w:t>
      Представляют краткие сведения о сроках службы и процедура регенерации хроматографических колонок, используемых в процессе очистки продукта, проводят оценку в отношении какого-либо влияния на безопасность продукции.</w:t>
      </w:r>
    </w:p>
    <w:bookmarkEnd w:id="5777"/>
    <w:bookmarkStart w:name="z5971" w:id="5778"/>
    <w:p>
      <w:pPr>
        <w:spacing w:after="0"/>
        <w:ind w:left="0"/>
        <w:jc w:val="both"/>
      </w:pPr>
      <w:r>
        <w:rPr>
          <w:rFonts w:ascii="Times New Roman"/>
          <w:b w:val="false"/>
          <w:i w:val="false"/>
          <w:color w:val="000000"/>
          <w:sz w:val="28"/>
        </w:rPr>
        <w:t>
      Проводят критическую оценку степени соответствия разработки, постоянства и контроля установленным требованиям.</w:t>
      </w:r>
    </w:p>
    <w:bookmarkEnd w:id="5778"/>
    <w:bookmarkStart w:name="z5972" w:id="5779"/>
    <w:p>
      <w:pPr>
        <w:spacing w:after="0"/>
        <w:ind w:left="0"/>
        <w:jc w:val="both"/>
      </w:pPr>
      <w:r>
        <w:rPr>
          <w:rFonts w:ascii="Times New Roman"/>
          <w:b w:val="false"/>
          <w:i w:val="false"/>
          <w:color w:val="000000"/>
          <w:sz w:val="28"/>
        </w:rPr>
        <w:t>
      В отношении биоаналогичного (биоподобного) лекарственного препарата следует обратить внимание на существенные отличия от процесса производства референтного препарата, способные повлиять на показатели качества.</w:t>
      </w:r>
    </w:p>
    <w:bookmarkEnd w:id="5779"/>
    <w:bookmarkStart w:name="z5973" w:id="5780"/>
    <w:p>
      <w:pPr>
        <w:spacing w:after="0"/>
        <w:ind w:left="0"/>
        <w:jc w:val="both"/>
      </w:pPr>
      <w:r>
        <w:rPr>
          <w:rFonts w:ascii="Times New Roman"/>
          <w:b w:val="false"/>
          <w:i w:val="false"/>
          <w:color w:val="000000"/>
          <w:sz w:val="28"/>
        </w:rPr>
        <w:t>
      S.2.3. Контроль исходных материалов.</w:t>
      </w:r>
    </w:p>
    <w:bookmarkEnd w:id="5780"/>
    <w:bookmarkStart w:name="z5974" w:id="5781"/>
    <w:p>
      <w:pPr>
        <w:spacing w:after="0"/>
        <w:ind w:left="0"/>
        <w:jc w:val="both"/>
      </w:pPr>
      <w:r>
        <w:rPr>
          <w:rFonts w:ascii="Times New Roman"/>
          <w:b w:val="false"/>
          <w:i w:val="false"/>
          <w:color w:val="000000"/>
          <w:sz w:val="28"/>
        </w:rPr>
        <w:t>
      Приводят информацию о генетической разработке, включая происхождение гена, описание структуры генов, обоснование структуры гена, сведения о генетической стабильности (указывают состояние рекомбинантного гена и число копий).</w:t>
      </w:r>
    </w:p>
    <w:bookmarkEnd w:id="5781"/>
    <w:bookmarkStart w:name="z5975" w:id="5782"/>
    <w:p>
      <w:pPr>
        <w:spacing w:after="0"/>
        <w:ind w:left="0"/>
        <w:jc w:val="both"/>
      </w:pPr>
      <w:r>
        <w:rPr>
          <w:rFonts w:ascii="Times New Roman"/>
          <w:b w:val="false"/>
          <w:i w:val="false"/>
          <w:color w:val="000000"/>
          <w:sz w:val="28"/>
        </w:rPr>
        <w:t>
      Приводят описание штаммов-продуцентов (линии генетически однородных клеток) (тип, происхождение), историю создания, включая идентификационные данные. Обращают внимание на любые вопросы, связанные с компонентами, используемыми в процессе разработки и способными повлиять на безопасность продукции (например, реагенты биологического происхождения).</w:t>
      </w:r>
    </w:p>
    <w:bookmarkEnd w:id="5782"/>
    <w:bookmarkStart w:name="z5976" w:id="5783"/>
    <w:p>
      <w:pPr>
        <w:spacing w:after="0"/>
        <w:ind w:left="0"/>
        <w:jc w:val="both"/>
      </w:pPr>
      <w:r>
        <w:rPr>
          <w:rFonts w:ascii="Times New Roman"/>
          <w:b w:val="false"/>
          <w:i w:val="false"/>
          <w:color w:val="000000"/>
          <w:sz w:val="28"/>
        </w:rPr>
        <w:t>
      Банки клеток: указывают формирование главного (рабочего) банка клеток, достаточность проведенных испытаний, стабильность банков клеток, описание фенотипических и генотипических свойств, протокол формирования будущего рабочего банка клеток.</w:t>
      </w:r>
    </w:p>
    <w:bookmarkEnd w:id="5783"/>
    <w:bookmarkStart w:name="z5977" w:id="5784"/>
    <w:p>
      <w:pPr>
        <w:spacing w:after="0"/>
        <w:ind w:left="0"/>
        <w:jc w:val="both"/>
      </w:pPr>
      <w:r>
        <w:rPr>
          <w:rFonts w:ascii="Times New Roman"/>
          <w:b w:val="false"/>
          <w:i w:val="false"/>
          <w:color w:val="000000"/>
          <w:sz w:val="28"/>
        </w:rPr>
        <w:t>
      Для биологических материалов (например, колонки для очистки моноклональных антител, производных крови/плазмы), используемых в производстве активной субстанции, проводят оценку источника материалов, производства, определения свойств и контроля. Для биологических материалов (например, таких производных крови/плазмы, как альбумин человека), используемых в производстве активной субстанции, проводят оценку источника, производства, определения и контроля. Для продуктов, получаемых из плазмы, например, альбумина человека, следует отметить их соответствие требованиям применимых руководств и рекомендаций Союза, включая сведения о донорах, а также требованиям по качеству и спецификации.</w:t>
      </w:r>
    </w:p>
    <w:bookmarkEnd w:id="5784"/>
    <w:bookmarkStart w:name="z5978" w:id="5785"/>
    <w:p>
      <w:pPr>
        <w:spacing w:after="0"/>
        <w:ind w:left="0"/>
        <w:jc w:val="both"/>
      </w:pPr>
      <w:r>
        <w:rPr>
          <w:rFonts w:ascii="Times New Roman"/>
          <w:b w:val="false"/>
          <w:i w:val="false"/>
          <w:color w:val="000000"/>
          <w:sz w:val="28"/>
        </w:rPr>
        <w:t>
      Приводят ссылку на раздел регистрационного досье A2 относительно посторонних агентов (вирусной безопасности), имеющих отношение к материалам; выделяют любые вопросы, связанные с оценкой риска в отношении возбудителей трансмиссивной губчатой энцефалопатии (ТГЭ).</w:t>
      </w:r>
    </w:p>
    <w:bookmarkEnd w:id="5785"/>
    <w:bookmarkStart w:name="z5979" w:id="5786"/>
    <w:p>
      <w:pPr>
        <w:spacing w:after="0"/>
        <w:ind w:left="0"/>
        <w:jc w:val="both"/>
      </w:pPr>
      <w:r>
        <w:rPr>
          <w:rFonts w:ascii="Times New Roman"/>
          <w:b w:val="false"/>
          <w:i w:val="false"/>
          <w:color w:val="000000"/>
          <w:sz w:val="28"/>
        </w:rPr>
        <w:t>
      S.2.4. Контроль критических стадий и промежуточной продукции.</w:t>
      </w:r>
    </w:p>
    <w:bookmarkEnd w:id="5786"/>
    <w:bookmarkStart w:name="z5980" w:id="5787"/>
    <w:p>
      <w:pPr>
        <w:spacing w:after="0"/>
        <w:ind w:left="0"/>
        <w:jc w:val="both"/>
      </w:pPr>
      <w:r>
        <w:rPr>
          <w:rFonts w:ascii="Times New Roman"/>
          <w:b w:val="false"/>
          <w:i w:val="false"/>
          <w:color w:val="000000"/>
          <w:sz w:val="28"/>
        </w:rPr>
        <w:t>
      Охарактеризовать представленное в досье завершение технологического процесса производства (критерии культивирования, определение серии).</w:t>
      </w:r>
    </w:p>
    <w:bookmarkEnd w:id="5787"/>
    <w:bookmarkStart w:name="z5981" w:id="5788"/>
    <w:p>
      <w:pPr>
        <w:spacing w:after="0"/>
        <w:ind w:left="0"/>
        <w:jc w:val="both"/>
      </w:pPr>
      <w:r>
        <w:rPr>
          <w:rFonts w:ascii="Times New Roman"/>
          <w:b w:val="false"/>
          <w:i w:val="false"/>
          <w:color w:val="000000"/>
          <w:sz w:val="28"/>
        </w:rPr>
        <w:t>
      Предлагаемые интервалы для спецификаций в точках контроля и допустимые нормы показателей внутрипроизводственного контроля по отношению к результатам валидации процесса.</w:t>
      </w:r>
    </w:p>
    <w:bookmarkEnd w:id="5788"/>
    <w:bookmarkStart w:name="z5982" w:id="5789"/>
    <w:p>
      <w:pPr>
        <w:spacing w:after="0"/>
        <w:ind w:left="0"/>
        <w:jc w:val="both"/>
      </w:pPr>
      <w:r>
        <w:rPr>
          <w:rFonts w:ascii="Times New Roman"/>
          <w:b w:val="false"/>
          <w:i w:val="false"/>
          <w:color w:val="000000"/>
          <w:sz w:val="28"/>
        </w:rPr>
        <w:t>
      Следует привести описание условий хранения (срока хранения) промежуточных продуктов.</w:t>
      </w:r>
    </w:p>
    <w:bookmarkEnd w:id="5789"/>
    <w:bookmarkStart w:name="z5983" w:id="5790"/>
    <w:p>
      <w:pPr>
        <w:spacing w:after="0"/>
        <w:ind w:left="0"/>
        <w:jc w:val="both"/>
      </w:pPr>
      <w:r>
        <w:rPr>
          <w:rFonts w:ascii="Times New Roman"/>
          <w:b w:val="false"/>
          <w:i w:val="false"/>
          <w:color w:val="000000"/>
          <w:sz w:val="28"/>
        </w:rPr>
        <w:t>
      Следует выделить все стадии производства, направленные (валидированные) в отношении элиминации (инактивации) вирусов (например, обработка в среде с низким значением pH).</w:t>
      </w:r>
    </w:p>
    <w:bookmarkEnd w:id="5790"/>
    <w:bookmarkStart w:name="z5984" w:id="5791"/>
    <w:p>
      <w:pPr>
        <w:spacing w:after="0"/>
        <w:ind w:left="0"/>
        <w:jc w:val="both"/>
      </w:pPr>
      <w:r>
        <w:rPr>
          <w:rFonts w:ascii="Times New Roman"/>
          <w:b w:val="false"/>
          <w:i w:val="false"/>
          <w:color w:val="000000"/>
          <w:sz w:val="28"/>
        </w:rPr>
        <w:t>
      S.2.5. Валидация производственного процесса и (или) его оценка.</w:t>
      </w:r>
    </w:p>
    <w:bookmarkEnd w:id="5791"/>
    <w:bookmarkStart w:name="z5985" w:id="5792"/>
    <w:p>
      <w:pPr>
        <w:spacing w:after="0"/>
        <w:ind w:left="0"/>
        <w:jc w:val="both"/>
      </w:pPr>
      <w:r>
        <w:rPr>
          <w:rFonts w:ascii="Times New Roman"/>
          <w:b w:val="false"/>
          <w:i w:val="false"/>
          <w:color w:val="000000"/>
          <w:sz w:val="28"/>
        </w:rPr>
        <w:t>
      Следует оценить адекватность валидации производственного процесса, указать проверяемые параметры и их значение для заявляемого на регистрацию препарата.</w:t>
      </w:r>
    </w:p>
    <w:bookmarkEnd w:id="5792"/>
    <w:bookmarkStart w:name="z5986" w:id="5793"/>
    <w:p>
      <w:pPr>
        <w:spacing w:after="0"/>
        <w:ind w:left="0"/>
        <w:jc w:val="both"/>
      </w:pPr>
      <w:r>
        <w:rPr>
          <w:rFonts w:ascii="Times New Roman"/>
          <w:b w:val="false"/>
          <w:i w:val="false"/>
          <w:color w:val="000000"/>
          <w:sz w:val="28"/>
        </w:rPr>
        <w:t>
      Следует учитывать, что переработка должна включаться только в особом порядке или быть полностью исключена.</w:t>
      </w:r>
    </w:p>
    <w:bookmarkEnd w:id="5793"/>
    <w:bookmarkStart w:name="z5987" w:id="5794"/>
    <w:p>
      <w:pPr>
        <w:spacing w:after="0"/>
        <w:ind w:left="0"/>
        <w:jc w:val="both"/>
      </w:pPr>
      <w:r>
        <w:rPr>
          <w:rFonts w:ascii="Times New Roman"/>
          <w:b w:val="false"/>
          <w:i w:val="false"/>
          <w:color w:val="000000"/>
          <w:sz w:val="28"/>
        </w:rPr>
        <w:t>
      Следует привести ссылку на раздел А2 регистрационного досье относительно посторонних агентов/вирусной безопасности, имеющих отношение к материалам.</w:t>
      </w:r>
    </w:p>
    <w:bookmarkEnd w:id="5794"/>
    <w:bookmarkStart w:name="z5988" w:id="5795"/>
    <w:p>
      <w:pPr>
        <w:spacing w:after="0"/>
        <w:ind w:left="0"/>
        <w:jc w:val="both"/>
      </w:pPr>
      <w:r>
        <w:rPr>
          <w:rFonts w:ascii="Times New Roman"/>
          <w:b w:val="false"/>
          <w:i w:val="false"/>
          <w:color w:val="000000"/>
          <w:sz w:val="28"/>
        </w:rPr>
        <w:t>
      Следует оценить адекватность процедур удаления технологических и родственных примесей.</w:t>
      </w:r>
    </w:p>
    <w:bookmarkEnd w:id="5795"/>
    <w:bookmarkStart w:name="z5989" w:id="5796"/>
    <w:p>
      <w:pPr>
        <w:spacing w:after="0"/>
        <w:ind w:left="0"/>
        <w:jc w:val="both"/>
      </w:pPr>
      <w:r>
        <w:rPr>
          <w:rFonts w:ascii="Times New Roman"/>
          <w:b w:val="false"/>
          <w:i w:val="false"/>
          <w:color w:val="000000"/>
          <w:sz w:val="28"/>
        </w:rPr>
        <w:t>
      S.2.6. Разработка производственного процесса.</w:t>
      </w:r>
    </w:p>
    <w:bookmarkEnd w:id="5796"/>
    <w:bookmarkStart w:name="z5990" w:id="5797"/>
    <w:p>
      <w:pPr>
        <w:spacing w:after="0"/>
        <w:ind w:left="0"/>
        <w:jc w:val="both"/>
      </w:pPr>
      <w:r>
        <w:rPr>
          <w:rFonts w:ascii="Times New Roman"/>
          <w:b w:val="false"/>
          <w:i w:val="false"/>
          <w:color w:val="000000"/>
          <w:sz w:val="28"/>
        </w:rPr>
        <w:t>
      Следует проанализировать историю разработки производственного процесса и сделать комментарии по ее влиянию на сопоставимость качества продуктов (например, серий продукта, используемых для клинических испытаний в сравнении с промышленными сериями и т.п.) со ссылкой на пункт S.4.4 регистрационного досье.</w:t>
      </w:r>
    </w:p>
    <w:bookmarkEnd w:id="5797"/>
    <w:bookmarkStart w:name="z5991" w:id="5798"/>
    <w:p>
      <w:pPr>
        <w:spacing w:after="0"/>
        <w:ind w:left="0"/>
        <w:jc w:val="both"/>
      </w:pPr>
      <w:r>
        <w:rPr>
          <w:rFonts w:ascii="Times New Roman"/>
          <w:b w:val="false"/>
          <w:i w:val="false"/>
          <w:color w:val="000000"/>
          <w:sz w:val="28"/>
        </w:rPr>
        <w:t>
      Следует описать изменения и причины их возникновения (обоснование) в отношении влияния на качество.</w:t>
      </w:r>
    </w:p>
    <w:bookmarkEnd w:id="5798"/>
    <w:bookmarkStart w:name="z5992" w:id="5799"/>
    <w:p>
      <w:pPr>
        <w:spacing w:after="0"/>
        <w:ind w:left="0"/>
        <w:jc w:val="both"/>
      </w:pPr>
      <w:r>
        <w:rPr>
          <w:rFonts w:ascii="Times New Roman"/>
          <w:b w:val="false"/>
          <w:i w:val="false"/>
          <w:color w:val="000000"/>
          <w:sz w:val="28"/>
        </w:rPr>
        <w:t>
      Необходимо критически оценить значимость изменений.</w:t>
      </w:r>
    </w:p>
    <w:bookmarkEnd w:id="5799"/>
    <w:bookmarkStart w:name="z5993" w:id="5800"/>
    <w:p>
      <w:pPr>
        <w:spacing w:after="0"/>
        <w:ind w:left="0"/>
        <w:jc w:val="both"/>
      </w:pPr>
      <w:r>
        <w:rPr>
          <w:rFonts w:ascii="Times New Roman"/>
          <w:b w:val="false"/>
          <w:i w:val="false"/>
          <w:color w:val="000000"/>
          <w:sz w:val="28"/>
        </w:rPr>
        <w:t>
       </w:t>
      </w:r>
    </w:p>
    <w:bookmarkEnd w:id="5800"/>
    <w:bookmarkStart w:name="z5994" w:id="5801"/>
    <w:p>
      <w:pPr>
        <w:spacing w:after="0"/>
        <w:ind w:left="0"/>
        <w:jc w:val="left"/>
      </w:pPr>
      <w:r>
        <w:rPr>
          <w:rFonts w:ascii="Times New Roman"/>
          <w:b/>
          <w:i w:val="false"/>
          <w:color w:val="000000"/>
        </w:rPr>
        <w:t xml:space="preserve"> 3.3. Описание характеристик АФС (модуль 3.2.S.3) </w:t>
      </w:r>
    </w:p>
    <w:bookmarkEnd w:id="5801"/>
    <w:bookmarkStart w:name="z5995" w:id="5802"/>
    <w:p>
      <w:pPr>
        <w:spacing w:after="0"/>
        <w:ind w:left="0"/>
        <w:jc w:val="both"/>
      </w:pPr>
      <w:r>
        <w:rPr>
          <w:rFonts w:ascii="Times New Roman"/>
          <w:b w:val="false"/>
          <w:i w:val="false"/>
          <w:color w:val="000000"/>
          <w:sz w:val="28"/>
        </w:rPr>
        <w:t>
      Под данным заголовком отражают сведения, указанные в следующих разделах:</w:t>
      </w:r>
    </w:p>
    <w:bookmarkEnd w:id="5802"/>
    <w:bookmarkStart w:name="z5996" w:id="5803"/>
    <w:p>
      <w:pPr>
        <w:spacing w:after="0"/>
        <w:ind w:left="0"/>
        <w:jc w:val="both"/>
      </w:pPr>
      <w:r>
        <w:rPr>
          <w:rFonts w:ascii="Times New Roman"/>
          <w:b w:val="false"/>
          <w:i w:val="false"/>
          <w:color w:val="000000"/>
          <w:sz w:val="28"/>
        </w:rPr>
        <w:t>
      S.3.1. Подтверждение структуры и других характеристик.</w:t>
      </w:r>
    </w:p>
    <w:bookmarkEnd w:id="5803"/>
    <w:bookmarkStart w:name="z5997" w:id="5804"/>
    <w:p>
      <w:pPr>
        <w:spacing w:after="0"/>
        <w:ind w:left="0"/>
        <w:jc w:val="both"/>
      </w:pPr>
      <w:r>
        <w:rPr>
          <w:rFonts w:ascii="Times New Roman"/>
          <w:b w:val="false"/>
          <w:i w:val="false"/>
          <w:color w:val="000000"/>
          <w:sz w:val="28"/>
        </w:rPr>
        <w:t>
      S.3.2. Примеси.</w:t>
      </w:r>
    </w:p>
    <w:bookmarkEnd w:id="5804"/>
    <w:bookmarkStart w:name="z5998" w:id="5805"/>
    <w:p>
      <w:pPr>
        <w:spacing w:after="0"/>
        <w:ind w:left="0"/>
        <w:jc w:val="left"/>
      </w:pPr>
      <w:r>
        <w:rPr>
          <w:rFonts w:ascii="Times New Roman"/>
          <w:b/>
          <w:i w:val="false"/>
          <w:color w:val="000000"/>
        </w:rPr>
        <w:t xml:space="preserve"> Новые или известные химические соединения </w:t>
      </w:r>
    </w:p>
    <w:bookmarkEnd w:id="5805"/>
    <w:bookmarkStart w:name="z5999" w:id="5806"/>
    <w:p>
      <w:pPr>
        <w:spacing w:after="0"/>
        <w:ind w:left="0"/>
        <w:jc w:val="both"/>
      </w:pPr>
      <w:r>
        <w:rPr>
          <w:rFonts w:ascii="Times New Roman"/>
          <w:b w:val="false"/>
          <w:i w:val="false"/>
          <w:color w:val="000000"/>
          <w:sz w:val="28"/>
        </w:rPr>
        <w:t>
      S.3.1. Подтверждение структуры и других характеристик.</w:t>
      </w:r>
    </w:p>
    <w:bookmarkEnd w:id="5806"/>
    <w:bookmarkStart w:name="z6000" w:id="5807"/>
    <w:p>
      <w:pPr>
        <w:spacing w:after="0"/>
        <w:ind w:left="0"/>
        <w:jc w:val="both"/>
      </w:pPr>
      <w:r>
        <w:rPr>
          <w:rFonts w:ascii="Times New Roman"/>
          <w:b w:val="false"/>
          <w:i w:val="false"/>
          <w:color w:val="000000"/>
          <w:sz w:val="28"/>
        </w:rPr>
        <w:t>
      В данной части следует привести краткое описание методов, используемых для определения структуры и свойств активного вещества, например, хиральности, полиморфизма и т.д.</w:t>
      </w:r>
    </w:p>
    <w:bookmarkEnd w:id="5807"/>
    <w:bookmarkStart w:name="z6001" w:id="5808"/>
    <w:p>
      <w:pPr>
        <w:spacing w:after="0"/>
        <w:ind w:left="0"/>
        <w:jc w:val="both"/>
      </w:pPr>
      <w:r>
        <w:rPr>
          <w:rFonts w:ascii="Times New Roman"/>
          <w:b w:val="false"/>
          <w:i w:val="false"/>
          <w:color w:val="000000"/>
          <w:sz w:val="28"/>
        </w:rPr>
        <w:t>
      В случае радиофармацевтических препаратов должно быть четко определено, в качестве чего необходимо рассматривать активное вещество: немеченного лиганда, радиоактивного вещества или радиоактивной метки для другой молекулы-носителя. (В последнем случае информация обычно включается в досье на такое вещество-носитель).</w:t>
      </w:r>
    </w:p>
    <w:bookmarkEnd w:id="5808"/>
    <w:bookmarkStart w:name="z6002" w:id="5809"/>
    <w:p>
      <w:pPr>
        <w:spacing w:after="0"/>
        <w:ind w:left="0"/>
        <w:jc w:val="both"/>
      </w:pPr>
      <w:r>
        <w:rPr>
          <w:rFonts w:ascii="Times New Roman"/>
          <w:b w:val="false"/>
          <w:i w:val="false"/>
          <w:color w:val="000000"/>
          <w:sz w:val="28"/>
        </w:rPr>
        <w:t>
      Как правило, необходимо дать критическую оценку адекватности методов, используемых для установления структуры.</w:t>
      </w:r>
    </w:p>
    <w:bookmarkEnd w:id="5809"/>
    <w:bookmarkStart w:name="z6003" w:id="5810"/>
    <w:p>
      <w:pPr>
        <w:spacing w:after="0"/>
        <w:ind w:left="0"/>
        <w:jc w:val="both"/>
      </w:pPr>
      <w:r>
        <w:rPr>
          <w:rFonts w:ascii="Times New Roman"/>
          <w:b w:val="false"/>
          <w:i w:val="false"/>
          <w:color w:val="000000"/>
          <w:sz w:val="28"/>
        </w:rPr>
        <w:t>
      S.3.2. Примеси.</w:t>
      </w:r>
    </w:p>
    <w:bookmarkEnd w:id="5810"/>
    <w:bookmarkStart w:name="z6004" w:id="5811"/>
    <w:p>
      <w:pPr>
        <w:spacing w:after="0"/>
        <w:ind w:left="0"/>
        <w:jc w:val="both"/>
      </w:pPr>
      <w:r>
        <w:rPr>
          <w:rFonts w:ascii="Times New Roman"/>
          <w:b w:val="false"/>
          <w:i w:val="false"/>
          <w:color w:val="000000"/>
          <w:sz w:val="28"/>
        </w:rPr>
        <w:t>
      Следует использовать текст "Сводной информации по качеству" регистрационного досье лекарственного препарата для составления краткого обзора соответствующих данных по примесям, включая технологические примеси, продукты деградации, растворители и реагенты и т.д. со ссылкой на данные по стабильности и сведения, содержащиеся в разделе S.4 регистрационного досье.</w:t>
      </w:r>
    </w:p>
    <w:bookmarkEnd w:id="5811"/>
    <w:bookmarkStart w:name="z6005" w:id="5812"/>
    <w:p>
      <w:pPr>
        <w:spacing w:after="0"/>
        <w:ind w:left="0"/>
        <w:jc w:val="both"/>
      </w:pPr>
      <w:r>
        <w:rPr>
          <w:rFonts w:ascii="Times New Roman"/>
          <w:b w:val="false"/>
          <w:i w:val="false"/>
          <w:color w:val="000000"/>
          <w:sz w:val="28"/>
        </w:rPr>
        <w:t>
      Для радиофармацевтических препаратов следует также указать радиохимическую и радионуклидную чистоту.</w:t>
      </w:r>
    </w:p>
    <w:bookmarkEnd w:id="5812"/>
    <w:bookmarkStart w:name="z6006" w:id="5813"/>
    <w:p>
      <w:pPr>
        <w:spacing w:after="0"/>
        <w:ind w:left="0"/>
        <w:jc w:val="both"/>
      </w:pPr>
      <w:r>
        <w:rPr>
          <w:rFonts w:ascii="Times New Roman"/>
          <w:b w:val="false"/>
          <w:i w:val="false"/>
          <w:color w:val="000000"/>
          <w:sz w:val="28"/>
        </w:rPr>
        <w:t>
      По возможности следует установить различия между технологическими примесями и продуктами деградации активной фармацевтической субстанции.</w:t>
      </w:r>
    </w:p>
    <w:bookmarkEnd w:id="5813"/>
    <w:bookmarkStart w:name="z6007" w:id="5814"/>
    <w:p>
      <w:pPr>
        <w:spacing w:after="0"/>
        <w:ind w:left="0"/>
        <w:jc w:val="both"/>
      </w:pPr>
      <w:r>
        <w:rPr>
          <w:rFonts w:ascii="Times New Roman"/>
          <w:b w:val="false"/>
          <w:i w:val="false"/>
          <w:color w:val="000000"/>
          <w:sz w:val="28"/>
        </w:rPr>
        <w:t>
      Следует сделать заключение о применимости подхода производителя к контролю и квалификации примесей, особенно учитывая результаты доклинических (токсикологических) и клинических исследований.</w:t>
      </w:r>
    </w:p>
    <w:bookmarkEnd w:id="5814"/>
    <w:bookmarkStart w:name="z6008" w:id="5815"/>
    <w:p>
      <w:pPr>
        <w:spacing w:after="0"/>
        <w:ind w:left="0"/>
        <w:jc w:val="left"/>
      </w:pPr>
      <w:r>
        <w:rPr>
          <w:rFonts w:ascii="Times New Roman"/>
          <w:b/>
          <w:i w:val="false"/>
          <w:color w:val="000000"/>
        </w:rPr>
        <w:t xml:space="preserve"> Биотехнологические препараты </w:t>
      </w:r>
    </w:p>
    <w:bookmarkEnd w:id="5815"/>
    <w:bookmarkStart w:name="z6009" w:id="5816"/>
    <w:p>
      <w:pPr>
        <w:spacing w:after="0"/>
        <w:ind w:left="0"/>
        <w:jc w:val="both"/>
      </w:pPr>
      <w:r>
        <w:rPr>
          <w:rFonts w:ascii="Times New Roman"/>
          <w:b w:val="false"/>
          <w:i w:val="false"/>
          <w:color w:val="000000"/>
          <w:sz w:val="28"/>
        </w:rPr>
        <w:t>
      В отношении биоаналогичного (биоподобного) лекарственного препарата фундаментальной частью сопоставительной оценки качества является сравнение характеристик. Необходимо рассмотреть (проанализировать) структурную подлинность и профиль примесей по отношению к соответствующим показателям референтного препарата.</w:t>
      </w:r>
    </w:p>
    <w:bookmarkEnd w:id="5816"/>
    <w:bookmarkStart w:name="z6010" w:id="5817"/>
    <w:p>
      <w:pPr>
        <w:spacing w:after="0"/>
        <w:ind w:left="0"/>
        <w:jc w:val="both"/>
      </w:pPr>
      <w:r>
        <w:rPr>
          <w:rFonts w:ascii="Times New Roman"/>
          <w:b w:val="false"/>
          <w:i w:val="false"/>
          <w:color w:val="000000"/>
          <w:sz w:val="28"/>
        </w:rPr>
        <w:t>
      В пункт S.3.1 входят следующие сведения:</w:t>
      </w:r>
    </w:p>
    <w:bookmarkEnd w:id="5817"/>
    <w:bookmarkStart w:name="z6011" w:id="5818"/>
    <w:p>
      <w:pPr>
        <w:spacing w:after="0"/>
        <w:ind w:left="0"/>
        <w:jc w:val="both"/>
      </w:pPr>
      <w:r>
        <w:rPr>
          <w:rFonts w:ascii="Times New Roman"/>
          <w:b w:val="false"/>
          <w:i w:val="false"/>
          <w:color w:val="000000"/>
          <w:sz w:val="28"/>
        </w:rPr>
        <w:t>
      физико-химические свойства;</w:t>
      </w:r>
    </w:p>
    <w:bookmarkEnd w:id="5818"/>
    <w:bookmarkStart w:name="z6012" w:id="5819"/>
    <w:p>
      <w:pPr>
        <w:spacing w:after="0"/>
        <w:ind w:left="0"/>
        <w:jc w:val="both"/>
      </w:pPr>
      <w:r>
        <w:rPr>
          <w:rFonts w:ascii="Times New Roman"/>
          <w:b w:val="false"/>
          <w:i w:val="false"/>
          <w:color w:val="000000"/>
          <w:sz w:val="28"/>
        </w:rPr>
        <w:t>
      определение состава, физических свойств и первичной структуры, информации о структурах более высокого порядка;</w:t>
      </w:r>
    </w:p>
    <w:bookmarkEnd w:id="5819"/>
    <w:bookmarkStart w:name="z6013" w:id="5820"/>
    <w:p>
      <w:pPr>
        <w:spacing w:after="0"/>
        <w:ind w:left="0"/>
        <w:jc w:val="both"/>
      </w:pPr>
      <w:r>
        <w:rPr>
          <w:rFonts w:ascii="Times New Roman"/>
          <w:b w:val="false"/>
          <w:i w:val="false"/>
          <w:color w:val="000000"/>
          <w:sz w:val="28"/>
        </w:rPr>
        <w:t>
      профиль неоднородности (относительно родственных соединений) и подтверждение однородности его биологической активности.</w:t>
      </w:r>
    </w:p>
    <w:bookmarkEnd w:id="5820"/>
    <w:bookmarkStart w:name="z6014" w:id="5821"/>
    <w:p>
      <w:pPr>
        <w:spacing w:after="0"/>
        <w:ind w:left="0"/>
        <w:jc w:val="both"/>
      </w:pPr>
      <w:r>
        <w:rPr>
          <w:rFonts w:ascii="Times New Roman"/>
          <w:b w:val="false"/>
          <w:i w:val="false"/>
          <w:color w:val="000000"/>
          <w:sz w:val="28"/>
        </w:rPr>
        <w:t>
      Должна быть подтверждена валидность методики количественного определения биологической активности.</w:t>
      </w:r>
    </w:p>
    <w:bookmarkEnd w:id="5821"/>
    <w:bookmarkStart w:name="z6015" w:id="5822"/>
    <w:p>
      <w:pPr>
        <w:spacing w:after="0"/>
        <w:ind w:left="0"/>
        <w:jc w:val="both"/>
      </w:pPr>
      <w:r>
        <w:rPr>
          <w:rFonts w:ascii="Times New Roman"/>
          <w:b w:val="false"/>
          <w:i w:val="false"/>
          <w:color w:val="000000"/>
          <w:sz w:val="28"/>
        </w:rPr>
        <w:t>
      Должна быть установлена корреляция между результатами количественного определения биологической активности и клиническим ответом.</w:t>
      </w:r>
    </w:p>
    <w:bookmarkEnd w:id="5822"/>
    <w:bookmarkStart w:name="z6016" w:id="5823"/>
    <w:p>
      <w:pPr>
        <w:spacing w:after="0"/>
        <w:ind w:left="0"/>
        <w:jc w:val="both"/>
      </w:pPr>
      <w:r>
        <w:rPr>
          <w:rFonts w:ascii="Times New Roman"/>
          <w:b w:val="false"/>
          <w:i w:val="false"/>
          <w:color w:val="000000"/>
          <w:sz w:val="28"/>
        </w:rPr>
        <w:t>
      При характеристики активности (выраженной в единицах) результаты количественного определения биологической активности должны быть выражены в единицах активности, калиброванных с использованием международного, национального или собственного стандартного материала.</w:t>
      </w:r>
    </w:p>
    <w:bookmarkEnd w:id="5823"/>
    <w:bookmarkStart w:name="z6017" w:id="5824"/>
    <w:p>
      <w:pPr>
        <w:spacing w:after="0"/>
        <w:ind w:left="0"/>
        <w:jc w:val="both"/>
      </w:pPr>
      <w:r>
        <w:rPr>
          <w:rFonts w:ascii="Times New Roman"/>
          <w:b w:val="false"/>
          <w:i w:val="false"/>
          <w:color w:val="000000"/>
          <w:sz w:val="28"/>
        </w:rPr>
        <w:t>
      При использовании только физико-химических методов для количественного определения биологической активности (на основе соответствующей корреляции), результаты должны быть выражены как иммунохимическая активность на единицу массы.</w:t>
      </w:r>
    </w:p>
    <w:bookmarkEnd w:id="5824"/>
    <w:bookmarkStart w:name="z6018" w:id="5825"/>
    <w:p>
      <w:pPr>
        <w:spacing w:after="0"/>
        <w:ind w:left="0"/>
        <w:jc w:val="both"/>
      </w:pPr>
      <w:r>
        <w:rPr>
          <w:rFonts w:ascii="Times New Roman"/>
          <w:b w:val="false"/>
          <w:i w:val="false"/>
          <w:color w:val="000000"/>
          <w:sz w:val="28"/>
        </w:rPr>
        <w:t>
      Если продукт представляет собой антитела, его иммунологические свойства должны быть охарактеризованы в полном объеме.</w:t>
      </w:r>
    </w:p>
    <w:bookmarkEnd w:id="5825"/>
    <w:bookmarkStart w:name="z6019" w:id="5826"/>
    <w:p>
      <w:pPr>
        <w:spacing w:after="0"/>
        <w:ind w:left="0"/>
        <w:jc w:val="both"/>
      </w:pPr>
      <w:r>
        <w:rPr>
          <w:rFonts w:ascii="Times New Roman"/>
          <w:b w:val="false"/>
          <w:i w:val="false"/>
          <w:color w:val="000000"/>
          <w:sz w:val="28"/>
        </w:rPr>
        <w:t>
      Иммунохимические свойства белков могут служить показателями их подлинности, однородности или чистоты, либо использоваться для количественного анализа белков.</w:t>
      </w:r>
    </w:p>
    <w:bookmarkEnd w:id="5826"/>
    <w:bookmarkStart w:name="z6020" w:id="5827"/>
    <w:p>
      <w:pPr>
        <w:spacing w:after="0"/>
        <w:ind w:left="0"/>
        <w:jc w:val="both"/>
      </w:pPr>
      <w:r>
        <w:rPr>
          <w:rFonts w:ascii="Times New Roman"/>
          <w:b w:val="false"/>
          <w:i w:val="false"/>
          <w:color w:val="000000"/>
          <w:sz w:val="28"/>
        </w:rPr>
        <w:t>
      Количественное содержание. При количественном определении белка физико-химическим методом его содержание выражают в единицах массы.</w:t>
      </w:r>
    </w:p>
    <w:bookmarkEnd w:id="5827"/>
    <w:bookmarkStart w:name="z6021" w:id="5828"/>
    <w:p>
      <w:pPr>
        <w:spacing w:after="0"/>
        <w:ind w:left="0"/>
        <w:jc w:val="both"/>
      </w:pPr>
      <w:r>
        <w:rPr>
          <w:rFonts w:ascii="Times New Roman"/>
          <w:b w:val="false"/>
          <w:i w:val="false"/>
          <w:color w:val="000000"/>
          <w:sz w:val="28"/>
        </w:rPr>
        <w:t>
      Чистота (включая родственные соединения). АФС может быть представлено несколькими молекулярными соединениями или вариантов, которые рассматриваются в качестве родственных соединений: в данном случае необходимо определить индивидуальные или суммарные критерии приемлемости родственных соединений, входящих в состав продукта.</w:t>
      </w:r>
    </w:p>
    <w:bookmarkEnd w:id="5828"/>
    <w:bookmarkStart w:name="z6022" w:id="5829"/>
    <w:p>
      <w:pPr>
        <w:spacing w:after="0"/>
        <w:ind w:left="0"/>
        <w:jc w:val="both"/>
      </w:pPr>
      <w:r>
        <w:rPr>
          <w:rFonts w:ascii="Times New Roman"/>
          <w:b w:val="false"/>
          <w:i w:val="false"/>
          <w:color w:val="000000"/>
          <w:sz w:val="28"/>
        </w:rPr>
        <w:t>
      В пункте S.3.2 (примеси) проводят анализ регистрационного досье исходя из следующих предпосылок.</w:t>
      </w:r>
    </w:p>
    <w:bookmarkEnd w:id="5829"/>
    <w:bookmarkStart w:name="z6023" w:id="5830"/>
    <w:p>
      <w:pPr>
        <w:spacing w:after="0"/>
        <w:ind w:left="0"/>
        <w:jc w:val="both"/>
      </w:pPr>
      <w:r>
        <w:rPr>
          <w:rFonts w:ascii="Times New Roman"/>
          <w:b w:val="false"/>
          <w:i w:val="false"/>
          <w:color w:val="000000"/>
          <w:sz w:val="28"/>
        </w:rPr>
        <w:t>
      Примеси должны быть охарактеризованы в максимально возможной степени и, по возможности, должна быть проведена оценка их биологической активности.</w:t>
      </w:r>
    </w:p>
    <w:bookmarkEnd w:id="5830"/>
    <w:bookmarkStart w:name="z6024" w:id="5831"/>
    <w:p>
      <w:pPr>
        <w:spacing w:after="0"/>
        <w:ind w:left="0"/>
        <w:jc w:val="both"/>
      </w:pPr>
      <w:r>
        <w:rPr>
          <w:rFonts w:ascii="Times New Roman"/>
          <w:b w:val="false"/>
          <w:i w:val="false"/>
          <w:color w:val="000000"/>
          <w:sz w:val="28"/>
        </w:rPr>
        <w:t>
      Критерии приемлемости для примесей (индивидуальных и (или) суммарных) должны быть основаны на данных серий, использованных в доклинических и клинических исследованиях и серий, использованных в условиях однородного производственного процесса.</w:t>
      </w:r>
    </w:p>
    <w:bookmarkEnd w:id="5831"/>
    <w:bookmarkStart w:name="z6025" w:id="5832"/>
    <w:p>
      <w:pPr>
        <w:spacing w:after="0"/>
        <w:ind w:left="0"/>
        <w:jc w:val="both"/>
      </w:pPr>
      <w:r>
        <w:rPr>
          <w:rFonts w:ascii="Times New Roman"/>
          <w:b w:val="false"/>
          <w:i w:val="false"/>
          <w:color w:val="000000"/>
          <w:sz w:val="28"/>
        </w:rPr>
        <w:t>
      Технологические примеси. Технологические примеси включают в себя примеси, образующиеся в производственном процессе, т.е. это клеточные субстраты (например, белки клетки-хозяина, ДНК клетки-хозяина), факторы клеточной культуры (например, факторы роста, антибиотики, или компоненты среды) или в ходе дальнейшей обработки.</w:t>
      </w:r>
    </w:p>
    <w:bookmarkEnd w:id="5832"/>
    <w:bookmarkStart w:name="z6026" w:id="5833"/>
    <w:p>
      <w:pPr>
        <w:spacing w:after="0"/>
        <w:ind w:left="0"/>
        <w:jc w:val="both"/>
      </w:pPr>
      <w:r>
        <w:rPr>
          <w:rFonts w:ascii="Times New Roman"/>
          <w:b w:val="false"/>
          <w:i w:val="false"/>
          <w:color w:val="000000"/>
          <w:sz w:val="28"/>
        </w:rPr>
        <w:t>
      Родственные примеси. Родственные примеси (например, вещества-предшественники, определенные продукты распада) представляют собой варианты молекулярной структуры, образующиеся в процессе производства и (или) хранения, которые не имеют свойств, сопоставимых с целевым продуктом по показателям активности, эффективности и безопасности.</w:t>
      </w:r>
    </w:p>
    <w:bookmarkEnd w:id="5833"/>
    <w:bookmarkStart w:name="z6027" w:id="5834"/>
    <w:p>
      <w:pPr>
        <w:spacing w:after="0"/>
        <w:ind w:left="0"/>
        <w:jc w:val="both"/>
      </w:pPr>
      <w:r>
        <w:rPr>
          <w:rFonts w:ascii="Times New Roman"/>
          <w:b w:val="false"/>
          <w:i w:val="false"/>
          <w:color w:val="000000"/>
          <w:sz w:val="28"/>
        </w:rPr>
        <w:t>
      Примечание: Контаминанты - непреднамеренно привнесенные вещества, не предназначенные для использования в производстве, и подлежащие рассмотрению в рамках экспертизы в дополнении A.2 к модулям регистрационного досье.</w:t>
      </w:r>
    </w:p>
    <w:bookmarkEnd w:id="5834"/>
    <w:bookmarkStart w:name="z6028" w:id="5835"/>
    <w:p>
      <w:pPr>
        <w:spacing w:after="0"/>
        <w:ind w:left="0"/>
        <w:jc w:val="both"/>
      </w:pPr>
      <w:r>
        <w:rPr>
          <w:rFonts w:ascii="Times New Roman"/>
          <w:b w:val="false"/>
          <w:i w:val="false"/>
          <w:color w:val="000000"/>
          <w:sz w:val="28"/>
        </w:rPr>
        <w:t>
      Оценка сопоставимости.</w:t>
      </w:r>
    </w:p>
    <w:bookmarkEnd w:id="5835"/>
    <w:bookmarkStart w:name="z6029" w:id="5836"/>
    <w:p>
      <w:pPr>
        <w:spacing w:after="0"/>
        <w:ind w:left="0"/>
        <w:jc w:val="left"/>
      </w:pPr>
      <w:r>
        <w:rPr>
          <w:rFonts w:ascii="Times New Roman"/>
          <w:b/>
          <w:i w:val="false"/>
          <w:color w:val="000000"/>
        </w:rPr>
        <w:t xml:space="preserve"> 3.4. Контроль качества активной фармацевтической субстанции (модуль 3.2.S.4) </w:t>
      </w:r>
    </w:p>
    <w:bookmarkEnd w:id="5836"/>
    <w:bookmarkStart w:name="z6030" w:id="5837"/>
    <w:p>
      <w:pPr>
        <w:spacing w:after="0"/>
        <w:ind w:left="0"/>
        <w:jc w:val="both"/>
      </w:pPr>
      <w:r>
        <w:rPr>
          <w:rFonts w:ascii="Times New Roman"/>
          <w:b w:val="false"/>
          <w:i w:val="false"/>
          <w:color w:val="000000"/>
          <w:sz w:val="28"/>
        </w:rPr>
        <w:t>
      Под данным заголовком отражаются результаты рассмотрения сведений, указанных в следующих разделах:</w:t>
      </w:r>
    </w:p>
    <w:bookmarkEnd w:id="5837"/>
    <w:bookmarkStart w:name="z6031" w:id="5838"/>
    <w:p>
      <w:pPr>
        <w:spacing w:after="0"/>
        <w:ind w:left="0"/>
        <w:jc w:val="both"/>
      </w:pPr>
      <w:r>
        <w:rPr>
          <w:rFonts w:ascii="Times New Roman"/>
          <w:b w:val="false"/>
          <w:i w:val="false"/>
          <w:color w:val="000000"/>
          <w:sz w:val="28"/>
        </w:rPr>
        <w:t>
      S.4.1. Спецификация.</w:t>
      </w:r>
    </w:p>
    <w:bookmarkEnd w:id="5838"/>
    <w:bookmarkStart w:name="z6032" w:id="5839"/>
    <w:p>
      <w:pPr>
        <w:spacing w:after="0"/>
        <w:ind w:left="0"/>
        <w:jc w:val="both"/>
      </w:pPr>
      <w:r>
        <w:rPr>
          <w:rFonts w:ascii="Times New Roman"/>
          <w:b w:val="false"/>
          <w:i w:val="false"/>
          <w:color w:val="000000"/>
          <w:sz w:val="28"/>
        </w:rPr>
        <w:t>
      S.4.2. Аналитические методики.</w:t>
      </w:r>
    </w:p>
    <w:bookmarkEnd w:id="5839"/>
    <w:bookmarkStart w:name="z6033" w:id="5840"/>
    <w:p>
      <w:pPr>
        <w:spacing w:after="0"/>
        <w:ind w:left="0"/>
        <w:jc w:val="both"/>
      </w:pPr>
      <w:r>
        <w:rPr>
          <w:rFonts w:ascii="Times New Roman"/>
          <w:b w:val="false"/>
          <w:i w:val="false"/>
          <w:color w:val="000000"/>
          <w:sz w:val="28"/>
        </w:rPr>
        <w:t>
      S.4.3. Валидация аналитических методик.</w:t>
      </w:r>
    </w:p>
    <w:bookmarkEnd w:id="5840"/>
    <w:bookmarkStart w:name="z6034" w:id="5841"/>
    <w:p>
      <w:pPr>
        <w:spacing w:after="0"/>
        <w:ind w:left="0"/>
        <w:jc w:val="both"/>
      </w:pPr>
      <w:r>
        <w:rPr>
          <w:rFonts w:ascii="Times New Roman"/>
          <w:b w:val="false"/>
          <w:i w:val="false"/>
          <w:color w:val="000000"/>
          <w:sz w:val="28"/>
        </w:rPr>
        <w:t>
      S.4.4. Анализы серий (результаты анализа серий).</w:t>
      </w:r>
    </w:p>
    <w:bookmarkEnd w:id="5841"/>
    <w:bookmarkStart w:name="z6035" w:id="5842"/>
    <w:p>
      <w:pPr>
        <w:spacing w:after="0"/>
        <w:ind w:left="0"/>
        <w:jc w:val="both"/>
      </w:pPr>
      <w:r>
        <w:rPr>
          <w:rFonts w:ascii="Times New Roman"/>
          <w:b w:val="false"/>
          <w:i w:val="false"/>
          <w:color w:val="000000"/>
          <w:sz w:val="28"/>
        </w:rPr>
        <w:t>
      S.4.5. Обоснование спецификации.</w:t>
      </w:r>
    </w:p>
    <w:bookmarkEnd w:id="5842"/>
    <w:bookmarkStart w:name="z6036" w:id="5843"/>
    <w:p>
      <w:pPr>
        <w:spacing w:after="0"/>
        <w:ind w:left="0"/>
        <w:jc w:val="left"/>
      </w:pPr>
      <w:r>
        <w:rPr>
          <w:rFonts w:ascii="Times New Roman"/>
          <w:b/>
          <w:i w:val="false"/>
          <w:color w:val="000000"/>
        </w:rPr>
        <w:t xml:space="preserve"> Новые или известные химические соединения </w:t>
      </w:r>
    </w:p>
    <w:bookmarkEnd w:id="5843"/>
    <w:bookmarkStart w:name="z6037" w:id="5844"/>
    <w:p>
      <w:pPr>
        <w:spacing w:after="0"/>
        <w:ind w:left="0"/>
        <w:jc w:val="both"/>
      </w:pPr>
      <w:r>
        <w:rPr>
          <w:rFonts w:ascii="Times New Roman"/>
          <w:b w:val="false"/>
          <w:i w:val="false"/>
          <w:color w:val="000000"/>
          <w:sz w:val="28"/>
        </w:rPr>
        <w:t>
      S.4.1. Спецификация.</w:t>
      </w:r>
    </w:p>
    <w:bookmarkEnd w:id="5844"/>
    <w:bookmarkStart w:name="z6038" w:id="5845"/>
    <w:p>
      <w:pPr>
        <w:spacing w:after="0"/>
        <w:ind w:left="0"/>
        <w:jc w:val="both"/>
      </w:pPr>
      <w:r>
        <w:rPr>
          <w:rFonts w:ascii="Times New Roman"/>
          <w:b w:val="false"/>
          <w:i w:val="false"/>
          <w:color w:val="000000"/>
          <w:sz w:val="28"/>
        </w:rPr>
        <w:t>
      Следует вставить таблицу с данными спецификации. Представить обобщенную спецификацию в случае, если активное вещество получено из разных источников и имеет различные спецификации.</w:t>
      </w:r>
    </w:p>
    <w:bookmarkEnd w:id="5845"/>
    <w:bookmarkStart w:name="z6039" w:id="5846"/>
    <w:p>
      <w:pPr>
        <w:spacing w:after="0"/>
        <w:ind w:left="0"/>
        <w:jc w:val="both"/>
      </w:pPr>
      <w:r>
        <w:rPr>
          <w:rFonts w:ascii="Times New Roman"/>
          <w:b w:val="false"/>
          <w:i w:val="false"/>
          <w:color w:val="000000"/>
          <w:sz w:val="28"/>
        </w:rPr>
        <w:t>
      S.4.2. Аналитические методики.</w:t>
      </w:r>
    </w:p>
    <w:bookmarkEnd w:id="5846"/>
    <w:bookmarkStart w:name="z6040" w:id="5847"/>
    <w:p>
      <w:pPr>
        <w:spacing w:after="0"/>
        <w:ind w:left="0"/>
        <w:jc w:val="both"/>
      </w:pPr>
      <w:r>
        <w:rPr>
          <w:rFonts w:ascii="Times New Roman"/>
          <w:b w:val="false"/>
          <w:i w:val="false"/>
          <w:color w:val="000000"/>
          <w:sz w:val="28"/>
        </w:rPr>
        <w:t>
      Если они представлены в таблице выше - достаточно указать ссылку на методику.</w:t>
      </w:r>
    </w:p>
    <w:bookmarkEnd w:id="5847"/>
    <w:bookmarkStart w:name="z6041" w:id="5848"/>
    <w:p>
      <w:pPr>
        <w:spacing w:after="0"/>
        <w:ind w:left="0"/>
        <w:jc w:val="both"/>
      </w:pPr>
      <w:r>
        <w:rPr>
          <w:rFonts w:ascii="Times New Roman"/>
          <w:b w:val="false"/>
          <w:i w:val="false"/>
          <w:color w:val="000000"/>
          <w:sz w:val="28"/>
        </w:rPr>
        <w:t>
      S.4.3. Валидация аналитических методик.</w:t>
      </w:r>
    </w:p>
    <w:bookmarkEnd w:id="5848"/>
    <w:bookmarkStart w:name="z6042" w:id="5849"/>
    <w:p>
      <w:pPr>
        <w:spacing w:after="0"/>
        <w:ind w:left="0"/>
        <w:jc w:val="both"/>
      </w:pPr>
      <w:r>
        <w:rPr>
          <w:rFonts w:ascii="Times New Roman"/>
          <w:b w:val="false"/>
          <w:i w:val="false"/>
          <w:color w:val="000000"/>
          <w:sz w:val="28"/>
        </w:rPr>
        <w:t>
      Следует подтвердить соответствие требованиям руководств Союза или иных подходящих руководств с указанием отклонений.</w:t>
      </w:r>
    </w:p>
    <w:bookmarkEnd w:id="5849"/>
    <w:bookmarkStart w:name="z6043" w:id="5850"/>
    <w:p>
      <w:pPr>
        <w:spacing w:after="0"/>
        <w:ind w:left="0"/>
        <w:jc w:val="both"/>
      </w:pPr>
      <w:r>
        <w:rPr>
          <w:rFonts w:ascii="Times New Roman"/>
          <w:b w:val="false"/>
          <w:i w:val="false"/>
          <w:color w:val="000000"/>
          <w:sz w:val="28"/>
        </w:rPr>
        <w:t>
      Оценивают адекватность методик для рутинного контроля качества АФС.</w:t>
      </w:r>
    </w:p>
    <w:bookmarkEnd w:id="5850"/>
    <w:bookmarkStart w:name="z6044" w:id="5851"/>
    <w:p>
      <w:pPr>
        <w:spacing w:after="0"/>
        <w:ind w:left="0"/>
        <w:jc w:val="both"/>
      </w:pPr>
      <w:r>
        <w:rPr>
          <w:rFonts w:ascii="Times New Roman"/>
          <w:b w:val="false"/>
          <w:i w:val="false"/>
          <w:color w:val="000000"/>
          <w:sz w:val="28"/>
        </w:rPr>
        <w:t>
      S.4.4. Анализы серий (результаты анализа серий) &lt;указать число серий&gt;.</w:t>
      </w:r>
    </w:p>
    <w:bookmarkEnd w:id="5851"/>
    <w:bookmarkStart w:name="z6045" w:id="5852"/>
    <w:p>
      <w:pPr>
        <w:spacing w:after="0"/>
        <w:ind w:left="0"/>
        <w:jc w:val="both"/>
      </w:pPr>
      <w:r>
        <w:rPr>
          <w:rFonts w:ascii="Times New Roman"/>
          <w:b w:val="false"/>
          <w:i w:val="false"/>
          <w:color w:val="000000"/>
          <w:sz w:val="28"/>
        </w:rPr>
        <w:t>
      Следует оценить постоянство и однородность продукта от серии к серии. Доказывают ли представленные результаты, что процесс находится под контролем.</w:t>
      </w:r>
    </w:p>
    <w:bookmarkEnd w:id="5852"/>
    <w:bookmarkStart w:name="z6046" w:id="5853"/>
    <w:p>
      <w:pPr>
        <w:spacing w:after="0"/>
        <w:ind w:left="0"/>
        <w:jc w:val="both"/>
      </w:pPr>
      <w:r>
        <w:rPr>
          <w:rFonts w:ascii="Times New Roman"/>
          <w:b w:val="false"/>
          <w:i w:val="false"/>
          <w:color w:val="000000"/>
          <w:sz w:val="28"/>
        </w:rPr>
        <w:t>
      S.4.5. Обоснование спецификации.</w:t>
      </w:r>
    </w:p>
    <w:bookmarkEnd w:id="5853"/>
    <w:bookmarkStart w:name="z6047" w:id="5854"/>
    <w:p>
      <w:pPr>
        <w:spacing w:after="0"/>
        <w:ind w:left="0"/>
        <w:jc w:val="both"/>
      </w:pPr>
      <w:r>
        <w:rPr>
          <w:rFonts w:ascii="Times New Roman"/>
          <w:b w:val="false"/>
          <w:i w:val="false"/>
          <w:color w:val="000000"/>
          <w:sz w:val="28"/>
        </w:rPr>
        <w:t>
      Следует оценить адекватность предложенного заявителем обоснования спецификации с учетом предполагаемого применения АФС в готовом продукте.</w:t>
      </w:r>
    </w:p>
    <w:bookmarkEnd w:id="5854"/>
    <w:bookmarkStart w:name="z6048" w:id="5855"/>
    <w:p>
      <w:pPr>
        <w:spacing w:after="0"/>
        <w:ind w:left="0"/>
        <w:jc w:val="both"/>
      </w:pPr>
      <w:r>
        <w:rPr>
          <w:rFonts w:ascii="Times New Roman"/>
          <w:b w:val="false"/>
          <w:i w:val="false"/>
          <w:color w:val="000000"/>
          <w:sz w:val="28"/>
        </w:rPr>
        <w:t>
      Если производителем предлагаются испытания на выпуск в режиме реального времени, следует отметить, насколько это подтверждается глубоким пониманием особенностей продукта и производственного процесса. Также в этом случае следует указать, внедрен ли заявителем надлежащий контроль критических параметров процесса и критических показателей материалов, обосновывающие режим испытаний на выпуск. Следует указать, оценивалось ли влияние факторов окружающей среды на результаты испытаний серии продукта, выполненных в обычном режиме на выпуск и в режиме реального времени. Необходимо указать, применяется ли схема, предусматривающая сравнение результатов испытаний серии продукта выполненных в обычном режиме на выпуск и в режиме реального времени на достаточном количестве серий. При использовании моделей со многими переменными для прогнозирования показателей качества АФС или для on-line мониторинга процесса следует обратиться к дополнению № 3 экспертного отчета об оценке аспектов качества.</w:t>
      </w:r>
    </w:p>
    <w:bookmarkEnd w:id="5855"/>
    <w:bookmarkStart w:name="z6049" w:id="5856"/>
    <w:p>
      <w:pPr>
        <w:spacing w:after="0"/>
        <w:ind w:left="0"/>
        <w:jc w:val="left"/>
      </w:pPr>
      <w:r>
        <w:rPr>
          <w:rFonts w:ascii="Times New Roman"/>
          <w:b/>
          <w:i w:val="false"/>
          <w:color w:val="000000"/>
        </w:rPr>
        <w:t xml:space="preserve"> Биотехнологические препараты </w:t>
      </w:r>
    </w:p>
    <w:bookmarkEnd w:id="5856"/>
    <w:bookmarkStart w:name="z6050" w:id="5857"/>
    <w:p>
      <w:pPr>
        <w:spacing w:after="0"/>
        <w:ind w:left="0"/>
        <w:jc w:val="both"/>
      </w:pPr>
      <w:r>
        <w:rPr>
          <w:rFonts w:ascii="Times New Roman"/>
          <w:b w:val="false"/>
          <w:i w:val="false"/>
          <w:color w:val="000000"/>
          <w:sz w:val="28"/>
        </w:rPr>
        <w:t>
      В пункт S.4.1 входят приведенные ниже сведения.</w:t>
      </w:r>
    </w:p>
    <w:bookmarkEnd w:id="5857"/>
    <w:bookmarkStart w:name="z6051" w:id="5858"/>
    <w:p>
      <w:pPr>
        <w:spacing w:after="0"/>
        <w:ind w:left="0"/>
        <w:jc w:val="both"/>
      </w:pPr>
      <w:r>
        <w:rPr>
          <w:rFonts w:ascii="Times New Roman"/>
          <w:b w:val="false"/>
          <w:i w:val="false"/>
          <w:color w:val="000000"/>
          <w:sz w:val="28"/>
        </w:rPr>
        <w:t>
      Внешний вид и описание. Необходимо дать качественную оценку с описанием физического (агрегатного) состояния (например, в твердом, жидком состоянии) и цвета АФС.</w:t>
      </w:r>
    </w:p>
    <w:bookmarkEnd w:id="5858"/>
    <w:bookmarkStart w:name="z6052" w:id="5859"/>
    <w:p>
      <w:pPr>
        <w:spacing w:after="0"/>
        <w:ind w:left="0"/>
        <w:jc w:val="both"/>
      </w:pPr>
      <w:r>
        <w:rPr>
          <w:rFonts w:ascii="Times New Roman"/>
          <w:b w:val="false"/>
          <w:i w:val="false"/>
          <w:color w:val="000000"/>
          <w:sz w:val="28"/>
        </w:rPr>
        <w:t>
      Подлинность. Испытания подлинности должны характеризоваться высокой специфичностью в отношении АФС и быть основаны на уникальных характеристиках молекулярной структуры и (или) других специфических свойствах. Для определения подлинности может потребоваться проведение более одного метода испытания (физико-химического, биологического и (или) иммунохимического).</w:t>
      </w:r>
    </w:p>
    <w:bookmarkEnd w:id="5859"/>
    <w:bookmarkStart w:name="z6053" w:id="5860"/>
    <w:p>
      <w:pPr>
        <w:spacing w:after="0"/>
        <w:ind w:left="0"/>
        <w:jc w:val="both"/>
      </w:pPr>
      <w:r>
        <w:rPr>
          <w:rFonts w:ascii="Times New Roman"/>
          <w:b w:val="false"/>
          <w:i w:val="false"/>
          <w:color w:val="000000"/>
          <w:sz w:val="28"/>
        </w:rPr>
        <w:t>
      Чистота и примеси. Поскольку абсолютную чистоту биотехнологических и биологических продуктов трудно определить, то результаты нередко зависят от выбранного метода. Поэтому чистота АФС обычно оценивается несколькими различными методами. При оценке выбора и оптимизации аналитических методик эксперту необходимо сосредоточиться на достижении результата по разделению желаемого продукта от родственных соединений и примесей. Примеси, содержащиеся в этих продуктах, делятся на родственные и технологические.</w:t>
      </w:r>
    </w:p>
    <w:bookmarkEnd w:id="5860"/>
    <w:bookmarkStart w:name="z6054" w:id="5861"/>
    <w:p>
      <w:pPr>
        <w:spacing w:after="0"/>
        <w:ind w:left="0"/>
        <w:jc w:val="both"/>
      </w:pPr>
      <w:r>
        <w:rPr>
          <w:rFonts w:ascii="Times New Roman"/>
          <w:b w:val="false"/>
          <w:i w:val="false"/>
          <w:color w:val="000000"/>
          <w:sz w:val="28"/>
        </w:rPr>
        <w:t>
      Активность. Следует убедиться, что в спецификацию включена подходящая валидированная методика количественного определения активности биотехнологической или биологической АФС и (или) лекарственного препарата. В случае использования заявителем подходящей методики количественного определения активности лекарственного препарата может быть достаточным применение альтернативного метода (физико-химического и (или) биологического) на этапе количественного определения АФС. В отдельных случаях измерение специфической активности может служить источником дополнительной ценной информации.</w:t>
      </w:r>
    </w:p>
    <w:bookmarkEnd w:id="5861"/>
    <w:bookmarkStart w:name="z6055" w:id="5862"/>
    <w:p>
      <w:pPr>
        <w:spacing w:after="0"/>
        <w:ind w:left="0"/>
        <w:jc w:val="both"/>
      </w:pPr>
      <w:r>
        <w:rPr>
          <w:rFonts w:ascii="Times New Roman"/>
          <w:b w:val="false"/>
          <w:i w:val="false"/>
          <w:color w:val="000000"/>
          <w:sz w:val="28"/>
        </w:rPr>
        <w:t>
      Количественное содержание. Количественное содержание АФС, основанное на определении содержания белка (массы), должно быть определено с помощью соответствующего метода количественного определения. Количественное определение может не требовать стандартных образцов или материалов.</w:t>
      </w:r>
    </w:p>
    <w:bookmarkEnd w:id="5862"/>
    <w:bookmarkStart w:name="z6056" w:id="5863"/>
    <w:p>
      <w:pPr>
        <w:spacing w:after="0"/>
        <w:ind w:left="0"/>
        <w:jc w:val="both"/>
      </w:pPr>
      <w:r>
        <w:rPr>
          <w:rFonts w:ascii="Times New Roman"/>
          <w:b w:val="false"/>
          <w:i w:val="false"/>
          <w:color w:val="000000"/>
          <w:sz w:val="28"/>
        </w:rPr>
        <w:t>
      Если производимый продукт оценивается в единицах активности, количественное определение альтернативным методом может не проводиться.</w:t>
      </w:r>
    </w:p>
    <w:bookmarkEnd w:id="5863"/>
    <w:bookmarkStart w:name="z6057" w:id="5864"/>
    <w:p>
      <w:pPr>
        <w:spacing w:after="0"/>
        <w:ind w:left="0"/>
        <w:jc w:val="both"/>
      </w:pPr>
      <w:r>
        <w:rPr>
          <w:rFonts w:ascii="Times New Roman"/>
          <w:b w:val="false"/>
          <w:i w:val="false"/>
          <w:color w:val="000000"/>
          <w:sz w:val="28"/>
        </w:rPr>
        <w:t>
      Спецификация на АФС должна быть включена в состав экспертного отчета или быть приложением к нему.</w:t>
      </w:r>
    </w:p>
    <w:bookmarkEnd w:id="5864"/>
    <w:bookmarkStart w:name="z6058" w:id="5865"/>
    <w:p>
      <w:pPr>
        <w:spacing w:after="0"/>
        <w:ind w:left="0"/>
        <w:jc w:val="both"/>
      </w:pPr>
      <w:r>
        <w:rPr>
          <w:rFonts w:ascii="Times New Roman"/>
          <w:b w:val="false"/>
          <w:i w:val="false"/>
          <w:color w:val="000000"/>
          <w:sz w:val="28"/>
        </w:rPr>
        <w:t>
      В пункт S.4.3 входят приведенные ниже сведения.</w:t>
      </w:r>
    </w:p>
    <w:bookmarkEnd w:id="5865"/>
    <w:bookmarkStart w:name="z6059" w:id="5866"/>
    <w:p>
      <w:pPr>
        <w:spacing w:after="0"/>
        <w:ind w:left="0"/>
        <w:jc w:val="both"/>
      </w:pPr>
      <w:r>
        <w:rPr>
          <w:rFonts w:ascii="Times New Roman"/>
          <w:b w:val="false"/>
          <w:i w:val="false"/>
          <w:color w:val="000000"/>
          <w:sz w:val="28"/>
        </w:rPr>
        <w:t>
      Экспертная оценка адекватности валидации аналитических методик.</w:t>
      </w:r>
    </w:p>
    <w:bookmarkEnd w:id="5866"/>
    <w:bookmarkStart w:name="z6060" w:id="5867"/>
    <w:p>
      <w:pPr>
        <w:spacing w:after="0"/>
        <w:ind w:left="0"/>
        <w:jc w:val="both"/>
      </w:pPr>
      <w:r>
        <w:rPr>
          <w:rFonts w:ascii="Times New Roman"/>
          <w:b w:val="false"/>
          <w:i w:val="false"/>
          <w:color w:val="000000"/>
          <w:sz w:val="28"/>
        </w:rPr>
        <w:t>
      В пункт S.4.4 входят приведенные ниже сведения.</w:t>
      </w:r>
    </w:p>
    <w:bookmarkEnd w:id="5867"/>
    <w:bookmarkStart w:name="z6061" w:id="5868"/>
    <w:p>
      <w:pPr>
        <w:spacing w:after="0"/>
        <w:ind w:left="0"/>
        <w:jc w:val="both"/>
      </w:pPr>
      <w:r>
        <w:rPr>
          <w:rFonts w:ascii="Times New Roman"/>
          <w:b w:val="false"/>
          <w:i w:val="false"/>
          <w:color w:val="000000"/>
          <w:sz w:val="28"/>
        </w:rPr>
        <w:t>
      Информация об однородности АФС от серии к серии.</w:t>
      </w:r>
    </w:p>
    <w:bookmarkEnd w:id="5868"/>
    <w:bookmarkStart w:name="z6062" w:id="5869"/>
    <w:p>
      <w:pPr>
        <w:spacing w:after="0"/>
        <w:ind w:left="0"/>
        <w:jc w:val="both"/>
      </w:pPr>
      <w:r>
        <w:rPr>
          <w:rFonts w:ascii="Times New Roman"/>
          <w:b w:val="false"/>
          <w:i w:val="false"/>
          <w:color w:val="000000"/>
          <w:sz w:val="28"/>
        </w:rPr>
        <w:t>
      Необходимо оценить, как было подтверждено постоянство профиля гетерогенности (например, гликоформ, изоформ).</w:t>
      </w:r>
    </w:p>
    <w:bookmarkEnd w:id="5869"/>
    <w:bookmarkStart w:name="z6063" w:id="5870"/>
    <w:p>
      <w:pPr>
        <w:spacing w:after="0"/>
        <w:ind w:left="0"/>
        <w:jc w:val="both"/>
      </w:pPr>
      <w:r>
        <w:rPr>
          <w:rFonts w:ascii="Times New Roman"/>
          <w:b w:val="false"/>
          <w:i w:val="false"/>
          <w:color w:val="000000"/>
          <w:sz w:val="28"/>
        </w:rPr>
        <w:t>
      Следует проанализировать различия, если таковые имеются, в содержании примесей в сериях АФС для доклинических и клинических исследований и в промышленных сериях.</w:t>
      </w:r>
    </w:p>
    <w:bookmarkEnd w:id="5870"/>
    <w:bookmarkStart w:name="z6064" w:id="5871"/>
    <w:p>
      <w:pPr>
        <w:spacing w:after="0"/>
        <w:ind w:left="0"/>
        <w:jc w:val="both"/>
      </w:pPr>
      <w:r>
        <w:rPr>
          <w:rFonts w:ascii="Times New Roman"/>
          <w:b w:val="false"/>
          <w:i w:val="false"/>
          <w:color w:val="000000"/>
          <w:sz w:val="28"/>
        </w:rPr>
        <w:t>
      В пункт S.4.5 входят приведенные ниже сведения.</w:t>
      </w:r>
    </w:p>
    <w:bookmarkEnd w:id="5871"/>
    <w:bookmarkStart w:name="z6065" w:id="5872"/>
    <w:p>
      <w:pPr>
        <w:spacing w:after="0"/>
        <w:ind w:left="0"/>
        <w:jc w:val="both"/>
      </w:pPr>
      <w:r>
        <w:rPr>
          <w:rFonts w:ascii="Times New Roman"/>
          <w:b w:val="false"/>
          <w:i w:val="false"/>
          <w:color w:val="000000"/>
          <w:sz w:val="28"/>
        </w:rPr>
        <w:t>
      Описание представленного обоснования, лежащего в основе определения допустимого диапазона критериев приемлемости с учетом полного процесса производства и очистки, а также использованных аналитических методик. Критерии приемлемости должны быть установлены и обоснованы на основе данных серий, использованных в доклинических и (или) клинических исследованиях, данных серий, использованных для подтверждения постоянства производственного процесса, а также данных испытаний стабильности и соответствующих данных по разработке.</w:t>
      </w:r>
    </w:p>
    <w:bookmarkEnd w:id="5872"/>
    <w:bookmarkStart w:name="z6066" w:id="5873"/>
    <w:p>
      <w:pPr>
        <w:spacing w:after="0"/>
        <w:ind w:left="0"/>
        <w:jc w:val="both"/>
      </w:pPr>
      <w:r>
        <w:rPr>
          <w:rFonts w:ascii="Times New Roman"/>
          <w:b w:val="false"/>
          <w:i w:val="false"/>
          <w:color w:val="000000"/>
          <w:sz w:val="28"/>
        </w:rPr>
        <w:t>
      В некоторых случаях более целесообразно и приемлемо проведение испытаний на стадиях производства, а не на готовых АФС или ЛП. В таких случаях результаты испытаний должны рассматриваться как критерии приемлемости внутрипроизводственного процесса и включаться в спецификацию АФС или ЛП в соответствии с требованиями Союза или региональных уполномоченных органов.</w:t>
      </w:r>
    </w:p>
    <w:bookmarkEnd w:id="5873"/>
    <w:bookmarkStart w:name="z6067" w:id="5874"/>
    <w:p>
      <w:pPr>
        <w:spacing w:after="0"/>
        <w:ind w:left="0"/>
        <w:jc w:val="both"/>
      </w:pPr>
      <w:r>
        <w:rPr>
          <w:rFonts w:ascii="Times New Roman"/>
          <w:b w:val="false"/>
          <w:i w:val="false"/>
          <w:color w:val="000000"/>
          <w:sz w:val="28"/>
        </w:rPr>
        <w:t>
      Эксперт должен определить, выбрал ли заявитель подходящий комплекс методов испытаний, которые должны применяться для рутинного контроля показателей спецификации АФС, из всего объема методов, использованных на этапе разработки и определения характеристик продукта.</w:t>
      </w:r>
    </w:p>
    <w:bookmarkEnd w:id="5874"/>
    <w:bookmarkStart w:name="z6068" w:id="5875"/>
    <w:p>
      <w:pPr>
        <w:spacing w:after="0"/>
        <w:ind w:left="0"/>
        <w:jc w:val="both"/>
      </w:pPr>
      <w:r>
        <w:rPr>
          <w:rFonts w:ascii="Times New Roman"/>
          <w:b w:val="false"/>
          <w:i w:val="false"/>
          <w:color w:val="000000"/>
          <w:sz w:val="28"/>
        </w:rPr>
        <w:t>
       </w:t>
      </w:r>
    </w:p>
    <w:bookmarkEnd w:id="5875"/>
    <w:bookmarkStart w:name="z6069" w:id="5876"/>
    <w:p>
      <w:pPr>
        <w:spacing w:after="0"/>
        <w:ind w:left="0"/>
        <w:jc w:val="left"/>
      </w:pPr>
      <w:r>
        <w:rPr>
          <w:rFonts w:ascii="Times New Roman"/>
          <w:b/>
          <w:i w:val="false"/>
          <w:color w:val="000000"/>
        </w:rPr>
        <w:t xml:space="preserve"> 3.5. Стандартные образцы или материалы (модуль 3.2.S.5)</w:t>
      </w:r>
    </w:p>
    <w:bookmarkEnd w:id="5876"/>
    <w:bookmarkStart w:name="z6070" w:id="5877"/>
    <w:p>
      <w:pPr>
        <w:spacing w:after="0"/>
        <w:ind w:left="0"/>
        <w:jc w:val="left"/>
      </w:pPr>
      <w:r>
        <w:rPr>
          <w:rFonts w:ascii="Times New Roman"/>
          <w:b/>
          <w:i w:val="false"/>
          <w:color w:val="000000"/>
        </w:rPr>
        <w:t xml:space="preserve"> Новые или известные химические соединения</w:t>
      </w:r>
    </w:p>
    <w:bookmarkEnd w:id="5877"/>
    <w:bookmarkStart w:name="z6071" w:id="5878"/>
    <w:p>
      <w:pPr>
        <w:spacing w:after="0"/>
        <w:ind w:left="0"/>
        <w:jc w:val="both"/>
      </w:pPr>
      <w:r>
        <w:rPr>
          <w:rFonts w:ascii="Times New Roman"/>
          <w:b w:val="false"/>
          <w:i w:val="false"/>
          <w:color w:val="000000"/>
          <w:sz w:val="28"/>
        </w:rPr>
        <w:t>
      Указать, доступны ли стандартные образцы основных фармакопей в соответствии с Концепцией гармонизации фармакопейных стандартов государств - членов Евразийского экономического союза, утверждаемой Евразийской экономической комиссией.</w:t>
      </w:r>
    </w:p>
    <w:bookmarkEnd w:id="5878"/>
    <w:bookmarkStart w:name="z6072" w:id="5879"/>
    <w:p>
      <w:pPr>
        <w:spacing w:after="0"/>
        <w:ind w:left="0"/>
        <w:jc w:val="left"/>
      </w:pPr>
      <w:r>
        <w:rPr>
          <w:rFonts w:ascii="Times New Roman"/>
          <w:b/>
          <w:i w:val="false"/>
          <w:color w:val="000000"/>
        </w:rPr>
        <w:t xml:space="preserve"> Биотехнологические препараты </w:t>
      </w:r>
    </w:p>
    <w:bookmarkEnd w:id="5879"/>
    <w:bookmarkStart w:name="z6073" w:id="5880"/>
    <w:p>
      <w:pPr>
        <w:spacing w:after="0"/>
        <w:ind w:left="0"/>
        <w:jc w:val="both"/>
      </w:pPr>
      <w:r>
        <w:rPr>
          <w:rFonts w:ascii="Times New Roman"/>
          <w:b w:val="false"/>
          <w:i w:val="false"/>
          <w:color w:val="000000"/>
          <w:sz w:val="28"/>
        </w:rPr>
        <w:t>
      В отношении заявлений на регистрацию новых молекулярных веществ наличие применимого международного или национального стандартного образца маловероятно.</w:t>
      </w:r>
    </w:p>
    <w:bookmarkEnd w:id="5880"/>
    <w:bookmarkStart w:name="z6074" w:id="5881"/>
    <w:p>
      <w:pPr>
        <w:spacing w:after="0"/>
        <w:ind w:left="0"/>
        <w:jc w:val="both"/>
      </w:pPr>
      <w:r>
        <w:rPr>
          <w:rFonts w:ascii="Times New Roman"/>
          <w:b w:val="false"/>
          <w:i w:val="false"/>
          <w:color w:val="000000"/>
          <w:sz w:val="28"/>
        </w:rPr>
        <w:t>
      К моменту подачи заявления производитель должен утвердить соответствующим образом охарактеризованные внутренние исходные стандартные материалы на основе серии(й), представляющих собой репрезентативную производственную выборку и использованные в клинических исследованиях. Собственные рабочие стандартные материалы, использованные при испытаниях серий исходного продукта, подлежат стандартизации (аттестации) с использованием данного исходного стандартного материала.</w:t>
      </w:r>
    </w:p>
    <w:bookmarkEnd w:id="5881"/>
    <w:bookmarkStart w:name="z6075" w:id="5882"/>
    <w:p>
      <w:pPr>
        <w:spacing w:after="0"/>
        <w:ind w:left="0"/>
        <w:jc w:val="both"/>
      </w:pPr>
      <w:r>
        <w:rPr>
          <w:rFonts w:ascii="Times New Roman"/>
          <w:b w:val="false"/>
          <w:i w:val="false"/>
          <w:color w:val="000000"/>
          <w:sz w:val="28"/>
        </w:rPr>
        <w:t>
      При наличии и целесообразности применения международного или национального стандарта стандартизацию (аттестацию) стандартных материалов следует производить с использованием данных стандартов. Хотя предпочтительнее использовать один и тот же стандартный материал для биологических анализов и физико-химических испытаний, в некоторых случаях может потребоваться применение различных стандартных материалов.</w:t>
      </w:r>
    </w:p>
    <w:bookmarkEnd w:id="5882"/>
    <w:bookmarkStart w:name="z6076" w:id="5883"/>
    <w:p>
      <w:pPr>
        <w:spacing w:after="0"/>
        <w:ind w:left="0"/>
        <w:jc w:val="both"/>
      </w:pPr>
      <w:r>
        <w:rPr>
          <w:rFonts w:ascii="Times New Roman"/>
          <w:b w:val="false"/>
          <w:i w:val="false"/>
          <w:color w:val="000000"/>
          <w:sz w:val="28"/>
        </w:rPr>
        <w:t>
      Кроме того, могут потребоваться различные стандартные материалы для определения родственных соединений, родственных примесей и технологических примесей.</w:t>
      </w:r>
    </w:p>
    <w:bookmarkEnd w:id="5883"/>
    <w:bookmarkStart w:name="z6077" w:id="5884"/>
    <w:p>
      <w:pPr>
        <w:spacing w:after="0"/>
        <w:ind w:left="0"/>
        <w:jc w:val="both"/>
      </w:pPr>
      <w:r>
        <w:rPr>
          <w:rFonts w:ascii="Times New Roman"/>
          <w:b w:val="false"/>
          <w:i w:val="false"/>
          <w:color w:val="000000"/>
          <w:sz w:val="28"/>
        </w:rPr>
        <w:t>
      В применимых случаях может потребоваться включение в регистрационное досье описания процесса производства и (или) очистки стандартных материалов. Также необходимо представить документацию касательно характеристики, условий хранения и состава, обеспечивающих стабильность стандартных материалов.</w:t>
      </w:r>
    </w:p>
    <w:bookmarkEnd w:id="5884"/>
    <w:bookmarkStart w:name="z6078" w:id="5885"/>
    <w:p>
      <w:pPr>
        <w:spacing w:after="0"/>
        <w:ind w:left="0"/>
        <w:jc w:val="both"/>
      </w:pPr>
      <w:r>
        <w:rPr>
          <w:rFonts w:ascii="Times New Roman"/>
          <w:b w:val="false"/>
          <w:i w:val="false"/>
          <w:color w:val="000000"/>
          <w:sz w:val="28"/>
        </w:rPr>
        <w:t>
      В отношении биоподобного лекарственного средства требуется предоставление результатов исследования сопоставимости свойств активной фармацевтической субстанции (АФС). В соответствующих случаях необходимо подтвердить использование АФС референтного лекарственного препарата, указанного в разделе 3.2.P.6.</w:t>
      </w:r>
    </w:p>
    <w:bookmarkEnd w:id="5885"/>
    <w:bookmarkStart w:name="z6079" w:id="5886"/>
    <w:p>
      <w:pPr>
        <w:spacing w:after="0"/>
        <w:ind w:left="0"/>
        <w:jc w:val="left"/>
      </w:pPr>
      <w:r>
        <w:rPr>
          <w:rFonts w:ascii="Times New Roman"/>
          <w:b/>
          <w:i w:val="false"/>
          <w:color w:val="000000"/>
        </w:rPr>
        <w:t xml:space="preserve"> 3.6. Система упаковки (укупорки) (модуль 3.2.S.6) </w:t>
      </w:r>
    </w:p>
    <w:bookmarkEnd w:id="5886"/>
    <w:bookmarkStart w:name="z6080" w:id="5887"/>
    <w:p>
      <w:pPr>
        <w:spacing w:after="0"/>
        <w:ind w:left="0"/>
        <w:jc w:val="both"/>
      </w:pPr>
      <w:r>
        <w:rPr>
          <w:rFonts w:ascii="Times New Roman"/>
          <w:b w:val="false"/>
          <w:i w:val="false"/>
          <w:color w:val="000000"/>
          <w:sz w:val="28"/>
        </w:rPr>
        <w:t>
      Следует оценить обоснованность выбора контейнера и способа укупорки с учетом физических/химических свойств АФС.</w:t>
      </w:r>
    </w:p>
    <w:bookmarkEnd w:id="5887"/>
    <w:bookmarkStart w:name="z6081" w:id="5888"/>
    <w:p>
      <w:pPr>
        <w:spacing w:after="0"/>
        <w:ind w:left="0"/>
        <w:jc w:val="both"/>
      </w:pPr>
      <w:r>
        <w:rPr>
          <w:rFonts w:ascii="Times New Roman"/>
          <w:b w:val="false"/>
          <w:i w:val="false"/>
          <w:color w:val="000000"/>
          <w:sz w:val="28"/>
        </w:rPr>
        <w:t>
      Следует оценить, обеспечена ли данным выбором надлежащая защита от микробной контаминации, если данный параметр является важным.</w:t>
      </w:r>
    </w:p>
    <w:bookmarkEnd w:id="5888"/>
    <w:bookmarkStart w:name="z6082" w:id="5889"/>
    <w:p>
      <w:pPr>
        <w:spacing w:after="0"/>
        <w:ind w:left="0"/>
        <w:jc w:val="both"/>
      </w:pPr>
      <w:r>
        <w:rPr>
          <w:rFonts w:ascii="Times New Roman"/>
          <w:b w:val="false"/>
          <w:i w:val="false"/>
          <w:color w:val="000000"/>
          <w:sz w:val="28"/>
        </w:rPr>
        <w:t>
      Необходимо подтвердить, что контейнеры, предлагаемые для рутинного хранения, совпадают с тем, которые были использованы в исследованиях стабильности, направленных на обоснование предлагаемого периода повторных испытаний (раздел S.7).</w:t>
      </w:r>
    </w:p>
    <w:bookmarkEnd w:id="5889"/>
    <w:bookmarkStart w:name="z6083" w:id="5890"/>
    <w:p>
      <w:pPr>
        <w:spacing w:after="0"/>
        <w:ind w:left="0"/>
        <w:jc w:val="left"/>
      </w:pPr>
      <w:r>
        <w:rPr>
          <w:rFonts w:ascii="Times New Roman"/>
          <w:b/>
          <w:i w:val="false"/>
          <w:color w:val="000000"/>
        </w:rPr>
        <w:t xml:space="preserve"> 3.7. Стабильность (модуль 3.2.S.7) </w:t>
      </w:r>
    </w:p>
    <w:bookmarkEnd w:id="5890"/>
    <w:bookmarkStart w:name="z6084" w:id="5891"/>
    <w:p>
      <w:pPr>
        <w:spacing w:after="0"/>
        <w:ind w:left="0"/>
        <w:jc w:val="both"/>
      </w:pPr>
      <w:r>
        <w:rPr>
          <w:rFonts w:ascii="Times New Roman"/>
          <w:b w:val="false"/>
          <w:i w:val="false"/>
          <w:color w:val="000000"/>
          <w:sz w:val="28"/>
        </w:rPr>
        <w:t>
      В данном разделе следует отразить результаты рассмотрения сведений, указанных в следующих разделах регистрационного досье:</w:t>
      </w:r>
    </w:p>
    <w:bookmarkEnd w:id="5891"/>
    <w:bookmarkStart w:name="z6085" w:id="5892"/>
    <w:p>
      <w:pPr>
        <w:spacing w:after="0"/>
        <w:ind w:left="0"/>
        <w:jc w:val="both"/>
      </w:pPr>
      <w:r>
        <w:rPr>
          <w:rFonts w:ascii="Times New Roman"/>
          <w:b w:val="false"/>
          <w:i w:val="false"/>
          <w:color w:val="000000"/>
          <w:sz w:val="28"/>
        </w:rPr>
        <w:t>
      S.7.1. Резюме об испытаниях стабильности и заключение о стабильности;</w:t>
      </w:r>
    </w:p>
    <w:bookmarkEnd w:id="5892"/>
    <w:bookmarkStart w:name="z6086" w:id="5893"/>
    <w:p>
      <w:pPr>
        <w:spacing w:after="0"/>
        <w:ind w:left="0"/>
        <w:jc w:val="both"/>
      </w:pPr>
      <w:r>
        <w:rPr>
          <w:rFonts w:ascii="Times New Roman"/>
          <w:b w:val="false"/>
          <w:i w:val="false"/>
          <w:color w:val="000000"/>
          <w:sz w:val="28"/>
        </w:rPr>
        <w:t>
      S.7.2. Программа пострегистрационных испытаний стабильности и обязательства относительно стабильности;</w:t>
      </w:r>
    </w:p>
    <w:bookmarkEnd w:id="5893"/>
    <w:bookmarkStart w:name="z6087" w:id="5894"/>
    <w:p>
      <w:pPr>
        <w:spacing w:after="0"/>
        <w:ind w:left="0"/>
        <w:jc w:val="both"/>
      </w:pPr>
      <w:r>
        <w:rPr>
          <w:rFonts w:ascii="Times New Roman"/>
          <w:b w:val="false"/>
          <w:i w:val="false"/>
          <w:color w:val="000000"/>
          <w:sz w:val="28"/>
        </w:rPr>
        <w:t>
      S.7.3. Данные испытаний о стабильности.</w:t>
      </w:r>
    </w:p>
    <w:bookmarkEnd w:id="5894"/>
    <w:bookmarkStart w:name="z6088" w:id="5895"/>
    <w:p>
      <w:pPr>
        <w:spacing w:after="0"/>
        <w:ind w:left="0"/>
        <w:jc w:val="both"/>
      </w:pPr>
      <w:r>
        <w:rPr>
          <w:rFonts w:ascii="Times New Roman"/>
          <w:b w:val="false"/>
          <w:i w:val="false"/>
          <w:color w:val="000000"/>
          <w:sz w:val="28"/>
        </w:rPr>
        <w:t>
      Следует указать, проводились ли исследования в соответствии с действующими руководствами Союза или применимыми руководствами Международной конференции по гармонизации (ICH). Необходимо отметить наличие отклонений и их обоснованность.</w:t>
      </w:r>
    </w:p>
    <w:bookmarkEnd w:id="5895"/>
    <w:bookmarkStart w:name="z6089" w:id="5896"/>
    <w:p>
      <w:pPr>
        <w:spacing w:after="0"/>
        <w:ind w:left="0"/>
        <w:jc w:val="both"/>
      </w:pPr>
      <w:r>
        <w:rPr>
          <w:rFonts w:ascii="Times New Roman"/>
          <w:b w:val="false"/>
          <w:i w:val="false"/>
          <w:color w:val="000000"/>
          <w:sz w:val="28"/>
        </w:rPr>
        <w:t>
      Резюме и заключения по стабильности: следует привести ссылки на любые различия в производстве, а также описание использованных процессов с комментариями в отношении того, оказывают ли они существенное влияние на профиль стабильности.</w:t>
      </w:r>
    </w:p>
    <w:bookmarkEnd w:id="5896"/>
    <w:bookmarkStart w:name="z6090" w:id="5897"/>
    <w:p>
      <w:pPr>
        <w:spacing w:after="0"/>
        <w:ind w:left="0"/>
        <w:jc w:val="both"/>
      </w:pPr>
      <w:r>
        <w:rPr>
          <w:rFonts w:ascii="Times New Roman"/>
          <w:b w:val="false"/>
          <w:i w:val="false"/>
          <w:color w:val="000000"/>
          <w:sz w:val="28"/>
        </w:rPr>
        <w:t>
      Необходимо прокомментировать достаточность программы пострегистрационных испытаний стабильности, в частности в отношении определяемых параметров.</w:t>
      </w:r>
    </w:p>
    <w:bookmarkEnd w:id="5897"/>
    <w:bookmarkStart w:name="z6091" w:id="5898"/>
    <w:p>
      <w:pPr>
        <w:spacing w:after="0"/>
        <w:ind w:left="0"/>
        <w:jc w:val="both"/>
      </w:pPr>
      <w:r>
        <w:rPr>
          <w:rFonts w:ascii="Times New Roman"/>
          <w:b w:val="false"/>
          <w:i w:val="false"/>
          <w:color w:val="000000"/>
          <w:sz w:val="28"/>
        </w:rPr>
        <w:t>
      Следует убедиться, что результаты аналитических методик служат надежным показателем стабильности (см. пункт S.4). Должны быть выбраны аналитические методики, достоверно свидетельствующие о стабильности и позволяющие обнаруживать существенные изменения показателей качества АФС.</w:t>
      </w:r>
    </w:p>
    <w:bookmarkEnd w:id="5898"/>
    <w:bookmarkStart w:name="z6092" w:id="5899"/>
    <w:p>
      <w:pPr>
        <w:spacing w:after="0"/>
        <w:ind w:left="0"/>
        <w:jc w:val="both"/>
      </w:pPr>
      <w:r>
        <w:rPr>
          <w:rFonts w:ascii="Times New Roman"/>
          <w:b w:val="false"/>
          <w:i w:val="false"/>
          <w:color w:val="000000"/>
          <w:sz w:val="28"/>
        </w:rPr>
        <w:t>
      В частности, в отношении новых или известных химических активных веществ следует убедиться, что контейнеры, использованные при исследовании стабильности, совпадают с предложенными для рутинного хранения (см. раздел S.6) и отразить это в экспертном отчете.</w:t>
      </w:r>
    </w:p>
    <w:bookmarkEnd w:id="5899"/>
    <w:bookmarkStart w:name="z6093" w:id="5900"/>
    <w:p>
      <w:pPr>
        <w:spacing w:after="0"/>
        <w:ind w:left="0"/>
        <w:jc w:val="both"/>
      </w:pPr>
      <w:r>
        <w:rPr>
          <w:rFonts w:ascii="Times New Roman"/>
          <w:b w:val="false"/>
          <w:i w:val="false"/>
          <w:color w:val="000000"/>
          <w:sz w:val="28"/>
        </w:rPr>
        <w:t>
      Заключительный вывод об обоснованности предлагаемого периода повторных испытаний.</w:t>
      </w:r>
    </w:p>
    <w:bookmarkEnd w:id="5900"/>
    <w:bookmarkStart w:name="z6094" w:id="5901"/>
    <w:p>
      <w:pPr>
        <w:spacing w:after="0"/>
        <w:ind w:left="0"/>
        <w:jc w:val="left"/>
      </w:pPr>
      <w:r>
        <w:rPr>
          <w:rFonts w:ascii="Times New Roman"/>
          <w:b/>
          <w:i w:val="false"/>
          <w:color w:val="000000"/>
        </w:rPr>
        <w:t xml:space="preserve"> 4. Лекарственный препарат (модуль 3.2.P)</w:t>
      </w:r>
    </w:p>
    <w:bookmarkEnd w:id="5901"/>
    <w:bookmarkStart w:name="z6095" w:id="5902"/>
    <w:p>
      <w:pPr>
        <w:spacing w:after="0"/>
        <w:ind w:left="0"/>
        <w:jc w:val="left"/>
      </w:pPr>
      <w:r>
        <w:rPr>
          <w:rFonts w:ascii="Times New Roman"/>
          <w:b/>
          <w:i w:val="false"/>
          <w:color w:val="000000"/>
        </w:rPr>
        <w:t xml:space="preserve"> 4.1. Описание и состав лекарственного препарата (модуль 3.2.P.1)</w:t>
      </w:r>
    </w:p>
    <w:bookmarkEnd w:id="5902"/>
    <w:bookmarkStart w:name="z6096" w:id="5903"/>
    <w:p>
      <w:pPr>
        <w:spacing w:after="0"/>
        <w:ind w:left="0"/>
        <w:jc w:val="both"/>
      </w:pPr>
      <w:r>
        <w:rPr>
          <w:rFonts w:ascii="Times New Roman"/>
          <w:b w:val="false"/>
          <w:i w:val="false"/>
          <w:color w:val="000000"/>
          <w:sz w:val="28"/>
        </w:rPr>
        <w:t>
      Форма выпуска лекарственного препарата, включая разбавители (растворители), медицинские изделия и т.д., должны быть четко указаны в экспертном отчете.</w:t>
      </w:r>
    </w:p>
    <w:bookmarkEnd w:id="5903"/>
    <w:bookmarkStart w:name="z6097" w:id="5904"/>
    <w:p>
      <w:pPr>
        <w:spacing w:after="0"/>
        <w:ind w:left="0"/>
        <w:jc w:val="both"/>
      </w:pPr>
      <w:r>
        <w:rPr>
          <w:rFonts w:ascii="Times New Roman"/>
          <w:b w:val="false"/>
          <w:i w:val="false"/>
          <w:color w:val="000000"/>
          <w:sz w:val="28"/>
        </w:rPr>
        <w:t>
      Если в форму выпуска лекарственного препарата входит медицинское изделие, следует указать ссылку на наличие информации об этом изделии в разделе 3.2.R экспертного отчета. Необходимо отметить наличие регистрации медицинских изделий на рынке Союза и (или) наличие на медицинских изделиях специального знака обращения медицинских изделий на рынке Союза в соответствии с требованиями о специальном знаке обращения медицинских изделий на рынке Союза, а также удостовериться, что специальный знак обращения медицинских изделий в рамках Союза соответствует назначению изделия.</w:t>
      </w:r>
    </w:p>
    <w:bookmarkEnd w:id="5904"/>
    <w:bookmarkStart w:name="z6098" w:id="5905"/>
    <w:p>
      <w:pPr>
        <w:spacing w:after="0"/>
        <w:ind w:left="0"/>
        <w:jc w:val="both"/>
      </w:pPr>
      <w:r>
        <w:rPr>
          <w:rFonts w:ascii="Times New Roman"/>
          <w:b w:val="false"/>
          <w:i w:val="false"/>
          <w:color w:val="000000"/>
          <w:sz w:val="28"/>
        </w:rPr>
        <w:t>
      Необходимо обратить особое внимание на характеристики системы упаковки и укупорки, особенно в отношении лабильных (неустойчивых) или стерильных препаратов.</w:t>
      </w:r>
    </w:p>
    <w:bookmarkEnd w:id="5905"/>
    <w:bookmarkStart w:name="z6099" w:id="5906"/>
    <w:p>
      <w:pPr>
        <w:spacing w:after="0"/>
        <w:ind w:left="0"/>
        <w:jc w:val="both"/>
      </w:pPr>
      <w:r>
        <w:rPr>
          <w:rFonts w:ascii="Times New Roman"/>
          <w:b w:val="false"/>
          <w:i w:val="false"/>
          <w:color w:val="000000"/>
          <w:sz w:val="28"/>
        </w:rPr>
        <w:t>
      В отношении биоподобного лекарственного препарата следует обратить внимание на существенные отличия от состава референтного препарата.</w:t>
      </w:r>
    </w:p>
    <w:bookmarkEnd w:id="5906"/>
    <w:bookmarkStart w:name="z6100" w:id="5907"/>
    <w:p>
      <w:pPr>
        <w:spacing w:after="0"/>
        <w:ind w:left="0"/>
        <w:jc w:val="left"/>
      </w:pPr>
      <w:r>
        <w:rPr>
          <w:rFonts w:ascii="Times New Roman"/>
          <w:b/>
          <w:i w:val="false"/>
          <w:color w:val="000000"/>
        </w:rPr>
        <w:t xml:space="preserve"> 4.2. Фармацевтическая разработка (модуль 3.2.P.2) </w:t>
      </w:r>
    </w:p>
    <w:bookmarkEnd w:id="5907"/>
    <w:bookmarkStart w:name="z6101" w:id="5908"/>
    <w:p>
      <w:pPr>
        <w:spacing w:after="0"/>
        <w:ind w:left="0"/>
        <w:jc w:val="both"/>
      </w:pPr>
      <w:r>
        <w:rPr>
          <w:rFonts w:ascii="Times New Roman"/>
          <w:b w:val="false"/>
          <w:i w:val="false"/>
          <w:color w:val="000000"/>
          <w:sz w:val="28"/>
        </w:rPr>
        <w:t>
      В данном разделе отражаются результаты экспертизы сведений, указанных в следующих разделах регистрационного досье:</w:t>
      </w:r>
    </w:p>
    <w:bookmarkEnd w:id="5908"/>
    <w:bookmarkStart w:name="z6102" w:id="5909"/>
    <w:p>
      <w:pPr>
        <w:spacing w:after="0"/>
        <w:ind w:left="0"/>
        <w:jc w:val="both"/>
      </w:pPr>
      <w:r>
        <w:rPr>
          <w:rFonts w:ascii="Times New Roman"/>
          <w:b w:val="false"/>
          <w:i w:val="false"/>
          <w:color w:val="000000"/>
          <w:sz w:val="28"/>
        </w:rPr>
        <w:t>
      P.2.1. Компоненты лекарственного препарата.</w:t>
      </w:r>
    </w:p>
    <w:bookmarkEnd w:id="5909"/>
    <w:bookmarkStart w:name="z6103" w:id="5910"/>
    <w:p>
      <w:pPr>
        <w:spacing w:after="0"/>
        <w:ind w:left="0"/>
        <w:jc w:val="both"/>
      </w:pPr>
      <w:r>
        <w:rPr>
          <w:rFonts w:ascii="Times New Roman"/>
          <w:b w:val="false"/>
          <w:i w:val="false"/>
          <w:color w:val="000000"/>
          <w:sz w:val="28"/>
        </w:rPr>
        <w:t>
      P.2.1.1. Активная фармацевтическая субстанция.</w:t>
      </w:r>
    </w:p>
    <w:bookmarkEnd w:id="5910"/>
    <w:bookmarkStart w:name="z6104" w:id="5911"/>
    <w:p>
      <w:pPr>
        <w:spacing w:after="0"/>
        <w:ind w:left="0"/>
        <w:jc w:val="both"/>
      </w:pPr>
      <w:r>
        <w:rPr>
          <w:rFonts w:ascii="Times New Roman"/>
          <w:b w:val="false"/>
          <w:i w:val="false"/>
          <w:color w:val="000000"/>
          <w:sz w:val="28"/>
        </w:rPr>
        <w:t>
      P.2.1.2. Вспомогательные вещества.</w:t>
      </w:r>
    </w:p>
    <w:bookmarkEnd w:id="5911"/>
    <w:bookmarkStart w:name="z6105" w:id="5912"/>
    <w:p>
      <w:pPr>
        <w:spacing w:after="0"/>
        <w:ind w:left="0"/>
        <w:jc w:val="both"/>
      </w:pPr>
      <w:r>
        <w:rPr>
          <w:rFonts w:ascii="Times New Roman"/>
          <w:b w:val="false"/>
          <w:i w:val="false"/>
          <w:color w:val="000000"/>
          <w:sz w:val="28"/>
        </w:rPr>
        <w:t>
      P.2.2. Лекарственный препарат.</w:t>
      </w:r>
    </w:p>
    <w:bookmarkEnd w:id="5912"/>
    <w:bookmarkStart w:name="z6106" w:id="5913"/>
    <w:p>
      <w:pPr>
        <w:spacing w:after="0"/>
        <w:ind w:left="0"/>
        <w:jc w:val="both"/>
      </w:pPr>
      <w:r>
        <w:rPr>
          <w:rFonts w:ascii="Times New Roman"/>
          <w:b w:val="false"/>
          <w:i w:val="false"/>
          <w:color w:val="000000"/>
          <w:sz w:val="28"/>
        </w:rPr>
        <w:t>
      P.2.2.1. Разработка лекарственной формы.</w:t>
      </w:r>
    </w:p>
    <w:bookmarkEnd w:id="5913"/>
    <w:bookmarkStart w:name="z6107" w:id="5914"/>
    <w:p>
      <w:pPr>
        <w:spacing w:after="0"/>
        <w:ind w:left="0"/>
        <w:jc w:val="both"/>
      </w:pPr>
      <w:r>
        <w:rPr>
          <w:rFonts w:ascii="Times New Roman"/>
          <w:b w:val="false"/>
          <w:i w:val="false"/>
          <w:color w:val="000000"/>
          <w:sz w:val="28"/>
        </w:rPr>
        <w:t>
      P.2.2.2. Производственные избытки.</w:t>
      </w:r>
    </w:p>
    <w:bookmarkEnd w:id="5914"/>
    <w:bookmarkStart w:name="z6108" w:id="5915"/>
    <w:p>
      <w:pPr>
        <w:spacing w:after="0"/>
        <w:ind w:left="0"/>
        <w:jc w:val="both"/>
      </w:pPr>
      <w:r>
        <w:rPr>
          <w:rFonts w:ascii="Times New Roman"/>
          <w:b w:val="false"/>
          <w:i w:val="false"/>
          <w:color w:val="000000"/>
          <w:sz w:val="28"/>
        </w:rPr>
        <w:t>
      P.2.2.3. Физико-химические и биологические свойства.</w:t>
      </w:r>
    </w:p>
    <w:bookmarkEnd w:id="5915"/>
    <w:bookmarkStart w:name="z6109" w:id="5916"/>
    <w:p>
      <w:pPr>
        <w:spacing w:after="0"/>
        <w:ind w:left="0"/>
        <w:jc w:val="both"/>
      </w:pPr>
      <w:r>
        <w:rPr>
          <w:rFonts w:ascii="Times New Roman"/>
          <w:b w:val="false"/>
          <w:i w:val="false"/>
          <w:color w:val="000000"/>
          <w:sz w:val="28"/>
        </w:rPr>
        <w:t>
      P.2.3. Разработка производственного процесса.</w:t>
      </w:r>
    </w:p>
    <w:bookmarkEnd w:id="5916"/>
    <w:bookmarkStart w:name="z6110" w:id="5917"/>
    <w:p>
      <w:pPr>
        <w:spacing w:after="0"/>
        <w:ind w:left="0"/>
        <w:jc w:val="both"/>
      </w:pPr>
      <w:r>
        <w:rPr>
          <w:rFonts w:ascii="Times New Roman"/>
          <w:b w:val="false"/>
          <w:i w:val="false"/>
          <w:color w:val="000000"/>
          <w:sz w:val="28"/>
        </w:rPr>
        <w:t>
      P.2.4. Система упаковки (укупорки).</w:t>
      </w:r>
    </w:p>
    <w:bookmarkEnd w:id="5917"/>
    <w:bookmarkStart w:name="z6111" w:id="5918"/>
    <w:p>
      <w:pPr>
        <w:spacing w:after="0"/>
        <w:ind w:left="0"/>
        <w:jc w:val="both"/>
      </w:pPr>
      <w:r>
        <w:rPr>
          <w:rFonts w:ascii="Times New Roman"/>
          <w:b w:val="false"/>
          <w:i w:val="false"/>
          <w:color w:val="000000"/>
          <w:sz w:val="28"/>
        </w:rPr>
        <w:t>
      P.2.5. Микробиологические характеристики.</w:t>
      </w:r>
    </w:p>
    <w:bookmarkEnd w:id="5918"/>
    <w:bookmarkStart w:name="z6112" w:id="5919"/>
    <w:p>
      <w:pPr>
        <w:spacing w:after="0"/>
        <w:ind w:left="0"/>
        <w:jc w:val="both"/>
      </w:pPr>
      <w:r>
        <w:rPr>
          <w:rFonts w:ascii="Times New Roman"/>
          <w:b w:val="false"/>
          <w:i w:val="false"/>
          <w:color w:val="000000"/>
          <w:sz w:val="28"/>
        </w:rPr>
        <w:t>
      P.2.6. Совместимость.</w:t>
      </w:r>
    </w:p>
    <w:bookmarkEnd w:id="5919"/>
    <w:bookmarkStart w:name="z6113" w:id="5920"/>
    <w:p>
      <w:pPr>
        <w:spacing w:after="0"/>
        <w:ind w:left="0"/>
        <w:jc w:val="left"/>
      </w:pPr>
      <w:r>
        <w:rPr>
          <w:rFonts w:ascii="Times New Roman"/>
          <w:b/>
          <w:i w:val="false"/>
          <w:color w:val="000000"/>
        </w:rPr>
        <w:t xml:space="preserve"> Компоненты лекарственного препарата </w:t>
      </w:r>
    </w:p>
    <w:bookmarkEnd w:id="5920"/>
    <w:bookmarkStart w:name="z6114" w:id="5921"/>
    <w:p>
      <w:pPr>
        <w:spacing w:after="0"/>
        <w:ind w:left="0"/>
        <w:jc w:val="both"/>
      </w:pPr>
      <w:r>
        <w:rPr>
          <w:rFonts w:ascii="Times New Roman"/>
          <w:b w:val="false"/>
          <w:i w:val="false"/>
          <w:color w:val="000000"/>
          <w:sz w:val="28"/>
        </w:rPr>
        <w:t>
      Для АФС следует указать, определены ли заявителем физико-химические свойства, клинически значимые для пациента.</w:t>
      </w:r>
    </w:p>
    <w:bookmarkEnd w:id="5921"/>
    <w:bookmarkStart w:name="z6115" w:id="5922"/>
    <w:p>
      <w:pPr>
        <w:spacing w:after="0"/>
        <w:ind w:left="0"/>
        <w:jc w:val="both"/>
      </w:pPr>
      <w:r>
        <w:rPr>
          <w:rFonts w:ascii="Times New Roman"/>
          <w:b w:val="false"/>
          <w:i w:val="false"/>
          <w:color w:val="000000"/>
          <w:sz w:val="28"/>
        </w:rPr>
        <w:t>
      Отражены ли данные свойства должным образом в спецификации, и подвергаются ли они надлежащему контролю.</w:t>
      </w:r>
    </w:p>
    <w:bookmarkEnd w:id="5922"/>
    <w:bookmarkStart w:name="z6116" w:id="5923"/>
    <w:p>
      <w:pPr>
        <w:spacing w:after="0"/>
        <w:ind w:left="0"/>
        <w:jc w:val="both"/>
      </w:pPr>
      <w:r>
        <w:rPr>
          <w:rFonts w:ascii="Times New Roman"/>
          <w:b w:val="false"/>
          <w:i w:val="false"/>
          <w:color w:val="000000"/>
          <w:sz w:val="28"/>
        </w:rPr>
        <w:t>
      Указать, на основании чего заявителем были определены допустимые нормы значений.</w:t>
      </w:r>
    </w:p>
    <w:bookmarkEnd w:id="5923"/>
    <w:bookmarkStart w:name="z6117" w:id="5924"/>
    <w:p>
      <w:pPr>
        <w:spacing w:after="0"/>
        <w:ind w:left="0"/>
        <w:jc w:val="both"/>
      </w:pPr>
      <w:r>
        <w:rPr>
          <w:rFonts w:ascii="Times New Roman"/>
          <w:b w:val="false"/>
          <w:i w:val="false"/>
          <w:color w:val="000000"/>
          <w:sz w:val="28"/>
        </w:rPr>
        <w:t>
      Указать показатели качества АФС, которые могут повлиять на критические показатели качества лекарственного препарата. Эти показатели могут быть определены путем эмпирической или систематической оценки с помощью применения методов оценки рисков и статистически спланированных экспериментов. В случае использования систематической оценки см. дополнение № 3 к настоящему документу.</w:t>
      </w:r>
    </w:p>
    <w:bookmarkEnd w:id="5924"/>
    <w:bookmarkStart w:name="z6118" w:id="5925"/>
    <w:p>
      <w:pPr>
        <w:spacing w:after="0"/>
        <w:ind w:left="0"/>
        <w:jc w:val="both"/>
      </w:pPr>
      <w:r>
        <w:rPr>
          <w:rFonts w:ascii="Times New Roman"/>
          <w:b w:val="false"/>
          <w:i w:val="false"/>
          <w:color w:val="000000"/>
          <w:sz w:val="28"/>
        </w:rPr>
        <w:t>
      Определить приемлемость обоснования исключения потенциально критических параметров из контроля.</w:t>
      </w:r>
    </w:p>
    <w:bookmarkEnd w:id="5925"/>
    <w:bookmarkStart w:name="z6119" w:id="5926"/>
    <w:p>
      <w:pPr>
        <w:spacing w:after="0"/>
        <w:ind w:left="0"/>
        <w:jc w:val="both"/>
      </w:pPr>
      <w:r>
        <w:rPr>
          <w:rFonts w:ascii="Times New Roman"/>
          <w:b w:val="false"/>
          <w:i w:val="false"/>
          <w:color w:val="000000"/>
          <w:sz w:val="28"/>
        </w:rPr>
        <w:t>
      Обосновано ли использование материалов животного или человеческого происхождения.</w:t>
      </w:r>
    </w:p>
    <w:bookmarkEnd w:id="5926"/>
    <w:bookmarkStart w:name="z6120" w:id="5927"/>
    <w:p>
      <w:pPr>
        <w:spacing w:after="0"/>
        <w:ind w:left="0"/>
        <w:jc w:val="left"/>
      </w:pPr>
      <w:r>
        <w:rPr>
          <w:rFonts w:ascii="Times New Roman"/>
          <w:b/>
          <w:i w:val="false"/>
          <w:color w:val="000000"/>
        </w:rPr>
        <w:t xml:space="preserve"> Вспомогательные вещества </w:t>
      </w:r>
    </w:p>
    <w:bookmarkEnd w:id="5927"/>
    <w:bookmarkStart w:name="z6121" w:id="5928"/>
    <w:p>
      <w:pPr>
        <w:spacing w:after="0"/>
        <w:ind w:left="0"/>
        <w:jc w:val="both"/>
      </w:pPr>
      <w:r>
        <w:rPr>
          <w:rFonts w:ascii="Times New Roman"/>
          <w:b w:val="false"/>
          <w:i w:val="false"/>
          <w:color w:val="000000"/>
          <w:sz w:val="28"/>
        </w:rPr>
        <w:t>
      Имеются ли важные, новые или нестандартные вспомогательные вещества в отношении влияния на свойства лекарственного препарата.</w:t>
      </w:r>
    </w:p>
    <w:bookmarkEnd w:id="5928"/>
    <w:bookmarkStart w:name="z6122" w:id="5929"/>
    <w:p>
      <w:pPr>
        <w:spacing w:after="0"/>
        <w:ind w:left="0"/>
        <w:jc w:val="both"/>
      </w:pPr>
      <w:r>
        <w:rPr>
          <w:rFonts w:ascii="Times New Roman"/>
          <w:b w:val="false"/>
          <w:i w:val="false"/>
          <w:color w:val="000000"/>
          <w:sz w:val="28"/>
        </w:rPr>
        <w:t>
      Следует отметить выбор заявителем ключевых вспомогательных веществ и их функции, например, влияющие на высвобождение, место высвобождения или фармакокинетику АФС. В некоторых случаях (например, газовая дисперсия для проведения ультразвуковых исследований), когда весь комплекс лекарственной формы или система определяют клиническую эффективность препарата, данные случаи подлежат детальному рассмотрению.</w:t>
      </w:r>
    </w:p>
    <w:bookmarkEnd w:id="5929"/>
    <w:bookmarkStart w:name="z6123" w:id="5930"/>
    <w:p>
      <w:pPr>
        <w:spacing w:after="0"/>
        <w:ind w:left="0"/>
        <w:jc w:val="both"/>
      </w:pPr>
      <w:r>
        <w:rPr>
          <w:rFonts w:ascii="Times New Roman"/>
          <w:b w:val="false"/>
          <w:i w:val="false"/>
          <w:color w:val="000000"/>
          <w:sz w:val="28"/>
        </w:rPr>
        <w:t>
      Обосновано ли количество использованных вспомогательных веществ (консервантов, буферных растворов и т.д.)</w:t>
      </w:r>
    </w:p>
    <w:bookmarkEnd w:id="5930"/>
    <w:bookmarkStart w:name="z6124" w:id="5931"/>
    <w:p>
      <w:pPr>
        <w:spacing w:after="0"/>
        <w:ind w:left="0"/>
        <w:jc w:val="both"/>
      </w:pPr>
      <w:r>
        <w:rPr>
          <w:rFonts w:ascii="Times New Roman"/>
          <w:b w:val="false"/>
          <w:i w:val="false"/>
          <w:color w:val="000000"/>
          <w:sz w:val="28"/>
        </w:rPr>
        <w:t>
      Указать показатели качества АФС, которые могут повлиять на критические показатели качества лекарственного препарата. Эти показатели могут быть определены путем эмпирической или систематической оценки с помощью применения методов оценки рисков и статистически спланированных экспериментов. В случае использования систематической оценки (дополнение № 3 к настоящему документу).</w:t>
      </w:r>
    </w:p>
    <w:bookmarkEnd w:id="5931"/>
    <w:bookmarkStart w:name="z6125" w:id="5932"/>
    <w:p>
      <w:pPr>
        <w:spacing w:after="0"/>
        <w:ind w:left="0"/>
        <w:jc w:val="both"/>
      </w:pPr>
      <w:r>
        <w:rPr>
          <w:rFonts w:ascii="Times New Roman"/>
          <w:b w:val="false"/>
          <w:i w:val="false"/>
          <w:color w:val="000000"/>
          <w:sz w:val="28"/>
        </w:rPr>
        <w:t>
      Также следует учитывать сведения, содержащиеся в разделе 4 настоящего отчета (приложение № 4 к Правилам регистрации и экспертизы лекарственных средств для медицинского применения, утверждаемым Евразийской экономической комиссией, модуль 3.2.А.3, Новые вспомогательные вещества), где приведена более детальная оценка самого вспомогательного вещества. Следует обратить внимание на то, что новые вспомогательные вещества, не содержащиеся в лекарственных препаратах, зарегистрированных в рамках Союза или на территории государств-членов, могут рассматриваться в качестве новых АФС, что влечет за собой применение требований к представлению соответствующих данных в полном объеме, т.е. в отношении описания производства и контроля, представления ссылок на токсикологические исследования, и т.д.</w:t>
      </w:r>
    </w:p>
    <w:bookmarkEnd w:id="5932"/>
    <w:bookmarkStart w:name="z6126" w:id="5933"/>
    <w:p>
      <w:pPr>
        <w:spacing w:after="0"/>
        <w:ind w:left="0"/>
        <w:jc w:val="left"/>
      </w:pPr>
      <w:r>
        <w:rPr>
          <w:rFonts w:ascii="Times New Roman"/>
          <w:b/>
          <w:i w:val="false"/>
          <w:color w:val="000000"/>
        </w:rPr>
        <w:t xml:space="preserve"> Лекарственный препарат </w:t>
      </w:r>
    </w:p>
    <w:bookmarkEnd w:id="5933"/>
    <w:bookmarkStart w:name="z6127" w:id="5934"/>
    <w:p>
      <w:pPr>
        <w:spacing w:after="0"/>
        <w:ind w:left="0"/>
        <w:jc w:val="both"/>
      </w:pPr>
      <w:r>
        <w:rPr>
          <w:rFonts w:ascii="Times New Roman"/>
          <w:b w:val="false"/>
          <w:i w:val="false"/>
          <w:color w:val="000000"/>
          <w:sz w:val="28"/>
        </w:rPr>
        <w:t>
      Разработка лекарственной формы: оценить представленный заявителем целевой профиль препарата, то есть перечень качественных характеристик, которые препарат должен иметь для обеспечения заявленного качества с учетом безопасности и эффективности. Указать, подтверждена ли разработка лекарственной формы клиническими исследованиями. Если составы лекарственного препарата, заявленного на регистрацию, и препарата, использованного в клинических исследованиях, различаются, необходимо оценить их биоэквивалентность. Следует прокомментировать возможные различия в качественных характеристиках лекарственного препарата (например, профили примесей и растворения) в случае наличия разницы в дозировках или при расширении линейки дозировок, лекарственных форм. Необходимо прокомментировать разработку методики испытания на растворение, описание изменений, подтверждение способности методики к обнаружению различий между качественным и некачественным лекарственным препаратом (дискриминирующих свойств методики). В случае применимости следует указать результаты исследований по установлению in vitro - in vivo корреляции. В соответствующих случаях следует обратить особое внимание на ранее разработанные составы лекарственного препарата для доклинических и клинических исследований и прокомментировать полученные результаты данных исследований. Если применимо, необходимо привести дополнительные сведения о разработке детской лекарственной формы, включая сведения о целевой возрастной группе, если таковая проводилась.</w:t>
      </w:r>
    </w:p>
    <w:bookmarkEnd w:id="5934"/>
    <w:bookmarkStart w:name="z6128" w:id="5935"/>
    <w:p>
      <w:pPr>
        <w:spacing w:after="0"/>
        <w:ind w:left="0"/>
        <w:jc w:val="both"/>
      </w:pPr>
      <w:r>
        <w:rPr>
          <w:rFonts w:ascii="Times New Roman"/>
          <w:b w:val="false"/>
          <w:i w:val="false"/>
          <w:color w:val="000000"/>
          <w:sz w:val="28"/>
        </w:rPr>
        <w:t>
      Производственные избытки. Необходимо оценить обоснованность избытков.</w:t>
      </w:r>
    </w:p>
    <w:bookmarkEnd w:id="5935"/>
    <w:bookmarkStart w:name="z6129" w:id="5936"/>
    <w:p>
      <w:pPr>
        <w:spacing w:after="0"/>
        <w:ind w:left="0"/>
        <w:jc w:val="both"/>
      </w:pPr>
      <w:r>
        <w:rPr>
          <w:rFonts w:ascii="Times New Roman"/>
          <w:b w:val="false"/>
          <w:i w:val="false"/>
          <w:color w:val="000000"/>
          <w:sz w:val="28"/>
        </w:rPr>
        <w:t>
      Физико-химические и биологические свойства. Необходимо оценить правильность установления и контроля критических показателей качества.</w:t>
      </w:r>
    </w:p>
    <w:bookmarkEnd w:id="5936"/>
    <w:bookmarkStart w:name="z6130" w:id="5937"/>
    <w:p>
      <w:pPr>
        <w:spacing w:after="0"/>
        <w:ind w:left="0"/>
        <w:jc w:val="both"/>
      </w:pPr>
      <w:r>
        <w:rPr>
          <w:rFonts w:ascii="Times New Roman"/>
          <w:b w:val="false"/>
          <w:i w:val="false"/>
          <w:color w:val="000000"/>
          <w:sz w:val="28"/>
        </w:rPr>
        <w:t>
      Необходимо оценить, что в модуле 3 регистрационного досье приведен соответствующий перечень параметров, влияющих на свойства препарата (если применимо). Например, в отношении таблеток может потребоваться оценка размера частиц (дисперсности) и полимофизма АФС с низкой растворимостью в воде с точки зрения их влияния на растворение и биодоступность. В данном примере профиль растворимости в зависимости от pH будет также являться значимой базовой информацией, оказывающей влияние на выбор методологии испытания растворения.</w:t>
      </w:r>
    </w:p>
    <w:bookmarkEnd w:id="5937"/>
    <w:bookmarkStart w:name="z6131" w:id="5938"/>
    <w:p>
      <w:pPr>
        <w:spacing w:after="0"/>
        <w:ind w:left="0"/>
        <w:jc w:val="both"/>
      </w:pPr>
      <w:r>
        <w:rPr>
          <w:rFonts w:ascii="Times New Roman"/>
          <w:b w:val="false"/>
          <w:i w:val="false"/>
          <w:color w:val="000000"/>
          <w:sz w:val="28"/>
        </w:rPr>
        <w:t>
      Разработка производственного процесса:</w:t>
      </w:r>
    </w:p>
    <w:bookmarkEnd w:id="5938"/>
    <w:bookmarkStart w:name="z6132" w:id="5939"/>
    <w:p>
      <w:pPr>
        <w:spacing w:after="0"/>
        <w:ind w:left="0"/>
        <w:jc w:val="both"/>
      </w:pPr>
      <w:r>
        <w:rPr>
          <w:rFonts w:ascii="Times New Roman"/>
          <w:b w:val="false"/>
          <w:i w:val="false"/>
          <w:color w:val="000000"/>
          <w:sz w:val="28"/>
        </w:rPr>
        <w:t>
      Если в процессе производства препарата изменяются физико-химические свойства АФС (например, полиморфная форма), следует убедиться в валидности результатов исследований, проведенных с АФС.</w:t>
      </w:r>
    </w:p>
    <w:bookmarkEnd w:id="5939"/>
    <w:bookmarkStart w:name="z6133" w:id="5940"/>
    <w:p>
      <w:pPr>
        <w:spacing w:after="0"/>
        <w:ind w:left="0"/>
        <w:jc w:val="both"/>
      </w:pPr>
      <w:r>
        <w:rPr>
          <w:rFonts w:ascii="Times New Roman"/>
          <w:b w:val="false"/>
          <w:i w:val="false"/>
          <w:color w:val="000000"/>
          <w:sz w:val="28"/>
        </w:rPr>
        <w:t>
      Необходимо отразить обоснованность выбора процесса производства. Необходимо отразить, установлены ли критические параметры процесса, значимые для последующей его валидации. Необходимо отразить, установлены ли значимые для последующей его валидации различия в процессах производства лекарственного препарата, регистрируемого и использованного в клинических исследованиях. Необходимо оценить, компенсирует ли процесс производства вариабельность показателей качества материалов.</w:t>
      </w:r>
    </w:p>
    <w:bookmarkEnd w:id="5940"/>
    <w:bookmarkStart w:name="z6134" w:id="5941"/>
    <w:p>
      <w:pPr>
        <w:spacing w:after="0"/>
        <w:ind w:left="0"/>
        <w:jc w:val="both"/>
      </w:pPr>
      <w:r>
        <w:rPr>
          <w:rFonts w:ascii="Times New Roman"/>
          <w:b w:val="false"/>
          <w:i w:val="false"/>
          <w:color w:val="000000"/>
          <w:sz w:val="28"/>
        </w:rPr>
        <w:t>
      Следует провести идентификацию критических параметров процесса на основе эмпирической или систематической оценки, используя методологию оценки риска и статистического моделирования. В последнем случае следует руководствоваться соответствующими пособиями по математической статистике.</w:t>
      </w:r>
    </w:p>
    <w:bookmarkEnd w:id="5941"/>
    <w:bookmarkStart w:name="z6135" w:id="5942"/>
    <w:p>
      <w:pPr>
        <w:spacing w:after="0"/>
        <w:ind w:left="0"/>
        <w:jc w:val="both"/>
      </w:pPr>
      <w:r>
        <w:rPr>
          <w:rFonts w:ascii="Times New Roman"/>
          <w:b w:val="false"/>
          <w:i w:val="false"/>
          <w:color w:val="000000"/>
          <w:sz w:val="28"/>
        </w:rPr>
        <w:t>
      Система упаковки и укупорки.</w:t>
      </w:r>
    </w:p>
    <w:bookmarkEnd w:id="5942"/>
    <w:bookmarkStart w:name="z6136" w:id="5943"/>
    <w:p>
      <w:pPr>
        <w:spacing w:after="0"/>
        <w:ind w:left="0"/>
        <w:jc w:val="both"/>
      </w:pPr>
      <w:r>
        <w:rPr>
          <w:rFonts w:ascii="Times New Roman"/>
          <w:b w:val="false"/>
          <w:i w:val="false"/>
          <w:color w:val="000000"/>
          <w:sz w:val="28"/>
        </w:rPr>
        <w:t>
      Необходимо оценить, обеспечивает ли выбор материалов для упаковки и укупорки стабильность и применение препарата в целевой популяции пациентов (например, у лиц пожилого возраста, наличие функции защиты от детей).</w:t>
      </w:r>
    </w:p>
    <w:bookmarkEnd w:id="5943"/>
    <w:bookmarkStart w:name="z6137" w:id="5944"/>
    <w:p>
      <w:pPr>
        <w:spacing w:after="0"/>
        <w:ind w:left="0"/>
        <w:jc w:val="both"/>
      </w:pPr>
      <w:r>
        <w:rPr>
          <w:rFonts w:ascii="Times New Roman"/>
          <w:b w:val="false"/>
          <w:i w:val="false"/>
          <w:color w:val="000000"/>
          <w:sz w:val="28"/>
        </w:rPr>
        <w:t>
      Необходимо оценить технические свойства упаковки и укупорки, за счет которых обеспечивается удобство использования пациентами, например, назальных спреев, ингаляторов, предварительно заполненных шприцев.</w:t>
      </w:r>
    </w:p>
    <w:bookmarkEnd w:id="5944"/>
    <w:bookmarkStart w:name="z6138" w:id="5945"/>
    <w:p>
      <w:pPr>
        <w:spacing w:after="0"/>
        <w:ind w:left="0"/>
        <w:jc w:val="both"/>
      </w:pPr>
      <w:r>
        <w:rPr>
          <w:rFonts w:ascii="Times New Roman"/>
          <w:b w:val="false"/>
          <w:i w:val="false"/>
          <w:color w:val="000000"/>
          <w:sz w:val="28"/>
        </w:rPr>
        <w:t>
      Микробиологические и иные характеристики: необходимо отразить, обосновано ли использование специальных вспомогательных веществ, например, консервантов и антиоксидантов с учетом их концентрации (содержания) и свойств.</w:t>
      </w:r>
    </w:p>
    <w:bookmarkEnd w:id="5945"/>
    <w:bookmarkStart w:name="z6139" w:id="5946"/>
    <w:p>
      <w:pPr>
        <w:spacing w:after="0"/>
        <w:ind w:left="0"/>
        <w:jc w:val="both"/>
      </w:pPr>
      <w:r>
        <w:rPr>
          <w:rFonts w:ascii="Times New Roman"/>
          <w:b w:val="false"/>
          <w:i w:val="false"/>
          <w:color w:val="000000"/>
          <w:sz w:val="28"/>
        </w:rPr>
        <w:t>
      Совместимость.</w:t>
      </w:r>
    </w:p>
    <w:bookmarkEnd w:id="5946"/>
    <w:bookmarkStart w:name="z6140" w:id="5947"/>
    <w:p>
      <w:pPr>
        <w:spacing w:after="0"/>
        <w:ind w:left="0"/>
        <w:jc w:val="both"/>
      </w:pPr>
      <w:r>
        <w:rPr>
          <w:rFonts w:ascii="Times New Roman"/>
          <w:b w:val="false"/>
          <w:i w:val="false"/>
          <w:color w:val="000000"/>
          <w:sz w:val="28"/>
        </w:rPr>
        <w:t>
      Необходимо оценить соответствие данных, изложенных в инструкции по медицинскому применению и в ОХЛП, относительно фармацевтической совместимости и несовместимости проведенным фактическим исследованиям.</w:t>
      </w:r>
    </w:p>
    <w:bookmarkEnd w:id="5947"/>
    <w:bookmarkStart w:name="z6141" w:id="5948"/>
    <w:p>
      <w:pPr>
        <w:spacing w:after="0"/>
        <w:ind w:left="0"/>
        <w:jc w:val="left"/>
      </w:pPr>
      <w:r>
        <w:rPr>
          <w:rFonts w:ascii="Times New Roman"/>
          <w:b/>
          <w:i w:val="false"/>
          <w:color w:val="000000"/>
        </w:rPr>
        <w:t xml:space="preserve"> 4.3. Процесс производства лекарственного препарата (модуль 3.2.P.3) </w:t>
      </w:r>
    </w:p>
    <w:bookmarkEnd w:id="5948"/>
    <w:bookmarkStart w:name="z6142" w:id="5949"/>
    <w:p>
      <w:pPr>
        <w:spacing w:after="0"/>
        <w:ind w:left="0"/>
        <w:jc w:val="both"/>
      </w:pPr>
      <w:r>
        <w:rPr>
          <w:rFonts w:ascii="Times New Roman"/>
          <w:b w:val="false"/>
          <w:i w:val="false"/>
          <w:color w:val="000000"/>
          <w:sz w:val="28"/>
        </w:rPr>
        <w:t>
      В данном разделе отражаются результаты экспертизы сведений, указанных в следующих разделах регистрационного досье:</w:t>
      </w:r>
    </w:p>
    <w:bookmarkEnd w:id="5949"/>
    <w:bookmarkStart w:name="z6143" w:id="5950"/>
    <w:p>
      <w:pPr>
        <w:spacing w:after="0"/>
        <w:ind w:left="0"/>
        <w:jc w:val="both"/>
      </w:pPr>
      <w:r>
        <w:rPr>
          <w:rFonts w:ascii="Times New Roman"/>
          <w:b w:val="false"/>
          <w:i w:val="false"/>
          <w:color w:val="000000"/>
          <w:sz w:val="28"/>
        </w:rPr>
        <w:t>
      P.3.1. Производитель (производители).</w:t>
      </w:r>
    </w:p>
    <w:bookmarkEnd w:id="5950"/>
    <w:bookmarkStart w:name="z6144" w:id="5951"/>
    <w:p>
      <w:pPr>
        <w:spacing w:after="0"/>
        <w:ind w:left="0"/>
        <w:jc w:val="both"/>
      </w:pPr>
      <w:r>
        <w:rPr>
          <w:rFonts w:ascii="Times New Roman"/>
          <w:b w:val="false"/>
          <w:i w:val="false"/>
          <w:color w:val="000000"/>
          <w:sz w:val="28"/>
        </w:rPr>
        <w:t>
      P.3.2. Состав на серию (производственная рецептура).</w:t>
      </w:r>
    </w:p>
    <w:bookmarkEnd w:id="5951"/>
    <w:bookmarkStart w:name="z6145" w:id="5952"/>
    <w:p>
      <w:pPr>
        <w:spacing w:after="0"/>
        <w:ind w:left="0"/>
        <w:jc w:val="both"/>
      </w:pPr>
      <w:r>
        <w:rPr>
          <w:rFonts w:ascii="Times New Roman"/>
          <w:b w:val="false"/>
          <w:i w:val="false"/>
          <w:color w:val="000000"/>
          <w:sz w:val="28"/>
        </w:rPr>
        <w:t>
      P.3.3. Описание производственного процесса и его контроля.</w:t>
      </w:r>
    </w:p>
    <w:bookmarkEnd w:id="5952"/>
    <w:bookmarkStart w:name="z6146" w:id="5953"/>
    <w:p>
      <w:pPr>
        <w:spacing w:after="0"/>
        <w:ind w:left="0"/>
        <w:jc w:val="both"/>
      </w:pPr>
      <w:r>
        <w:rPr>
          <w:rFonts w:ascii="Times New Roman"/>
          <w:b w:val="false"/>
          <w:i w:val="false"/>
          <w:color w:val="000000"/>
          <w:sz w:val="28"/>
        </w:rPr>
        <w:t>
      P.3.4. Контроль критических стадий и промежуточной продукции.</w:t>
      </w:r>
    </w:p>
    <w:bookmarkEnd w:id="5953"/>
    <w:bookmarkStart w:name="z6147" w:id="5954"/>
    <w:p>
      <w:pPr>
        <w:spacing w:after="0"/>
        <w:ind w:left="0"/>
        <w:jc w:val="both"/>
      </w:pPr>
      <w:r>
        <w:rPr>
          <w:rFonts w:ascii="Times New Roman"/>
          <w:b w:val="false"/>
          <w:i w:val="false"/>
          <w:color w:val="000000"/>
          <w:sz w:val="28"/>
        </w:rPr>
        <w:t>
      P.3.5. Валидация производственного процесса и (или) его оценка.</w:t>
      </w:r>
    </w:p>
    <w:bookmarkEnd w:id="5954"/>
    <w:bookmarkStart w:name="z6148" w:id="5955"/>
    <w:p>
      <w:pPr>
        <w:spacing w:after="0"/>
        <w:ind w:left="0"/>
        <w:jc w:val="both"/>
      </w:pPr>
      <w:r>
        <w:rPr>
          <w:rFonts w:ascii="Times New Roman"/>
          <w:b w:val="false"/>
          <w:i w:val="false"/>
          <w:color w:val="000000"/>
          <w:sz w:val="28"/>
        </w:rPr>
        <w:t>
      Необходимо указать названия, адреса и обязанности каждого производителя, включая подрядчиков (контрактные производства), каждой предлагаемой производственной площадки или объекта, участвующего в производстве и проведении испытаний.</w:t>
      </w:r>
    </w:p>
    <w:bookmarkEnd w:id="5955"/>
    <w:bookmarkStart w:name="z6149" w:id="5956"/>
    <w:p>
      <w:pPr>
        <w:spacing w:after="0"/>
        <w:ind w:left="0"/>
        <w:jc w:val="both"/>
      </w:pPr>
      <w:r>
        <w:rPr>
          <w:rFonts w:ascii="Times New Roman"/>
          <w:b w:val="false"/>
          <w:i w:val="false"/>
          <w:color w:val="000000"/>
          <w:sz w:val="28"/>
        </w:rPr>
        <w:t>
      Описание процесса производства и его контроля: блок-схема (ее предпочтительно включить в основную часть отчета, нежели приобщать в виде приложения к нему) с указанием критических стадий.</w:t>
      </w:r>
    </w:p>
    <w:bookmarkEnd w:id="5956"/>
    <w:bookmarkStart w:name="z6150" w:id="5957"/>
    <w:p>
      <w:pPr>
        <w:spacing w:after="0"/>
        <w:ind w:left="0"/>
        <w:jc w:val="both"/>
      </w:pPr>
      <w:r>
        <w:rPr>
          <w:rFonts w:ascii="Times New Roman"/>
          <w:b w:val="false"/>
          <w:i w:val="false"/>
          <w:color w:val="000000"/>
          <w:sz w:val="28"/>
        </w:rPr>
        <w:t>
      Необходимо указать, предусмотрел ли заявитель мониторинг критических показателей качества материалов и критических параметров процесса в режиме реального времени. Необходимо оценить, снижают ли контрольные меры риски, обнаруженные в ходе разработки лекарственной формы и процесса производства. Необходимо указать, предусмотрены ли средства обратной связи, позволяющие скорректировать условия процесса производства с целью компенсации выявленной вариабельности.</w:t>
      </w:r>
    </w:p>
    <w:bookmarkEnd w:id="5957"/>
    <w:bookmarkStart w:name="z6151" w:id="5958"/>
    <w:p>
      <w:pPr>
        <w:spacing w:after="0"/>
        <w:ind w:left="0"/>
        <w:jc w:val="both"/>
      </w:pPr>
      <w:r>
        <w:rPr>
          <w:rFonts w:ascii="Times New Roman"/>
          <w:b w:val="false"/>
          <w:i w:val="false"/>
          <w:color w:val="000000"/>
          <w:sz w:val="28"/>
        </w:rPr>
        <w:t>
      Необходимо указать, предлагается ли проектное поле. Необходимо указать, установлена ли зависимость критических показателей качества от входных технологических параметров (показателей качества материалов и параметров процесса производства) в рамках многомерной модели. Если предложено проектное поле, следует обратиться к дополнению № 3 к настоящему документу.</w:t>
      </w:r>
    </w:p>
    <w:bookmarkEnd w:id="5958"/>
    <w:bookmarkStart w:name="z6152" w:id="5959"/>
    <w:p>
      <w:pPr>
        <w:spacing w:after="0"/>
        <w:ind w:left="0"/>
        <w:jc w:val="both"/>
      </w:pPr>
      <w:r>
        <w:rPr>
          <w:rFonts w:ascii="Times New Roman"/>
          <w:b w:val="false"/>
          <w:i w:val="false"/>
          <w:color w:val="000000"/>
          <w:sz w:val="28"/>
        </w:rPr>
        <w:t>
      Если лекарственный препарат состоит из АФС без вспомогательных веществ, сведения о ее производителях и об их лицензировании следует также указать в данном разделе.</w:t>
      </w:r>
    </w:p>
    <w:bookmarkEnd w:id="5959"/>
    <w:bookmarkStart w:name="z6153" w:id="5960"/>
    <w:p>
      <w:pPr>
        <w:spacing w:after="0"/>
        <w:ind w:left="0"/>
        <w:jc w:val="both"/>
      </w:pPr>
      <w:r>
        <w:rPr>
          <w:rFonts w:ascii="Times New Roman"/>
          <w:b w:val="false"/>
          <w:i w:val="false"/>
          <w:color w:val="000000"/>
          <w:sz w:val="28"/>
        </w:rPr>
        <w:t>
      Если предложено несколько промышленных серий, различных по размеру, или смешивание серий или использование подсерий, необходимо оценить их приемлемость. Необходимо оценить размер серий, по которым представлены данные.</w:t>
      </w:r>
    </w:p>
    <w:bookmarkEnd w:id="5960"/>
    <w:bookmarkStart w:name="z6154" w:id="5961"/>
    <w:p>
      <w:pPr>
        <w:spacing w:after="0"/>
        <w:ind w:left="0"/>
        <w:jc w:val="both"/>
      </w:pPr>
      <w:r>
        <w:rPr>
          <w:rFonts w:ascii="Times New Roman"/>
          <w:b w:val="false"/>
          <w:i w:val="false"/>
          <w:color w:val="000000"/>
          <w:sz w:val="28"/>
        </w:rPr>
        <w:t>
      Необходимо определить наличие специализированных процессов, которые могут потребовать инспектирования (см. преамбулу к настоящему отчету).</w:t>
      </w:r>
    </w:p>
    <w:bookmarkEnd w:id="5961"/>
    <w:bookmarkStart w:name="z6155" w:id="5962"/>
    <w:p>
      <w:pPr>
        <w:spacing w:after="0"/>
        <w:ind w:left="0"/>
        <w:jc w:val="both"/>
      </w:pPr>
      <w:r>
        <w:rPr>
          <w:rFonts w:ascii="Times New Roman"/>
          <w:b w:val="false"/>
          <w:i w:val="false"/>
          <w:color w:val="000000"/>
          <w:sz w:val="28"/>
        </w:rPr>
        <w:t>
      Необходимо убедиться, что время перехода от одной технологической стадии к другой, условия хранения и (или) транспортировки обоснованы и валидированы.</w:t>
      </w:r>
    </w:p>
    <w:bookmarkEnd w:id="5962"/>
    <w:bookmarkStart w:name="z6156" w:id="5963"/>
    <w:p>
      <w:pPr>
        <w:spacing w:after="0"/>
        <w:ind w:left="0"/>
        <w:jc w:val="both"/>
      </w:pPr>
      <w:r>
        <w:rPr>
          <w:rFonts w:ascii="Times New Roman"/>
          <w:b w:val="false"/>
          <w:i w:val="false"/>
          <w:color w:val="000000"/>
          <w:sz w:val="28"/>
        </w:rPr>
        <w:t>
      В данном разделе следует оценить необходимость включения в досье сведений по валидации процесса (т.е. необходимо ли представление данных сведений перед регистрацией). Такие сведения, как правило, требуются при использовании нестандартных методов (процессов). В отношении стандартных процессов необходимо оценить схему валидации процесса производства, включенную в раздел 3.2.R регистрационного досье.</w:t>
      </w:r>
    </w:p>
    <w:bookmarkEnd w:id="5963"/>
    <w:bookmarkStart w:name="z6157" w:id="5964"/>
    <w:p>
      <w:pPr>
        <w:spacing w:after="0"/>
        <w:ind w:left="0"/>
        <w:jc w:val="both"/>
      </w:pPr>
      <w:r>
        <w:rPr>
          <w:rFonts w:ascii="Times New Roman"/>
          <w:b w:val="false"/>
          <w:i w:val="false"/>
          <w:color w:val="000000"/>
          <w:sz w:val="28"/>
        </w:rPr>
        <w:t>
      Если предлагается непрерывная верификация процесса производства, необходимо оценить наличие достаточных данных по разработке и достаточной стратегии контроля, позволяющих осуществлять мониторинг критических параметров процесса производства и критических показателей качества материалов в реальном времени.</w:t>
      </w:r>
    </w:p>
    <w:bookmarkEnd w:id="5964"/>
    <w:bookmarkStart w:name="z6158" w:id="5965"/>
    <w:p>
      <w:pPr>
        <w:spacing w:after="0"/>
        <w:ind w:left="0"/>
        <w:jc w:val="both"/>
      </w:pPr>
      <w:r>
        <w:rPr>
          <w:rFonts w:ascii="Times New Roman"/>
          <w:b w:val="false"/>
          <w:i w:val="false"/>
          <w:color w:val="000000"/>
          <w:sz w:val="28"/>
        </w:rPr>
        <w:t>
      В данном разделе необходимо полностью оценить и прокомментировать все запросы на выпуск по параметрам, приобщив комментарии GMP-инспекторов (если применимо), с учетом соответствующего руководства Союза.</w:t>
      </w:r>
    </w:p>
    <w:bookmarkEnd w:id="5965"/>
    <w:bookmarkStart w:name="z6159" w:id="5966"/>
    <w:p>
      <w:pPr>
        <w:spacing w:after="0"/>
        <w:ind w:left="0"/>
        <w:jc w:val="both"/>
      </w:pPr>
      <w:r>
        <w:rPr>
          <w:rFonts w:ascii="Times New Roman"/>
          <w:b w:val="false"/>
          <w:i w:val="false"/>
          <w:color w:val="000000"/>
          <w:sz w:val="28"/>
        </w:rPr>
        <w:t>
      В применимых случаях может потребоваться оценка безопасности препарата с позиции передачи посторонних агентов, которую следует включить в Дополнение А.2. Данная оценка более применима к биотехнологическим/биологическим препаратам.</w:t>
      </w:r>
    </w:p>
    <w:bookmarkEnd w:id="5966"/>
    <w:bookmarkStart w:name="z6160" w:id="5967"/>
    <w:p>
      <w:pPr>
        <w:spacing w:after="0"/>
        <w:ind w:left="0"/>
        <w:jc w:val="left"/>
      </w:pPr>
      <w:r>
        <w:rPr>
          <w:rFonts w:ascii="Times New Roman"/>
          <w:b/>
          <w:i w:val="false"/>
          <w:color w:val="000000"/>
        </w:rPr>
        <w:t xml:space="preserve"> 4.4. Контроль качества вспомогательных веществ (модуль 3.2.P.4)</w:t>
      </w:r>
    </w:p>
    <w:bookmarkEnd w:id="5967"/>
    <w:bookmarkStart w:name="z6161" w:id="5968"/>
    <w:p>
      <w:pPr>
        <w:spacing w:after="0"/>
        <w:ind w:left="0"/>
        <w:jc w:val="both"/>
      </w:pPr>
      <w:r>
        <w:rPr>
          <w:rFonts w:ascii="Times New Roman"/>
          <w:b w:val="false"/>
          <w:i w:val="false"/>
          <w:color w:val="000000"/>
          <w:sz w:val="28"/>
        </w:rPr>
        <w:t>
      В данном разделе отражаются результаты экспертизы сведений, указанных в следующих разделах регистрационного досье:</w:t>
      </w:r>
    </w:p>
    <w:bookmarkEnd w:id="5968"/>
    <w:bookmarkStart w:name="z6162" w:id="5969"/>
    <w:p>
      <w:pPr>
        <w:spacing w:after="0"/>
        <w:ind w:left="0"/>
        <w:jc w:val="both"/>
      </w:pPr>
      <w:r>
        <w:rPr>
          <w:rFonts w:ascii="Times New Roman"/>
          <w:b w:val="false"/>
          <w:i w:val="false"/>
          <w:color w:val="000000"/>
          <w:sz w:val="28"/>
        </w:rPr>
        <w:t>
      P.4.1. Спецификация.</w:t>
      </w:r>
    </w:p>
    <w:bookmarkEnd w:id="5969"/>
    <w:bookmarkStart w:name="z6163" w:id="5970"/>
    <w:p>
      <w:pPr>
        <w:spacing w:after="0"/>
        <w:ind w:left="0"/>
        <w:jc w:val="both"/>
      </w:pPr>
      <w:r>
        <w:rPr>
          <w:rFonts w:ascii="Times New Roman"/>
          <w:b w:val="false"/>
          <w:i w:val="false"/>
          <w:color w:val="000000"/>
          <w:sz w:val="28"/>
        </w:rPr>
        <w:t>
      P.4.2. Аналитические методики.</w:t>
      </w:r>
    </w:p>
    <w:bookmarkEnd w:id="5970"/>
    <w:bookmarkStart w:name="z6164" w:id="5971"/>
    <w:p>
      <w:pPr>
        <w:spacing w:after="0"/>
        <w:ind w:left="0"/>
        <w:jc w:val="both"/>
      </w:pPr>
      <w:r>
        <w:rPr>
          <w:rFonts w:ascii="Times New Roman"/>
          <w:b w:val="false"/>
          <w:i w:val="false"/>
          <w:color w:val="000000"/>
          <w:sz w:val="28"/>
        </w:rPr>
        <w:t>
      P.4.3. Валидация аналитических методик.</w:t>
      </w:r>
    </w:p>
    <w:bookmarkEnd w:id="5971"/>
    <w:bookmarkStart w:name="z6165" w:id="5972"/>
    <w:p>
      <w:pPr>
        <w:spacing w:after="0"/>
        <w:ind w:left="0"/>
        <w:jc w:val="both"/>
      </w:pPr>
      <w:r>
        <w:rPr>
          <w:rFonts w:ascii="Times New Roman"/>
          <w:b w:val="false"/>
          <w:i w:val="false"/>
          <w:color w:val="000000"/>
          <w:sz w:val="28"/>
        </w:rPr>
        <w:t>
      P.4.4. Обоснование спецификаций.</w:t>
      </w:r>
    </w:p>
    <w:bookmarkEnd w:id="5972"/>
    <w:bookmarkStart w:name="z6166" w:id="5973"/>
    <w:p>
      <w:pPr>
        <w:spacing w:after="0"/>
        <w:ind w:left="0"/>
        <w:jc w:val="both"/>
      </w:pPr>
      <w:r>
        <w:rPr>
          <w:rFonts w:ascii="Times New Roman"/>
          <w:b w:val="false"/>
          <w:i w:val="false"/>
          <w:color w:val="000000"/>
          <w:sz w:val="28"/>
        </w:rPr>
        <w:t>
      P.4.5. Вспомогательные вещества человеческого или животного происхождения.</w:t>
      </w:r>
    </w:p>
    <w:bookmarkEnd w:id="5973"/>
    <w:bookmarkStart w:name="z6167" w:id="5974"/>
    <w:p>
      <w:pPr>
        <w:spacing w:after="0"/>
        <w:ind w:left="0"/>
        <w:jc w:val="both"/>
      </w:pPr>
      <w:r>
        <w:rPr>
          <w:rFonts w:ascii="Times New Roman"/>
          <w:b w:val="false"/>
          <w:i w:val="false"/>
          <w:color w:val="000000"/>
          <w:sz w:val="28"/>
        </w:rPr>
        <w:t>
      P.4.6. Новые вспомогательные вещества.</w:t>
      </w:r>
    </w:p>
    <w:bookmarkEnd w:id="5974"/>
    <w:bookmarkStart w:name="z6168" w:id="5975"/>
    <w:p>
      <w:pPr>
        <w:spacing w:after="0"/>
        <w:ind w:left="0"/>
        <w:jc w:val="both"/>
      </w:pPr>
      <w:r>
        <w:rPr>
          <w:rFonts w:ascii="Times New Roman"/>
          <w:b w:val="false"/>
          <w:i w:val="false"/>
          <w:color w:val="000000"/>
          <w:sz w:val="28"/>
        </w:rPr>
        <w:t>
      При наличии статьи Фармакопеи Союза в большинстве случаев достаточно привести краткую характеристику.</w:t>
      </w:r>
    </w:p>
    <w:bookmarkEnd w:id="5975"/>
    <w:bookmarkStart w:name="z6169" w:id="5976"/>
    <w:p>
      <w:pPr>
        <w:spacing w:after="0"/>
        <w:ind w:left="0"/>
        <w:jc w:val="both"/>
      </w:pPr>
      <w:r>
        <w:rPr>
          <w:rFonts w:ascii="Times New Roman"/>
          <w:b w:val="false"/>
          <w:i w:val="false"/>
          <w:color w:val="000000"/>
          <w:sz w:val="28"/>
        </w:rPr>
        <w:t>
      При отсутствии статьи Фармакопеи Союза необходимо оценить обоснованность предлагаемой спецификации.</w:t>
      </w:r>
    </w:p>
    <w:bookmarkEnd w:id="5976"/>
    <w:bookmarkStart w:name="z6170" w:id="5977"/>
    <w:p>
      <w:pPr>
        <w:spacing w:after="0"/>
        <w:ind w:left="0"/>
        <w:jc w:val="both"/>
      </w:pPr>
      <w:r>
        <w:rPr>
          <w:rFonts w:ascii="Times New Roman"/>
          <w:b w:val="false"/>
          <w:i w:val="false"/>
          <w:color w:val="000000"/>
          <w:sz w:val="28"/>
        </w:rPr>
        <w:t>
      Необходимо оценить, отражают ли должным образом спецификации и испытания фармацевтико-технологические свойства препарата. Это в большей степени применимо к новым системам доставки, некоторые компоненты которых имеют специальную функцию и требуют более детального описания и контроля, особенно в части испытания фармацевтико-технологических свойств.</w:t>
      </w:r>
    </w:p>
    <w:bookmarkEnd w:id="5977"/>
    <w:bookmarkStart w:name="z6171" w:id="5978"/>
    <w:p>
      <w:pPr>
        <w:spacing w:after="0"/>
        <w:ind w:left="0"/>
        <w:jc w:val="both"/>
      </w:pPr>
      <w:r>
        <w:rPr>
          <w:rFonts w:ascii="Times New Roman"/>
          <w:b w:val="false"/>
          <w:i w:val="false"/>
          <w:color w:val="000000"/>
          <w:sz w:val="28"/>
        </w:rPr>
        <w:t>
      В отношении биологических материалов (например, таких производных крови или плазмы, как альбумин человека), используемых в производстве лекарственного препарата, необходимо оценить источник, производство, описание свойств и контроль. При каждом использовании препаратов, полученных из плазмы, например, альбумина человека, в производстве лекарственных препаратов, они должны соответствовать требованиям руководства Союза по лекарственным препаратам, полученным из плазмы, и иметь документы, включая происхождение донаций, качество и спецификации, как у лекарственных препаратов альбумина.</w:t>
      </w:r>
    </w:p>
    <w:bookmarkEnd w:id="5978"/>
    <w:bookmarkStart w:name="z6172" w:id="5979"/>
    <w:p>
      <w:pPr>
        <w:spacing w:after="0"/>
        <w:ind w:left="0"/>
        <w:jc w:val="both"/>
      </w:pPr>
      <w:r>
        <w:rPr>
          <w:rFonts w:ascii="Times New Roman"/>
          <w:b w:val="false"/>
          <w:i w:val="false"/>
          <w:color w:val="000000"/>
          <w:sz w:val="28"/>
        </w:rPr>
        <w:t>
      Необходимо привести ссылку на раздел A2 регистрационного досье относительно посторонних агентов (вирусной безопасности) вспомогательных веществ, необходимо осветить все вопросы, связанные с оценкой риска передачи трансмиссивной губчатой энцефалопатии (ТГЭ).</w:t>
      </w:r>
    </w:p>
    <w:bookmarkEnd w:id="5979"/>
    <w:bookmarkStart w:name="z6173" w:id="5980"/>
    <w:p>
      <w:pPr>
        <w:spacing w:after="0"/>
        <w:ind w:left="0"/>
        <w:jc w:val="both"/>
      </w:pPr>
      <w:r>
        <w:rPr>
          <w:rFonts w:ascii="Times New Roman"/>
          <w:b w:val="false"/>
          <w:i w:val="false"/>
          <w:color w:val="000000"/>
          <w:sz w:val="28"/>
        </w:rPr>
        <w:t>
      Следует указать, имеются ли в составе препарата вспомогательные вещества, которые можно расценить как принципиально новые или нестандартные для фармацевтического рынка в целом (в отношении влияния на свойства лекарственного препарата) и результаты подробной оценки таких новых вспомогательных веществ в части их производства и токсикологической оценки должны быть отражены отдельно.</w:t>
      </w:r>
    </w:p>
    <w:bookmarkEnd w:id="5980"/>
    <w:bookmarkStart w:name="z6174" w:id="5981"/>
    <w:p>
      <w:pPr>
        <w:spacing w:after="0"/>
        <w:ind w:left="0"/>
        <w:jc w:val="left"/>
      </w:pPr>
      <w:r>
        <w:rPr>
          <w:rFonts w:ascii="Times New Roman"/>
          <w:b/>
          <w:i w:val="false"/>
          <w:color w:val="000000"/>
        </w:rPr>
        <w:t xml:space="preserve"> 4.5. Контроль качества лекарственного препарата (модуль 3.2.P.5)</w:t>
      </w:r>
    </w:p>
    <w:bookmarkEnd w:id="5981"/>
    <w:bookmarkStart w:name="z6175" w:id="5982"/>
    <w:p>
      <w:pPr>
        <w:spacing w:after="0"/>
        <w:ind w:left="0"/>
        <w:jc w:val="both"/>
      </w:pPr>
      <w:r>
        <w:rPr>
          <w:rFonts w:ascii="Times New Roman"/>
          <w:b w:val="false"/>
          <w:i w:val="false"/>
          <w:color w:val="000000"/>
          <w:sz w:val="28"/>
        </w:rPr>
        <w:t>
      В данном разделе отражаются результаты экспертизы сведений, указанных в следующих разделах регистрационного досье:</w:t>
      </w:r>
    </w:p>
    <w:bookmarkEnd w:id="5982"/>
    <w:bookmarkStart w:name="z6176" w:id="5983"/>
    <w:p>
      <w:pPr>
        <w:spacing w:after="0"/>
        <w:ind w:left="0"/>
        <w:jc w:val="both"/>
      </w:pPr>
      <w:r>
        <w:rPr>
          <w:rFonts w:ascii="Times New Roman"/>
          <w:b w:val="false"/>
          <w:i w:val="false"/>
          <w:color w:val="000000"/>
          <w:sz w:val="28"/>
        </w:rPr>
        <w:t>
      P.5.1. Спецификации.</w:t>
      </w:r>
    </w:p>
    <w:bookmarkEnd w:id="5983"/>
    <w:bookmarkStart w:name="z6177" w:id="5984"/>
    <w:p>
      <w:pPr>
        <w:spacing w:after="0"/>
        <w:ind w:left="0"/>
        <w:jc w:val="both"/>
      </w:pPr>
      <w:r>
        <w:rPr>
          <w:rFonts w:ascii="Times New Roman"/>
          <w:b w:val="false"/>
          <w:i w:val="false"/>
          <w:color w:val="000000"/>
          <w:sz w:val="28"/>
        </w:rPr>
        <w:t>
      P.5.2. Аналитические методики.</w:t>
      </w:r>
    </w:p>
    <w:bookmarkEnd w:id="5984"/>
    <w:bookmarkStart w:name="z6178" w:id="5985"/>
    <w:p>
      <w:pPr>
        <w:spacing w:after="0"/>
        <w:ind w:left="0"/>
        <w:jc w:val="both"/>
      </w:pPr>
      <w:r>
        <w:rPr>
          <w:rFonts w:ascii="Times New Roman"/>
          <w:b w:val="false"/>
          <w:i w:val="false"/>
          <w:color w:val="000000"/>
          <w:sz w:val="28"/>
        </w:rPr>
        <w:t>
      P.5.3. Валидация аналитических методик.</w:t>
      </w:r>
    </w:p>
    <w:bookmarkEnd w:id="5985"/>
    <w:bookmarkStart w:name="z6179" w:id="5986"/>
    <w:p>
      <w:pPr>
        <w:spacing w:after="0"/>
        <w:ind w:left="0"/>
        <w:jc w:val="both"/>
      </w:pPr>
      <w:r>
        <w:rPr>
          <w:rFonts w:ascii="Times New Roman"/>
          <w:b w:val="false"/>
          <w:i w:val="false"/>
          <w:color w:val="000000"/>
          <w:sz w:val="28"/>
        </w:rPr>
        <w:t>
      P.5.4. Результаты анализа серий.</w:t>
      </w:r>
    </w:p>
    <w:bookmarkEnd w:id="5986"/>
    <w:bookmarkStart w:name="z6180" w:id="5987"/>
    <w:p>
      <w:pPr>
        <w:spacing w:after="0"/>
        <w:ind w:left="0"/>
        <w:jc w:val="both"/>
      </w:pPr>
      <w:r>
        <w:rPr>
          <w:rFonts w:ascii="Times New Roman"/>
          <w:b w:val="false"/>
          <w:i w:val="false"/>
          <w:color w:val="000000"/>
          <w:sz w:val="28"/>
        </w:rPr>
        <w:t>
      P.5.5. Характеристика примесей.</w:t>
      </w:r>
    </w:p>
    <w:bookmarkEnd w:id="5987"/>
    <w:bookmarkStart w:name="z6181" w:id="5988"/>
    <w:p>
      <w:pPr>
        <w:spacing w:after="0"/>
        <w:ind w:left="0"/>
        <w:jc w:val="both"/>
      </w:pPr>
      <w:r>
        <w:rPr>
          <w:rFonts w:ascii="Times New Roman"/>
          <w:b w:val="false"/>
          <w:i w:val="false"/>
          <w:color w:val="000000"/>
          <w:sz w:val="28"/>
        </w:rPr>
        <w:t>
      P.5.6. Обоснования спецификаций.</w:t>
      </w:r>
    </w:p>
    <w:bookmarkEnd w:id="5988"/>
    <w:bookmarkStart w:name="z6182" w:id="5989"/>
    <w:p>
      <w:pPr>
        <w:spacing w:after="0"/>
        <w:ind w:left="0"/>
        <w:jc w:val="both"/>
      </w:pPr>
      <w:r>
        <w:rPr>
          <w:rFonts w:ascii="Times New Roman"/>
          <w:b w:val="false"/>
          <w:i w:val="false"/>
          <w:color w:val="000000"/>
          <w:sz w:val="28"/>
        </w:rPr>
        <w:t>
      Спецификация: необходимо в табличном виде представить спецификации на выпуск и до окончания срока годности (срока хранения), сопоставив их друг с другом, с краткой ссылкой на использованный метод.</w:t>
      </w:r>
    </w:p>
    <w:bookmarkEnd w:id="5989"/>
    <w:bookmarkStart w:name="z6183" w:id="5990"/>
    <w:p>
      <w:pPr>
        <w:spacing w:after="0"/>
        <w:ind w:left="0"/>
        <w:jc w:val="both"/>
      </w:pPr>
      <w:r>
        <w:rPr>
          <w:rFonts w:ascii="Times New Roman"/>
          <w:b w:val="false"/>
          <w:i w:val="false"/>
          <w:color w:val="000000"/>
          <w:sz w:val="28"/>
        </w:rPr>
        <w:t>
      Если предложен выпуск по параметрам с контролем в режиме реального времени, указать, подтвердил ли заявитель достижение глубокого понимания характеристик препарата и процесса его производства. Необходимо указать, предусмотрел ли заявитель надлежащий контроль критических параметров процесса производства и критических показателей качества материалов, которые обосновывали бы выпуск по параметрам с контролем в режиме реального времени. Необходимо оценить, учтены ли заявителем факторы производственной среды при проведении им сравнения результатов анализа серий, полученных при испытании конечного продукта, и серий, полученных при испытании в реальном времени. Необходимо указать, включена ли схема, предусматривающая сравнение в течение года результатов выпуска по параметрам с контролем в режиме реального времени готового препарата и результатов выпуска по параметрам с контролем в режиме реального времени достаточного числа серий. Если в целях прогнозирования показателей качества лекарственного препарата или мониторинга процесса производства "на линии" использованы многомерные модели, следует обратиться к дополнению № 3 к настоящему документу.</w:t>
      </w:r>
    </w:p>
    <w:bookmarkEnd w:id="5990"/>
    <w:bookmarkStart w:name="z6184" w:id="5991"/>
    <w:p>
      <w:pPr>
        <w:spacing w:after="0"/>
        <w:ind w:left="0"/>
        <w:jc w:val="both"/>
      </w:pPr>
      <w:r>
        <w:rPr>
          <w:rFonts w:ascii="Times New Roman"/>
          <w:b w:val="false"/>
          <w:i w:val="false"/>
          <w:color w:val="000000"/>
          <w:sz w:val="28"/>
        </w:rPr>
        <w:t>
      Резюме спецификации, важные испытания, особенно имеющие отношение к биодоступности или эффективности (например, растворение, размер частиц, полиморфизм, если применимо) и безопасности (примеси, стерильность, пирогены или бактериальные эндотоксины и т.д. - для стерильных препаратов). Следует оценить совокупную значимость спецификации на выпуск с учетом метода производства и клинического применения, пути введения и т.д.</w:t>
      </w:r>
    </w:p>
    <w:bookmarkEnd w:id="5991"/>
    <w:bookmarkStart w:name="z6185" w:id="5992"/>
    <w:p>
      <w:pPr>
        <w:spacing w:after="0"/>
        <w:ind w:left="0"/>
        <w:jc w:val="both"/>
      </w:pPr>
      <w:r>
        <w:rPr>
          <w:rFonts w:ascii="Times New Roman"/>
          <w:b w:val="false"/>
          <w:i w:val="false"/>
          <w:color w:val="000000"/>
          <w:sz w:val="28"/>
        </w:rPr>
        <w:t>
      Валидация аналитических методик: необходимо оценить соответствие требованиям соответствующего руководства Союза с указанием отклонений при их наличии. В данном разделе (P.5) необходимо оценить все аналитические методики как описанные в спецификации на выпуск, так и на срок годности.</w:t>
      </w:r>
    </w:p>
    <w:bookmarkEnd w:id="5992"/>
    <w:bookmarkStart w:name="z6186" w:id="5993"/>
    <w:p>
      <w:pPr>
        <w:spacing w:after="0"/>
        <w:ind w:left="0"/>
        <w:jc w:val="both"/>
      </w:pPr>
      <w:r>
        <w:rPr>
          <w:rFonts w:ascii="Times New Roman"/>
          <w:b w:val="false"/>
          <w:i w:val="false"/>
          <w:color w:val="000000"/>
          <w:sz w:val="28"/>
        </w:rPr>
        <w:t>
      Необходимо убедиться, что объектом испытаний на примеси в спецификации на лекарственный препарат являются продукты деградации (разложения), образующиеся в ходе производства, а также при хранении, а не технологические примеси, проистекающие из фармацевтической субстанции, если они подлежат контролю на уровне фармацевтической субстанции и их профиль при хранении лекарственного препарата не изменяется.</w:t>
      </w:r>
    </w:p>
    <w:bookmarkEnd w:id="5993"/>
    <w:bookmarkStart w:name="z6187" w:id="5994"/>
    <w:p>
      <w:pPr>
        <w:spacing w:after="0"/>
        <w:ind w:left="0"/>
        <w:jc w:val="both"/>
      </w:pPr>
      <w:r>
        <w:rPr>
          <w:rFonts w:ascii="Times New Roman"/>
          <w:b w:val="false"/>
          <w:i w:val="false"/>
          <w:color w:val="000000"/>
          <w:sz w:val="28"/>
        </w:rPr>
        <w:t>
      Протоколы анализа серий (n = &lt;указать количество&gt;): необходимо оценить, подтверждают ли полученные результаты постоянство и однородность лекарственного препарата. Необходимо оценить, контролируемы ли процессы производства.</w:t>
      </w:r>
    </w:p>
    <w:bookmarkEnd w:id="5994"/>
    <w:bookmarkStart w:name="z6188" w:id="5995"/>
    <w:p>
      <w:pPr>
        <w:spacing w:after="0"/>
        <w:ind w:left="0"/>
        <w:jc w:val="both"/>
      </w:pPr>
      <w:r>
        <w:rPr>
          <w:rFonts w:ascii="Times New Roman"/>
          <w:b w:val="false"/>
          <w:i w:val="false"/>
          <w:color w:val="000000"/>
          <w:sz w:val="28"/>
        </w:rPr>
        <w:t>
      В отношении радиофармацевтических препаратов необходимо оценить радиохимическую чистоту "холодных" восстанавливаемых наборов, если применимо.</w:t>
      </w:r>
    </w:p>
    <w:bookmarkEnd w:id="5995"/>
    <w:bookmarkStart w:name="z6189" w:id="5996"/>
    <w:p>
      <w:pPr>
        <w:spacing w:after="0"/>
        <w:ind w:left="0"/>
        <w:jc w:val="both"/>
      </w:pPr>
      <w:r>
        <w:rPr>
          <w:rFonts w:ascii="Times New Roman"/>
          <w:b w:val="false"/>
          <w:i w:val="false"/>
          <w:color w:val="000000"/>
          <w:sz w:val="28"/>
        </w:rPr>
        <w:t>
      В отношении биотехнологических лекарственных препаратов критические элементы, описанные в спецификации на АФС, во многих случаях также применимы для лекарственного препарата.</w:t>
      </w:r>
    </w:p>
    <w:bookmarkEnd w:id="5996"/>
    <w:bookmarkStart w:name="z6190" w:id="5997"/>
    <w:p>
      <w:pPr>
        <w:spacing w:after="0"/>
        <w:ind w:left="0"/>
        <w:jc w:val="left"/>
      </w:pPr>
      <w:r>
        <w:rPr>
          <w:rFonts w:ascii="Times New Roman"/>
          <w:b/>
          <w:i w:val="false"/>
          <w:color w:val="000000"/>
        </w:rPr>
        <w:t xml:space="preserve"> 4.6. Стандартные образцы и материалы (модуль 3.2.P.6) </w:t>
      </w:r>
    </w:p>
    <w:bookmarkEnd w:id="5997"/>
    <w:bookmarkStart w:name="z6191" w:id="5998"/>
    <w:p>
      <w:pPr>
        <w:spacing w:after="0"/>
        <w:ind w:left="0"/>
        <w:jc w:val="both"/>
      </w:pPr>
      <w:r>
        <w:rPr>
          <w:rFonts w:ascii="Times New Roman"/>
          <w:b w:val="false"/>
          <w:i w:val="false"/>
          <w:color w:val="000000"/>
          <w:sz w:val="28"/>
        </w:rPr>
        <w:t>
      Раздел заполняется если это применимо, с учетом информации в модуле S.5 регистрационного досье.</w:t>
      </w:r>
    </w:p>
    <w:bookmarkEnd w:id="5998"/>
    <w:bookmarkStart w:name="z6192" w:id="5999"/>
    <w:p>
      <w:pPr>
        <w:spacing w:after="0"/>
        <w:ind w:left="0"/>
        <w:jc w:val="both"/>
      </w:pPr>
      <w:r>
        <w:rPr>
          <w:rFonts w:ascii="Times New Roman"/>
          <w:b w:val="false"/>
          <w:i w:val="false"/>
          <w:color w:val="000000"/>
          <w:sz w:val="28"/>
        </w:rPr>
        <w:t>
      Новые или известные химические соединения</w:t>
      </w:r>
    </w:p>
    <w:bookmarkEnd w:id="5999"/>
    <w:bookmarkStart w:name="z6193" w:id="6000"/>
    <w:p>
      <w:pPr>
        <w:spacing w:after="0"/>
        <w:ind w:left="0"/>
        <w:jc w:val="both"/>
      </w:pPr>
      <w:r>
        <w:rPr>
          <w:rFonts w:ascii="Times New Roman"/>
          <w:b w:val="false"/>
          <w:i w:val="false"/>
          <w:color w:val="000000"/>
          <w:sz w:val="28"/>
        </w:rPr>
        <w:t>
      Указать, доступны ли стандартные образцы основных фармакопей в соответствии с Концепцией гармонизации фармакопейных стандартов государств - членов Евразийского экономического союза, утверждаемой Евразийской экономической комиссией.</w:t>
      </w:r>
    </w:p>
    <w:bookmarkEnd w:id="6000"/>
    <w:bookmarkStart w:name="z6194" w:id="6001"/>
    <w:p>
      <w:pPr>
        <w:spacing w:after="0"/>
        <w:ind w:left="0"/>
        <w:jc w:val="both"/>
      </w:pPr>
      <w:r>
        <w:rPr>
          <w:rFonts w:ascii="Times New Roman"/>
          <w:b w:val="false"/>
          <w:i w:val="false"/>
          <w:color w:val="000000"/>
          <w:sz w:val="28"/>
        </w:rPr>
        <w:t>
      В отношении биоаналогичного лекарственного препарата необходимо в табличном виде представить следующие сведения о референтном лекарственном препарате: наименование, дозировка, лекарственная форма, держатель регистрационного удостоверения, номера серий и страна происхождения серий, использованных в исследованиях сопоставимости (референтный лекарственный препарат должен быть произведен в странах с хорошо регулируемым фармацевтическим рынком).</w:t>
      </w:r>
    </w:p>
    <w:bookmarkEnd w:id="6001"/>
    <w:bookmarkStart w:name="z6195" w:id="6002"/>
    <w:p>
      <w:pPr>
        <w:spacing w:after="0"/>
        <w:ind w:left="0"/>
        <w:jc w:val="left"/>
      </w:pPr>
      <w:r>
        <w:rPr>
          <w:rFonts w:ascii="Times New Roman"/>
          <w:b/>
          <w:i w:val="false"/>
          <w:color w:val="000000"/>
        </w:rPr>
        <w:t xml:space="preserve"> 4.7. Система упаковки (укупорки) (модуль 3.2.P.7) </w:t>
      </w:r>
    </w:p>
    <w:bookmarkEnd w:id="6002"/>
    <w:bookmarkStart w:name="z6196" w:id="6003"/>
    <w:p>
      <w:pPr>
        <w:spacing w:after="0"/>
        <w:ind w:left="0"/>
        <w:jc w:val="both"/>
      </w:pPr>
      <w:r>
        <w:rPr>
          <w:rFonts w:ascii="Times New Roman"/>
          <w:b w:val="false"/>
          <w:i w:val="false"/>
          <w:color w:val="000000"/>
          <w:sz w:val="28"/>
        </w:rPr>
        <w:t>
      Необходимо оценить обоснованность выбора контейнера и укупорки, принимая во внимание физические и химические свойства лекарственного препарата.</w:t>
      </w:r>
    </w:p>
    <w:bookmarkEnd w:id="6003"/>
    <w:bookmarkStart w:name="z6197" w:id="6004"/>
    <w:p>
      <w:pPr>
        <w:spacing w:after="0"/>
        <w:ind w:left="0"/>
        <w:jc w:val="both"/>
      </w:pPr>
      <w:r>
        <w:rPr>
          <w:rFonts w:ascii="Times New Roman"/>
          <w:b w:val="false"/>
          <w:i w:val="false"/>
          <w:color w:val="000000"/>
          <w:sz w:val="28"/>
        </w:rPr>
        <w:t>
      Необходимо оценить способность упаковки и укупорки обеспечивать достаточную защиту от микробной контаминации, если это требуется.</w:t>
      </w:r>
    </w:p>
    <w:bookmarkEnd w:id="6004"/>
    <w:bookmarkStart w:name="z6198" w:id="6005"/>
    <w:p>
      <w:pPr>
        <w:spacing w:after="0"/>
        <w:ind w:left="0"/>
        <w:jc w:val="both"/>
      </w:pPr>
      <w:r>
        <w:rPr>
          <w:rFonts w:ascii="Times New Roman"/>
          <w:b w:val="false"/>
          <w:i w:val="false"/>
          <w:color w:val="000000"/>
          <w:sz w:val="28"/>
        </w:rPr>
        <w:t>
      Необходимо убедиться, что контейнеры, предлагаемые для рутинного хранения совпадают с использованными в исследованиях стабильности, проведенных для обоснования срока годности (раздел 3.2.P.8 регистрационного досье).</w:t>
      </w:r>
    </w:p>
    <w:bookmarkEnd w:id="6005"/>
    <w:bookmarkStart w:name="z6199" w:id="6006"/>
    <w:p>
      <w:pPr>
        <w:spacing w:after="0"/>
        <w:ind w:left="0"/>
        <w:jc w:val="left"/>
      </w:pPr>
      <w:r>
        <w:rPr>
          <w:rFonts w:ascii="Times New Roman"/>
          <w:b/>
          <w:i w:val="false"/>
          <w:color w:val="000000"/>
        </w:rPr>
        <w:t xml:space="preserve"> 4.8. Стабильность (модуль 3.2.P.8) </w:t>
      </w:r>
    </w:p>
    <w:bookmarkEnd w:id="6006"/>
    <w:bookmarkStart w:name="z6200" w:id="6007"/>
    <w:p>
      <w:pPr>
        <w:spacing w:after="0"/>
        <w:ind w:left="0"/>
        <w:jc w:val="both"/>
      </w:pPr>
      <w:r>
        <w:rPr>
          <w:rFonts w:ascii="Times New Roman"/>
          <w:b w:val="false"/>
          <w:i w:val="false"/>
          <w:color w:val="000000"/>
          <w:sz w:val="28"/>
        </w:rPr>
        <w:t>
      В данном разделе отражаются результаты экспертизы сведений, указанных в следующих разделах регистрационного досье:</w:t>
      </w:r>
    </w:p>
    <w:bookmarkEnd w:id="6007"/>
    <w:bookmarkStart w:name="z6201" w:id="6008"/>
    <w:p>
      <w:pPr>
        <w:spacing w:after="0"/>
        <w:ind w:left="0"/>
        <w:jc w:val="both"/>
      </w:pPr>
      <w:r>
        <w:rPr>
          <w:rFonts w:ascii="Times New Roman"/>
          <w:b w:val="false"/>
          <w:i w:val="false"/>
          <w:color w:val="000000"/>
          <w:sz w:val="28"/>
        </w:rPr>
        <w:t>
      P.8.1. Резюме об испытаниях стабильности и заключение о стабильности.</w:t>
      </w:r>
    </w:p>
    <w:bookmarkEnd w:id="6008"/>
    <w:bookmarkStart w:name="z6202" w:id="6009"/>
    <w:p>
      <w:pPr>
        <w:spacing w:after="0"/>
        <w:ind w:left="0"/>
        <w:jc w:val="both"/>
      </w:pPr>
      <w:r>
        <w:rPr>
          <w:rFonts w:ascii="Times New Roman"/>
          <w:b w:val="false"/>
          <w:i w:val="false"/>
          <w:color w:val="000000"/>
          <w:sz w:val="28"/>
        </w:rPr>
        <w:t>
      P.8.2. Программа пострегистрационных испытаний стабильности и обязательства относительно изучения стабильности.</w:t>
      </w:r>
    </w:p>
    <w:bookmarkEnd w:id="6009"/>
    <w:bookmarkStart w:name="z6203" w:id="6010"/>
    <w:p>
      <w:pPr>
        <w:spacing w:after="0"/>
        <w:ind w:left="0"/>
        <w:jc w:val="both"/>
      </w:pPr>
      <w:r>
        <w:rPr>
          <w:rFonts w:ascii="Times New Roman"/>
          <w:b w:val="false"/>
          <w:i w:val="false"/>
          <w:color w:val="000000"/>
          <w:sz w:val="28"/>
        </w:rPr>
        <w:t>
      P.8.3. Данные испытаний стабильности.</w:t>
      </w:r>
    </w:p>
    <w:bookmarkEnd w:id="6010"/>
    <w:bookmarkStart w:name="z6204" w:id="6011"/>
    <w:p>
      <w:pPr>
        <w:spacing w:after="0"/>
        <w:ind w:left="0"/>
        <w:jc w:val="both"/>
      </w:pPr>
      <w:r>
        <w:rPr>
          <w:rFonts w:ascii="Times New Roman"/>
          <w:b w:val="false"/>
          <w:i w:val="false"/>
          <w:color w:val="000000"/>
          <w:sz w:val="28"/>
        </w:rPr>
        <w:t>
      Следует указать, проводились ли исследования в соответствии с действующими руководствами Союза. Необходимо отметить наличие отклонений и их обоснованность.</w:t>
      </w:r>
    </w:p>
    <w:bookmarkEnd w:id="6011"/>
    <w:bookmarkStart w:name="z6205" w:id="6012"/>
    <w:p>
      <w:pPr>
        <w:spacing w:after="0"/>
        <w:ind w:left="0"/>
        <w:jc w:val="both"/>
      </w:pPr>
      <w:r>
        <w:rPr>
          <w:rFonts w:ascii="Times New Roman"/>
          <w:b w:val="false"/>
          <w:i w:val="false"/>
          <w:color w:val="000000"/>
          <w:sz w:val="28"/>
        </w:rPr>
        <w:t>
      Необходимо прокомментировать достаточность программы пострегистрационных испытаний стабильности, в частности в отношении определяемых параметров. Необходимо оценить приемлемость исследования крайних вариантов (брекетинга) и матричного метода (метода группирования или матрицирования).</w:t>
      </w:r>
    </w:p>
    <w:bookmarkEnd w:id="6012"/>
    <w:bookmarkStart w:name="z6206" w:id="6013"/>
    <w:p>
      <w:pPr>
        <w:spacing w:after="0"/>
        <w:ind w:left="0"/>
        <w:jc w:val="both"/>
      </w:pPr>
      <w:r>
        <w:rPr>
          <w:rFonts w:ascii="Times New Roman"/>
          <w:b w:val="false"/>
          <w:i w:val="false"/>
          <w:color w:val="000000"/>
          <w:sz w:val="28"/>
        </w:rPr>
        <w:t>
      Необходимо указать, совпадают ли использованные методики с таковыми, описанными в P.5. Необходимо убедиться в том, что они валидированы и позволяют оценить стабильность лекарственного препарата.</w:t>
      </w:r>
    </w:p>
    <w:bookmarkEnd w:id="6013"/>
    <w:bookmarkStart w:name="z6207" w:id="6014"/>
    <w:p>
      <w:pPr>
        <w:spacing w:after="0"/>
        <w:ind w:left="0"/>
        <w:jc w:val="both"/>
      </w:pPr>
      <w:r>
        <w:rPr>
          <w:rFonts w:ascii="Times New Roman"/>
          <w:b w:val="false"/>
          <w:i w:val="false"/>
          <w:color w:val="000000"/>
          <w:sz w:val="28"/>
        </w:rPr>
        <w:t>
      Необходимо убедиться, что контейнеры, использованные в исследованиях стабильности, совпадают с предложенными для рутинного хранения.</w:t>
      </w:r>
    </w:p>
    <w:bookmarkEnd w:id="6014"/>
    <w:bookmarkStart w:name="z6208" w:id="6015"/>
    <w:p>
      <w:pPr>
        <w:spacing w:after="0"/>
        <w:ind w:left="0"/>
        <w:jc w:val="both"/>
      </w:pPr>
      <w:r>
        <w:rPr>
          <w:rFonts w:ascii="Times New Roman"/>
          <w:b w:val="false"/>
          <w:i w:val="false"/>
          <w:color w:val="000000"/>
          <w:sz w:val="28"/>
        </w:rPr>
        <w:t>
      Необходимо обратить внимание на то, что примеси, квалифицированные в АФС, не всегда включают продукты деградации (разложения), образующиеся в лекарственном препарате или в процессе его производства. Кроме того, при хранении могут измениться и другие характеристики препарата, что требует оценки обоснования, учитывающего результаты доклинических и клинических исследований.</w:t>
      </w:r>
    </w:p>
    <w:bookmarkEnd w:id="6015"/>
    <w:bookmarkStart w:name="z6209" w:id="6016"/>
    <w:p>
      <w:pPr>
        <w:spacing w:after="0"/>
        <w:ind w:left="0"/>
        <w:jc w:val="both"/>
      </w:pPr>
      <w:r>
        <w:rPr>
          <w:rFonts w:ascii="Times New Roman"/>
          <w:b w:val="false"/>
          <w:i w:val="false"/>
          <w:color w:val="000000"/>
          <w:sz w:val="28"/>
        </w:rPr>
        <w:t>
      Необходимо убедиться в достаточности обоснования предлагаемого срока годности и приемлемости условий хранения.</w:t>
      </w:r>
    </w:p>
    <w:bookmarkEnd w:id="6016"/>
    <w:bookmarkStart w:name="z6210" w:id="6017"/>
    <w:p>
      <w:pPr>
        <w:spacing w:after="0"/>
        <w:ind w:left="0"/>
        <w:jc w:val="both"/>
      </w:pPr>
      <w:r>
        <w:rPr>
          <w:rFonts w:ascii="Times New Roman"/>
          <w:b w:val="false"/>
          <w:i w:val="false"/>
          <w:color w:val="000000"/>
          <w:sz w:val="28"/>
        </w:rPr>
        <w:t>
      Стабильность готового к применению лекарственного препарата:</w:t>
      </w:r>
    </w:p>
    <w:bookmarkEnd w:id="6017"/>
    <w:bookmarkStart w:name="z6211" w:id="6018"/>
    <w:p>
      <w:pPr>
        <w:spacing w:after="0"/>
        <w:ind w:left="0"/>
        <w:jc w:val="both"/>
      </w:pPr>
      <w:r>
        <w:rPr>
          <w:rFonts w:ascii="Times New Roman"/>
          <w:b w:val="false"/>
          <w:i w:val="false"/>
          <w:color w:val="000000"/>
          <w:sz w:val="28"/>
        </w:rPr>
        <w:t>
      Необходимо также оценить стабильность после вскрытия и в ходе применения, например, для концентратов для разведения требуется оценить стабильность после разведения и в ходе введения, совместимость с доступными медицинскими изделиями для введения и т.д. Следует оценить необходимость определения срока годности и условий хранения готового к применению лекарственного препарата. Необходимо оценить соответствие предложений разработчика действующим руководствам Союза. При их несоответствии необходимо оценить обоснованность отклонений.</w:t>
      </w:r>
    </w:p>
    <w:bookmarkEnd w:id="6018"/>
    <w:bookmarkStart w:name="z6212" w:id="6019"/>
    <w:p>
      <w:pPr>
        <w:spacing w:after="0"/>
        <w:ind w:left="0"/>
        <w:jc w:val="both"/>
      </w:pPr>
      <w:r>
        <w:rPr>
          <w:rFonts w:ascii="Times New Roman"/>
          <w:b w:val="false"/>
          <w:i w:val="false"/>
          <w:color w:val="000000"/>
          <w:sz w:val="28"/>
        </w:rPr>
        <w:t>
      В отношении радиофармацевтических препаратов в данном разделе допускается привести оценку методов восстановления "холодных" наборов пользователями, а также оценку их стабильности после восстановления.</w:t>
      </w:r>
    </w:p>
    <w:bookmarkEnd w:id="6019"/>
    <w:bookmarkStart w:name="z6213" w:id="6020"/>
    <w:p>
      <w:pPr>
        <w:spacing w:after="0"/>
        <w:ind w:left="0"/>
        <w:jc w:val="both"/>
      </w:pPr>
      <w:r>
        <w:rPr>
          <w:rFonts w:ascii="Times New Roman"/>
          <w:b w:val="false"/>
          <w:i w:val="false"/>
          <w:color w:val="000000"/>
          <w:sz w:val="28"/>
        </w:rPr>
        <w:t>
      Общие сведения:</w:t>
      </w:r>
    </w:p>
    <w:bookmarkEnd w:id="6020"/>
    <w:bookmarkStart w:name="z6214" w:id="6021"/>
    <w:p>
      <w:pPr>
        <w:spacing w:after="0"/>
        <w:ind w:left="0"/>
        <w:jc w:val="both"/>
      </w:pPr>
      <w:r>
        <w:rPr>
          <w:rFonts w:ascii="Times New Roman"/>
          <w:b w:val="false"/>
          <w:i w:val="false"/>
          <w:color w:val="000000"/>
          <w:sz w:val="28"/>
        </w:rPr>
        <w:t>
      Необходимо оценить, отражено ли все вышеперечисленное в ОХЛП и листке-вкладыше должным образом. Необходимо сделать заключение об обоснованности всех сроков годности и условий хранения, указанных в ОХЛП.</w:t>
      </w:r>
    </w:p>
    <w:bookmarkEnd w:id="6021"/>
    <w:bookmarkStart w:name="z6215" w:id="6022"/>
    <w:p>
      <w:pPr>
        <w:spacing w:after="0"/>
        <w:ind w:left="0"/>
        <w:jc w:val="left"/>
      </w:pPr>
      <w:r>
        <w:rPr>
          <w:rFonts w:ascii="Times New Roman"/>
          <w:b/>
          <w:i w:val="false"/>
          <w:color w:val="000000"/>
        </w:rPr>
        <w:t xml:space="preserve"> 5. Дополнения (Модуль 3.2.A) </w:t>
      </w:r>
    </w:p>
    <w:bookmarkEnd w:id="6022"/>
    <w:bookmarkStart w:name="z6216" w:id="6023"/>
    <w:p>
      <w:pPr>
        <w:spacing w:after="0"/>
        <w:ind w:left="0"/>
        <w:jc w:val="both"/>
      </w:pPr>
      <w:r>
        <w:rPr>
          <w:rFonts w:ascii="Times New Roman"/>
          <w:b w:val="false"/>
          <w:i w:val="false"/>
          <w:color w:val="000000"/>
          <w:sz w:val="28"/>
        </w:rPr>
        <w:t>
      A.1. Производственные помещения и оборудование</w:t>
      </w:r>
    </w:p>
    <w:bookmarkEnd w:id="6023"/>
    <w:bookmarkStart w:name="z6217" w:id="6024"/>
    <w:p>
      <w:pPr>
        <w:spacing w:after="0"/>
        <w:ind w:left="0"/>
        <w:jc w:val="both"/>
      </w:pPr>
      <w:r>
        <w:rPr>
          <w:rFonts w:ascii="Times New Roman"/>
          <w:b w:val="false"/>
          <w:i w:val="false"/>
          <w:color w:val="000000"/>
          <w:sz w:val="28"/>
        </w:rPr>
        <w:t>
      A.2. Оценка безопасности относительно посторонних агентов</w:t>
      </w:r>
    </w:p>
    <w:bookmarkEnd w:id="6024"/>
    <w:bookmarkStart w:name="z6218" w:id="6025"/>
    <w:p>
      <w:pPr>
        <w:spacing w:after="0"/>
        <w:ind w:left="0"/>
        <w:jc w:val="both"/>
      </w:pPr>
      <w:r>
        <w:rPr>
          <w:rFonts w:ascii="Times New Roman"/>
          <w:b w:val="false"/>
          <w:i w:val="false"/>
          <w:color w:val="000000"/>
          <w:sz w:val="28"/>
        </w:rPr>
        <w:t>
      A.2.1. Невирусные посторонние вещества.</w:t>
      </w:r>
    </w:p>
    <w:bookmarkEnd w:id="6025"/>
    <w:bookmarkStart w:name="z6219" w:id="6026"/>
    <w:p>
      <w:pPr>
        <w:spacing w:after="0"/>
        <w:ind w:left="0"/>
        <w:jc w:val="both"/>
      </w:pPr>
      <w:r>
        <w:rPr>
          <w:rFonts w:ascii="Times New Roman"/>
          <w:b w:val="false"/>
          <w:i w:val="false"/>
          <w:color w:val="000000"/>
          <w:sz w:val="28"/>
        </w:rPr>
        <w:t>
      A.2.1.1. Контроль микоплазмы, бактерий и грибов.</w:t>
      </w:r>
    </w:p>
    <w:bookmarkEnd w:id="6026"/>
    <w:bookmarkStart w:name="z6220" w:id="6027"/>
    <w:p>
      <w:pPr>
        <w:spacing w:after="0"/>
        <w:ind w:left="0"/>
        <w:jc w:val="both"/>
      </w:pPr>
      <w:r>
        <w:rPr>
          <w:rFonts w:ascii="Times New Roman"/>
          <w:b w:val="false"/>
          <w:i w:val="false"/>
          <w:color w:val="000000"/>
          <w:sz w:val="28"/>
        </w:rPr>
        <w:t>
      A.2.1.2. Риск контаминации трансмиссивной губчатой энцефалопатией животных.</w:t>
      </w:r>
    </w:p>
    <w:bookmarkEnd w:id="6027"/>
    <w:bookmarkStart w:name="z6221" w:id="6028"/>
    <w:p>
      <w:pPr>
        <w:spacing w:after="0"/>
        <w:ind w:left="0"/>
        <w:jc w:val="both"/>
      </w:pPr>
      <w:r>
        <w:rPr>
          <w:rFonts w:ascii="Times New Roman"/>
          <w:b w:val="false"/>
          <w:i w:val="false"/>
          <w:color w:val="000000"/>
          <w:sz w:val="28"/>
        </w:rPr>
        <w:t>
      1.1. Контроль содержания микоплазмы, бактерий и грибов.</w:t>
      </w:r>
    </w:p>
    <w:bookmarkEnd w:id="6028"/>
    <w:bookmarkStart w:name="z6222" w:id="6029"/>
    <w:p>
      <w:pPr>
        <w:spacing w:after="0"/>
        <w:ind w:left="0"/>
        <w:jc w:val="both"/>
      </w:pPr>
      <w:r>
        <w:rPr>
          <w:rFonts w:ascii="Times New Roman"/>
          <w:b w:val="false"/>
          <w:i w:val="false"/>
          <w:color w:val="000000"/>
          <w:sz w:val="28"/>
        </w:rPr>
        <w:t>
      Необходимо представить перекрестные ссылки на другие части экспертного отчета (процесс производства и т.д.).</w:t>
      </w:r>
    </w:p>
    <w:bookmarkEnd w:id="6029"/>
    <w:bookmarkStart w:name="z6223" w:id="6030"/>
    <w:p>
      <w:pPr>
        <w:spacing w:after="0"/>
        <w:ind w:left="0"/>
        <w:jc w:val="both"/>
      </w:pPr>
      <w:r>
        <w:rPr>
          <w:rFonts w:ascii="Times New Roman"/>
          <w:b w:val="false"/>
          <w:i w:val="false"/>
          <w:color w:val="000000"/>
          <w:sz w:val="28"/>
        </w:rPr>
        <w:t>
      При использовании нефармакопейных методов для испытания на содержание микоплазмы, бактерий и грибов необходимо провести их оценку.</w:t>
      </w:r>
    </w:p>
    <w:bookmarkEnd w:id="6030"/>
    <w:bookmarkStart w:name="z6224" w:id="6031"/>
    <w:p>
      <w:pPr>
        <w:spacing w:after="0"/>
        <w:ind w:left="0"/>
        <w:jc w:val="both"/>
      </w:pPr>
      <w:r>
        <w:rPr>
          <w:rFonts w:ascii="Times New Roman"/>
          <w:b w:val="false"/>
          <w:i w:val="false"/>
          <w:color w:val="000000"/>
          <w:sz w:val="28"/>
        </w:rPr>
        <w:t>
      Если в отношении определенных реактивов или веществ возникали проблемы со стерильностью, необходимо провести подробную оценку.</w:t>
      </w:r>
    </w:p>
    <w:bookmarkEnd w:id="6031"/>
    <w:bookmarkStart w:name="z6225" w:id="6032"/>
    <w:p>
      <w:pPr>
        <w:spacing w:after="0"/>
        <w:ind w:left="0"/>
        <w:jc w:val="both"/>
      </w:pPr>
      <w:r>
        <w:rPr>
          <w:rFonts w:ascii="Times New Roman"/>
          <w:b w:val="false"/>
          <w:i w:val="false"/>
          <w:color w:val="000000"/>
          <w:sz w:val="28"/>
        </w:rPr>
        <w:t>
      1.2. Риск передачи трансмиссивной губчатой энцефалопатии животных.</w:t>
      </w:r>
    </w:p>
    <w:bookmarkEnd w:id="6032"/>
    <w:bookmarkStart w:name="z6226" w:id="6033"/>
    <w:p>
      <w:pPr>
        <w:spacing w:after="0"/>
        <w:ind w:left="0"/>
        <w:jc w:val="both"/>
      </w:pPr>
      <w:r>
        <w:rPr>
          <w:rFonts w:ascii="Times New Roman"/>
          <w:b w:val="false"/>
          <w:i w:val="false"/>
          <w:color w:val="000000"/>
          <w:sz w:val="28"/>
        </w:rPr>
        <w:t>
      Необходимо перечислить материалы, упомянутые в Руководстве по минимизации риска передачи возбудителей губчатых энцефалопатий животных согласно Фармакопее Союза (см. таблицу A), и оценить соблюдение заявителем требований к контролю агентов ТГЭ (CEP-сертификат или научная документация). Целесообразно представить резюме наиболее важной информации в табличном виде.</w:t>
      </w:r>
    </w:p>
    <w:bookmarkEnd w:id="6033"/>
    <w:bookmarkStart w:name="z6227" w:id="6034"/>
    <w:p>
      <w:pPr>
        <w:spacing w:after="0"/>
        <w:ind w:left="0"/>
        <w:jc w:val="both"/>
      </w:pPr>
      <w:r>
        <w:rPr>
          <w:rFonts w:ascii="Times New Roman"/>
          <w:b w:val="false"/>
          <w:i w:val="false"/>
          <w:color w:val="000000"/>
          <w:sz w:val="28"/>
        </w:rPr>
        <w:t>
      Необходимо оценить документацию, подтверждающую соответствие требованиям Руководства по минимизации риска передачи возбудителей губчатых энцефалопатий животных согласно Фармакопее Союза, если применимо.</w:t>
      </w:r>
    </w:p>
    <w:bookmarkEnd w:id="6034"/>
    <w:bookmarkStart w:name="z6228" w:id="6035"/>
    <w:p>
      <w:pPr>
        <w:spacing w:after="0"/>
        <w:ind w:left="0"/>
        <w:jc w:val="both"/>
      </w:pPr>
      <w:r>
        <w:rPr>
          <w:rFonts w:ascii="Times New Roman"/>
          <w:b w:val="false"/>
          <w:i w:val="false"/>
          <w:color w:val="000000"/>
          <w:sz w:val="28"/>
        </w:rPr>
        <w:t>
      Заключение.</w:t>
      </w:r>
    </w:p>
    <w:bookmarkEnd w:id="6035"/>
    <w:bookmarkStart w:name="z6229" w:id="6036"/>
    <w:p>
      <w:pPr>
        <w:spacing w:after="0"/>
        <w:ind w:left="0"/>
        <w:jc w:val="both"/>
      </w:pPr>
      <w:r>
        <w:rPr>
          <w:rFonts w:ascii="Times New Roman"/>
          <w:b w:val="false"/>
          <w:i w:val="false"/>
          <w:color w:val="000000"/>
          <w:sz w:val="28"/>
        </w:rPr>
        <w:t>
      A.2.2. Посторонние вирусы.</w:t>
      </w:r>
    </w:p>
    <w:bookmarkEnd w:id="6036"/>
    <w:bookmarkStart w:name="z6230" w:id="6037"/>
    <w:p>
      <w:pPr>
        <w:spacing w:after="0"/>
        <w:ind w:left="0"/>
        <w:jc w:val="both"/>
      </w:pPr>
      <w:r>
        <w:rPr>
          <w:rFonts w:ascii="Times New Roman"/>
          <w:b w:val="false"/>
          <w:i w:val="false"/>
          <w:color w:val="000000"/>
          <w:sz w:val="28"/>
        </w:rPr>
        <w:t>
      2.1. При установлении наличия материалов биологического происхождения следует сделать анализ по следующим аспектам.</w:t>
      </w:r>
    </w:p>
    <w:bookmarkEnd w:id="6037"/>
    <w:bookmarkStart w:name="z6231" w:id="6038"/>
    <w:p>
      <w:pPr>
        <w:spacing w:after="0"/>
        <w:ind w:left="0"/>
        <w:jc w:val="both"/>
      </w:pPr>
      <w:r>
        <w:rPr>
          <w:rFonts w:ascii="Times New Roman"/>
          <w:b w:val="false"/>
          <w:i w:val="false"/>
          <w:color w:val="000000"/>
          <w:sz w:val="28"/>
        </w:rPr>
        <w:t>
      Экспертный отчет должен содержать краткое описание или перечень материалов биологического происхождения, использованных в процессе производства лекарственного препарата или соприкасавшихся с ним, вместе с резюме характеристик материалов с точки зрения возможности вирусной контаминации. Необходимо принять во внимание клеточные субстраты, реактивы, напрямую или косвенно (например, материалы для аффинной хроматографии) использованные в производстве, а также вспомогательные вещества. Некоторые сведения могут содержаться в разделах 3.2.S.2.3 "Контроль качества материалов" и 3.2.P.4.5 "Вспомогательные вещества человеческого или животного происхождения" регистрационного досье.</w:t>
      </w:r>
    </w:p>
    <w:bookmarkEnd w:id="6038"/>
    <w:bookmarkStart w:name="z6232" w:id="6039"/>
    <w:p>
      <w:pPr>
        <w:spacing w:after="0"/>
        <w:ind w:left="0"/>
        <w:jc w:val="both"/>
      </w:pPr>
      <w:r>
        <w:rPr>
          <w:rFonts w:ascii="Times New Roman"/>
          <w:b w:val="false"/>
          <w:i w:val="false"/>
          <w:color w:val="000000"/>
          <w:sz w:val="28"/>
        </w:rPr>
        <w:t>
      2.2. Испытание исходных материалов и сырья.</w:t>
      </w:r>
    </w:p>
    <w:bookmarkEnd w:id="6039"/>
    <w:bookmarkStart w:name="z6233" w:id="6040"/>
    <w:p>
      <w:pPr>
        <w:spacing w:after="0"/>
        <w:ind w:left="0"/>
        <w:jc w:val="both"/>
      </w:pPr>
      <w:r>
        <w:rPr>
          <w:rFonts w:ascii="Times New Roman"/>
          <w:b w:val="false"/>
          <w:i w:val="false"/>
          <w:color w:val="000000"/>
          <w:sz w:val="28"/>
        </w:rPr>
        <w:t>
      Характеристика клеточных линий. Результаты проведенных испытаний необходимо занести в таблицу. Таблица должна отражать, какие испытания проводились и на каких клетках (главный банк клеток, рабочий банк клеток, послепроизводственные клетки). Необходимо указать клеточные линии, использованные для in vitro испытаний на предмет посторонних вирусов, испытания на продукцию мышиных и хомячьих антител не требуют подробного описания, при описании результатов испытаний in vivo необходимо указать вид животных и, если значимо, путь введения. Необходимо указать, подверглись ли изучению три серии необработанного нерасфасованного препарата на предмет наличия посторонних вирусов.</w:t>
      </w:r>
    </w:p>
    <w:bookmarkEnd w:id="6040"/>
    <w:bookmarkStart w:name="z6234" w:id="6041"/>
    <w:p>
      <w:pPr>
        <w:spacing w:after="0"/>
        <w:ind w:left="0"/>
        <w:jc w:val="both"/>
      </w:pPr>
      <w:r>
        <w:rPr>
          <w:rFonts w:ascii="Times New Roman"/>
          <w:b w:val="false"/>
          <w:i w:val="false"/>
          <w:color w:val="000000"/>
          <w:sz w:val="28"/>
        </w:rPr>
        <w:t>
      В отношении производных плазмы необходимо привести ссылку на мастер-файл плазмы или результаты экспертизы данных, содержащихся в нем.</w:t>
      </w:r>
    </w:p>
    <w:bookmarkEnd w:id="6041"/>
    <w:bookmarkStart w:name="z6235" w:id="6042"/>
    <w:p>
      <w:pPr>
        <w:spacing w:after="0"/>
        <w:ind w:left="0"/>
        <w:jc w:val="both"/>
      </w:pPr>
      <w:r>
        <w:rPr>
          <w:rFonts w:ascii="Times New Roman"/>
          <w:b w:val="false"/>
          <w:i w:val="false"/>
          <w:color w:val="000000"/>
          <w:sz w:val="28"/>
        </w:rPr>
        <w:t>
      В экспертном отчете необходимо осветить контрольные меры в отношении доноров, донорских тканей и банков клеток (в отношении препаратов, полученных из тканей человека).</w:t>
      </w:r>
    </w:p>
    <w:bookmarkEnd w:id="6042"/>
    <w:bookmarkStart w:name="z6236" w:id="6043"/>
    <w:p>
      <w:pPr>
        <w:spacing w:after="0"/>
        <w:ind w:left="0"/>
        <w:jc w:val="both"/>
      </w:pPr>
      <w:r>
        <w:rPr>
          <w:rFonts w:ascii="Times New Roman"/>
          <w:b w:val="false"/>
          <w:i w:val="false"/>
          <w:color w:val="000000"/>
          <w:sz w:val="28"/>
        </w:rPr>
        <w:t>
      В отношении вакцин необходимо указать, проведены ли все испытания и контрольные мероприятия, предусмотренные Фармакопеей Союза и рекомендациями ВОЗ с целью недопущения контаминации специфическими и неспецифическими посторонними агентами.</w:t>
      </w:r>
    </w:p>
    <w:bookmarkEnd w:id="6043"/>
    <w:bookmarkStart w:name="z6237" w:id="6044"/>
    <w:p>
      <w:pPr>
        <w:spacing w:after="0"/>
        <w:ind w:left="0"/>
        <w:jc w:val="both"/>
      </w:pPr>
      <w:r>
        <w:rPr>
          <w:rFonts w:ascii="Times New Roman"/>
          <w:b w:val="false"/>
          <w:i w:val="false"/>
          <w:color w:val="000000"/>
          <w:sz w:val="28"/>
        </w:rPr>
        <w:t>
      На основании информации, представленной в пункте 2.1, необходимо оценить, провел ли заявитель надлежащее изучение на предмет вирусной контаминации.</w:t>
      </w:r>
    </w:p>
    <w:bookmarkEnd w:id="6044"/>
    <w:bookmarkStart w:name="z6238" w:id="6045"/>
    <w:p>
      <w:pPr>
        <w:spacing w:after="0"/>
        <w:ind w:left="0"/>
        <w:jc w:val="both"/>
      </w:pPr>
      <w:r>
        <w:rPr>
          <w:rFonts w:ascii="Times New Roman"/>
          <w:b w:val="false"/>
          <w:i w:val="false"/>
          <w:color w:val="000000"/>
          <w:sz w:val="28"/>
        </w:rPr>
        <w:t>
      2.3. Рутинные испытания необработанного нерасфасованного продукта (если применимо):</w:t>
      </w:r>
    </w:p>
    <w:bookmarkEnd w:id="6045"/>
    <w:bookmarkStart w:name="z6239" w:id="6046"/>
    <w:p>
      <w:pPr>
        <w:spacing w:after="0"/>
        <w:ind w:left="0"/>
        <w:jc w:val="both"/>
      </w:pPr>
      <w:r>
        <w:rPr>
          <w:rFonts w:ascii="Times New Roman"/>
          <w:b w:val="false"/>
          <w:i w:val="false"/>
          <w:color w:val="000000"/>
          <w:sz w:val="28"/>
        </w:rPr>
        <w:t>
      В отношении препаратов, полученных из клеток, необходимо указать, требуется ли проведение рутинных испытаний необработанного нерасфасованного продукта. Необходимо оценить приемлемость и достаточность режима испытаний.</w:t>
      </w:r>
    </w:p>
    <w:bookmarkEnd w:id="6046"/>
    <w:bookmarkStart w:name="z6240" w:id="6047"/>
    <w:p>
      <w:pPr>
        <w:spacing w:after="0"/>
        <w:ind w:left="0"/>
        <w:jc w:val="both"/>
      </w:pPr>
      <w:r>
        <w:rPr>
          <w:rFonts w:ascii="Times New Roman"/>
          <w:b w:val="false"/>
          <w:i w:val="false"/>
          <w:color w:val="000000"/>
          <w:sz w:val="28"/>
        </w:rPr>
        <w:t>
      На основании информации, представленной в пункте 2.2, необходимо оценить, разработал ли заявитель надлежащую стратегию рутинных испытаний.</w:t>
      </w:r>
    </w:p>
    <w:bookmarkEnd w:id="6047"/>
    <w:bookmarkStart w:name="z6241" w:id="6048"/>
    <w:p>
      <w:pPr>
        <w:spacing w:after="0"/>
        <w:ind w:left="0"/>
        <w:jc w:val="both"/>
      </w:pPr>
      <w:r>
        <w:rPr>
          <w:rFonts w:ascii="Times New Roman"/>
          <w:b w:val="false"/>
          <w:i w:val="false"/>
          <w:color w:val="000000"/>
          <w:sz w:val="28"/>
        </w:rPr>
        <w:t>
      2.4. Испытание очищенного нерасфасованного продукта (если применимо).</w:t>
      </w:r>
    </w:p>
    <w:bookmarkEnd w:id="6048"/>
    <w:bookmarkStart w:name="z6242" w:id="6049"/>
    <w:p>
      <w:pPr>
        <w:spacing w:after="0"/>
        <w:ind w:left="0"/>
        <w:jc w:val="both"/>
      </w:pPr>
      <w:r>
        <w:rPr>
          <w:rFonts w:ascii="Times New Roman"/>
          <w:b w:val="false"/>
          <w:i w:val="false"/>
          <w:color w:val="000000"/>
          <w:sz w:val="28"/>
        </w:rPr>
        <w:t>
      Необходимо указать, представил ли заявитель достаточно обоснованный режим рутинного и нерутинного контроля очищенного нерасфасованного продукта.</w:t>
      </w:r>
    </w:p>
    <w:bookmarkEnd w:id="6049"/>
    <w:bookmarkStart w:name="z6243" w:id="6050"/>
    <w:p>
      <w:pPr>
        <w:spacing w:after="0"/>
        <w:ind w:left="0"/>
        <w:jc w:val="both"/>
      </w:pPr>
      <w:r>
        <w:rPr>
          <w:rFonts w:ascii="Times New Roman"/>
          <w:b w:val="false"/>
          <w:i w:val="false"/>
          <w:color w:val="000000"/>
          <w:sz w:val="28"/>
        </w:rPr>
        <w:t>
      2.5. Исследования очистки от вирусов:</w:t>
      </w:r>
    </w:p>
    <w:bookmarkEnd w:id="6050"/>
    <w:bookmarkStart w:name="z6244" w:id="6051"/>
    <w:p>
      <w:pPr>
        <w:spacing w:after="0"/>
        <w:ind w:left="0"/>
        <w:jc w:val="both"/>
      </w:pPr>
      <w:r>
        <w:rPr>
          <w:rFonts w:ascii="Times New Roman"/>
          <w:b w:val="false"/>
          <w:i w:val="false"/>
          <w:color w:val="000000"/>
          <w:sz w:val="28"/>
        </w:rPr>
        <w:t>
      Необходимо привести общие сведения по дизайну исследования.</w:t>
      </w:r>
    </w:p>
    <w:bookmarkEnd w:id="6051"/>
    <w:bookmarkStart w:name="z6245" w:id="6052"/>
    <w:p>
      <w:pPr>
        <w:spacing w:after="0"/>
        <w:ind w:left="0"/>
        <w:jc w:val="both"/>
      </w:pPr>
      <w:r>
        <w:rPr>
          <w:rFonts w:ascii="Times New Roman"/>
          <w:b w:val="false"/>
          <w:i w:val="false"/>
          <w:color w:val="000000"/>
          <w:sz w:val="28"/>
        </w:rPr>
        <w:t>
      Следует оценить необходимость очистки препарата от вирусов.</w:t>
      </w:r>
    </w:p>
    <w:bookmarkEnd w:id="6052"/>
    <w:bookmarkStart w:name="z6246" w:id="6053"/>
    <w:p>
      <w:pPr>
        <w:spacing w:after="0"/>
        <w:ind w:left="0"/>
        <w:jc w:val="both"/>
      </w:pPr>
      <w:r>
        <w:rPr>
          <w:rFonts w:ascii="Times New Roman"/>
          <w:b w:val="false"/>
          <w:i w:val="false"/>
          <w:color w:val="000000"/>
          <w:sz w:val="28"/>
        </w:rPr>
        <w:t>
      Необходимо оценить правильность и достаточность стадий процесса производства для очистки от вирусов.</w:t>
      </w:r>
    </w:p>
    <w:bookmarkEnd w:id="6053"/>
    <w:bookmarkStart w:name="z6247" w:id="6054"/>
    <w:p>
      <w:pPr>
        <w:spacing w:after="0"/>
        <w:ind w:left="0"/>
        <w:jc w:val="both"/>
      </w:pPr>
      <w:r>
        <w:rPr>
          <w:rFonts w:ascii="Times New Roman"/>
          <w:b w:val="false"/>
          <w:i w:val="false"/>
          <w:color w:val="000000"/>
          <w:sz w:val="28"/>
        </w:rPr>
        <w:t>
      Необходимо оценить правильность выбора вирусов.</w:t>
      </w:r>
    </w:p>
    <w:bookmarkEnd w:id="6054"/>
    <w:bookmarkStart w:name="z6248" w:id="6055"/>
    <w:p>
      <w:pPr>
        <w:spacing w:after="0"/>
        <w:ind w:left="0"/>
        <w:jc w:val="both"/>
      </w:pPr>
      <w:r>
        <w:rPr>
          <w:rFonts w:ascii="Times New Roman"/>
          <w:b w:val="false"/>
          <w:i w:val="false"/>
          <w:color w:val="000000"/>
          <w:sz w:val="28"/>
        </w:rPr>
        <w:t>
      Необходимо оценить соответствие проведенных исследований рекомендациям соответствующих руководств Союза.</w:t>
      </w:r>
    </w:p>
    <w:bookmarkEnd w:id="6055"/>
    <w:bookmarkStart w:name="z6249" w:id="6056"/>
    <w:p>
      <w:pPr>
        <w:spacing w:after="0"/>
        <w:ind w:left="0"/>
        <w:jc w:val="both"/>
      </w:pPr>
      <w:r>
        <w:rPr>
          <w:rFonts w:ascii="Times New Roman"/>
          <w:b w:val="false"/>
          <w:i w:val="false"/>
          <w:color w:val="000000"/>
          <w:sz w:val="28"/>
        </w:rPr>
        <w:t>
      2.5.1. Оценка валидационных исследований в соответствии с различными стадиями производства, подвергшихся изучению.</w:t>
      </w:r>
    </w:p>
    <w:bookmarkEnd w:id="6056"/>
    <w:bookmarkStart w:name="z6250" w:id="6057"/>
    <w:p>
      <w:pPr>
        <w:spacing w:after="0"/>
        <w:ind w:left="0"/>
        <w:jc w:val="both"/>
      </w:pPr>
      <w:r>
        <w:rPr>
          <w:rFonts w:ascii="Times New Roman"/>
          <w:b w:val="false"/>
          <w:i w:val="false"/>
          <w:color w:val="000000"/>
          <w:sz w:val="28"/>
        </w:rPr>
        <w:t>
      1) Необходимо оценить степень воспроизводимости промышленного процесса производства в лабораторных условиях.</w:t>
      </w:r>
    </w:p>
    <w:bookmarkEnd w:id="6057"/>
    <w:bookmarkStart w:name="z6251" w:id="6058"/>
    <w:p>
      <w:pPr>
        <w:spacing w:after="0"/>
        <w:ind w:left="0"/>
        <w:jc w:val="both"/>
      </w:pPr>
      <w:r>
        <w:rPr>
          <w:rFonts w:ascii="Times New Roman"/>
          <w:b w:val="false"/>
          <w:i w:val="false"/>
          <w:color w:val="000000"/>
          <w:sz w:val="28"/>
        </w:rPr>
        <w:t>
      Необходимо оценить, подверглись ли сравнению важные параметры процесса производства и воспроизведены ли они должным образом при разукрупнении (уменьшении масштаба производства до лабораторного).</w:t>
      </w:r>
    </w:p>
    <w:bookmarkEnd w:id="6058"/>
    <w:bookmarkStart w:name="z6252" w:id="6059"/>
    <w:p>
      <w:pPr>
        <w:spacing w:after="0"/>
        <w:ind w:left="0"/>
        <w:jc w:val="both"/>
      </w:pPr>
      <w:r>
        <w:rPr>
          <w:rFonts w:ascii="Times New Roman"/>
          <w:b w:val="false"/>
          <w:i w:val="false"/>
          <w:color w:val="000000"/>
          <w:sz w:val="28"/>
        </w:rPr>
        <w:t>
      Необходимо оценить, подтверждено ли разукрупнение результатами анализа использованных промежуточных продуктов или фракций.</w:t>
      </w:r>
    </w:p>
    <w:bookmarkEnd w:id="6059"/>
    <w:bookmarkStart w:name="z6253" w:id="6060"/>
    <w:p>
      <w:pPr>
        <w:spacing w:after="0"/>
        <w:ind w:left="0"/>
        <w:jc w:val="both"/>
      </w:pPr>
      <w:r>
        <w:rPr>
          <w:rFonts w:ascii="Times New Roman"/>
          <w:b w:val="false"/>
          <w:i w:val="false"/>
          <w:color w:val="000000"/>
          <w:sz w:val="28"/>
        </w:rPr>
        <w:t>
      При использовании хроматографических стадий необходимо оценить сопоставимость параметров (высота слоя, загрузка, скорость потока на всех этапах обработки, загрузки, профили элюирования).</w:t>
      </w:r>
    </w:p>
    <w:bookmarkEnd w:id="6060"/>
    <w:bookmarkStart w:name="z6254" w:id="6061"/>
    <w:p>
      <w:pPr>
        <w:spacing w:after="0"/>
        <w:ind w:left="0"/>
        <w:jc w:val="both"/>
      </w:pPr>
      <w:r>
        <w:rPr>
          <w:rFonts w:ascii="Times New Roman"/>
          <w:b w:val="false"/>
          <w:i w:val="false"/>
          <w:color w:val="000000"/>
          <w:sz w:val="28"/>
        </w:rPr>
        <w:t>
      Необходимо оценить, проводится ли проверка фракции пост-элюирования (промывка), а также фракции с высокой долей содержания соли, если применимо, на наличие вирусов. Необходимо указать, представлены ли параметры для каждого хроматографического цикла.</w:t>
      </w:r>
    </w:p>
    <w:bookmarkEnd w:id="6061"/>
    <w:bookmarkStart w:name="z6255" w:id="6062"/>
    <w:p>
      <w:pPr>
        <w:spacing w:after="0"/>
        <w:ind w:left="0"/>
        <w:jc w:val="both"/>
      </w:pPr>
      <w:r>
        <w:rPr>
          <w:rFonts w:ascii="Times New Roman"/>
          <w:b w:val="false"/>
          <w:i w:val="false"/>
          <w:color w:val="000000"/>
          <w:sz w:val="28"/>
        </w:rPr>
        <w:t>
      Если предлагается повторное использование колонок, необходимо указать, описаны ли и валидированы ли условия регенерации и повторного использования колонок.</w:t>
      </w:r>
    </w:p>
    <w:bookmarkEnd w:id="6062"/>
    <w:bookmarkStart w:name="z6256" w:id="6063"/>
    <w:p>
      <w:pPr>
        <w:spacing w:after="0"/>
        <w:ind w:left="0"/>
        <w:jc w:val="both"/>
      </w:pPr>
      <w:r>
        <w:rPr>
          <w:rFonts w:ascii="Times New Roman"/>
          <w:b w:val="false"/>
          <w:i w:val="false"/>
          <w:color w:val="000000"/>
          <w:sz w:val="28"/>
        </w:rPr>
        <w:t>
      Если предусмотрены стадии фильтрации, необходимо указать, идентичны ли параметры (отношение объема к фильтрующей поверхности, скорости потока или давления и (или) трансмембранного давления) промышленному процессу производства. Необходимо оценить, отражают ли исследования очистки различные стадии процесса фильтрации в ходе производства в достаточной степени (фильтрация и (или) ультрафильтрация или отмывка препарата), и достаточность изучения этих стадий.</w:t>
      </w:r>
    </w:p>
    <w:bookmarkEnd w:id="6063"/>
    <w:bookmarkStart w:name="z6257" w:id="6064"/>
    <w:p>
      <w:pPr>
        <w:spacing w:after="0"/>
        <w:ind w:left="0"/>
        <w:jc w:val="both"/>
      </w:pPr>
      <w:r>
        <w:rPr>
          <w:rFonts w:ascii="Times New Roman"/>
          <w:b w:val="false"/>
          <w:i w:val="false"/>
          <w:color w:val="000000"/>
          <w:sz w:val="28"/>
        </w:rPr>
        <w:t>
      Необходимо перечислить недостатки.</w:t>
      </w:r>
    </w:p>
    <w:bookmarkEnd w:id="6064"/>
    <w:bookmarkStart w:name="z6258" w:id="6065"/>
    <w:p>
      <w:pPr>
        <w:spacing w:after="0"/>
        <w:ind w:left="0"/>
        <w:jc w:val="both"/>
      </w:pPr>
      <w:r>
        <w:rPr>
          <w:rFonts w:ascii="Times New Roman"/>
          <w:b w:val="false"/>
          <w:i w:val="false"/>
          <w:color w:val="000000"/>
          <w:sz w:val="28"/>
        </w:rPr>
        <w:t>
      2) Необходимо оценить убедительность результатов экспериментов по очистке от вирусов.</w:t>
      </w:r>
    </w:p>
    <w:bookmarkEnd w:id="6065"/>
    <w:bookmarkStart w:name="z6259" w:id="6066"/>
    <w:p>
      <w:pPr>
        <w:spacing w:after="0"/>
        <w:ind w:left="0"/>
        <w:jc w:val="both"/>
      </w:pPr>
      <w:r>
        <w:rPr>
          <w:rFonts w:ascii="Times New Roman"/>
          <w:b w:val="false"/>
          <w:i w:val="false"/>
          <w:color w:val="000000"/>
          <w:sz w:val="28"/>
        </w:rPr>
        <w:t>
      Необходимо определить, проверена ли возможность цитотоксичности изучаемого материала и искажающее влияние на результаты испытаний на вирусы.</w:t>
      </w:r>
    </w:p>
    <w:bookmarkEnd w:id="6066"/>
    <w:bookmarkStart w:name="z6260" w:id="6067"/>
    <w:p>
      <w:pPr>
        <w:spacing w:after="0"/>
        <w:ind w:left="0"/>
        <w:jc w:val="both"/>
      </w:pPr>
      <w:r>
        <w:rPr>
          <w:rFonts w:ascii="Times New Roman"/>
          <w:b w:val="false"/>
          <w:i w:val="false"/>
          <w:color w:val="000000"/>
          <w:sz w:val="28"/>
        </w:rPr>
        <w:t>
      Если фильтрационные процессы подвергались оценке заявителем, необходимо определить, проводил ли заявитель испытания на вирусные агрегаты, использованы ли подходящие методики для их определения.</w:t>
      </w:r>
    </w:p>
    <w:bookmarkEnd w:id="6067"/>
    <w:bookmarkStart w:name="z6261" w:id="6068"/>
    <w:p>
      <w:pPr>
        <w:spacing w:after="0"/>
        <w:ind w:left="0"/>
        <w:jc w:val="both"/>
      </w:pPr>
      <w:r>
        <w:rPr>
          <w:rFonts w:ascii="Times New Roman"/>
          <w:b w:val="false"/>
          <w:i w:val="false"/>
          <w:color w:val="000000"/>
          <w:sz w:val="28"/>
        </w:rPr>
        <w:t>
      Необходимо указать, представлены ли первичные данные и приняты ли они во внимание при вычислении факторов сокращения содержания вирусной нагрузки.</w:t>
      </w:r>
    </w:p>
    <w:bookmarkEnd w:id="6068"/>
    <w:bookmarkStart w:name="z6262" w:id="6069"/>
    <w:p>
      <w:pPr>
        <w:spacing w:after="0"/>
        <w:ind w:left="0"/>
        <w:jc w:val="both"/>
      </w:pPr>
      <w:r>
        <w:rPr>
          <w:rFonts w:ascii="Times New Roman"/>
          <w:b w:val="false"/>
          <w:i w:val="false"/>
          <w:color w:val="000000"/>
          <w:sz w:val="28"/>
        </w:rPr>
        <w:t>
      Необходимо перечислить недостатки.</w:t>
      </w:r>
    </w:p>
    <w:bookmarkEnd w:id="6069"/>
    <w:bookmarkStart w:name="z6263" w:id="6070"/>
    <w:p>
      <w:pPr>
        <w:spacing w:after="0"/>
        <w:ind w:left="0"/>
        <w:jc w:val="both"/>
      </w:pPr>
      <w:r>
        <w:rPr>
          <w:rFonts w:ascii="Times New Roman"/>
          <w:b w:val="false"/>
          <w:i w:val="false"/>
          <w:color w:val="000000"/>
          <w:sz w:val="28"/>
        </w:rPr>
        <w:t>
      3) Оценка заявленных факторов сокращения содержания вирусной нагрузки (R</w:t>
      </w:r>
      <w:r>
        <w:rPr>
          <w:rFonts w:ascii="Times New Roman"/>
          <w:b w:val="false"/>
          <w:i w:val="false"/>
          <w:color w:val="000000"/>
          <w:vertAlign w:val="subscript"/>
        </w:rPr>
        <w:t>f</w:t>
      </w:r>
      <w:r>
        <w:rPr>
          <w:rFonts w:ascii="Times New Roman"/>
          <w:b w:val="false"/>
          <w:i w:val="false"/>
          <w:color w:val="000000"/>
          <w:sz w:val="28"/>
        </w:rPr>
        <w:t>).</w:t>
      </w:r>
    </w:p>
    <w:bookmarkEnd w:id="6070"/>
    <w:bookmarkStart w:name="z6264" w:id="6071"/>
    <w:p>
      <w:pPr>
        <w:spacing w:after="0"/>
        <w:ind w:left="0"/>
        <w:jc w:val="both"/>
      </w:pPr>
      <w:r>
        <w:rPr>
          <w:rFonts w:ascii="Times New Roman"/>
          <w:b w:val="false"/>
          <w:i w:val="false"/>
          <w:color w:val="000000"/>
          <w:sz w:val="28"/>
        </w:rPr>
        <w:t>
      Необходимо оценить, насколько убедительны заявленные значения R</w:t>
      </w:r>
      <w:r>
        <w:rPr>
          <w:rFonts w:ascii="Times New Roman"/>
          <w:b w:val="false"/>
          <w:i w:val="false"/>
          <w:color w:val="000000"/>
          <w:vertAlign w:val="subscript"/>
        </w:rPr>
        <w:t>f</w:t>
      </w:r>
      <w:r>
        <w:rPr>
          <w:rFonts w:ascii="Times New Roman"/>
          <w:b w:val="false"/>
          <w:i w:val="false"/>
          <w:color w:val="000000"/>
          <w:sz w:val="28"/>
        </w:rPr>
        <w:t>, и подтверждены ли они результатами испытаний.</w:t>
      </w:r>
    </w:p>
    <w:bookmarkEnd w:id="6071"/>
    <w:bookmarkStart w:name="z6265" w:id="6072"/>
    <w:p>
      <w:pPr>
        <w:spacing w:after="0"/>
        <w:ind w:left="0"/>
        <w:jc w:val="both"/>
      </w:pPr>
      <w:r>
        <w:rPr>
          <w:rFonts w:ascii="Times New Roman"/>
          <w:b w:val="false"/>
          <w:i w:val="false"/>
          <w:color w:val="000000"/>
          <w:sz w:val="28"/>
        </w:rPr>
        <w:t>
      Необходимо представить таблицу, содержащую факторы сокращения содержания вирусной нагрузки (скорректированные значения, если требуется).</w:t>
      </w:r>
    </w:p>
    <w:bookmarkEnd w:id="6072"/>
    <w:bookmarkStart w:name="z6266" w:id="6073"/>
    <w:p>
      <w:pPr>
        <w:spacing w:after="0"/>
        <w:ind w:left="0"/>
        <w:jc w:val="both"/>
      </w:pPr>
      <w:r>
        <w:rPr>
          <w:rFonts w:ascii="Times New Roman"/>
          <w:b w:val="false"/>
          <w:i w:val="false"/>
          <w:color w:val="000000"/>
          <w:sz w:val="28"/>
        </w:rPr>
        <w:t>
      Необходимо указать, изучена ли устойчивость (влияние важных параметров процесса производства) производственной стадии.</w:t>
      </w:r>
    </w:p>
    <w:bookmarkEnd w:id="6073"/>
    <w:bookmarkStart w:name="z6267" w:id="6074"/>
    <w:p>
      <w:pPr>
        <w:spacing w:after="0"/>
        <w:ind w:left="0"/>
        <w:jc w:val="both"/>
      </w:pPr>
      <w:r>
        <w:rPr>
          <w:rFonts w:ascii="Times New Roman"/>
          <w:b w:val="false"/>
          <w:i w:val="false"/>
          <w:color w:val="000000"/>
          <w:sz w:val="28"/>
        </w:rPr>
        <w:t>
      Необходимо оценить, подтверждено ли, что валидированные стадии по очистке от вирусов способны элиминировать существенно большее количество вирусов, чем потенциально может содержаться в неочищенном нерасфасованном продукте, по количеству, эквивалентному одной дозе лекарственного препарата.</w:t>
      </w:r>
    </w:p>
    <w:bookmarkEnd w:id="6074"/>
    <w:bookmarkStart w:name="z6268" w:id="6075"/>
    <w:p>
      <w:pPr>
        <w:spacing w:after="0"/>
        <w:ind w:left="0"/>
        <w:jc w:val="both"/>
      </w:pPr>
      <w:r>
        <w:rPr>
          <w:rFonts w:ascii="Times New Roman"/>
          <w:b w:val="false"/>
          <w:i w:val="false"/>
          <w:color w:val="000000"/>
          <w:sz w:val="28"/>
        </w:rPr>
        <w:t>
      Резюме по разделу A.2.2.5.</w:t>
      </w:r>
    </w:p>
    <w:bookmarkEnd w:id="6075"/>
    <w:bookmarkStart w:name="z6269" w:id="6076"/>
    <w:p>
      <w:pPr>
        <w:spacing w:after="0"/>
        <w:ind w:left="0"/>
        <w:jc w:val="both"/>
      </w:pPr>
      <w:r>
        <w:rPr>
          <w:rFonts w:ascii="Times New Roman"/>
          <w:b w:val="false"/>
          <w:i w:val="false"/>
          <w:color w:val="000000"/>
          <w:sz w:val="28"/>
        </w:rPr>
        <w:t>
      Необходимо представить таблицу факторов сокращения содержания вирусной нагрузки по процессу в целом (скорректированные значения, если требуется).</w:t>
      </w:r>
    </w:p>
    <w:bookmarkEnd w:id="6076"/>
    <w:bookmarkStart w:name="z6270" w:id="6077"/>
    <w:p>
      <w:pPr>
        <w:spacing w:after="0"/>
        <w:ind w:left="0"/>
        <w:jc w:val="both"/>
      </w:pPr>
      <w:r>
        <w:rPr>
          <w:rFonts w:ascii="Times New Roman"/>
          <w:b w:val="false"/>
          <w:i w:val="false"/>
          <w:color w:val="000000"/>
          <w:sz w:val="28"/>
        </w:rPr>
        <w:t>
      Необходимо представить резюме результатов оценки.</w:t>
      </w:r>
    </w:p>
    <w:bookmarkEnd w:id="6077"/>
    <w:bookmarkStart w:name="z6271" w:id="6078"/>
    <w:p>
      <w:pPr>
        <w:spacing w:after="0"/>
        <w:ind w:left="0"/>
        <w:jc w:val="both"/>
      </w:pPr>
      <w:r>
        <w:rPr>
          <w:rFonts w:ascii="Times New Roman"/>
          <w:b w:val="false"/>
          <w:i w:val="false"/>
          <w:color w:val="000000"/>
          <w:sz w:val="28"/>
        </w:rPr>
        <w:t>
      A.2.3. Заключение по пункту 5.2.</w:t>
      </w:r>
    </w:p>
    <w:bookmarkEnd w:id="6078"/>
    <w:bookmarkStart w:name="z6272" w:id="6079"/>
    <w:p>
      <w:pPr>
        <w:spacing w:after="0"/>
        <w:ind w:left="0"/>
        <w:jc w:val="both"/>
      </w:pPr>
      <w:r>
        <w:rPr>
          <w:rFonts w:ascii="Times New Roman"/>
          <w:b w:val="false"/>
          <w:i w:val="false"/>
          <w:color w:val="000000"/>
          <w:sz w:val="28"/>
        </w:rPr>
        <w:t>
      Необходимо представить сводное резюме и заключение в отношении:</w:t>
      </w:r>
    </w:p>
    <w:bookmarkEnd w:id="6079"/>
    <w:bookmarkStart w:name="z6273" w:id="6080"/>
    <w:p>
      <w:pPr>
        <w:spacing w:after="0"/>
        <w:ind w:left="0"/>
        <w:jc w:val="both"/>
      </w:pPr>
      <w:r>
        <w:rPr>
          <w:rFonts w:ascii="Times New Roman"/>
          <w:b w:val="false"/>
          <w:i w:val="false"/>
          <w:color w:val="000000"/>
          <w:sz w:val="28"/>
        </w:rPr>
        <w:t>
      стерильности (микоплазменной, бактериальной, грибковой);</w:t>
      </w:r>
    </w:p>
    <w:bookmarkEnd w:id="6080"/>
    <w:bookmarkStart w:name="z6274" w:id="6081"/>
    <w:p>
      <w:pPr>
        <w:spacing w:after="0"/>
        <w:ind w:left="0"/>
        <w:jc w:val="both"/>
      </w:pPr>
      <w:r>
        <w:rPr>
          <w:rFonts w:ascii="Times New Roman"/>
          <w:b w:val="false"/>
          <w:i w:val="false"/>
          <w:color w:val="000000"/>
          <w:sz w:val="28"/>
        </w:rPr>
        <w:t>
      безопасности в отношении ТГЭ;</w:t>
      </w:r>
    </w:p>
    <w:bookmarkEnd w:id="6081"/>
    <w:bookmarkStart w:name="z6275" w:id="6082"/>
    <w:p>
      <w:pPr>
        <w:spacing w:after="0"/>
        <w:ind w:left="0"/>
        <w:jc w:val="both"/>
      </w:pPr>
      <w:r>
        <w:rPr>
          <w:rFonts w:ascii="Times New Roman"/>
          <w:b w:val="false"/>
          <w:i w:val="false"/>
          <w:color w:val="000000"/>
          <w:sz w:val="28"/>
        </w:rPr>
        <w:t>
      вирусной безопасности.</w:t>
      </w:r>
    </w:p>
    <w:bookmarkEnd w:id="6082"/>
    <w:bookmarkStart w:name="z6276" w:id="6083"/>
    <w:p>
      <w:pPr>
        <w:spacing w:after="0"/>
        <w:ind w:left="0"/>
        <w:jc w:val="left"/>
      </w:pPr>
      <w:r>
        <w:rPr>
          <w:rFonts w:ascii="Times New Roman"/>
          <w:b/>
          <w:i w:val="false"/>
          <w:color w:val="000000"/>
        </w:rPr>
        <w:t xml:space="preserve"> A.3. Новые вспомогательные вещества </w:t>
      </w:r>
    </w:p>
    <w:bookmarkEnd w:id="6083"/>
    <w:bookmarkStart w:name="z6277" w:id="6084"/>
    <w:p>
      <w:pPr>
        <w:spacing w:after="0"/>
        <w:ind w:left="0"/>
        <w:jc w:val="both"/>
      </w:pPr>
      <w:r>
        <w:rPr>
          <w:rFonts w:ascii="Times New Roman"/>
          <w:b w:val="false"/>
          <w:i w:val="false"/>
          <w:color w:val="000000"/>
          <w:sz w:val="28"/>
        </w:rPr>
        <w:t>
      Следует обратить внимание на то, что новые вспомогательные вещества, не содержащиеся в лекарственных препаратах, зарегистрированных в рамках Союза или на территории государств-членов Союза, могут рассматриваться в качестве новых АФС, что влечет за собой применение требований к представлению соответствующих данных в полном объеме, т.е. в отношении описания производства и контроля, представления ссылок на токсикологические исследования, и т.д. В данном разделе необходимо оценить результаты подробного изучения таких новых вспомогательных веществ.</w:t>
      </w:r>
    </w:p>
    <w:bookmarkEnd w:id="6084"/>
    <w:bookmarkStart w:name="z6278" w:id="6085"/>
    <w:p>
      <w:pPr>
        <w:spacing w:after="0"/>
        <w:ind w:left="0"/>
        <w:jc w:val="left"/>
      </w:pPr>
      <w:r>
        <w:rPr>
          <w:rFonts w:ascii="Times New Roman"/>
          <w:b/>
          <w:i w:val="false"/>
          <w:color w:val="000000"/>
        </w:rPr>
        <w:t xml:space="preserve"> 6. Региональная информация </w:t>
      </w:r>
    </w:p>
    <w:bookmarkEnd w:id="6085"/>
    <w:bookmarkStart w:name="z6279" w:id="6086"/>
    <w:p>
      <w:pPr>
        <w:spacing w:after="0"/>
        <w:ind w:left="0"/>
        <w:jc w:val="both"/>
      </w:pPr>
      <w:r>
        <w:rPr>
          <w:rFonts w:ascii="Times New Roman"/>
          <w:b w:val="false"/>
          <w:i w:val="false"/>
          <w:color w:val="000000"/>
          <w:sz w:val="28"/>
        </w:rPr>
        <w:t>
      Схема валидации процесса производства лекарственного препарата.</w:t>
      </w:r>
    </w:p>
    <w:bookmarkEnd w:id="6086"/>
    <w:bookmarkStart w:name="z6280" w:id="6087"/>
    <w:p>
      <w:pPr>
        <w:spacing w:after="0"/>
        <w:ind w:left="0"/>
        <w:jc w:val="both"/>
      </w:pPr>
      <w:r>
        <w:rPr>
          <w:rFonts w:ascii="Times New Roman"/>
          <w:b w:val="false"/>
          <w:i w:val="false"/>
          <w:color w:val="000000"/>
          <w:sz w:val="28"/>
        </w:rPr>
        <w:t>
      Вопросы, затрагивающие медицинские изделия.</w:t>
      </w:r>
    </w:p>
    <w:bookmarkEnd w:id="6087"/>
    <w:bookmarkStart w:name="z6281" w:id="6088"/>
    <w:p>
      <w:pPr>
        <w:spacing w:after="0"/>
        <w:ind w:left="0"/>
        <w:jc w:val="both"/>
      </w:pPr>
      <w:r>
        <w:rPr>
          <w:rFonts w:ascii="Times New Roman"/>
          <w:b w:val="false"/>
          <w:i w:val="false"/>
          <w:color w:val="000000"/>
          <w:sz w:val="28"/>
        </w:rPr>
        <w:t>
      Если форма выпуска лекарственного препарата включает компоненты, являющиеся медицинскими изделиями (например, иглы, катетеры и т.д.), необходимо отразить сведения о регистрации медицинского изделия. В противном случае, в целях завершения экспертизы лекарственного препарата как единого целого, уполномоченный орган в сфере обращения лекарственных средств должен обратиться к уполномоченному органу в сфере обращения медицинских изделий, чтобы удостовериться в соответствии такого медицинского изделия требованиям законодательства Союза, при необходимости. Кроме того, в случаях, если изделие является сложным по строению и может представлять собой комплексную систему доставки (например, трансдермальная ионофоретическая система доставки, включенная в форму выпуска), также требуется экспертный отчет на медицинское изделие с точки зрения клинических характеристик лекарственного препарата в целом.</w:t>
      </w:r>
    </w:p>
    <w:bookmarkEnd w:id="6088"/>
    <w:bookmarkStart w:name="z6282" w:id="6089"/>
    <w:p>
      <w:pPr>
        <w:spacing w:after="0"/>
        <w:ind w:left="0"/>
        <w:jc w:val="left"/>
      </w:pPr>
      <w:r>
        <w:rPr>
          <w:rFonts w:ascii="Times New Roman"/>
          <w:b/>
          <w:i w:val="false"/>
          <w:color w:val="000000"/>
        </w:rPr>
        <w:t xml:space="preserve"> Вопросы риска передачи ТГЭ</w:t>
      </w:r>
    </w:p>
    <w:bookmarkEnd w:id="6089"/>
    <w:bookmarkStart w:name="z6283" w:id="6090"/>
    <w:p>
      <w:pPr>
        <w:spacing w:after="0"/>
        <w:ind w:left="0"/>
        <w:jc w:val="left"/>
      </w:pPr>
      <w:r>
        <w:rPr>
          <w:rFonts w:ascii="Times New Roman"/>
          <w:b/>
          <w:i w:val="false"/>
          <w:color w:val="000000"/>
        </w:rPr>
        <w:t xml:space="preserve"> 7. Замечания эксперта в отношении общей характеристики лекарственного препарата, инструкции по медицинскому применению (листка-вкладыша) и макетов упаковок лекарственного препарата</w:t>
      </w:r>
    </w:p>
    <w:bookmarkEnd w:id="6090"/>
    <w:bookmarkStart w:name="z6284" w:id="6091"/>
    <w:p>
      <w:pPr>
        <w:spacing w:after="0"/>
        <w:ind w:left="0"/>
        <w:jc w:val="left"/>
      </w:pPr>
      <w:r>
        <w:rPr>
          <w:rFonts w:ascii="Times New Roman"/>
          <w:b/>
          <w:i w:val="false"/>
          <w:color w:val="000000"/>
        </w:rPr>
        <w:t xml:space="preserve"> 8. Общее заключение эксперта по качеству</w:t>
      </w:r>
    </w:p>
    <w:bookmarkEnd w:id="6091"/>
    <w:bookmarkStart w:name="z6285" w:id="6092"/>
    <w:p>
      <w:pPr>
        <w:spacing w:after="0"/>
        <w:ind w:left="0"/>
        <w:jc w:val="both"/>
      </w:pPr>
      <w:r>
        <w:rPr>
          <w:rFonts w:ascii="Times New Roman"/>
          <w:b w:val="false"/>
          <w:i w:val="false"/>
          <w:color w:val="000000"/>
          <w:sz w:val="28"/>
        </w:rPr>
        <w:t>
      Содержание данного раздела можно повторить в "Обзорном модуле" экспертного отчета.</w:t>
      </w:r>
    </w:p>
    <w:bookmarkEnd w:id="6092"/>
    <w:bookmarkStart w:name="z6286" w:id="6093"/>
    <w:p>
      <w:pPr>
        <w:spacing w:after="0"/>
        <w:ind w:left="0"/>
        <w:jc w:val="both"/>
      </w:pPr>
      <w:r>
        <w:rPr>
          <w:rFonts w:ascii="Times New Roman"/>
          <w:b w:val="false"/>
          <w:i w:val="false"/>
          <w:color w:val="000000"/>
          <w:sz w:val="28"/>
        </w:rPr>
        <w:t>
      В связи с этим может потребоваться проведение самостоятельной и прицельной проработки, чтобы пользователь отчета мог всесторонне оценить результаты экспертизы для целей полноценной оценки отношения пользы и рисков.</w:t>
      </w:r>
    </w:p>
    <w:bookmarkEnd w:id="6093"/>
    <w:bookmarkStart w:name="z6287" w:id="6094"/>
    <w:p>
      <w:pPr>
        <w:spacing w:after="0"/>
        <w:ind w:left="0"/>
        <w:jc w:val="both"/>
      </w:pPr>
      <w:r>
        <w:rPr>
          <w:rFonts w:ascii="Times New Roman"/>
          <w:b w:val="false"/>
          <w:i w:val="false"/>
          <w:color w:val="000000"/>
          <w:sz w:val="28"/>
        </w:rPr>
        <w:t>
      В отношении аспектов качества, влияющих на отношение пользы и рисков, необходимо обозначить все аспекты качества (как АФС, так и лекарственного препарата), способные повлиять на отношение пользы и рисков.</w:t>
      </w:r>
    </w:p>
    <w:bookmarkEnd w:id="6094"/>
    <w:bookmarkStart w:name="z6288" w:id="6095"/>
    <w:p>
      <w:pPr>
        <w:spacing w:after="0"/>
        <w:ind w:left="0"/>
        <w:jc w:val="both"/>
      </w:pPr>
      <w:r>
        <w:rPr>
          <w:rFonts w:ascii="Times New Roman"/>
          <w:b w:val="false"/>
          <w:i w:val="false"/>
          <w:color w:val="000000"/>
          <w:sz w:val="28"/>
        </w:rPr>
        <w:t>
      Если применимо, необходимо привести дополнительные сведения о разработке детской лекарственной формы, включая сведения о целевой возрастной группе, если таковая проводилась.</w:t>
      </w:r>
    </w:p>
    <w:bookmarkEnd w:id="6095"/>
    <w:bookmarkStart w:name="z6289" w:id="6096"/>
    <w:p>
      <w:pPr>
        <w:spacing w:after="0"/>
        <w:ind w:left="0"/>
        <w:jc w:val="both"/>
      </w:pPr>
      <w:r>
        <w:rPr>
          <w:rFonts w:ascii="Times New Roman"/>
          <w:b w:val="false"/>
          <w:i w:val="false"/>
          <w:color w:val="000000"/>
          <w:sz w:val="28"/>
        </w:rPr>
        <w:t>
      В качестве альтернативы в данном разделе допускается указать только основные выводы, в этом случае текст "Обзорного модуля" следует проработать отдельно.</w:t>
      </w:r>
    </w:p>
    <w:bookmarkEnd w:id="6096"/>
    <w:bookmarkStart w:name="z6290" w:id="6097"/>
    <w:p>
      <w:pPr>
        <w:spacing w:after="0"/>
        <w:ind w:left="0"/>
        <w:jc w:val="both"/>
      </w:pPr>
      <w:r>
        <w:rPr>
          <w:rFonts w:ascii="Times New Roman"/>
          <w:b w:val="false"/>
          <w:i w:val="false"/>
          <w:color w:val="000000"/>
          <w:sz w:val="28"/>
        </w:rPr>
        <w:t>
      Необходимо выделить все разделы Общего резюме по качеству (модуль 2.3) регистрационного досье, с которыми согласен или не согласен эксперт. В отношении детской лекарственной формы необходимо указать, требуется ли отдельное заключение экспертов национальных уполномоченных органов или организаций, осуществляющих экспертизу лекарственных препаратов для применения в педиатрии.</w:t>
      </w:r>
    </w:p>
    <w:bookmarkEnd w:id="6097"/>
    <w:bookmarkStart w:name="z6291" w:id="6098"/>
    <w:p>
      <w:pPr>
        <w:spacing w:after="0"/>
        <w:ind w:left="0"/>
        <w:jc w:val="left"/>
      </w:pPr>
      <w:r>
        <w:rPr>
          <w:rFonts w:ascii="Times New Roman"/>
          <w:b/>
          <w:i w:val="false"/>
          <w:color w:val="000000"/>
        </w:rPr>
        <w:t xml:space="preserve"> 9. Перечень замечаний эксперта </w:t>
      </w:r>
    </w:p>
    <w:bookmarkEnd w:id="6098"/>
    <w:bookmarkStart w:name="z6292" w:id="6099"/>
    <w:p>
      <w:pPr>
        <w:spacing w:after="0"/>
        <w:ind w:left="0"/>
        <w:jc w:val="both"/>
      </w:pPr>
      <w:r>
        <w:rPr>
          <w:rFonts w:ascii="Times New Roman"/>
          <w:b w:val="false"/>
          <w:i w:val="false"/>
          <w:color w:val="000000"/>
          <w:sz w:val="28"/>
        </w:rPr>
        <w:t>
      Классификация замечаний:</w:t>
      </w:r>
    </w:p>
    <w:bookmarkEnd w:id="6099"/>
    <w:bookmarkStart w:name="z6293" w:id="6100"/>
    <w:p>
      <w:pPr>
        <w:spacing w:after="0"/>
        <w:ind w:left="0"/>
        <w:jc w:val="both"/>
      </w:pPr>
      <w:r>
        <w:rPr>
          <w:rFonts w:ascii="Times New Roman"/>
          <w:b w:val="false"/>
          <w:i w:val="false"/>
          <w:color w:val="000000"/>
          <w:sz w:val="28"/>
        </w:rPr>
        <w:t>
      "критические замечания" - такие замечания делают невозможным регистрацию лекарственного препарата. Теоретически, одно критическое замечание может включать в себя несколько вопросов, в этом случае следует использовать ненумерованные списки и подзаголовки. Критическое замечание должно быть понятно и четко изложено. Для этого могут потребоваться подробные комментарии со ссылками на соответствующие нормативные правовые акты и рекомендации (руководства) Союза.</w:t>
      </w:r>
    </w:p>
    <w:bookmarkEnd w:id="6100"/>
    <w:bookmarkStart w:name="z6294" w:id="6101"/>
    <w:p>
      <w:pPr>
        <w:spacing w:after="0"/>
        <w:ind w:left="0"/>
        <w:jc w:val="both"/>
      </w:pPr>
      <w:r>
        <w:rPr>
          <w:rFonts w:ascii="Times New Roman"/>
          <w:b w:val="false"/>
          <w:i w:val="false"/>
          <w:color w:val="000000"/>
          <w:sz w:val="28"/>
        </w:rPr>
        <w:t>
      По возможности, замечание должно включать в себя разъяснение относительно ответа и (или) мер, ожидаемых от заявителя;</w:t>
      </w:r>
    </w:p>
    <w:bookmarkEnd w:id="6101"/>
    <w:bookmarkStart w:name="z6295" w:id="6102"/>
    <w:p>
      <w:pPr>
        <w:spacing w:after="0"/>
        <w:ind w:left="0"/>
        <w:jc w:val="both"/>
      </w:pPr>
      <w:r>
        <w:rPr>
          <w:rFonts w:ascii="Times New Roman"/>
          <w:b w:val="false"/>
          <w:i w:val="false"/>
          <w:color w:val="000000"/>
          <w:sz w:val="28"/>
        </w:rPr>
        <w:t>
      "несущественные (другие) замечания" - такие замечания могут повлиять на предложенные заявителем условия регистрации и информацию о лекарственном препарате (например, ОХЛП, листок-вкладыш, макеты упаковок). Несущественные (другие) замечания необходимо устранить до получения регистрационного удостоверения, в противном случае в регистрации может быть отказано.</w:t>
      </w:r>
    </w:p>
    <w:bookmarkEnd w:id="6102"/>
    <w:bookmarkStart w:name="z6296" w:id="6103"/>
    <w:p>
      <w:pPr>
        <w:spacing w:after="0"/>
        <w:ind w:left="0"/>
        <w:jc w:val="both"/>
      </w:pPr>
      <w:r>
        <w:rPr>
          <w:rFonts w:ascii="Times New Roman"/>
          <w:b w:val="false"/>
          <w:i w:val="false"/>
          <w:color w:val="000000"/>
          <w:sz w:val="28"/>
        </w:rPr>
        <w:t>
      В целях компиляции возражений и рекомендаций при составлении перечня замечаний следует использовать подзаголовки и заголовки экспертного отчета.</w:t>
      </w:r>
    </w:p>
    <w:bookmarkEnd w:id="6103"/>
    <w:bookmarkStart w:name="z6297" w:id="6104"/>
    <w:p>
      <w:pPr>
        <w:spacing w:after="0"/>
        <w:ind w:left="0"/>
        <w:jc w:val="both"/>
      </w:pPr>
      <w:r>
        <w:rPr>
          <w:rFonts w:ascii="Times New Roman"/>
          <w:b w:val="false"/>
          <w:i w:val="false"/>
          <w:color w:val="000000"/>
          <w:sz w:val="28"/>
        </w:rPr>
        <w:t>
      Данный перечень замечаний необходимо повторить в "Обзорном модуле" экспертного отчета.</w:t>
      </w:r>
    </w:p>
    <w:bookmarkEnd w:id="6104"/>
    <w:bookmarkStart w:name="z6298" w:id="6105"/>
    <w:p>
      <w:pPr>
        <w:spacing w:after="0"/>
        <w:ind w:left="0"/>
        <w:jc w:val="left"/>
      </w:pPr>
      <w:r>
        <w:rPr>
          <w:rFonts w:ascii="Times New Roman"/>
          <w:b/>
          <w:i w:val="false"/>
          <w:color w:val="000000"/>
        </w:rPr>
        <w:t xml:space="preserve"> Аспекты качества </w:t>
      </w:r>
    </w:p>
    <w:bookmarkEnd w:id="6105"/>
    <w:bookmarkStart w:name="z6299" w:id="6106"/>
    <w:p>
      <w:pPr>
        <w:spacing w:after="0"/>
        <w:ind w:left="0"/>
        <w:jc w:val="both"/>
      </w:pPr>
      <w:r>
        <w:rPr>
          <w:rFonts w:ascii="Times New Roman"/>
          <w:b w:val="false"/>
          <w:i w:val="false"/>
          <w:color w:val="000000"/>
          <w:sz w:val="28"/>
        </w:rPr>
        <w:t>
      Критические замечания.</w:t>
      </w:r>
    </w:p>
    <w:bookmarkEnd w:id="6106"/>
    <w:bookmarkStart w:name="z6300" w:id="6107"/>
    <w:p>
      <w:pPr>
        <w:spacing w:after="0"/>
        <w:ind w:left="0"/>
        <w:jc w:val="both"/>
      </w:pPr>
      <w:r>
        <w:rPr>
          <w:rFonts w:ascii="Times New Roman"/>
          <w:b w:val="false"/>
          <w:i w:val="false"/>
          <w:color w:val="000000"/>
          <w:sz w:val="28"/>
        </w:rPr>
        <w:t>
      АФС (в отношении дополнительных данных, предоставленных только заявителем).</w:t>
      </w:r>
    </w:p>
    <w:bookmarkEnd w:id="6107"/>
    <w:bookmarkStart w:name="z6301" w:id="6108"/>
    <w:p>
      <w:pPr>
        <w:spacing w:after="0"/>
        <w:ind w:left="0"/>
        <w:jc w:val="both"/>
      </w:pPr>
      <w:r>
        <w:rPr>
          <w:rFonts w:ascii="Times New Roman"/>
          <w:b w:val="false"/>
          <w:i w:val="false"/>
          <w:color w:val="000000"/>
          <w:sz w:val="28"/>
        </w:rPr>
        <w:t>
      АФС (часть мастер-файла, представленная держателем МФАФС)</w:t>
      </w:r>
    </w:p>
    <w:bookmarkEnd w:id="6108"/>
    <w:bookmarkStart w:name="z6302" w:id="6109"/>
    <w:p>
      <w:pPr>
        <w:spacing w:after="0"/>
        <w:ind w:left="0"/>
        <w:jc w:val="both"/>
      </w:pPr>
      <w:r>
        <w:rPr>
          <w:rFonts w:ascii="Times New Roman"/>
          <w:b w:val="false"/>
          <w:i w:val="false"/>
          <w:color w:val="000000"/>
          <w:sz w:val="28"/>
        </w:rPr>
        <w:t>
      Примечания:</w:t>
      </w:r>
    </w:p>
    <w:bookmarkEnd w:id="6109"/>
    <w:bookmarkStart w:name="z6303" w:id="6110"/>
    <w:p>
      <w:pPr>
        <w:spacing w:after="0"/>
        <w:ind w:left="0"/>
        <w:jc w:val="both"/>
      </w:pPr>
      <w:r>
        <w:rPr>
          <w:rFonts w:ascii="Times New Roman"/>
          <w:b w:val="false"/>
          <w:i w:val="false"/>
          <w:color w:val="000000"/>
          <w:sz w:val="28"/>
        </w:rPr>
        <w:t>
      1. При использовании МФАФС и выявлении по результатам экспертизы закрытой части МФАФС потенциальных серьезных рисков для общественного здоровья, необходимо включить следующее указание: "Информация о потенциальных серьезных рисках для общественного здоровья, выявленных в закрытой части МФАФС, приведена в отдельном экспертном отчете на МФАФС".</w:t>
      </w:r>
    </w:p>
    <w:bookmarkEnd w:id="6110"/>
    <w:bookmarkStart w:name="z6304" w:id="6111"/>
    <w:p>
      <w:pPr>
        <w:spacing w:after="0"/>
        <w:ind w:left="0"/>
        <w:jc w:val="both"/>
      </w:pPr>
      <w:r>
        <w:rPr>
          <w:rFonts w:ascii="Times New Roman"/>
          <w:b w:val="false"/>
          <w:i w:val="false"/>
          <w:color w:val="000000"/>
          <w:sz w:val="28"/>
        </w:rPr>
        <w:t>
      2. Необходимо привести дополнительные критические замечания к закрытой части МФАФС при их наличии. Они будут подробно рассмотрены в приложении к основной части экспертного отчета по критической оценке аспектов качества (см. Приложение 8 к Правилам регистрации и экспертизы лекарственных препаратов в рамках Евразийского экономического союза).</w:t>
      </w:r>
    </w:p>
    <w:bookmarkEnd w:id="6111"/>
    <w:bookmarkStart w:name="z6305" w:id="6112"/>
    <w:p>
      <w:pPr>
        <w:spacing w:after="0"/>
        <w:ind w:left="0"/>
        <w:jc w:val="both"/>
      </w:pPr>
      <w:r>
        <w:rPr>
          <w:rFonts w:ascii="Times New Roman"/>
          <w:b w:val="false"/>
          <w:i w:val="false"/>
          <w:color w:val="000000"/>
          <w:sz w:val="28"/>
        </w:rPr>
        <w:t>
      Лекарственный препарат.</w:t>
      </w:r>
    </w:p>
    <w:bookmarkEnd w:id="6112"/>
    <w:bookmarkStart w:name="z6306" w:id="6113"/>
    <w:p>
      <w:pPr>
        <w:spacing w:after="0"/>
        <w:ind w:left="0"/>
        <w:jc w:val="left"/>
      </w:pPr>
      <w:r>
        <w:rPr>
          <w:rFonts w:ascii="Times New Roman"/>
          <w:b/>
          <w:i w:val="false"/>
          <w:color w:val="000000"/>
        </w:rPr>
        <w:t xml:space="preserve"> Прочие замечания </w:t>
      </w:r>
    </w:p>
    <w:bookmarkEnd w:id="6113"/>
    <w:bookmarkStart w:name="z6307" w:id="6114"/>
    <w:p>
      <w:pPr>
        <w:spacing w:after="0"/>
        <w:ind w:left="0"/>
        <w:jc w:val="both"/>
      </w:pPr>
      <w:r>
        <w:rPr>
          <w:rFonts w:ascii="Times New Roman"/>
          <w:b w:val="false"/>
          <w:i w:val="false"/>
          <w:color w:val="000000"/>
          <w:sz w:val="28"/>
        </w:rPr>
        <w:t>
      АФС (в отношении дополнительных данных, предоставленных только заявителем).</w:t>
      </w:r>
    </w:p>
    <w:bookmarkEnd w:id="6114"/>
    <w:bookmarkStart w:name="z6308" w:id="6115"/>
    <w:p>
      <w:pPr>
        <w:spacing w:after="0"/>
        <w:ind w:left="0"/>
        <w:jc w:val="both"/>
      </w:pPr>
      <w:r>
        <w:rPr>
          <w:rFonts w:ascii="Times New Roman"/>
          <w:b w:val="false"/>
          <w:i w:val="false"/>
          <w:color w:val="000000"/>
          <w:sz w:val="28"/>
        </w:rPr>
        <w:t>
      Необходимо привести дополнительные критические замечания к закрытой части МФАФС при их наличии. Они будут подробно рассмотрены в приложении к основной части экспертного отчета по критической оценке аспектов качества.</w:t>
      </w:r>
    </w:p>
    <w:bookmarkEnd w:id="6115"/>
    <w:bookmarkStart w:name="z6309" w:id="6116"/>
    <w:p>
      <w:pPr>
        <w:spacing w:after="0"/>
        <w:ind w:left="0"/>
        <w:jc w:val="both"/>
      </w:pPr>
      <w:r>
        <w:rPr>
          <w:rFonts w:ascii="Times New Roman"/>
          <w:b w:val="false"/>
          <w:i w:val="false"/>
          <w:color w:val="000000"/>
          <w:sz w:val="28"/>
        </w:rPr>
        <w:t>
      Примечание (если применимо). Указать следующее: "Информация о прочих замечаниях к закрытой части МФАФС приведена в отдельном экспертом отчете по критической оценке МФАФС".</w:t>
      </w:r>
    </w:p>
    <w:bookmarkEnd w:id="6116"/>
    <w:bookmarkStart w:name="z6310" w:id="6117"/>
    <w:p>
      <w:pPr>
        <w:spacing w:after="0"/>
        <w:ind w:left="0"/>
        <w:jc w:val="both"/>
      </w:pPr>
      <w:r>
        <w:rPr>
          <w:rFonts w:ascii="Times New Roman"/>
          <w:b w:val="false"/>
          <w:i w:val="false"/>
          <w:color w:val="000000"/>
          <w:sz w:val="28"/>
        </w:rPr>
        <w:t>
      Лекарственный препарат.</w:t>
      </w:r>
    </w:p>
    <w:bookmarkEnd w:id="6117"/>
    <w:bookmarkStart w:name="z6311" w:id="6118"/>
    <w:p>
      <w:pPr>
        <w:spacing w:after="0"/>
        <w:ind w:left="0"/>
        <w:jc w:val="left"/>
      </w:pPr>
      <w:r>
        <w:rPr>
          <w:rFonts w:ascii="Times New Roman"/>
          <w:b/>
          <w:i w:val="false"/>
          <w:color w:val="000000"/>
        </w:rPr>
        <w:t xml:space="preserve"> Рекомендации </w:t>
      </w:r>
    </w:p>
    <w:bookmarkEnd w:id="6118"/>
    <w:bookmarkStart w:name="z6312" w:id="6119"/>
    <w:p>
      <w:pPr>
        <w:spacing w:after="0"/>
        <w:ind w:left="0"/>
        <w:jc w:val="both"/>
      </w:pPr>
      <w:r>
        <w:rPr>
          <w:rFonts w:ascii="Times New Roman"/>
          <w:b w:val="false"/>
          <w:i w:val="false"/>
          <w:color w:val="000000"/>
          <w:sz w:val="28"/>
        </w:rPr>
        <w:t>
      Раздел содержит замечания эксперта (условия), не препятствующие регистрации лекарственного препарата, которые могут быть учтены после регистрации препарата, и включены (изменены) в рамках процедуры внесения изменений.</w:t>
      </w:r>
    </w:p>
    <w:bookmarkEnd w:id="6119"/>
    <w:bookmarkStart w:name="z6313" w:id="6120"/>
    <w:p>
      <w:pPr>
        <w:spacing w:after="0"/>
        <w:ind w:left="0"/>
        <w:jc w:val="left"/>
      </w:pPr>
      <w:r>
        <w:rPr>
          <w:rFonts w:ascii="Times New Roman"/>
          <w:b/>
          <w:i w:val="false"/>
          <w:color w:val="000000"/>
        </w:rPr>
        <w:t xml:space="preserve"> 10. Дополнение № 1 (если применимо) </w:t>
      </w:r>
    </w:p>
    <w:bookmarkEnd w:id="6120"/>
    <w:bookmarkStart w:name="z6314" w:id="6121"/>
    <w:p>
      <w:pPr>
        <w:spacing w:after="0"/>
        <w:ind w:left="0"/>
        <w:jc w:val="both"/>
      </w:pPr>
      <w:r>
        <w:rPr>
          <w:rFonts w:ascii="Times New Roman"/>
          <w:b w:val="false"/>
          <w:i w:val="false"/>
          <w:color w:val="000000"/>
          <w:sz w:val="28"/>
        </w:rPr>
        <w:t>
      МФАФС</w:t>
      </w:r>
    </w:p>
    <w:bookmarkEnd w:id="6121"/>
    <w:bookmarkStart w:name="z6315" w:id="6122"/>
    <w:p>
      <w:pPr>
        <w:spacing w:after="0"/>
        <w:ind w:left="0"/>
        <w:jc w:val="both"/>
      </w:pPr>
      <w:r>
        <w:rPr>
          <w:rFonts w:ascii="Times New Roman"/>
          <w:b w:val="false"/>
          <w:i w:val="false"/>
          <w:color w:val="000000"/>
          <w:sz w:val="28"/>
        </w:rPr>
        <w:t>
      Экспертный отчет по критической оценке - в отдельном документе.</w:t>
      </w:r>
    </w:p>
    <w:bookmarkEnd w:id="6122"/>
    <w:bookmarkStart w:name="z6316" w:id="6123"/>
    <w:p>
      <w:pPr>
        <w:spacing w:after="0"/>
        <w:ind w:left="0"/>
        <w:jc w:val="left"/>
      </w:pPr>
      <w:r>
        <w:rPr>
          <w:rFonts w:ascii="Times New Roman"/>
          <w:b/>
          <w:i w:val="false"/>
          <w:color w:val="000000"/>
        </w:rPr>
        <w:t xml:space="preserve"> 11. Дополнение № 2. Проектное поле и протоколы управления изменениями (если применимо)</w:t>
      </w:r>
    </w:p>
    <w:bookmarkEnd w:id="6123"/>
    <w:bookmarkStart w:name="z6317" w:id="6124"/>
    <w:p>
      <w:pPr>
        <w:spacing w:after="0"/>
        <w:ind w:left="0"/>
        <w:jc w:val="both"/>
      </w:pPr>
      <w:r>
        <w:rPr>
          <w:rFonts w:ascii="Times New Roman"/>
          <w:b w:val="false"/>
          <w:i w:val="false"/>
          <w:color w:val="000000"/>
          <w:sz w:val="28"/>
        </w:rPr>
        <w:t>
      Цель настоящего Дополнения заключается в освещении вопросов, которые должны быть отражены в отчете об оценке в отношении анализа методов оценки рисков и статистических инструментов, используемых в контексте соответствующих руководств Союза. Экспертам рекомендуется ознакомиться с содержанием данного приложения, принимая во внимание все эти руководства Союза.</w:t>
      </w:r>
    </w:p>
    <w:bookmarkEnd w:id="6124"/>
    <w:bookmarkStart w:name="z6318" w:id="6125"/>
    <w:p>
      <w:pPr>
        <w:spacing w:after="0"/>
        <w:ind w:left="0"/>
        <w:jc w:val="both"/>
      </w:pPr>
      <w:r>
        <w:rPr>
          <w:rFonts w:ascii="Times New Roman"/>
          <w:b w:val="false"/>
          <w:i w:val="false"/>
          <w:color w:val="000000"/>
          <w:sz w:val="28"/>
        </w:rPr>
        <w:t>
      1. Методология оценки рисков</w:t>
      </w:r>
    </w:p>
    <w:bookmarkEnd w:id="6125"/>
    <w:bookmarkStart w:name="z6319" w:id="6126"/>
    <w:p>
      <w:pPr>
        <w:spacing w:after="0"/>
        <w:ind w:left="0"/>
        <w:jc w:val="both"/>
      </w:pPr>
      <w:r>
        <w:rPr>
          <w:rFonts w:ascii="Times New Roman"/>
          <w:b w:val="false"/>
          <w:i w:val="false"/>
          <w:color w:val="000000"/>
          <w:sz w:val="28"/>
        </w:rPr>
        <w:t>
      Инструменты оценки рисков можно использовать во многих ситуациях. Например, их можно использовать для оценки и выбора показателей качества материалов и (или) параметров процесса, которые должны находиться в пределах допустимых норм для обеспечения требуемого качества лекарственного препарата. Такие инструменты могут также использоваться для выбора параметров процесса, потенциально способных повлиять на качество лекарственного препарата, на основе ранее полученного опыта и экспериментальных данных.</w:t>
      </w:r>
    </w:p>
    <w:bookmarkEnd w:id="6126"/>
    <w:bookmarkStart w:name="z6320" w:id="6127"/>
    <w:p>
      <w:pPr>
        <w:spacing w:after="0"/>
        <w:ind w:left="0"/>
        <w:jc w:val="both"/>
      </w:pPr>
      <w:r>
        <w:rPr>
          <w:rFonts w:ascii="Times New Roman"/>
          <w:b w:val="false"/>
          <w:i w:val="false"/>
          <w:color w:val="000000"/>
          <w:sz w:val="28"/>
        </w:rPr>
        <w:t>
      Необходимо оценить, представлены ли краткие данные по всем критическим показателям качества и параметрам процесса, которые, исходя из ранее полученного опыта и (или) экспериментальных данных, могут повлиять на качество лекарственного препарата.</w:t>
      </w:r>
    </w:p>
    <w:bookmarkEnd w:id="6127"/>
    <w:bookmarkStart w:name="z6321" w:id="6128"/>
    <w:p>
      <w:pPr>
        <w:spacing w:after="0"/>
        <w:ind w:left="0"/>
        <w:jc w:val="both"/>
      </w:pPr>
      <w:r>
        <w:rPr>
          <w:rFonts w:ascii="Times New Roman"/>
          <w:b w:val="false"/>
          <w:i w:val="false"/>
          <w:color w:val="000000"/>
          <w:sz w:val="28"/>
        </w:rPr>
        <w:t>
      В отношении анализа режимов и последствий отказов необходимо оценить:</w:t>
      </w:r>
    </w:p>
    <w:bookmarkEnd w:id="6128"/>
    <w:bookmarkStart w:name="z6322" w:id="6129"/>
    <w:p>
      <w:pPr>
        <w:spacing w:after="0"/>
        <w:ind w:left="0"/>
        <w:jc w:val="both"/>
      </w:pPr>
      <w:r>
        <w:rPr>
          <w:rFonts w:ascii="Times New Roman"/>
          <w:b w:val="false"/>
          <w:i w:val="false"/>
          <w:color w:val="000000"/>
          <w:sz w:val="28"/>
        </w:rPr>
        <w:t>
      все ли значимые факторы риска были включены. Например, известные факторы риска для лекарственного препарата (например, разложение, растворимость и т.д.);</w:t>
      </w:r>
    </w:p>
    <w:bookmarkEnd w:id="6129"/>
    <w:bookmarkStart w:name="z6323" w:id="6130"/>
    <w:p>
      <w:pPr>
        <w:spacing w:after="0"/>
        <w:ind w:left="0"/>
        <w:jc w:val="both"/>
      </w:pPr>
      <w:r>
        <w:rPr>
          <w:rFonts w:ascii="Times New Roman"/>
          <w:b w:val="false"/>
          <w:i w:val="false"/>
          <w:color w:val="000000"/>
          <w:sz w:val="28"/>
        </w:rPr>
        <w:t>
      учтен ли эффект отдельных операций и свойств материалов;</w:t>
      </w:r>
    </w:p>
    <w:bookmarkEnd w:id="6130"/>
    <w:bookmarkStart w:name="z6324" w:id="6131"/>
    <w:p>
      <w:pPr>
        <w:spacing w:after="0"/>
        <w:ind w:left="0"/>
        <w:jc w:val="both"/>
      </w:pPr>
      <w:r>
        <w:rPr>
          <w:rFonts w:ascii="Times New Roman"/>
          <w:b w:val="false"/>
          <w:i w:val="false"/>
          <w:color w:val="000000"/>
          <w:sz w:val="28"/>
        </w:rPr>
        <w:t>
      объяснил ли заявитель, как выполняется классификация и учет рисков;</w:t>
      </w:r>
    </w:p>
    <w:bookmarkEnd w:id="6131"/>
    <w:bookmarkStart w:name="z6325" w:id="6132"/>
    <w:p>
      <w:pPr>
        <w:spacing w:after="0"/>
        <w:ind w:left="0"/>
        <w:jc w:val="both"/>
      </w:pPr>
      <w:r>
        <w:rPr>
          <w:rFonts w:ascii="Times New Roman"/>
          <w:b w:val="false"/>
          <w:i w:val="false"/>
          <w:color w:val="000000"/>
          <w:sz w:val="28"/>
        </w:rPr>
        <w:t>
      обосновал ли заявитель порядок установления предельного значения для выбора того, какие параметры будут в дальнейшем подлежать анализу;</w:t>
      </w:r>
    </w:p>
    <w:bookmarkEnd w:id="6132"/>
    <w:bookmarkStart w:name="z6326" w:id="6133"/>
    <w:p>
      <w:pPr>
        <w:spacing w:after="0"/>
        <w:ind w:left="0"/>
        <w:jc w:val="both"/>
      </w:pPr>
      <w:r>
        <w:rPr>
          <w:rFonts w:ascii="Times New Roman"/>
          <w:b w:val="false"/>
          <w:i w:val="false"/>
          <w:color w:val="000000"/>
          <w:sz w:val="28"/>
        </w:rPr>
        <w:t>
      согласны ли вы с предлагаемой схемой классификации рисков;</w:t>
      </w:r>
    </w:p>
    <w:bookmarkEnd w:id="6133"/>
    <w:bookmarkStart w:name="z6327" w:id="6134"/>
    <w:p>
      <w:pPr>
        <w:spacing w:after="0"/>
        <w:ind w:left="0"/>
        <w:jc w:val="both"/>
      </w:pPr>
      <w:r>
        <w:rPr>
          <w:rFonts w:ascii="Times New Roman"/>
          <w:b w:val="false"/>
          <w:i w:val="false"/>
          <w:color w:val="000000"/>
          <w:sz w:val="28"/>
        </w:rPr>
        <w:t>
      соответствует ли результат анализа режимов и последствий отказов современным научным знаниям. Если нет, то обоснована ли приемлемость такого результата;</w:t>
      </w:r>
    </w:p>
    <w:bookmarkEnd w:id="6134"/>
    <w:bookmarkStart w:name="z6328" w:id="6135"/>
    <w:p>
      <w:pPr>
        <w:spacing w:after="0"/>
        <w:ind w:left="0"/>
        <w:jc w:val="both"/>
      </w:pPr>
      <w:r>
        <w:rPr>
          <w:rFonts w:ascii="Times New Roman"/>
          <w:b w:val="false"/>
          <w:i w:val="false"/>
          <w:color w:val="000000"/>
          <w:sz w:val="28"/>
        </w:rPr>
        <w:t>
      управляются ли выявленные риски проектным полем или предлагаемой стратегией контроля.</w:t>
      </w:r>
    </w:p>
    <w:bookmarkEnd w:id="6135"/>
    <w:bookmarkStart w:name="z6329" w:id="6136"/>
    <w:p>
      <w:pPr>
        <w:spacing w:after="0"/>
        <w:ind w:left="0"/>
        <w:jc w:val="both"/>
      </w:pPr>
      <w:r>
        <w:rPr>
          <w:rFonts w:ascii="Times New Roman"/>
          <w:b w:val="false"/>
          <w:i w:val="false"/>
          <w:color w:val="000000"/>
          <w:sz w:val="28"/>
        </w:rPr>
        <w:t>
      2. Эксперименты по проектированию.</w:t>
      </w:r>
    </w:p>
    <w:bookmarkEnd w:id="6136"/>
    <w:bookmarkStart w:name="z6330" w:id="6137"/>
    <w:p>
      <w:pPr>
        <w:spacing w:after="0"/>
        <w:ind w:left="0"/>
        <w:jc w:val="both"/>
      </w:pPr>
      <w:r>
        <w:rPr>
          <w:rFonts w:ascii="Times New Roman"/>
          <w:b w:val="false"/>
          <w:i w:val="false"/>
          <w:color w:val="000000"/>
          <w:sz w:val="28"/>
        </w:rPr>
        <w:t>
      Эксперименты по проектированию представляют собой стратегию реализации экспериментальной деятельности, в рамках которой одновременно варьируются все изучаемые факторы в соответствии с тщательно составленными математическими протоколами. Цель состоит в том, чтобы спланировать репрезентативные и информативные эксперименты, позволяющие получить максимальное количество информации при минимальном количестве опытов. Факторы, подлежащие изучению в рамках реализации экспериментальной деятельности, базируются на оценке рисков. Полная статистическая оценка экспериментальной деятельности, выполненная на ранних этапах разработки (например, для скрининга) не является необходимой мерой. Словесное описание факторов и изученных уровней, а также заключений считается вполне достаточным.</w:t>
      </w:r>
    </w:p>
    <w:bookmarkEnd w:id="6137"/>
    <w:bookmarkStart w:name="z6331" w:id="6138"/>
    <w:p>
      <w:pPr>
        <w:spacing w:after="0"/>
        <w:ind w:left="0"/>
        <w:jc w:val="both"/>
      </w:pPr>
      <w:r>
        <w:rPr>
          <w:rFonts w:ascii="Times New Roman"/>
          <w:b w:val="false"/>
          <w:i w:val="false"/>
          <w:color w:val="000000"/>
          <w:sz w:val="28"/>
        </w:rPr>
        <w:t>
      Однако в отношении экспериментов по проектированию, направленных на установление критических показателей качества, критических параметров процесса и (или) проектного поля должны быть рассмотрены следующие данные:</w:t>
      </w:r>
    </w:p>
    <w:bookmarkEnd w:id="6138"/>
    <w:bookmarkStart w:name="z6332" w:id="6139"/>
    <w:p>
      <w:pPr>
        <w:spacing w:after="0"/>
        <w:ind w:left="0"/>
        <w:jc w:val="both"/>
      </w:pPr>
      <w:r>
        <w:rPr>
          <w:rFonts w:ascii="Times New Roman"/>
          <w:b w:val="false"/>
          <w:i w:val="false"/>
          <w:color w:val="000000"/>
          <w:sz w:val="28"/>
        </w:rPr>
        <w:t>
      разновидность использованного эксперимента по проектированию и обоснование его пригодности (например, некоторые скрининговые схемы не подходят, так как они не позволяют определить взаимодействие). Должна быть указана достоверность эксперимента по проектированию. (Экспериментальная ошибка в сравнении с различиями в ответах, которые должны быть отражены);</w:t>
      </w:r>
    </w:p>
    <w:bookmarkEnd w:id="6139"/>
    <w:bookmarkStart w:name="z6333" w:id="6140"/>
    <w:p>
      <w:pPr>
        <w:spacing w:after="0"/>
        <w:ind w:left="0"/>
        <w:jc w:val="both"/>
      </w:pPr>
      <w:r>
        <w:rPr>
          <w:rFonts w:ascii="Times New Roman"/>
          <w:b w:val="false"/>
          <w:i w:val="false"/>
          <w:color w:val="000000"/>
          <w:sz w:val="28"/>
        </w:rPr>
        <w:t>
      изучаемые факторы и их диапазоны (по возможности, в табличном формате);</w:t>
      </w:r>
    </w:p>
    <w:bookmarkEnd w:id="6140"/>
    <w:bookmarkStart w:name="z6334" w:id="6141"/>
    <w:p>
      <w:pPr>
        <w:spacing w:after="0"/>
        <w:ind w:left="0"/>
        <w:jc w:val="both"/>
      </w:pPr>
      <w:r>
        <w:rPr>
          <w:rFonts w:ascii="Times New Roman"/>
          <w:b w:val="false"/>
          <w:i w:val="false"/>
          <w:color w:val="000000"/>
          <w:sz w:val="28"/>
        </w:rPr>
        <w:t>
      перечень запланированных опытов с четким указанием партии или номера исследования и размера партии продукции в каждом опыте. Необходимо указать количество повторных опытов;</w:t>
      </w:r>
    </w:p>
    <w:bookmarkEnd w:id="6141"/>
    <w:bookmarkStart w:name="z6335" w:id="6142"/>
    <w:p>
      <w:pPr>
        <w:spacing w:after="0"/>
        <w:ind w:left="0"/>
        <w:jc w:val="both"/>
      </w:pPr>
      <w:r>
        <w:rPr>
          <w:rFonts w:ascii="Times New Roman"/>
          <w:b w:val="false"/>
          <w:i w:val="false"/>
          <w:color w:val="000000"/>
          <w:sz w:val="28"/>
        </w:rPr>
        <w:t>
      ссылка на аналитические методы, используемые для оценки данных и демонстрации их пригодности для предполагаемого использования;</w:t>
      </w:r>
    </w:p>
    <w:bookmarkEnd w:id="6142"/>
    <w:bookmarkStart w:name="z6336" w:id="6143"/>
    <w:p>
      <w:pPr>
        <w:spacing w:after="0"/>
        <w:ind w:left="0"/>
        <w:jc w:val="both"/>
      </w:pPr>
      <w:r>
        <w:rPr>
          <w:rFonts w:ascii="Times New Roman"/>
          <w:b w:val="false"/>
          <w:i w:val="false"/>
          <w:color w:val="000000"/>
          <w:sz w:val="28"/>
        </w:rPr>
        <w:t>
      необходимо представить статистические результаты (например, диаграммы Парето или простой список масштабов эффектов и взаимодействий), отражающие относительную значимость факторов при исследовании, а также взаимодействия между ними (по мере применимости).</w:t>
      </w:r>
    </w:p>
    <w:bookmarkEnd w:id="6143"/>
    <w:bookmarkStart w:name="z6337" w:id="6144"/>
    <w:p>
      <w:pPr>
        <w:spacing w:after="0"/>
        <w:ind w:left="0"/>
        <w:jc w:val="both"/>
      </w:pPr>
      <w:r>
        <w:rPr>
          <w:rFonts w:ascii="Times New Roman"/>
          <w:b w:val="false"/>
          <w:i w:val="false"/>
          <w:color w:val="000000"/>
          <w:sz w:val="28"/>
        </w:rPr>
        <w:t>
      Убедитесь, что прогнозы, сделанные на основе экспериментального исследования, сопоставимы с исследуемыми диапазонами и различиями в соотношениях масштаб (оборудование).</w:t>
      </w:r>
    </w:p>
    <w:bookmarkEnd w:id="6144"/>
    <w:bookmarkStart w:name="z6338" w:id="6145"/>
    <w:p>
      <w:pPr>
        <w:spacing w:after="0"/>
        <w:ind w:left="0"/>
        <w:jc w:val="both"/>
      </w:pPr>
      <w:r>
        <w:rPr>
          <w:rFonts w:ascii="Times New Roman"/>
          <w:b w:val="false"/>
          <w:i w:val="false"/>
          <w:color w:val="000000"/>
          <w:sz w:val="28"/>
        </w:rPr>
        <w:t>
      3. Многопараметровый анализ данных (MVDA) для многопараметрового статистического контроля процессов (MSPC).</w:t>
      </w:r>
    </w:p>
    <w:bookmarkEnd w:id="6145"/>
    <w:bookmarkStart w:name="z6339" w:id="6146"/>
    <w:p>
      <w:pPr>
        <w:spacing w:after="0"/>
        <w:ind w:left="0"/>
        <w:jc w:val="both"/>
      </w:pPr>
      <w:r>
        <w:rPr>
          <w:rFonts w:ascii="Times New Roman"/>
          <w:b w:val="false"/>
          <w:i w:val="false"/>
          <w:color w:val="000000"/>
          <w:sz w:val="28"/>
        </w:rPr>
        <w:t>
      Многопараметровый анализ данных (MVDA), включая анализ основных компонентов (PCA) и анализ на основе частных наименьших квадратов (PLS), могут использоваться для моделирования фармацевтических процессов. Анализ основных компонентов часто используется для обзора данных, например, для выявления групп и тенденций в массиве наблюдений, для оценки взаимосвязи между переменными и между наблюдениями и переменными. В то время как анализ на основе частных наименьших квадратов используется для установления связи между входными и выходными переменными с целью прогнозирования одного или нескольких компонентов. Вопросы, которые должны быть приняты во внимание при использовании модели многопараметрового анализа данных для многопараметрового статистического контроля процессов, включают в себя:</w:t>
      </w:r>
    </w:p>
    <w:bookmarkEnd w:id="6146"/>
    <w:bookmarkStart w:name="z6340" w:id="6147"/>
    <w:p>
      <w:pPr>
        <w:spacing w:after="0"/>
        <w:ind w:left="0"/>
        <w:jc w:val="both"/>
      </w:pPr>
      <w:r>
        <w:rPr>
          <w:rFonts w:ascii="Times New Roman"/>
          <w:b w:val="false"/>
          <w:i w:val="false"/>
          <w:color w:val="000000"/>
          <w:sz w:val="28"/>
        </w:rPr>
        <w:t>
      соответствуют ли метод подготовки проб для спектрального анализа и эталонный аналитический метод, используемые для анализа образцов, целевому назначению? Для онлайн-контроля или контроля в производственной линии, где нет выборки: какова повторяемость и воспроизводимость выборки в сочетании с аналитическим методом;</w:t>
      </w:r>
    </w:p>
    <w:bookmarkEnd w:id="6147"/>
    <w:bookmarkStart w:name="z6341" w:id="6148"/>
    <w:p>
      <w:pPr>
        <w:spacing w:after="0"/>
        <w:ind w:left="0"/>
        <w:jc w:val="both"/>
      </w:pPr>
      <w:r>
        <w:rPr>
          <w:rFonts w:ascii="Times New Roman"/>
          <w:b w:val="false"/>
          <w:i w:val="false"/>
          <w:color w:val="000000"/>
          <w:sz w:val="28"/>
        </w:rPr>
        <w:t>
      свидетельствуют ли массивы данных валидации (подготовки) и калибровка (испытаний) о прогнозируемой изменчивости процесса? Продемонстрирована ли применимость модели в пределах всего диапазона изменений, допускаемых пространством проектных параметров? В случаях если это трудно отразить, могут быть использованы результаты оценки риска. Влияние всех важных факторов риска должно быть проверено, и они должны быть включены в программы калибровки, валидации и испытаний;</w:t>
      </w:r>
    </w:p>
    <w:bookmarkEnd w:id="6148"/>
    <w:bookmarkStart w:name="z6342" w:id="6149"/>
    <w:p>
      <w:pPr>
        <w:spacing w:after="0"/>
        <w:ind w:left="0"/>
        <w:jc w:val="both"/>
      </w:pPr>
      <w:r>
        <w:rPr>
          <w:rFonts w:ascii="Times New Roman"/>
          <w:b w:val="false"/>
          <w:i w:val="false"/>
          <w:color w:val="000000"/>
          <w:sz w:val="28"/>
        </w:rPr>
        <w:t>
      достоверно ли изменяемость программы калибровки (испытаний) отражает большую часть изменяемых параметров валидации (подготовки);</w:t>
      </w:r>
    </w:p>
    <w:bookmarkEnd w:id="6149"/>
    <w:bookmarkStart w:name="z6343" w:id="6150"/>
    <w:p>
      <w:pPr>
        <w:spacing w:after="0"/>
        <w:ind w:left="0"/>
        <w:jc w:val="both"/>
      </w:pPr>
      <w:r>
        <w:rPr>
          <w:rFonts w:ascii="Times New Roman"/>
          <w:b w:val="false"/>
          <w:i w:val="false"/>
          <w:color w:val="000000"/>
          <w:sz w:val="28"/>
        </w:rPr>
        <w:t>
      были ли выявлены резко отклоняющиеся значения в исходном массиве данных и, если да, то действительно ли обоснование отказа от использования этих данных? Обратите внимание на то, что если массив данных, используемых для разработки модели, генерируется на основе экспериментальных данных, отказ от использования данных может иметь большее влияние на прогнозирующую способность модели по сравнению с историческими данными;</w:t>
      </w:r>
    </w:p>
    <w:bookmarkEnd w:id="6150"/>
    <w:bookmarkStart w:name="z6344" w:id="6151"/>
    <w:p>
      <w:pPr>
        <w:spacing w:after="0"/>
        <w:ind w:left="0"/>
        <w:jc w:val="both"/>
      </w:pPr>
      <w:r>
        <w:rPr>
          <w:rFonts w:ascii="Times New Roman"/>
          <w:b w:val="false"/>
          <w:i w:val="false"/>
          <w:color w:val="000000"/>
          <w:sz w:val="28"/>
        </w:rPr>
        <w:t>
      надлежащим ли образом информация, касающаяся предварительной обработки данных (при наличии), описана и последовательно ли применяется для всех массивов данных, используемых для создания, оптимизации и валидации модели;</w:t>
      </w:r>
    </w:p>
    <w:bookmarkEnd w:id="6151"/>
    <w:bookmarkStart w:name="z6345" w:id="6152"/>
    <w:p>
      <w:pPr>
        <w:spacing w:after="0"/>
        <w:ind w:left="0"/>
        <w:jc w:val="both"/>
      </w:pPr>
      <w:r>
        <w:rPr>
          <w:rFonts w:ascii="Times New Roman"/>
          <w:b w:val="false"/>
          <w:i w:val="false"/>
          <w:color w:val="000000"/>
          <w:sz w:val="28"/>
        </w:rPr>
        <w:t>
      надлежащим ли образом описаны методы моделирования на основе многопараметрового анализа данных, включая краткое обоснование выбора выбранного алгоритма;</w:t>
      </w:r>
    </w:p>
    <w:bookmarkEnd w:id="6152"/>
    <w:bookmarkStart w:name="z6346" w:id="6153"/>
    <w:p>
      <w:pPr>
        <w:spacing w:after="0"/>
        <w:ind w:left="0"/>
        <w:jc w:val="both"/>
      </w:pPr>
      <w:r>
        <w:rPr>
          <w:rFonts w:ascii="Times New Roman"/>
          <w:b w:val="false"/>
          <w:i w:val="false"/>
          <w:color w:val="000000"/>
          <w:sz w:val="28"/>
        </w:rPr>
        <w:t>
      согласны ли вы с выбором переменных, которые были включены в модели? Сравните с результатами оценки риска. Есть ли соответствующие источники вариации, не включенные в модель, и если да, то обосновано ли данное действие;</w:t>
      </w:r>
    </w:p>
    <w:bookmarkEnd w:id="6153"/>
    <w:bookmarkStart w:name="z6347" w:id="6154"/>
    <w:p>
      <w:pPr>
        <w:spacing w:after="0"/>
        <w:ind w:left="0"/>
        <w:jc w:val="both"/>
      </w:pPr>
      <w:r>
        <w:rPr>
          <w:rFonts w:ascii="Times New Roman"/>
          <w:b w:val="false"/>
          <w:i w:val="false"/>
          <w:color w:val="000000"/>
          <w:sz w:val="28"/>
        </w:rPr>
        <w:t>
      в отношении PLS-моделей, соответствует ли PLS-модель целевому назначению? Оптимален ли уровень сложности модели? Примечание: сложность PLS-модели обычно соответствует количеству PLS (латентных) факторов, приводящих к среднему квадратичному отклонению кросс-валидации самого низкого уровня. Сложность модели (количество PLS факторов, используемых для построения модели) должна быть продемонстрирована на графике, отражающем коэффициенты регрессии каждой переменной;</w:t>
      </w:r>
    </w:p>
    <w:bookmarkEnd w:id="6154"/>
    <w:bookmarkStart w:name="z6348" w:id="6155"/>
    <w:p>
      <w:pPr>
        <w:spacing w:after="0"/>
        <w:ind w:left="0"/>
        <w:jc w:val="both"/>
      </w:pPr>
      <w:r>
        <w:rPr>
          <w:rFonts w:ascii="Times New Roman"/>
          <w:b w:val="false"/>
          <w:i w:val="false"/>
          <w:color w:val="000000"/>
          <w:sz w:val="28"/>
        </w:rPr>
        <w:t>
      могут ли долевые соотношения (высокая/низкая) переменных в модели объясняться существующими научными знаниями или обоснованием относительно таких переменных и (или) производственного процесса;</w:t>
      </w:r>
    </w:p>
    <w:bookmarkEnd w:id="6155"/>
    <w:bookmarkStart w:name="z6349" w:id="6156"/>
    <w:p>
      <w:pPr>
        <w:spacing w:after="0"/>
        <w:ind w:left="0"/>
        <w:jc w:val="both"/>
      </w:pPr>
      <w:r>
        <w:rPr>
          <w:rFonts w:ascii="Times New Roman"/>
          <w:b w:val="false"/>
          <w:i w:val="false"/>
          <w:color w:val="000000"/>
          <w:sz w:val="28"/>
        </w:rPr>
        <w:t>
      оценена ли MVDA-модель статистически на предмет пригодности и прогностической способности? Стандартная погрешность прогнозирования должна быть рассмотрена в сравнении с точностью эталонного аналитического метода;</w:t>
      </w:r>
    </w:p>
    <w:bookmarkEnd w:id="6156"/>
    <w:bookmarkStart w:name="z6350" w:id="6157"/>
    <w:p>
      <w:pPr>
        <w:spacing w:after="0"/>
        <w:ind w:left="0"/>
        <w:jc w:val="both"/>
      </w:pPr>
      <w:r>
        <w:rPr>
          <w:rFonts w:ascii="Times New Roman"/>
          <w:b w:val="false"/>
          <w:i w:val="false"/>
          <w:color w:val="000000"/>
          <w:sz w:val="28"/>
        </w:rPr>
        <w:t>
      предложена ли схема проверки модели в отношении всего жизненного цикла продукта. Было ли определено, какие критерии послужат фактором, обуславливающим необходимость в обновлении модели, и адекватны ли такие критерии. </w:t>
      </w:r>
    </w:p>
    <w:bookmarkEnd w:id="6157"/>
    <w:bookmarkStart w:name="z6351" w:id="6158"/>
    <w:p>
      <w:pPr>
        <w:spacing w:after="0"/>
        <w:ind w:left="0"/>
        <w:jc w:val="both"/>
      </w:pPr>
      <w:r>
        <w:rPr>
          <w:rFonts w:ascii="Times New Roman"/>
          <w:b w:val="false"/>
          <w:i w:val="false"/>
          <w:color w:val="000000"/>
          <w:sz w:val="28"/>
        </w:rPr>
        <w:t>
      4. Пространство проектных параметров (DS).</w:t>
      </w:r>
    </w:p>
    <w:bookmarkEnd w:id="6158"/>
    <w:bookmarkStart w:name="z6352" w:id="6159"/>
    <w:p>
      <w:pPr>
        <w:spacing w:after="0"/>
        <w:ind w:left="0"/>
        <w:jc w:val="both"/>
      </w:pPr>
      <w:r>
        <w:rPr>
          <w:rFonts w:ascii="Times New Roman"/>
          <w:b w:val="false"/>
          <w:i w:val="false"/>
          <w:color w:val="000000"/>
          <w:sz w:val="28"/>
        </w:rPr>
        <w:t>
      Аспекты, подлежащие рассмотрению при предложении пространства проектных параметров, включают в себя следующее:</w:t>
      </w:r>
    </w:p>
    <w:bookmarkEnd w:id="6159"/>
    <w:bookmarkStart w:name="z6353" w:id="6160"/>
    <w:p>
      <w:pPr>
        <w:spacing w:after="0"/>
        <w:ind w:left="0"/>
        <w:jc w:val="both"/>
      </w:pPr>
      <w:r>
        <w:rPr>
          <w:rFonts w:ascii="Times New Roman"/>
          <w:b w:val="false"/>
          <w:i w:val="false"/>
          <w:color w:val="000000"/>
          <w:sz w:val="28"/>
        </w:rPr>
        <w:t>
      представил ли заявитель достаточные данные, подтверждающие применимость предложенного пространства проектных параметров (оценка рисков, экспериментальные данные, модели, которые были статистически оценены и проверены в полном масштабе);</w:t>
      </w:r>
    </w:p>
    <w:bookmarkEnd w:id="6160"/>
    <w:bookmarkStart w:name="z6354" w:id="6161"/>
    <w:p>
      <w:pPr>
        <w:spacing w:after="0"/>
        <w:ind w:left="0"/>
        <w:jc w:val="both"/>
      </w:pPr>
      <w:r>
        <w:rPr>
          <w:rFonts w:ascii="Times New Roman"/>
          <w:b w:val="false"/>
          <w:i w:val="false"/>
          <w:color w:val="000000"/>
          <w:sz w:val="28"/>
        </w:rPr>
        <w:t>
      в разработке пространства проектных параметров в лаборатории или на экспериментальной основе, продемонстрировал ли заявитель его применимость для использования в промышленном масштабе путем применения коэффициентов масштабирования или независимых экспериментов, или была ли независимость параметров от масштаба продемонстрирована иным образом? Коэффициенты масштабирования могут использоваться на основе данных из различных источников или прошлого опыта. Рассмотрел ли заявитель потенциальные риски в рамках увеличения масштабов производства и используется ли соответствующая стратегия контроля для управления такими рисками?</w:t>
      </w:r>
    </w:p>
    <w:bookmarkEnd w:id="6161"/>
    <w:bookmarkStart w:name="z6355" w:id="6162"/>
    <w:p>
      <w:pPr>
        <w:spacing w:after="0"/>
        <w:ind w:left="0"/>
        <w:jc w:val="both"/>
      </w:pPr>
      <w:r>
        <w:rPr>
          <w:rFonts w:ascii="Times New Roman"/>
          <w:b w:val="false"/>
          <w:i w:val="false"/>
          <w:color w:val="000000"/>
          <w:sz w:val="28"/>
        </w:rPr>
        <w:t>
      учел ли заявитель все критические аспекты качества при разработке пространства проектных параметров (см. оценку рисков и результатов экспериментальной деятельности);</w:t>
      </w:r>
    </w:p>
    <w:bookmarkEnd w:id="6162"/>
    <w:bookmarkStart w:name="z6356" w:id="6163"/>
    <w:p>
      <w:pPr>
        <w:spacing w:after="0"/>
        <w:ind w:left="0"/>
        <w:jc w:val="both"/>
      </w:pPr>
      <w:r>
        <w:rPr>
          <w:rFonts w:ascii="Times New Roman"/>
          <w:b w:val="false"/>
          <w:i w:val="false"/>
          <w:color w:val="000000"/>
          <w:sz w:val="28"/>
        </w:rPr>
        <w:t>
      служит ли стратегия контроля дополнительным фактором в поддержку предлагаемого пространства проектных параметров;</w:t>
      </w:r>
    </w:p>
    <w:bookmarkEnd w:id="6163"/>
    <w:bookmarkStart w:name="z6357" w:id="6164"/>
    <w:p>
      <w:pPr>
        <w:spacing w:after="0"/>
        <w:ind w:left="0"/>
        <w:jc w:val="both"/>
      </w:pPr>
      <w:r>
        <w:rPr>
          <w:rFonts w:ascii="Times New Roman"/>
          <w:b w:val="false"/>
          <w:i w:val="false"/>
          <w:color w:val="000000"/>
          <w:sz w:val="28"/>
        </w:rPr>
        <w:t>
      все ли критические параметры выявлены в рамках реализации пространства проектных параметров. Если нет, то имеется ли в этом отношении соответствующее обоснование.</w:t>
      </w:r>
    </w:p>
    <w:bookmarkEnd w:id="6164"/>
    <w:bookmarkStart w:name="z6358" w:id="6165"/>
    <w:p>
      <w:pPr>
        <w:spacing w:after="0"/>
        <w:ind w:left="0"/>
        <w:jc w:val="left"/>
      </w:pPr>
      <w:r>
        <w:rPr>
          <w:rFonts w:ascii="Times New Roman"/>
          <w:b/>
          <w:i w:val="false"/>
          <w:color w:val="000000"/>
        </w:rPr>
        <w:t xml:space="preserve"> 12. Дополнение 3. Проектное поле и протоколы управления изменениями (если применимо)</w:t>
      </w:r>
    </w:p>
    <w:bookmarkEnd w:id="6165"/>
    <w:bookmarkStart w:name="z6359" w:id="6166"/>
    <w:p>
      <w:pPr>
        <w:spacing w:after="0"/>
        <w:ind w:left="0"/>
        <w:jc w:val="both"/>
      </w:pPr>
      <w:r>
        <w:rPr>
          <w:rFonts w:ascii="Times New Roman"/>
          <w:b w:val="false"/>
          <w:i w:val="false"/>
          <w:color w:val="000000"/>
          <w:sz w:val="28"/>
        </w:rPr>
        <w:t>
      Настоящее дополнение представляет собой выдержку из основного раздела отчета, целью которого является краткое обобщение всех аспектов, согласованных в досье, необходимых для обеспечения пострегистрационной гибкости регулирующей деятельности. Дополнение может использоваться инспекторами в качестве основы для оценки пострегистрационных заявлений на внесение изменений.</w:t>
      </w:r>
    </w:p>
    <w:bookmarkEnd w:id="6166"/>
    <w:bookmarkStart w:name="z6360" w:id="6167"/>
    <w:p>
      <w:pPr>
        <w:spacing w:after="0"/>
        <w:ind w:left="0"/>
        <w:jc w:val="left"/>
      </w:pPr>
      <w:r>
        <w:rPr>
          <w:rFonts w:ascii="Times New Roman"/>
          <w:b/>
          <w:i w:val="false"/>
          <w:color w:val="000000"/>
        </w:rPr>
        <w:t xml:space="preserve"> 1. Активная фармацевтическая субстанция</w:t>
      </w:r>
    </w:p>
    <w:bookmarkEnd w:id="6167"/>
    <w:bookmarkStart w:name="z6361" w:id="6168"/>
    <w:p>
      <w:pPr>
        <w:spacing w:after="0"/>
        <w:ind w:left="0"/>
        <w:jc w:val="both"/>
      </w:pPr>
      <w:r>
        <w:rPr>
          <w:rFonts w:ascii="Times New Roman"/>
          <w:b w:val="false"/>
          <w:i w:val="false"/>
          <w:color w:val="000000"/>
          <w:sz w:val="28"/>
        </w:rPr>
        <w:t>
      1.1. Проектное поле для АФС.</w:t>
      </w:r>
    </w:p>
    <w:bookmarkEnd w:id="6168"/>
    <w:bookmarkStart w:name="z6362" w:id="6169"/>
    <w:p>
      <w:pPr>
        <w:spacing w:after="0"/>
        <w:ind w:left="0"/>
        <w:jc w:val="both"/>
      </w:pPr>
      <w:r>
        <w:rPr>
          <w:rFonts w:ascii="Times New Roman"/>
          <w:b w:val="false"/>
          <w:i w:val="false"/>
          <w:color w:val="000000"/>
          <w:sz w:val="28"/>
        </w:rPr>
        <w:t>
      Представление проектного поля (характеристики и соответствующие диапазоны их изменений) в табличном формате.</w:t>
      </w:r>
    </w:p>
    <w:bookmarkEnd w:id="6169"/>
    <w:bookmarkStart w:name="z6363" w:id="6170"/>
    <w:p>
      <w:pPr>
        <w:spacing w:after="0"/>
        <w:ind w:left="0"/>
        <w:jc w:val="both"/>
      </w:pPr>
      <w:r>
        <w:rPr>
          <w:rFonts w:ascii="Times New Roman"/>
          <w:b w:val="false"/>
          <w:i w:val="false"/>
          <w:color w:val="000000"/>
          <w:sz w:val="28"/>
        </w:rPr>
        <w:t>
      1.2. Протоколы управления изменениями для АФС.</w:t>
      </w:r>
    </w:p>
    <w:bookmarkEnd w:id="6170"/>
    <w:bookmarkStart w:name="z6364" w:id="6171"/>
    <w:p>
      <w:pPr>
        <w:spacing w:after="0"/>
        <w:ind w:left="0"/>
        <w:jc w:val="both"/>
      </w:pPr>
      <w:r>
        <w:rPr>
          <w:rFonts w:ascii="Times New Roman"/>
          <w:b w:val="false"/>
          <w:i w:val="false"/>
          <w:color w:val="000000"/>
          <w:sz w:val="28"/>
        </w:rPr>
        <w:t>
      Описание изменений, включенных в согласованный протокол, а также категории согласованных вариаций для отчетности по внедрению изменений.</w:t>
      </w:r>
    </w:p>
    <w:bookmarkEnd w:id="6171"/>
    <w:bookmarkStart w:name="z6365" w:id="6172"/>
    <w:p>
      <w:pPr>
        <w:spacing w:after="0"/>
        <w:ind w:left="0"/>
        <w:jc w:val="left"/>
      </w:pPr>
      <w:r>
        <w:rPr>
          <w:rFonts w:ascii="Times New Roman"/>
          <w:b/>
          <w:i w:val="false"/>
          <w:color w:val="000000"/>
        </w:rPr>
        <w:t xml:space="preserve"> 2. Лекарственный препарат</w:t>
      </w:r>
    </w:p>
    <w:bookmarkEnd w:id="6172"/>
    <w:bookmarkStart w:name="z6366" w:id="6173"/>
    <w:p>
      <w:pPr>
        <w:spacing w:after="0"/>
        <w:ind w:left="0"/>
        <w:jc w:val="both"/>
      </w:pPr>
      <w:r>
        <w:rPr>
          <w:rFonts w:ascii="Times New Roman"/>
          <w:b w:val="false"/>
          <w:i w:val="false"/>
          <w:color w:val="000000"/>
          <w:sz w:val="28"/>
        </w:rPr>
        <w:t>
      2.1. Проектное поле для лекарственного препарата.</w:t>
      </w:r>
    </w:p>
    <w:bookmarkEnd w:id="6173"/>
    <w:bookmarkStart w:name="z6367" w:id="6174"/>
    <w:p>
      <w:pPr>
        <w:spacing w:after="0"/>
        <w:ind w:left="0"/>
        <w:jc w:val="both"/>
      </w:pPr>
      <w:r>
        <w:rPr>
          <w:rFonts w:ascii="Times New Roman"/>
          <w:b w:val="false"/>
          <w:i w:val="false"/>
          <w:color w:val="000000"/>
          <w:sz w:val="28"/>
        </w:rPr>
        <w:t>
      Представление проектного поля (характеристики и соответствующие диапазоны их изменений) в табличном формате.</w:t>
      </w:r>
    </w:p>
    <w:bookmarkEnd w:id="6174"/>
    <w:bookmarkStart w:name="z6368" w:id="6175"/>
    <w:p>
      <w:pPr>
        <w:spacing w:after="0"/>
        <w:ind w:left="0"/>
        <w:jc w:val="both"/>
      </w:pPr>
      <w:r>
        <w:rPr>
          <w:rFonts w:ascii="Times New Roman"/>
          <w:b w:val="false"/>
          <w:i w:val="false"/>
          <w:color w:val="000000"/>
          <w:sz w:val="28"/>
        </w:rPr>
        <w:t>
      2.2. Протоколы управления изменениями в отношении лекарственного препарата.</w:t>
      </w:r>
    </w:p>
    <w:bookmarkEnd w:id="6175"/>
    <w:bookmarkStart w:name="z6369" w:id="6176"/>
    <w:p>
      <w:pPr>
        <w:spacing w:after="0"/>
        <w:ind w:left="0"/>
        <w:jc w:val="both"/>
      </w:pPr>
      <w:r>
        <w:rPr>
          <w:rFonts w:ascii="Times New Roman"/>
          <w:b w:val="false"/>
          <w:i w:val="false"/>
          <w:color w:val="000000"/>
          <w:sz w:val="28"/>
        </w:rPr>
        <w:t>
      Описание изменений, включенных в согласованный протокол, а также категории согласованных вариаций для отчетности по внедрению изменений.</w:t>
      </w:r>
    </w:p>
    <w:bookmarkEnd w:id="6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15 с изменениями, внесенными решениями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371" w:id="6177"/>
    <w:p>
      <w:pPr>
        <w:spacing w:after="0"/>
        <w:ind w:left="0"/>
        <w:jc w:val="left"/>
      </w:pPr>
      <w:r>
        <w:rPr>
          <w:rFonts w:ascii="Times New Roman"/>
          <w:b/>
          <w:i w:val="false"/>
          <w:color w:val="000000"/>
        </w:rPr>
        <w:t xml:space="preserve"> УКАЗАНИЯ</w:t>
      </w:r>
      <w:r>
        <w:br/>
      </w:r>
      <w:r>
        <w:rPr>
          <w:rFonts w:ascii="Times New Roman"/>
          <w:b/>
          <w:i w:val="false"/>
          <w:color w:val="000000"/>
        </w:rPr>
        <w:t>ПО СОСТАВЛЕНИЮ ЭКСПЕРТНОГО ОТЧЕТА ОБ ОЦЕНКЕ КЛИНИЧЕСКИХ ИССЛЕДОВАНИЙ</w:t>
      </w:r>
    </w:p>
    <w:bookmarkEnd w:id="6177"/>
    <w:bookmarkStart w:name="z6372" w:id="6178"/>
    <w:p>
      <w:pPr>
        <w:spacing w:after="0"/>
        <w:ind w:left="0"/>
        <w:jc w:val="left"/>
      </w:pPr>
      <w:r>
        <w:rPr>
          <w:rFonts w:ascii="Times New Roman"/>
          <w:b/>
          <w:i w:val="false"/>
          <w:color w:val="000000"/>
        </w:rPr>
        <w:t xml:space="preserve"> I. Общие указания </w:t>
      </w:r>
    </w:p>
    <w:bookmarkEnd w:id="6178"/>
    <w:bookmarkStart w:name="z6373" w:id="6179"/>
    <w:p>
      <w:pPr>
        <w:spacing w:after="0"/>
        <w:ind w:left="0"/>
        <w:jc w:val="both"/>
      </w:pPr>
      <w:r>
        <w:rPr>
          <w:rFonts w:ascii="Times New Roman"/>
          <w:b w:val="false"/>
          <w:i w:val="false"/>
          <w:color w:val="000000"/>
          <w:sz w:val="28"/>
        </w:rPr>
        <w:t>
      При работе над отчетом эксперта об оценке клинических исследований (далее - отчет) необходимо учитывать следующие аспекты:</w:t>
      </w:r>
    </w:p>
    <w:bookmarkEnd w:id="6179"/>
    <w:bookmarkStart w:name="z6374" w:id="6180"/>
    <w:p>
      <w:pPr>
        <w:spacing w:after="0"/>
        <w:ind w:left="0"/>
        <w:jc w:val="both"/>
      </w:pPr>
      <w:r>
        <w:rPr>
          <w:rFonts w:ascii="Times New Roman"/>
          <w:b w:val="false"/>
          <w:i w:val="false"/>
          <w:color w:val="000000"/>
          <w:sz w:val="28"/>
        </w:rPr>
        <w:t>
      отчет должен быть в достаточной степени детализирован для возможности проведения его повторной оценки другими экспертами уполномоченных органов и организаций государств - членов Евразийского экономического союза (далее соответственно - государства-члены, Союз);</w:t>
      </w:r>
    </w:p>
    <w:bookmarkEnd w:id="6180"/>
    <w:bookmarkStart w:name="z6375" w:id="6181"/>
    <w:p>
      <w:pPr>
        <w:spacing w:after="0"/>
        <w:ind w:left="0"/>
        <w:jc w:val="both"/>
      </w:pPr>
      <w:r>
        <w:rPr>
          <w:rFonts w:ascii="Times New Roman"/>
          <w:b w:val="false"/>
          <w:i w:val="false"/>
          <w:color w:val="000000"/>
          <w:sz w:val="28"/>
        </w:rPr>
        <w:t>
      рекомендуется использовать таблицы (графики, изображения), примеры, которых можно использовать в случае необходимости, приведены по форме согласно приложению № 7 к Правилам регистрации и экспертизы лекарственных средств для медицинского применения, утверждаемым Евразийской экономической комиссией (далее - Правила). В отчет также можно включить таблицы, взятые из досье. При этом следует вставить соответствующие сноски;</w:t>
      </w:r>
    </w:p>
    <w:bookmarkEnd w:id="6181"/>
    <w:bookmarkStart w:name="z6376" w:id="6182"/>
    <w:p>
      <w:pPr>
        <w:spacing w:after="0"/>
        <w:ind w:left="0"/>
        <w:jc w:val="both"/>
      </w:pPr>
      <w:r>
        <w:rPr>
          <w:rFonts w:ascii="Times New Roman"/>
          <w:b w:val="false"/>
          <w:i w:val="false"/>
          <w:color w:val="000000"/>
          <w:sz w:val="28"/>
        </w:rPr>
        <w:t>
      в тексте отчета необходимо использовать перекрестные ссылки для четкого указания источника любой информации, приведенной в отчете, например, конкретных частей досье (например, обзор, резюме, протоколы исследований), ссылки на использованную литературу или другие источники;</w:t>
      </w:r>
    </w:p>
    <w:bookmarkEnd w:id="6182"/>
    <w:bookmarkStart w:name="z6377" w:id="6183"/>
    <w:p>
      <w:pPr>
        <w:spacing w:after="0"/>
        <w:ind w:left="0"/>
        <w:jc w:val="both"/>
      </w:pPr>
      <w:r>
        <w:rPr>
          <w:rFonts w:ascii="Times New Roman"/>
          <w:b w:val="false"/>
          <w:i w:val="false"/>
          <w:color w:val="000000"/>
          <w:sz w:val="28"/>
        </w:rPr>
        <w:t>
      ссылки на информацию, являющуюся конфиденциальной и не предназначенную для сведения заявителя (например, ссылки на отчет об оценке другого лекарственного препарата), должны быть четко отмечены как "Конфиденциальная информация" и выделены желтым фоном. Эти разделы должны быть изъяты из отчета перед его отправкой заявителю;</w:t>
      </w:r>
    </w:p>
    <w:bookmarkEnd w:id="6183"/>
    <w:bookmarkStart w:name="z6378" w:id="6184"/>
    <w:p>
      <w:pPr>
        <w:spacing w:after="0"/>
        <w:ind w:left="0"/>
        <w:jc w:val="both"/>
      </w:pPr>
      <w:r>
        <w:rPr>
          <w:rFonts w:ascii="Times New Roman"/>
          <w:b w:val="false"/>
          <w:i w:val="false"/>
          <w:color w:val="000000"/>
          <w:sz w:val="28"/>
        </w:rPr>
        <w:t>
      в шаблон отчета добавлена отдельная страница для включения списка аббревиатур и ссылок, которая заполняется по мере необходимости;</w:t>
      </w:r>
    </w:p>
    <w:bookmarkEnd w:id="6184"/>
    <w:bookmarkStart w:name="z6379" w:id="6185"/>
    <w:p>
      <w:pPr>
        <w:spacing w:after="0"/>
        <w:ind w:left="0"/>
        <w:jc w:val="both"/>
      </w:pPr>
      <w:r>
        <w:rPr>
          <w:rFonts w:ascii="Times New Roman"/>
          <w:b w:val="false"/>
          <w:i w:val="false"/>
          <w:color w:val="000000"/>
          <w:sz w:val="28"/>
        </w:rPr>
        <w:t>
      рекомендуемый шрифт для составления основного текста - Times New Roman, шрифт 11.</w:t>
      </w:r>
    </w:p>
    <w:bookmarkEnd w:id="6185"/>
    <w:bookmarkStart w:name="z6380" w:id="6186"/>
    <w:p>
      <w:pPr>
        <w:spacing w:after="0"/>
        <w:ind w:left="0"/>
        <w:jc w:val="both"/>
      </w:pPr>
      <w:r>
        <w:rPr>
          <w:rFonts w:ascii="Times New Roman"/>
          <w:b w:val="false"/>
          <w:i w:val="false"/>
          <w:color w:val="000000"/>
          <w:sz w:val="28"/>
        </w:rPr>
        <w:t>
      при составлении отчета следует руководствоваться иными применимыми документами по оценке эффективности и безопасности лекарственных препаратов.</w:t>
      </w:r>
    </w:p>
    <w:bookmarkEnd w:id="6186"/>
    <w:bookmarkStart w:name="z6381" w:id="6187"/>
    <w:p>
      <w:pPr>
        <w:spacing w:after="0"/>
        <w:ind w:left="0"/>
        <w:jc w:val="left"/>
      </w:pPr>
      <w:r>
        <w:rPr>
          <w:rFonts w:ascii="Times New Roman"/>
          <w:b/>
          <w:i w:val="false"/>
          <w:color w:val="000000"/>
        </w:rPr>
        <w:t xml:space="preserve"> II. Критическая оценка клинических аспектов </w:t>
      </w:r>
    </w:p>
    <w:bookmarkEnd w:id="6187"/>
    <w:bookmarkStart w:name="z6382" w:id="6188"/>
    <w:p>
      <w:pPr>
        <w:spacing w:after="0"/>
        <w:ind w:left="0"/>
        <w:jc w:val="both"/>
      </w:pPr>
      <w:r>
        <w:rPr>
          <w:rFonts w:ascii="Times New Roman"/>
          <w:b w:val="false"/>
          <w:i w:val="false"/>
          <w:color w:val="000000"/>
          <w:sz w:val="28"/>
        </w:rPr>
        <w:t>
      В каждом разделе отчета должны быть кратко изложены данные, представленные в модуле 5 регистрационного досье, с учетом взаимосвязанных вопросов модуля 4 регистрационного досье.</w:t>
      </w:r>
    </w:p>
    <w:bookmarkEnd w:id="6188"/>
    <w:bookmarkStart w:name="z6383" w:id="6189"/>
    <w:p>
      <w:pPr>
        <w:spacing w:after="0"/>
        <w:ind w:left="0"/>
        <w:jc w:val="both"/>
      </w:pPr>
      <w:r>
        <w:rPr>
          <w:rFonts w:ascii="Times New Roman"/>
          <w:b w:val="false"/>
          <w:i w:val="false"/>
          <w:color w:val="000000"/>
          <w:sz w:val="28"/>
        </w:rPr>
        <w:t>
      Каждый основной раздел отчета должен содержать данные, представленные в соответствии с приложением № 1 к Правилам. Типы исследований, описываемых в каждом разделе, должны быть указаны со всеми номерами параграфов (пунктов, разделов), как это указано в приложении № 1 к Правилам. В отношении каждой разновидности исследований после выделения основных и вспомогательных результатов, необходимо оценить, представлены ли основные результаты собственными отчетами о проведенных клинических исследованиях ("оригинальные данные"), библиографическими ссылками, их комбинациями, либо такие данные отсутствуют.</w:t>
      </w:r>
    </w:p>
    <w:bookmarkEnd w:id="6189"/>
    <w:bookmarkStart w:name="z6384" w:id="6190"/>
    <w:p>
      <w:pPr>
        <w:spacing w:after="0"/>
        <w:ind w:left="0"/>
        <w:jc w:val="both"/>
      </w:pPr>
      <w:r>
        <w:rPr>
          <w:rFonts w:ascii="Times New Roman"/>
          <w:b w:val="false"/>
          <w:i w:val="false"/>
          <w:color w:val="000000"/>
          <w:sz w:val="28"/>
        </w:rPr>
        <w:t>
      Если заявитель использует данные из научных публикаций либо такие данные применяются в контексте отчета, необходимо указать ссылки, позволяющие четко идентифицировать каждую публикацию. Следует рассмотреть возможность составления списка литературы, если в отчете используется большое число ссылок. При необходимости следует точно сформулировать мнение эксперта относительно публикации (например, если статья используется не только в качестве ссылки на данные, но и в контексте обсуждения).</w:t>
      </w:r>
    </w:p>
    <w:bookmarkEnd w:id="6190"/>
    <w:bookmarkStart w:name="z6385" w:id="6191"/>
    <w:p>
      <w:pPr>
        <w:spacing w:after="0"/>
        <w:ind w:left="0"/>
        <w:jc w:val="both"/>
      </w:pPr>
      <w:r>
        <w:rPr>
          <w:rFonts w:ascii="Times New Roman"/>
          <w:b w:val="false"/>
          <w:i w:val="false"/>
          <w:color w:val="000000"/>
          <w:sz w:val="28"/>
        </w:rPr>
        <w:t>
      Следует оценить степень приемлемости обоснований несоответствия каким-либо требованиям. В частности должно быть обосновано отсутствие каких-либо данных доклинических (клинических) исследований или использование библиографических ссылок, частично или полностью заменяющих собой оригинальные данные основных исследований. Смотри дальнейшие указания в методическом документе (шаблоне) "Оценка безопасности, качества, эффективности".</w:t>
      </w:r>
    </w:p>
    <w:bookmarkEnd w:id="6191"/>
    <w:bookmarkStart w:name="z6386" w:id="6192"/>
    <w:p>
      <w:pPr>
        <w:spacing w:after="0"/>
        <w:ind w:left="0"/>
        <w:jc w:val="both"/>
      </w:pPr>
      <w:r>
        <w:rPr>
          <w:rFonts w:ascii="Times New Roman"/>
          <w:b w:val="false"/>
          <w:i w:val="false"/>
          <w:color w:val="000000"/>
          <w:sz w:val="28"/>
        </w:rPr>
        <w:t>
      1. Введение.</w:t>
      </w:r>
    </w:p>
    <w:bookmarkEnd w:id="6192"/>
    <w:bookmarkStart w:name="z6387" w:id="6193"/>
    <w:p>
      <w:pPr>
        <w:spacing w:after="0"/>
        <w:ind w:left="0"/>
        <w:jc w:val="both"/>
      </w:pPr>
      <w:r>
        <w:rPr>
          <w:rFonts w:ascii="Times New Roman"/>
          <w:b w:val="false"/>
          <w:i w:val="false"/>
          <w:color w:val="000000"/>
          <w:sz w:val="28"/>
        </w:rPr>
        <w:t>
      1.1. Тип заявления и аспекты разработки.</w:t>
      </w:r>
    </w:p>
    <w:bookmarkEnd w:id="6193"/>
    <w:bookmarkStart w:name="z6388" w:id="6194"/>
    <w:p>
      <w:pPr>
        <w:spacing w:after="0"/>
        <w:ind w:left="0"/>
        <w:jc w:val="both"/>
      </w:pPr>
      <w:r>
        <w:rPr>
          <w:rFonts w:ascii="Times New Roman"/>
          <w:b w:val="false"/>
          <w:i w:val="false"/>
          <w:color w:val="000000"/>
          <w:sz w:val="28"/>
        </w:rPr>
        <w:t>
      1.1.1. Тип заявления.</w:t>
      </w:r>
    </w:p>
    <w:bookmarkEnd w:id="6194"/>
    <w:bookmarkStart w:name="z6389" w:id="6195"/>
    <w:p>
      <w:pPr>
        <w:spacing w:after="0"/>
        <w:ind w:left="0"/>
        <w:jc w:val="both"/>
      </w:pPr>
      <w:r>
        <w:rPr>
          <w:rFonts w:ascii="Times New Roman"/>
          <w:b w:val="false"/>
          <w:i w:val="false"/>
          <w:color w:val="000000"/>
          <w:sz w:val="28"/>
        </w:rPr>
        <w:t>
      Укажите тип заявления на регистрацию (ссылка на юридическое основание заявления), например, заявление на оригинальный лекарственный препарат, заявление на основе компиляции собственных и сторонних данных, заявление на основе общепринятого применения, заявление на биологический препарат и др., а также уточните наличие приемлемых обоснований для отказа от определенных исследований или замены оригинальных исследований данными из литературных источников. Если какие-либо исследования существуют только в форме публикаций, важно уточнить, обладают ли они достаточным качеством для возможности проведения всестороннего анализа наиболее критических данных.</w:t>
      </w:r>
    </w:p>
    <w:bookmarkEnd w:id="6195"/>
    <w:bookmarkStart w:name="z6390" w:id="6196"/>
    <w:p>
      <w:pPr>
        <w:spacing w:after="0"/>
        <w:ind w:left="0"/>
        <w:jc w:val="both"/>
      </w:pPr>
      <w:r>
        <w:rPr>
          <w:rFonts w:ascii="Times New Roman"/>
          <w:b w:val="false"/>
          <w:i w:val="false"/>
          <w:color w:val="000000"/>
          <w:sz w:val="28"/>
        </w:rPr>
        <w:t>
      Также следует указать, что заявитель запросил регистрацию с предъявлением особых условий при выдаче регистрационного заявления или регистрацию с учетом применения критерия исключительного случая (или указать, что такие варианты регистрации предлагаются самим экспертом). Заключение о соответствии заявления и регистрационного досье применимым критериям является неотъемлемой частью настоящего отчета.</w:t>
      </w:r>
    </w:p>
    <w:bookmarkEnd w:id="6196"/>
    <w:bookmarkStart w:name="z6391" w:id="6197"/>
    <w:p>
      <w:pPr>
        <w:spacing w:after="0"/>
        <w:ind w:left="0"/>
        <w:jc w:val="both"/>
      </w:pPr>
      <w:r>
        <w:rPr>
          <w:rFonts w:ascii="Times New Roman"/>
          <w:b w:val="false"/>
          <w:i w:val="false"/>
          <w:color w:val="000000"/>
          <w:sz w:val="28"/>
        </w:rPr>
        <w:t>
      В отношении условной регистрации эксперт должен оценить степень обоснованности оснований, предложенных заявителем, в соответствии с Правилами. Следует обратить внимание на следующее: применение лекарственного препарата для лечения серьезного (угрожающего) жизни заболевания, применение его в случаях заболеваний, представляющих угрозу жизни и требующих неотложной помощи, лекарственный препарат обладает выраженным эффектом при редких угрожающих жизни (инвалидизирующих) заболеваниях и имеет положительное соотношение польза - риск. При этом следует учесть медицинскую необходимость и факт того, перевесит ли факт широкого применения данного лекарственного препарата имеющиеся риски. Условная регистрация допускается при условии положительной оценки соотношения польза - риск до получения результатов последующих дальнейших исследований. Необходимо прокомментировать целесообразность проведения таких исследований после регистрации лекарственного препарата.</w:t>
      </w:r>
    </w:p>
    <w:bookmarkEnd w:id="6197"/>
    <w:bookmarkStart w:name="z6392" w:id="6198"/>
    <w:p>
      <w:pPr>
        <w:spacing w:after="0"/>
        <w:ind w:left="0"/>
        <w:jc w:val="both"/>
      </w:pPr>
      <w:r>
        <w:rPr>
          <w:rFonts w:ascii="Times New Roman"/>
          <w:b w:val="false"/>
          <w:i w:val="false"/>
          <w:color w:val="000000"/>
          <w:sz w:val="28"/>
        </w:rPr>
        <w:t>
      При рассмотрении возможности регистрации в исключительных случаях эксперт должен оценить обоснованность представленных заявителем оснований. Выдача разрешения на регистрацию в исключительных случаях не предусматривает возможность обязательного представления заявителем на этапе регистрации исчерпывающих данных об эффективности и безопасности. Поэтому следует прокомментировать важные аспекты данного заявления (редкость заболевания, этические аспекты, стадия научного изучения препарата) и типы конкретных обязательств (процедур), выполнение которых может потребоваться от держателя регистрационного удостоверения на послерегистрационном периоде.</w:t>
      </w:r>
    </w:p>
    <w:bookmarkEnd w:id="6198"/>
    <w:bookmarkStart w:name="z6393" w:id="6199"/>
    <w:p>
      <w:pPr>
        <w:spacing w:after="0"/>
        <w:ind w:left="0"/>
        <w:jc w:val="both"/>
      </w:pPr>
      <w:r>
        <w:rPr>
          <w:rFonts w:ascii="Times New Roman"/>
          <w:b w:val="false"/>
          <w:i w:val="false"/>
          <w:color w:val="000000"/>
          <w:sz w:val="28"/>
        </w:rPr>
        <w:t>
      1.1.2. Биоаналоговые (биоподобные) лекарственные препараты.</w:t>
      </w:r>
    </w:p>
    <w:bookmarkEnd w:id="6199"/>
    <w:bookmarkStart w:name="z6394" w:id="6200"/>
    <w:p>
      <w:pPr>
        <w:spacing w:after="0"/>
        <w:ind w:left="0"/>
        <w:jc w:val="both"/>
      </w:pPr>
      <w:r>
        <w:rPr>
          <w:rFonts w:ascii="Times New Roman"/>
          <w:b w:val="false"/>
          <w:i w:val="false"/>
          <w:color w:val="000000"/>
          <w:sz w:val="28"/>
        </w:rPr>
        <w:t>
      В отдельных случаях "исследования биосопоставимости" эксперту может потребоваться описать стратегию разработки, выбранную компанией, с ее анализом и оценкой обоснованности с учетом Правил исследования биологических лекарственных средств в рамках Евразийского экономического союза, утверждаемых Евразийской экономической комиссией.</w:t>
      </w:r>
    </w:p>
    <w:bookmarkEnd w:id="6200"/>
    <w:bookmarkStart w:name="z6395" w:id="6201"/>
    <w:p>
      <w:pPr>
        <w:spacing w:after="0"/>
        <w:ind w:left="0"/>
        <w:jc w:val="both"/>
      </w:pPr>
      <w:r>
        <w:rPr>
          <w:rFonts w:ascii="Times New Roman"/>
          <w:b w:val="false"/>
          <w:i w:val="false"/>
          <w:color w:val="000000"/>
          <w:sz w:val="28"/>
        </w:rPr>
        <w:t>
      В отношении экспертизы регистрационных досье на биоаналоговые (биоподобные) лекарственные препараты следует руководствоваться приложением № 1 к Правилам и Правилами исследования биологических лекарственных средств в рамках Евразийского экономического союза, утверждаемыми Евразийской экономической комиссией.</w:t>
      </w:r>
    </w:p>
    <w:bookmarkEnd w:id="6201"/>
    <w:bookmarkStart w:name="z6396" w:id="6202"/>
    <w:p>
      <w:pPr>
        <w:spacing w:after="0"/>
        <w:ind w:left="0"/>
        <w:jc w:val="both"/>
      </w:pPr>
      <w:r>
        <w:rPr>
          <w:rFonts w:ascii="Times New Roman"/>
          <w:b w:val="false"/>
          <w:i w:val="false"/>
          <w:color w:val="000000"/>
          <w:sz w:val="28"/>
        </w:rPr>
        <w:t>
      Необходимо принимать во внимание аспекты качества лекарственного препарата и активной фармацевтической субстанции (модуль 3 регистрационного досье). Необходимо представить развернутую сравнительную оценку для подтверждения того, что биоаналогичные и референтные препараты, уже разрешенные для применения, имеют аналогичные характеристики качества, безопасности и эффективности.</w:t>
      </w:r>
    </w:p>
    <w:bookmarkEnd w:id="6202"/>
    <w:bookmarkStart w:name="z6397" w:id="6203"/>
    <w:p>
      <w:pPr>
        <w:spacing w:after="0"/>
        <w:ind w:left="0"/>
        <w:jc w:val="both"/>
      </w:pPr>
      <w:r>
        <w:rPr>
          <w:rFonts w:ascii="Times New Roman"/>
          <w:b w:val="false"/>
          <w:i w:val="false"/>
          <w:color w:val="000000"/>
          <w:sz w:val="28"/>
        </w:rPr>
        <w:t>
      Подробная информация в табличном виде о концентрации (содержании) АФС в зарегистрированном референтном препарате (с указанием его торгового названия, лекарственной формы, держателя регистрационного удостоверения, даты выдачи регистрационного удостоверения в Союзе), а также подробная информация (например, номер серии и страна производства) о серии лекарственного препарата, используемого при сравнительной оценке (основные показатели спецификации по качеству, данные доклинических и клинических исследований) может быть проанализирована экспертом на основе информации из экспертного отчета по аспектам качества (оценке модуля 3 регистрационного досье).</w:t>
      </w:r>
    </w:p>
    <w:bookmarkEnd w:id="6203"/>
    <w:bookmarkStart w:name="z6398" w:id="6204"/>
    <w:p>
      <w:pPr>
        <w:spacing w:after="0"/>
        <w:ind w:left="0"/>
        <w:jc w:val="both"/>
      </w:pPr>
      <w:r>
        <w:rPr>
          <w:rFonts w:ascii="Times New Roman"/>
          <w:b w:val="false"/>
          <w:i w:val="false"/>
          <w:color w:val="000000"/>
          <w:sz w:val="28"/>
        </w:rPr>
        <w:t>
      1.1.3. Аспекты разработки.</w:t>
      </w:r>
    </w:p>
    <w:bookmarkEnd w:id="6204"/>
    <w:bookmarkStart w:name="z6399" w:id="6205"/>
    <w:p>
      <w:pPr>
        <w:spacing w:after="0"/>
        <w:ind w:left="0"/>
        <w:jc w:val="both"/>
      </w:pPr>
      <w:r>
        <w:rPr>
          <w:rFonts w:ascii="Times New Roman"/>
          <w:b w:val="false"/>
          <w:i w:val="false"/>
          <w:color w:val="000000"/>
          <w:sz w:val="28"/>
        </w:rPr>
        <w:t>
      Опишите программу разработки по клиническим исследованиям с точки зрения предлагаемых показаний к применению и режима дозирования (укажите, существуют ли показания к применению у детей). Укажите, соответствует ли объем проведенных исследований рекомендациям Союза и требованиям законодательства государства-члена.</w:t>
      </w:r>
    </w:p>
    <w:bookmarkEnd w:id="6205"/>
    <w:bookmarkStart w:name="z6400" w:id="6206"/>
    <w:p>
      <w:pPr>
        <w:spacing w:after="0"/>
        <w:ind w:left="0"/>
        <w:jc w:val="both"/>
      </w:pPr>
      <w:r>
        <w:rPr>
          <w:rFonts w:ascii="Times New Roman"/>
          <w:b w:val="false"/>
          <w:i w:val="false"/>
          <w:color w:val="000000"/>
          <w:sz w:val="28"/>
        </w:rPr>
        <w:t>
      Указать, был ли согласован с национальными уполномоченными органами и организациями, осуществляющими экспертизу лекарственных препаратов, план исследования препарата у детей (как с отсрочкой, так и без таковой) или отказ от такого плана для конкретного препарата (либо этот отказ распространяется на весь класс лекарств). Кратко опишите условия и основные требования к плану исследования препарата у детей в отношении доклинических аспектов (там, где это возможно) и приведите соответствующую информацию о текущем статусе клинических исследований (завершенные исследования, продолжающиеся исследования и др.).</w:t>
      </w:r>
    </w:p>
    <w:bookmarkEnd w:id="6206"/>
    <w:bookmarkStart w:name="z6401" w:id="6207"/>
    <w:p>
      <w:pPr>
        <w:spacing w:after="0"/>
        <w:ind w:left="0"/>
        <w:jc w:val="both"/>
      </w:pPr>
      <w:r>
        <w:rPr>
          <w:rFonts w:ascii="Times New Roman"/>
          <w:b w:val="false"/>
          <w:i w:val="false"/>
          <w:color w:val="000000"/>
          <w:sz w:val="28"/>
        </w:rPr>
        <w:t>
      Укажите, проведена ли клиническая разработка для других особых групп населения, например, с учетом возрастной градации, половой и этнической принадлежности. При необходимости укажите количество и характеристики здоровых добровольцев (пациентов) (мужчин, женщин), включенных в исследования (в случае необходимости, см. раздел 3.1 для получения подробной информации по включению в отчет более развернутой таблицы, которая должна соответствовать таблице 2.7.3.1 регистрационного досье).</w:t>
      </w:r>
    </w:p>
    <w:bookmarkEnd w:id="6207"/>
    <w:bookmarkStart w:name="z6402" w:id="6208"/>
    <w:p>
      <w:pPr>
        <w:spacing w:after="0"/>
        <w:ind w:left="0"/>
        <w:jc w:val="both"/>
      </w:pPr>
      <w:r>
        <w:rPr>
          <w:rFonts w:ascii="Times New Roman"/>
          <w:b w:val="false"/>
          <w:i w:val="false"/>
          <w:color w:val="000000"/>
          <w:sz w:val="28"/>
        </w:rPr>
        <w:t>
      Сообщите, получал ли заявитель научное консультирование или содействие в составлении протокола (если да, то когда), опишите проблемные вопросы и укажите, использовал ли заявитель полученные рекомендации.</w:t>
      </w:r>
    </w:p>
    <w:bookmarkEnd w:id="6208"/>
    <w:bookmarkStart w:name="z6403" w:id="6209"/>
    <w:p>
      <w:pPr>
        <w:spacing w:after="0"/>
        <w:ind w:left="0"/>
        <w:jc w:val="both"/>
      </w:pPr>
      <w:r>
        <w:rPr>
          <w:rFonts w:ascii="Times New Roman"/>
          <w:b w:val="false"/>
          <w:i w:val="false"/>
          <w:color w:val="000000"/>
          <w:sz w:val="28"/>
        </w:rPr>
        <w:t>
      Укажите, был ли присвоен лекарству статус орфанного препарата (если да, то когда). Если необходимо, сообщите о данном решении в отношении сходных по механизму действия препаратов или может быть присвоен с учетом положений абзаца третьего пункта 6 настоящих Правил.</w:t>
      </w:r>
    </w:p>
    <w:bookmarkEnd w:id="6209"/>
    <w:bookmarkStart w:name="z6404" w:id="6210"/>
    <w:p>
      <w:pPr>
        <w:spacing w:after="0"/>
        <w:ind w:left="0"/>
        <w:jc w:val="both"/>
      </w:pPr>
      <w:r>
        <w:rPr>
          <w:rFonts w:ascii="Times New Roman"/>
          <w:b w:val="false"/>
          <w:i w:val="false"/>
          <w:color w:val="000000"/>
          <w:sz w:val="28"/>
        </w:rPr>
        <w:t>
      Представленные данные по разработке лекарственного препарата могут быть ограничены критериями, применимыми к условной регистрации или регистрации в исключительных случаях. Оценка соответствия таким критериям должна являться обязательной частью отчета.</w:t>
      </w:r>
    </w:p>
    <w:bookmarkEnd w:id="6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405" w:id="6211"/>
    <w:p>
      <w:pPr>
        <w:spacing w:after="0"/>
        <w:ind w:left="0"/>
        <w:jc w:val="both"/>
      </w:pPr>
      <w:r>
        <w:rPr>
          <w:rFonts w:ascii="Times New Roman"/>
          <w:b w:val="false"/>
          <w:i w:val="false"/>
          <w:color w:val="000000"/>
          <w:sz w:val="28"/>
        </w:rPr>
        <w:t>
      1.2. Соблюдение Правил надлежащей клинической практики Евразийского экономического союза, утверждаемых Евразийской экономической комиссией.</w:t>
      </w:r>
    </w:p>
    <w:bookmarkEnd w:id="6211"/>
    <w:bookmarkStart w:name="z6406" w:id="6212"/>
    <w:p>
      <w:pPr>
        <w:spacing w:after="0"/>
        <w:ind w:left="0"/>
        <w:jc w:val="both"/>
      </w:pPr>
      <w:r>
        <w:rPr>
          <w:rFonts w:ascii="Times New Roman"/>
          <w:b w:val="false"/>
          <w:i w:val="false"/>
          <w:color w:val="000000"/>
          <w:sz w:val="28"/>
        </w:rPr>
        <w:t>
      В данном разделе и разделе 3.1, а также в модуле "Общее описание" отчета необходимо отразить вопросы соответствия требованиям Правил надлежащей клинической практики Евразийского экономического союза, утверждаемых Евразийской экономической комиссией.</w:t>
      </w:r>
    </w:p>
    <w:bookmarkEnd w:id="6212"/>
    <w:bookmarkStart w:name="z6407" w:id="6213"/>
    <w:p>
      <w:pPr>
        <w:spacing w:after="0"/>
        <w:ind w:left="0"/>
        <w:jc w:val="both"/>
      </w:pPr>
      <w:r>
        <w:rPr>
          <w:rFonts w:ascii="Times New Roman"/>
          <w:b w:val="false"/>
          <w:i w:val="false"/>
          <w:color w:val="000000"/>
          <w:sz w:val="28"/>
        </w:rPr>
        <w:t>
      В данном разделе необходимо рассмотреть:</w:t>
      </w:r>
    </w:p>
    <w:bookmarkEnd w:id="6213"/>
    <w:bookmarkStart w:name="z6408" w:id="6214"/>
    <w:p>
      <w:pPr>
        <w:spacing w:after="0"/>
        <w:ind w:left="0"/>
        <w:jc w:val="both"/>
      </w:pPr>
      <w:r>
        <w:rPr>
          <w:rFonts w:ascii="Times New Roman"/>
          <w:b w:val="false"/>
          <w:i w:val="false"/>
          <w:color w:val="000000"/>
          <w:sz w:val="28"/>
        </w:rPr>
        <w:t>
      все сомнения, возникшие в ходе проведения экспертизы относительно соблюдения Правил надлежащей клинической практики Евразийского экономического союза, утверждаемых Евразийской экономической комиссией, и связанных регуляторных и этических требований (правильность данных, соблюдение протокола и соблюдение этических аспектов);</w:t>
      </w:r>
    </w:p>
    <w:bookmarkEnd w:id="6214"/>
    <w:bookmarkStart w:name="z6409" w:id="6215"/>
    <w:p>
      <w:pPr>
        <w:spacing w:after="0"/>
        <w:ind w:left="0"/>
        <w:jc w:val="both"/>
      </w:pPr>
      <w:r>
        <w:rPr>
          <w:rFonts w:ascii="Times New Roman"/>
          <w:b w:val="false"/>
          <w:i w:val="false"/>
          <w:color w:val="000000"/>
          <w:sz w:val="28"/>
        </w:rPr>
        <w:t>
      декларацию соблюдения этических стандартов клинических исследований, предусмотренную Правилами надлежащей клинической практики Евразийского экономического союза, утверждаемыми Евразийской экономической комиссией, или их эквивалента;</w:t>
      </w:r>
    </w:p>
    <w:bookmarkEnd w:id="6215"/>
    <w:bookmarkStart w:name="z6410" w:id="6216"/>
    <w:p>
      <w:pPr>
        <w:spacing w:after="0"/>
        <w:ind w:left="0"/>
        <w:jc w:val="both"/>
      </w:pPr>
      <w:r>
        <w:rPr>
          <w:rFonts w:ascii="Times New Roman"/>
          <w:b w:val="false"/>
          <w:i w:val="false"/>
          <w:color w:val="000000"/>
          <w:sz w:val="28"/>
        </w:rPr>
        <w:t>
      целесообразность проведения инспекции на соответствие Правил надлежащей клинической практики Евразийского экономического союза, утверждаемых Евразийской экономической комиссией, исходя указаний, представленных в Правилах.</w:t>
      </w:r>
    </w:p>
    <w:bookmarkEnd w:id="6216"/>
    <w:bookmarkStart w:name="z6411" w:id="6217"/>
    <w:p>
      <w:pPr>
        <w:spacing w:after="0"/>
        <w:ind w:left="0"/>
        <w:jc w:val="both"/>
      </w:pPr>
      <w:r>
        <w:rPr>
          <w:rFonts w:ascii="Times New Roman"/>
          <w:b w:val="false"/>
          <w:i w:val="false"/>
          <w:color w:val="000000"/>
          <w:sz w:val="28"/>
        </w:rPr>
        <w:t>
      Принятие решения о необходимости проведения инспекции осуществляется на основе комбинации критических факторов, приведенных в Правилах с учетом оценки всего регистрационного досье. Перечень критических факторов не является исчерпывающим, значимость каждого фактора в отношении принятия решения о необходимости проведения внеплановой инспекции на соответствие требованиям Правил надлежащей клинической практики Евразийского экономического союза, утверждаемых Евразийской экономической комиссией, может существенно различаться в зависимости от многих факторов.</w:t>
      </w:r>
    </w:p>
    <w:bookmarkEnd w:id="6217"/>
    <w:bookmarkStart w:name="z6412" w:id="6218"/>
    <w:p>
      <w:pPr>
        <w:spacing w:after="0"/>
        <w:ind w:left="0"/>
        <w:jc w:val="both"/>
      </w:pPr>
      <w:r>
        <w:rPr>
          <w:rFonts w:ascii="Times New Roman"/>
          <w:b w:val="false"/>
          <w:i w:val="false"/>
          <w:color w:val="000000"/>
          <w:sz w:val="28"/>
        </w:rPr>
        <w:t>
      Для запроса о проведении инспекции на соответствие требованиям Правил надлежащей клинической практики Евразийского экономического союза, утверждаемых Евразийской экономической комиссией, необходимо:</w:t>
      </w:r>
    </w:p>
    <w:bookmarkEnd w:id="6218"/>
    <w:bookmarkStart w:name="z6413" w:id="6219"/>
    <w:p>
      <w:pPr>
        <w:spacing w:after="0"/>
        <w:ind w:left="0"/>
        <w:jc w:val="both"/>
      </w:pPr>
      <w:r>
        <w:rPr>
          <w:rFonts w:ascii="Times New Roman"/>
          <w:b w:val="false"/>
          <w:i w:val="false"/>
          <w:color w:val="000000"/>
          <w:sz w:val="28"/>
        </w:rPr>
        <w:t>
      обратиться в национальный фармацевтический инспекторат;</w:t>
      </w:r>
    </w:p>
    <w:bookmarkEnd w:id="6219"/>
    <w:bookmarkStart w:name="z6414" w:id="6220"/>
    <w:p>
      <w:pPr>
        <w:spacing w:after="0"/>
        <w:ind w:left="0"/>
        <w:jc w:val="both"/>
      </w:pPr>
      <w:r>
        <w:rPr>
          <w:rFonts w:ascii="Times New Roman"/>
          <w:b w:val="false"/>
          <w:i w:val="false"/>
          <w:color w:val="000000"/>
          <w:sz w:val="28"/>
        </w:rPr>
        <w:t>
      определить вместе с инспекторатом исследования, объекты и специфические вопросы или проблемы, имеющие отношение к проведению инспекции;</w:t>
      </w:r>
    </w:p>
    <w:bookmarkEnd w:id="6220"/>
    <w:bookmarkStart w:name="z6415" w:id="6221"/>
    <w:p>
      <w:pPr>
        <w:spacing w:after="0"/>
        <w:ind w:left="0"/>
        <w:jc w:val="both"/>
      </w:pPr>
      <w:r>
        <w:rPr>
          <w:rFonts w:ascii="Times New Roman"/>
          <w:b w:val="false"/>
          <w:i w:val="false"/>
          <w:color w:val="000000"/>
          <w:sz w:val="28"/>
        </w:rPr>
        <w:t>
      подготовить официальный запрос на проведение инспекции, который подается на рассмотрение инспекторов и дальнейшее согласование с уполномоченными экспертными организациями государств-членов, после чего запрос утверждается уполномоченными органами и включается в план инспекций (90 или 120 день).</w:t>
      </w:r>
    </w:p>
    <w:bookmarkEnd w:id="6221"/>
    <w:bookmarkStart w:name="z6416" w:id="6222"/>
    <w:p>
      <w:pPr>
        <w:spacing w:after="0"/>
        <w:ind w:left="0"/>
        <w:jc w:val="both"/>
      </w:pPr>
      <w:r>
        <w:rPr>
          <w:rFonts w:ascii="Times New Roman"/>
          <w:b w:val="false"/>
          <w:i w:val="false"/>
          <w:color w:val="000000"/>
          <w:sz w:val="28"/>
        </w:rPr>
        <w:t>
      Подробная информация о факторах, обуславливающих необходимость в проведении инспекции, приведена в Правилах и Правилах проведения фармацевтических инспекций Евразийского экономического союза.</w:t>
      </w:r>
    </w:p>
    <w:bookmarkEnd w:id="6222"/>
    <w:bookmarkStart w:name="z6417" w:id="6223"/>
    <w:p>
      <w:pPr>
        <w:spacing w:after="0"/>
        <w:ind w:left="0"/>
        <w:jc w:val="both"/>
      </w:pPr>
      <w:r>
        <w:rPr>
          <w:rFonts w:ascii="Times New Roman"/>
          <w:b w:val="false"/>
          <w:i w:val="false"/>
          <w:color w:val="000000"/>
          <w:sz w:val="28"/>
        </w:rPr>
        <w:t>
      1.3. Данные по принадлежности к классу орфанных лекарственных препаратов.</w:t>
      </w:r>
    </w:p>
    <w:bookmarkEnd w:id="6223"/>
    <w:bookmarkStart w:name="z6418" w:id="6224"/>
    <w:p>
      <w:pPr>
        <w:spacing w:after="0"/>
        <w:ind w:left="0"/>
        <w:jc w:val="both"/>
      </w:pPr>
      <w:r>
        <w:rPr>
          <w:rFonts w:ascii="Times New Roman"/>
          <w:b w:val="false"/>
          <w:i w:val="false"/>
          <w:color w:val="000000"/>
          <w:sz w:val="28"/>
        </w:rPr>
        <w:t>
      Следует указать, если препарату в связи с показаниями к его применению может быть присвоен статус орфанного препарата. Следует указать показания к его применению в таком качестве и распространенность заболевания, подлежащего лечению данным препаратом (по данным официальной статистики государств-членов или официальных списков орфанных заболеваний, утвержденных в государствах-членах).</w:t>
      </w:r>
    </w:p>
    <w:bookmarkEnd w:id="6224"/>
    <w:bookmarkStart w:name="z6419" w:id="6225"/>
    <w:p>
      <w:pPr>
        <w:spacing w:after="0"/>
        <w:ind w:left="0"/>
        <w:jc w:val="both"/>
      </w:pPr>
      <w:r>
        <w:rPr>
          <w:rFonts w:ascii="Times New Roman"/>
          <w:b w:val="false"/>
          <w:i w:val="false"/>
          <w:color w:val="000000"/>
          <w:sz w:val="28"/>
        </w:rPr>
        <w:t>
      В соответствующих случаях следует привести данную формулировку: "Согласно данным (указать источник) распространенность заболевания (указать заболевание) в государстве-члене (указать государство) составляет (число) на 10 000 человек".</w:t>
      </w:r>
    </w:p>
    <w:bookmarkEnd w:id="6225"/>
    <w:bookmarkStart w:name="z6420" w:id="6226"/>
    <w:p>
      <w:pPr>
        <w:spacing w:after="0"/>
        <w:ind w:left="0"/>
        <w:jc w:val="both"/>
      </w:pPr>
      <w:r>
        <w:rPr>
          <w:rFonts w:ascii="Times New Roman"/>
          <w:b w:val="false"/>
          <w:i w:val="false"/>
          <w:color w:val="000000"/>
          <w:sz w:val="28"/>
        </w:rPr>
        <w:t>
      Эксперту следует уделить особое внимание анализу заявления на орфанный препарат с учетом степени редкости заболевания и показаний к применению, предложенных заявителем.</w:t>
      </w:r>
    </w:p>
    <w:bookmarkEnd w:id="6226"/>
    <w:bookmarkStart w:name="z6421" w:id="6227"/>
    <w:p>
      <w:pPr>
        <w:spacing w:after="0"/>
        <w:ind w:left="0"/>
        <w:jc w:val="both"/>
      </w:pPr>
      <w:r>
        <w:rPr>
          <w:rFonts w:ascii="Times New Roman"/>
          <w:b w:val="false"/>
          <w:i w:val="false"/>
          <w:color w:val="000000"/>
          <w:sz w:val="28"/>
        </w:rPr>
        <w:t>
      2. Клиническая фармакология.</w:t>
      </w:r>
    </w:p>
    <w:bookmarkEnd w:id="6227"/>
    <w:bookmarkStart w:name="z6422" w:id="6228"/>
    <w:p>
      <w:pPr>
        <w:spacing w:after="0"/>
        <w:ind w:left="0"/>
        <w:jc w:val="both"/>
      </w:pPr>
      <w:r>
        <w:rPr>
          <w:rFonts w:ascii="Times New Roman"/>
          <w:b w:val="false"/>
          <w:i w:val="false"/>
          <w:color w:val="000000"/>
          <w:sz w:val="28"/>
        </w:rPr>
        <w:t>
      2.1. Фармакокинетика.</w:t>
      </w:r>
    </w:p>
    <w:bookmarkEnd w:id="6228"/>
    <w:bookmarkStart w:name="z6423" w:id="6229"/>
    <w:p>
      <w:pPr>
        <w:spacing w:after="0"/>
        <w:ind w:left="0"/>
        <w:jc w:val="both"/>
      </w:pPr>
      <w:r>
        <w:rPr>
          <w:rFonts w:ascii="Times New Roman"/>
          <w:b w:val="false"/>
          <w:i w:val="false"/>
          <w:color w:val="000000"/>
          <w:sz w:val="28"/>
        </w:rPr>
        <w:t>
      2.1.1. Введение.</w:t>
      </w:r>
    </w:p>
    <w:bookmarkEnd w:id="6229"/>
    <w:bookmarkStart w:name="z6424" w:id="6230"/>
    <w:p>
      <w:pPr>
        <w:spacing w:after="0"/>
        <w:ind w:left="0"/>
        <w:jc w:val="both"/>
      </w:pPr>
      <w:r>
        <w:rPr>
          <w:rFonts w:ascii="Times New Roman"/>
          <w:b w:val="false"/>
          <w:i w:val="false"/>
          <w:color w:val="000000"/>
          <w:sz w:val="28"/>
        </w:rPr>
        <w:t>
      Необходимо представить краткую справочную информацию, касающуюся дизайна исследования (например, перекрестное клиническое исследование (исследование фармакокинетики) у конкретной группы населения), числа и характеристик пациентов (здоровых добровольцев), включенных в различные исследования, с кратким описанием используемых валидированных биоаналитических методик. Как правило, при оценке используются данные фармакокинетики у здоровых добровольцев, а также у пациентов.</w:t>
      </w:r>
    </w:p>
    <w:bookmarkEnd w:id="6230"/>
    <w:bookmarkStart w:name="z6425" w:id="6231"/>
    <w:p>
      <w:pPr>
        <w:spacing w:after="0"/>
        <w:ind w:left="0"/>
        <w:jc w:val="both"/>
      </w:pPr>
      <w:r>
        <w:rPr>
          <w:rFonts w:ascii="Times New Roman"/>
          <w:b w:val="false"/>
          <w:i w:val="false"/>
          <w:color w:val="000000"/>
          <w:sz w:val="28"/>
        </w:rPr>
        <w:t>
      Прокомментируйте требования в отношении данного конкретного препарата (например, в отношении нового химического соединения - полный пакет документации по фармакокинетике), а также качество клинического обзора (заключение специалиста в модуле 2 и соответствие требованиям Правил надлежащей клинической практики Евразийского экономического союза, утверждаемых Евразийской экономической комиссией, фармакокинетических исследований лекарственного препарата.</w:t>
      </w:r>
    </w:p>
    <w:bookmarkEnd w:id="6231"/>
    <w:bookmarkStart w:name="z6426" w:id="6232"/>
    <w:p>
      <w:pPr>
        <w:spacing w:after="0"/>
        <w:ind w:left="0"/>
        <w:jc w:val="both"/>
      </w:pPr>
      <w:r>
        <w:rPr>
          <w:rFonts w:ascii="Times New Roman"/>
          <w:b w:val="false"/>
          <w:i w:val="false"/>
          <w:color w:val="000000"/>
          <w:sz w:val="28"/>
        </w:rPr>
        <w:t>
      В частности, следует указать наличие результатов исследования фармакокинетики препарата у детей (а также особых групп населения).</w:t>
      </w:r>
    </w:p>
    <w:bookmarkEnd w:id="6232"/>
    <w:bookmarkStart w:name="z6427" w:id="6233"/>
    <w:p>
      <w:pPr>
        <w:spacing w:after="0"/>
        <w:ind w:left="0"/>
        <w:jc w:val="both"/>
      </w:pPr>
      <w:r>
        <w:rPr>
          <w:rFonts w:ascii="Times New Roman"/>
          <w:b w:val="false"/>
          <w:i w:val="false"/>
          <w:color w:val="000000"/>
          <w:sz w:val="28"/>
        </w:rPr>
        <w:t>
      Каждый раздел и подраздел отчета должен содержать 2 пункта:</w:t>
      </w:r>
    </w:p>
    <w:bookmarkEnd w:id="6233"/>
    <w:bookmarkStart w:name="z6428" w:id="6234"/>
    <w:p>
      <w:pPr>
        <w:spacing w:after="0"/>
        <w:ind w:left="0"/>
        <w:jc w:val="both"/>
      </w:pPr>
      <w:r>
        <w:rPr>
          <w:rFonts w:ascii="Times New Roman"/>
          <w:b w:val="false"/>
          <w:i w:val="false"/>
          <w:color w:val="000000"/>
          <w:sz w:val="28"/>
        </w:rPr>
        <w:t>
      а) экспериментальные результаты исследования (данные в соответствующих подразделах модулей РД 5.3.1, 5.3.2, 5.3.3, а также данные исследований ФК/ФД, содержащиеся в модуле 5.3.4), предпочтительно в табличном виде (со ссылкой на резюме клинических исследований (модуль 2.7), отдельные отчеты или таблицу модуля 2);</w:t>
      </w:r>
    </w:p>
    <w:bookmarkEnd w:id="6234"/>
    <w:bookmarkStart w:name="z6429" w:id="6235"/>
    <w:p>
      <w:pPr>
        <w:spacing w:after="0"/>
        <w:ind w:left="0"/>
        <w:jc w:val="both"/>
      </w:pPr>
      <w:r>
        <w:rPr>
          <w:rFonts w:ascii="Times New Roman"/>
          <w:b w:val="false"/>
          <w:i w:val="false"/>
          <w:color w:val="000000"/>
          <w:sz w:val="28"/>
        </w:rPr>
        <w:t>
      б) замечания эксперта при их необходимости.</w:t>
      </w:r>
    </w:p>
    <w:bookmarkEnd w:id="6235"/>
    <w:bookmarkStart w:name="z6430" w:id="6236"/>
    <w:p>
      <w:pPr>
        <w:spacing w:after="0"/>
        <w:ind w:left="0"/>
        <w:jc w:val="both"/>
      </w:pPr>
      <w:r>
        <w:rPr>
          <w:rFonts w:ascii="Times New Roman"/>
          <w:b w:val="false"/>
          <w:i w:val="false"/>
          <w:color w:val="000000"/>
          <w:sz w:val="28"/>
        </w:rPr>
        <w:t>
      Различные исследованные параметры фармакокинетики препарата могут быть включены в 1 общую сводную таблицу в данном разделе. Комментарии в отношении различных параметров фармакокинетики препарата могут содержать перекрестные ссылки на данную таблицу.</w:t>
      </w:r>
    </w:p>
    <w:bookmarkEnd w:id="6236"/>
    <w:bookmarkStart w:name="z6431" w:id="6237"/>
    <w:p>
      <w:pPr>
        <w:spacing w:after="0"/>
        <w:ind w:left="0"/>
        <w:jc w:val="both"/>
      </w:pPr>
      <w:r>
        <w:rPr>
          <w:rFonts w:ascii="Times New Roman"/>
          <w:b w:val="false"/>
          <w:i w:val="false"/>
          <w:color w:val="000000"/>
          <w:sz w:val="28"/>
        </w:rPr>
        <w:t>
      В зависимости от типа приложения подзаголовки раздела "Фармакокинетика" могут быть удалены или изменены в зависимости от обстоятельств.</w:t>
      </w:r>
    </w:p>
    <w:bookmarkEnd w:id="6237"/>
    <w:bookmarkStart w:name="z6432" w:id="6238"/>
    <w:p>
      <w:pPr>
        <w:spacing w:after="0"/>
        <w:ind w:left="0"/>
        <w:jc w:val="both"/>
      </w:pPr>
      <w:r>
        <w:rPr>
          <w:rFonts w:ascii="Times New Roman"/>
          <w:b w:val="false"/>
          <w:i w:val="false"/>
          <w:color w:val="000000"/>
          <w:sz w:val="28"/>
        </w:rPr>
        <w:t>
      В отношении экспертизы регистрационных досье на биоаналогичные (биоподобные) лекарственные препараты следует руководствоваться приложением № 1 к Правилам и Правилами исследования биологических лекарственных средств, утверждаемыми Евразийской экономической комиссией.</w:t>
      </w:r>
    </w:p>
    <w:bookmarkEnd w:id="6238"/>
    <w:bookmarkStart w:name="z6433" w:id="6239"/>
    <w:p>
      <w:pPr>
        <w:spacing w:after="0"/>
        <w:ind w:left="0"/>
        <w:jc w:val="both"/>
      </w:pPr>
      <w:r>
        <w:rPr>
          <w:rFonts w:ascii="Times New Roman"/>
          <w:b w:val="false"/>
          <w:i w:val="false"/>
          <w:color w:val="000000"/>
          <w:sz w:val="28"/>
        </w:rPr>
        <w:t>
      Оценка клинической сопоставимости представляет собой поэтапную процедуру, которая должна начинаться со сравнительных исследований фармакокинетики (ФК) и фармакодинамики (ФД) и завершаться сравнительными клиническими исследованиями эффективности с использованием выбранного референтного лекарственного препарата, зарегистрированного на территории Союза.</w:t>
      </w:r>
    </w:p>
    <w:bookmarkEnd w:id="6239"/>
    <w:bookmarkStart w:name="z6434" w:id="6240"/>
    <w:p>
      <w:pPr>
        <w:spacing w:after="0"/>
        <w:ind w:left="0"/>
        <w:jc w:val="both"/>
      </w:pPr>
      <w:r>
        <w:rPr>
          <w:rFonts w:ascii="Times New Roman"/>
          <w:b w:val="false"/>
          <w:i w:val="false"/>
          <w:color w:val="000000"/>
          <w:sz w:val="28"/>
        </w:rPr>
        <w:t>
      В определенных случаях (например, при регистрации дополнительной лекарственной формы оригинального препарата) достаточно будет представить данные исследования по ФК/ФД препаратов для подтверждения их терапевтической эквивалентности.</w:t>
      </w:r>
    </w:p>
    <w:bookmarkEnd w:id="6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435" w:id="6241"/>
    <w:p>
      <w:pPr>
        <w:spacing w:after="0"/>
        <w:ind w:left="0"/>
        <w:jc w:val="both"/>
      </w:pPr>
      <w:r>
        <w:rPr>
          <w:rFonts w:ascii="Times New Roman"/>
          <w:b w:val="false"/>
          <w:i w:val="false"/>
          <w:color w:val="000000"/>
          <w:sz w:val="28"/>
        </w:rPr>
        <w:t>
      2.1.2. Методы.</w:t>
      </w:r>
    </w:p>
    <w:bookmarkEnd w:id="6241"/>
    <w:bookmarkStart w:name="z6436" w:id="6242"/>
    <w:p>
      <w:pPr>
        <w:spacing w:after="0"/>
        <w:ind w:left="0"/>
        <w:jc w:val="both"/>
      </w:pPr>
      <w:r>
        <w:rPr>
          <w:rFonts w:ascii="Times New Roman"/>
          <w:b w:val="false"/>
          <w:i w:val="false"/>
          <w:color w:val="000000"/>
          <w:sz w:val="28"/>
        </w:rPr>
        <w:t>
      2.1.2.1. Аналитические методы и методики.</w:t>
      </w:r>
    </w:p>
    <w:bookmarkEnd w:id="6242"/>
    <w:bookmarkStart w:name="z6437" w:id="6243"/>
    <w:p>
      <w:pPr>
        <w:spacing w:after="0"/>
        <w:ind w:left="0"/>
        <w:jc w:val="both"/>
      </w:pPr>
      <w:r>
        <w:rPr>
          <w:rFonts w:ascii="Times New Roman"/>
          <w:b w:val="false"/>
          <w:i w:val="false"/>
          <w:color w:val="000000"/>
          <w:sz w:val="28"/>
        </w:rPr>
        <w:t>
      Краткое описание используемых аналитических методов с акцентом внимания на характеристиках эффективности валидации анализа и контроля качества.</w:t>
      </w:r>
    </w:p>
    <w:bookmarkEnd w:id="6243"/>
    <w:bookmarkStart w:name="z6438" w:id="6244"/>
    <w:p>
      <w:pPr>
        <w:spacing w:after="0"/>
        <w:ind w:left="0"/>
        <w:jc w:val="both"/>
      </w:pPr>
      <w:r>
        <w:rPr>
          <w:rFonts w:ascii="Times New Roman"/>
          <w:b w:val="false"/>
          <w:i w:val="false"/>
          <w:color w:val="000000"/>
          <w:sz w:val="28"/>
        </w:rPr>
        <w:t>
      2.1.2.2. Анализ фармакокинетических данных.</w:t>
      </w:r>
    </w:p>
    <w:bookmarkEnd w:id="6244"/>
    <w:bookmarkStart w:name="z6439" w:id="6245"/>
    <w:p>
      <w:pPr>
        <w:spacing w:after="0"/>
        <w:ind w:left="0"/>
        <w:jc w:val="both"/>
      </w:pPr>
      <w:r>
        <w:rPr>
          <w:rFonts w:ascii="Times New Roman"/>
          <w:b w:val="false"/>
          <w:i w:val="false"/>
          <w:color w:val="000000"/>
          <w:sz w:val="28"/>
        </w:rPr>
        <w:t>
      Краткое описание методов анализа фармакокинетики.</w:t>
      </w:r>
    </w:p>
    <w:bookmarkEnd w:id="6245"/>
    <w:bookmarkStart w:name="z6440" w:id="6246"/>
    <w:p>
      <w:pPr>
        <w:spacing w:after="0"/>
        <w:ind w:left="0"/>
        <w:jc w:val="both"/>
      </w:pPr>
      <w:r>
        <w:rPr>
          <w:rFonts w:ascii="Times New Roman"/>
          <w:b w:val="false"/>
          <w:i w:val="false"/>
          <w:color w:val="000000"/>
          <w:sz w:val="28"/>
        </w:rPr>
        <w:t>
      2.1.2.3. Статистический анализ.</w:t>
      </w:r>
    </w:p>
    <w:bookmarkEnd w:id="6246"/>
    <w:bookmarkStart w:name="z6441" w:id="6247"/>
    <w:p>
      <w:pPr>
        <w:spacing w:after="0"/>
        <w:ind w:left="0"/>
        <w:jc w:val="both"/>
      </w:pPr>
      <w:r>
        <w:rPr>
          <w:rFonts w:ascii="Times New Roman"/>
          <w:b w:val="false"/>
          <w:i w:val="false"/>
          <w:color w:val="000000"/>
          <w:sz w:val="28"/>
        </w:rPr>
        <w:t>
      Краткое описание методов статистического анализа.</w:t>
      </w:r>
    </w:p>
    <w:bookmarkEnd w:id="6247"/>
    <w:bookmarkStart w:name="z6442" w:id="6248"/>
    <w:p>
      <w:pPr>
        <w:spacing w:after="0"/>
        <w:ind w:left="0"/>
        <w:jc w:val="both"/>
      </w:pPr>
      <w:r>
        <w:rPr>
          <w:rFonts w:ascii="Times New Roman"/>
          <w:b w:val="false"/>
          <w:i w:val="false"/>
          <w:color w:val="000000"/>
          <w:sz w:val="28"/>
        </w:rPr>
        <w:t>
      2.1.3. Абсорция.</w:t>
      </w:r>
    </w:p>
    <w:bookmarkEnd w:id="6248"/>
    <w:bookmarkStart w:name="z6443" w:id="6249"/>
    <w:p>
      <w:pPr>
        <w:spacing w:after="0"/>
        <w:ind w:left="0"/>
        <w:jc w:val="both"/>
      </w:pPr>
      <w:r>
        <w:rPr>
          <w:rFonts w:ascii="Times New Roman"/>
          <w:b w:val="false"/>
          <w:i w:val="false"/>
          <w:color w:val="000000"/>
          <w:sz w:val="28"/>
        </w:rPr>
        <w:t>
      Данные из модуля регистрационного досье 5.3.1 - 5.3.3 (в случае необходимости, где применимо) следует в табличной форме отразить данные исследований (например, скорость и степень всасывания, участие активных транспортных белков в процессе всасывания).</w:t>
      </w:r>
    </w:p>
    <w:bookmarkEnd w:id="6249"/>
    <w:bookmarkStart w:name="z6444" w:id="6250"/>
    <w:p>
      <w:pPr>
        <w:spacing w:after="0"/>
        <w:ind w:left="0"/>
        <w:jc w:val="both"/>
      </w:pPr>
      <w:r>
        <w:rPr>
          <w:rFonts w:ascii="Times New Roman"/>
          <w:b w:val="false"/>
          <w:i w:val="false"/>
          <w:color w:val="000000"/>
          <w:sz w:val="28"/>
        </w:rPr>
        <w:t>
      2.1.3.1. Биодоступность.</w:t>
      </w:r>
    </w:p>
    <w:bookmarkEnd w:id="6250"/>
    <w:bookmarkStart w:name="z6445" w:id="6251"/>
    <w:p>
      <w:pPr>
        <w:spacing w:after="0"/>
        <w:ind w:left="0"/>
        <w:jc w:val="both"/>
      </w:pPr>
      <w:r>
        <w:rPr>
          <w:rFonts w:ascii="Times New Roman"/>
          <w:b w:val="false"/>
          <w:i w:val="false"/>
          <w:color w:val="000000"/>
          <w:sz w:val="28"/>
        </w:rPr>
        <w:t>
      Данные из модуля регистрационного досье 5.3.1.1 отражают данные отчетов о биофармацевтических исследованиях. Абсолютная и относительная биодоступность.</w:t>
      </w:r>
    </w:p>
    <w:bookmarkEnd w:id="6251"/>
    <w:bookmarkStart w:name="z6446" w:id="6252"/>
    <w:p>
      <w:pPr>
        <w:spacing w:after="0"/>
        <w:ind w:left="0"/>
        <w:jc w:val="both"/>
      </w:pPr>
      <w:r>
        <w:rPr>
          <w:rFonts w:ascii="Times New Roman"/>
          <w:b w:val="false"/>
          <w:i w:val="false"/>
          <w:color w:val="000000"/>
          <w:sz w:val="28"/>
        </w:rPr>
        <w:t>
      Комментарий эксперта по оценке.</w:t>
      </w:r>
    </w:p>
    <w:bookmarkEnd w:id="6252"/>
    <w:bookmarkStart w:name="z6447" w:id="6253"/>
    <w:p>
      <w:pPr>
        <w:spacing w:after="0"/>
        <w:ind w:left="0"/>
        <w:jc w:val="both"/>
      </w:pPr>
      <w:r>
        <w:rPr>
          <w:rFonts w:ascii="Times New Roman"/>
          <w:b w:val="false"/>
          <w:i w:val="false"/>
          <w:color w:val="000000"/>
          <w:sz w:val="28"/>
        </w:rPr>
        <w:t>
      2.1.3.2. Биоэквивалентность.</w:t>
      </w:r>
    </w:p>
    <w:bookmarkEnd w:id="6253"/>
    <w:bookmarkStart w:name="z6448" w:id="6254"/>
    <w:p>
      <w:pPr>
        <w:spacing w:after="0"/>
        <w:ind w:left="0"/>
        <w:jc w:val="both"/>
      </w:pPr>
      <w:r>
        <w:rPr>
          <w:rFonts w:ascii="Times New Roman"/>
          <w:b w:val="false"/>
          <w:i w:val="false"/>
          <w:color w:val="000000"/>
          <w:sz w:val="28"/>
        </w:rPr>
        <w:t>
      Данные исследований биоэквивалентности лекарственных форм, используемых в клинических исследованиях, и конечной лекарственной формы, подлежащей реализации на рынке.</w:t>
      </w:r>
    </w:p>
    <w:bookmarkEnd w:id="6254"/>
    <w:bookmarkStart w:name="z6449" w:id="6255"/>
    <w:p>
      <w:pPr>
        <w:spacing w:after="0"/>
        <w:ind w:left="0"/>
        <w:jc w:val="both"/>
      </w:pPr>
      <w:r>
        <w:rPr>
          <w:rFonts w:ascii="Times New Roman"/>
          <w:b w:val="false"/>
          <w:i w:val="false"/>
          <w:color w:val="000000"/>
          <w:sz w:val="28"/>
        </w:rPr>
        <w:t>
      Следует привести ссылку на исследования биоэквивалентности, проведенные для анализа эквивалентности в отношении изменений в производстве на этапе разработки и обоснования изменений между лекарственными формами для клинических испытаний и готовой продукцией, предназначенной для реализации на рынке.</w:t>
      </w:r>
    </w:p>
    <w:bookmarkEnd w:id="6255"/>
    <w:bookmarkStart w:name="z6450" w:id="6256"/>
    <w:p>
      <w:pPr>
        <w:spacing w:after="0"/>
        <w:ind w:left="0"/>
        <w:jc w:val="both"/>
      </w:pPr>
      <w:r>
        <w:rPr>
          <w:rFonts w:ascii="Times New Roman"/>
          <w:b w:val="false"/>
          <w:i w:val="false"/>
          <w:color w:val="000000"/>
          <w:sz w:val="28"/>
        </w:rPr>
        <w:t>
      В отношении биологических или биотехнологических препаратов в данном разделе также должны содержаться перекрестные ссылки на данные доклинических и функциональных анализов.</w:t>
      </w:r>
    </w:p>
    <w:bookmarkEnd w:id="6256"/>
    <w:bookmarkStart w:name="z6451" w:id="6257"/>
    <w:p>
      <w:pPr>
        <w:spacing w:after="0"/>
        <w:ind w:left="0"/>
        <w:jc w:val="both"/>
      </w:pPr>
      <w:r>
        <w:rPr>
          <w:rFonts w:ascii="Times New Roman"/>
          <w:b w:val="false"/>
          <w:i w:val="false"/>
          <w:color w:val="000000"/>
          <w:sz w:val="28"/>
        </w:rPr>
        <w:t>
      Сравнительные исследования ФК, свидетельствующие о степени эквивалентности ключевых параметров ФК биологически аналогичного лекарственного средства и эталонного препарата, являются неотъемлемой частью общей сравнительной оценки.</w:t>
      </w:r>
    </w:p>
    <w:bookmarkEnd w:id="6257"/>
    <w:bookmarkStart w:name="z6452" w:id="6258"/>
    <w:p>
      <w:pPr>
        <w:spacing w:after="0"/>
        <w:ind w:left="0"/>
        <w:jc w:val="both"/>
      </w:pPr>
      <w:r>
        <w:rPr>
          <w:rFonts w:ascii="Times New Roman"/>
          <w:b w:val="false"/>
          <w:i w:val="false"/>
          <w:color w:val="000000"/>
          <w:sz w:val="28"/>
        </w:rPr>
        <w:t>
      Должно быть указано название препарата (использованного в клинических испытаниях) с пояснением относительно допуска препарата к реализации на территории Союза.</w:t>
      </w:r>
    </w:p>
    <w:bookmarkEnd w:id="6258"/>
    <w:bookmarkStart w:name="z6453" w:id="6259"/>
    <w:p>
      <w:pPr>
        <w:spacing w:after="0"/>
        <w:ind w:left="0"/>
        <w:jc w:val="both"/>
      </w:pPr>
      <w:r>
        <w:rPr>
          <w:rFonts w:ascii="Times New Roman"/>
          <w:b w:val="false"/>
          <w:i w:val="false"/>
          <w:color w:val="000000"/>
          <w:sz w:val="28"/>
        </w:rPr>
        <w:t>
      2.1.4. Распределение.</w:t>
      </w:r>
    </w:p>
    <w:bookmarkEnd w:id="6259"/>
    <w:bookmarkStart w:name="z6454" w:id="6260"/>
    <w:p>
      <w:pPr>
        <w:spacing w:after="0"/>
        <w:ind w:left="0"/>
        <w:jc w:val="both"/>
      </w:pPr>
      <w:r>
        <w:rPr>
          <w:rFonts w:ascii="Times New Roman"/>
          <w:b w:val="false"/>
          <w:i w:val="false"/>
          <w:color w:val="000000"/>
          <w:sz w:val="28"/>
        </w:rPr>
        <w:t>
      Объем распределения, данные связывания с белками при анализе в лабораторных и естественных условиях, сведения о распределении в тканях, а также данные подсчета количества эритроцитов. </w:t>
      </w:r>
    </w:p>
    <w:bookmarkEnd w:id="6260"/>
    <w:bookmarkStart w:name="z6455" w:id="6261"/>
    <w:p>
      <w:pPr>
        <w:spacing w:after="0"/>
        <w:ind w:left="0"/>
        <w:jc w:val="both"/>
      </w:pPr>
      <w:r>
        <w:rPr>
          <w:rFonts w:ascii="Times New Roman"/>
          <w:b w:val="false"/>
          <w:i w:val="false"/>
          <w:color w:val="000000"/>
          <w:sz w:val="28"/>
        </w:rPr>
        <w:t>
      2.1.5. Элиминация.</w:t>
      </w:r>
    </w:p>
    <w:bookmarkEnd w:id="6261"/>
    <w:bookmarkStart w:name="z6456" w:id="6262"/>
    <w:p>
      <w:pPr>
        <w:spacing w:after="0"/>
        <w:ind w:left="0"/>
        <w:jc w:val="both"/>
      </w:pPr>
      <w:r>
        <w:rPr>
          <w:rFonts w:ascii="Times New Roman"/>
          <w:b w:val="false"/>
          <w:i w:val="false"/>
          <w:color w:val="000000"/>
          <w:sz w:val="28"/>
        </w:rPr>
        <w:t>
      Путь выведения из организма (обмен веществ, выведение ренальным или билиарным путем), клиренс, период полураспада. </w:t>
      </w:r>
    </w:p>
    <w:bookmarkEnd w:id="6262"/>
    <w:bookmarkStart w:name="z6457" w:id="6263"/>
    <w:p>
      <w:pPr>
        <w:spacing w:after="0"/>
        <w:ind w:left="0"/>
        <w:jc w:val="both"/>
      </w:pPr>
      <w:r>
        <w:rPr>
          <w:rFonts w:ascii="Times New Roman"/>
          <w:b w:val="false"/>
          <w:i w:val="false"/>
          <w:color w:val="000000"/>
          <w:sz w:val="28"/>
        </w:rPr>
        <w:t>
      2.1.5.1. Выделение.</w:t>
      </w:r>
    </w:p>
    <w:bookmarkEnd w:id="6263"/>
    <w:bookmarkStart w:name="z6458" w:id="6264"/>
    <w:p>
      <w:pPr>
        <w:spacing w:after="0"/>
        <w:ind w:left="0"/>
        <w:jc w:val="both"/>
      </w:pPr>
      <w:r>
        <w:rPr>
          <w:rFonts w:ascii="Times New Roman"/>
          <w:b w:val="false"/>
          <w:i w:val="false"/>
          <w:color w:val="000000"/>
          <w:sz w:val="28"/>
        </w:rPr>
        <w:t>
      Пути выделения продукта из организма. Доля продукта, выделяющегося из организма в неизмененном виде. Участие активных транспортных белков при выделении продуктов почечным путем. </w:t>
      </w:r>
    </w:p>
    <w:bookmarkEnd w:id="6264"/>
    <w:bookmarkStart w:name="z6459" w:id="6265"/>
    <w:p>
      <w:pPr>
        <w:spacing w:after="0"/>
        <w:ind w:left="0"/>
        <w:jc w:val="both"/>
      </w:pPr>
      <w:r>
        <w:rPr>
          <w:rFonts w:ascii="Times New Roman"/>
          <w:b w:val="false"/>
          <w:i w:val="false"/>
          <w:color w:val="000000"/>
          <w:sz w:val="28"/>
        </w:rPr>
        <w:t>
      2.1.5.2. Метаболизм.</w:t>
      </w:r>
    </w:p>
    <w:bookmarkEnd w:id="6265"/>
    <w:bookmarkStart w:name="z6460" w:id="6266"/>
    <w:p>
      <w:pPr>
        <w:spacing w:after="0"/>
        <w:ind w:left="0"/>
        <w:jc w:val="both"/>
      </w:pPr>
      <w:r>
        <w:rPr>
          <w:rFonts w:ascii="Times New Roman"/>
          <w:b w:val="false"/>
          <w:i w:val="false"/>
          <w:color w:val="000000"/>
          <w:sz w:val="28"/>
        </w:rPr>
        <w:t>
      Идентификация метаболитов, степень метаболизма, пути метаболизма, ферменты, участвующие в метаболизме. Участие метаболитов в действии лекарства. Данные исследований в лабораторных и естественных условиях. </w:t>
      </w:r>
    </w:p>
    <w:bookmarkEnd w:id="6266"/>
    <w:bookmarkStart w:name="z6461" w:id="6267"/>
    <w:p>
      <w:pPr>
        <w:spacing w:after="0"/>
        <w:ind w:left="0"/>
        <w:jc w:val="both"/>
      </w:pPr>
      <w:r>
        <w:rPr>
          <w:rFonts w:ascii="Times New Roman"/>
          <w:b w:val="false"/>
          <w:i w:val="false"/>
          <w:color w:val="000000"/>
          <w:sz w:val="28"/>
        </w:rPr>
        <w:t>
      2.1.5.3. Взаимные превращения.</w:t>
      </w:r>
    </w:p>
    <w:bookmarkEnd w:id="6267"/>
    <w:bookmarkStart w:name="z6462" w:id="6268"/>
    <w:p>
      <w:pPr>
        <w:spacing w:after="0"/>
        <w:ind w:left="0"/>
        <w:jc w:val="both"/>
      </w:pPr>
      <w:r>
        <w:rPr>
          <w:rFonts w:ascii="Times New Roman"/>
          <w:b w:val="false"/>
          <w:i w:val="false"/>
          <w:color w:val="000000"/>
          <w:sz w:val="28"/>
        </w:rPr>
        <w:t>
      Актуальные в отношении хиральных продуктов. </w:t>
      </w:r>
    </w:p>
    <w:bookmarkEnd w:id="6268"/>
    <w:bookmarkStart w:name="z6463" w:id="6269"/>
    <w:p>
      <w:pPr>
        <w:spacing w:after="0"/>
        <w:ind w:left="0"/>
        <w:jc w:val="both"/>
      </w:pPr>
      <w:r>
        <w:rPr>
          <w:rFonts w:ascii="Times New Roman"/>
          <w:b w:val="false"/>
          <w:i w:val="false"/>
          <w:color w:val="000000"/>
          <w:sz w:val="28"/>
        </w:rPr>
        <w:t>
      2.1.5.4. Фармакокинетика метаболитов.</w:t>
      </w:r>
    </w:p>
    <w:bookmarkEnd w:id="6269"/>
    <w:bookmarkStart w:name="z6464" w:id="6270"/>
    <w:p>
      <w:pPr>
        <w:spacing w:after="0"/>
        <w:ind w:left="0"/>
        <w:jc w:val="both"/>
      </w:pPr>
      <w:r>
        <w:rPr>
          <w:rFonts w:ascii="Times New Roman"/>
          <w:b w:val="false"/>
          <w:i w:val="false"/>
          <w:color w:val="000000"/>
          <w:sz w:val="28"/>
        </w:rPr>
        <w:t>
      Информация, касающаяся фармакокинетики активных метаболитов и, при наличии, неактивных метаболитов. </w:t>
      </w:r>
    </w:p>
    <w:bookmarkEnd w:id="6270"/>
    <w:bookmarkStart w:name="z6465" w:id="6271"/>
    <w:p>
      <w:pPr>
        <w:spacing w:after="0"/>
        <w:ind w:left="0"/>
        <w:jc w:val="both"/>
      </w:pPr>
      <w:r>
        <w:rPr>
          <w:rFonts w:ascii="Times New Roman"/>
          <w:b w:val="false"/>
          <w:i w:val="false"/>
          <w:color w:val="000000"/>
          <w:sz w:val="28"/>
        </w:rPr>
        <w:t>
      2.1.5.5. Последствия возможного генетического полиморфизма.</w:t>
      </w:r>
    </w:p>
    <w:bookmarkEnd w:id="6271"/>
    <w:bookmarkStart w:name="z6466" w:id="6272"/>
    <w:p>
      <w:pPr>
        <w:spacing w:after="0"/>
        <w:ind w:left="0"/>
        <w:jc w:val="both"/>
      </w:pPr>
      <w:r>
        <w:rPr>
          <w:rFonts w:ascii="Times New Roman"/>
          <w:b w:val="false"/>
          <w:i w:val="false"/>
          <w:color w:val="000000"/>
          <w:sz w:val="28"/>
        </w:rPr>
        <w:t>
      Оценка последствий, если в обмене веществ участвуют полиморфные формы ферментов (например, CYP2D6, CYP2C19, N-ацетила). </w:t>
      </w:r>
    </w:p>
    <w:bookmarkEnd w:id="6272"/>
    <w:bookmarkStart w:name="z6467" w:id="6273"/>
    <w:p>
      <w:pPr>
        <w:spacing w:after="0"/>
        <w:ind w:left="0"/>
        <w:jc w:val="both"/>
      </w:pPr>
      <w:r>
        <w:rPr>
          <w:rFonts w:ascii="Times New Roman"/>
          <w:b w:val="false"/>
          <w:i w:val="false"/>
          <w:color w:val="000000"/>
          <w:sz w:val="28"/>
        </w:rPr>
        <w:t>
      2.1.6. Пропорциональность доз и временная зависимость. </w:t>
      </w:r>
    </w:p>
    <w:bookmarkEnd w:id="6273"/>
    <w:bookmarkStart w:name="z6468" w:id="6274"/>
    <w:p>
      <w:pPr>
        <w:spacing w:after="0"/>
        <w:ind w:left="0"/>
        <w:jc w:val="both"/>
      </w:pPr>
      <w:r>
        <w:rPr>
          <w:rFonts w:ascii="Times New Roman"/>
          <w:b w:val="false"/>
          <w:i w:val="false"/>
          <w:color w:val="000000"/>
          <w:sz w:val="28"/>
        </w:rPr>
        <w:t>
      2.1.6.1. Пропорциональность дозы.</w:t>
      </w:r>
    </w:p>
    <w:bookmarkEnd w:id="6274"/>
    <w:bookmarkStart w:name="z6469" w:id="6275"/>
    <w:p>
      <w:pPr>
        <w:spacing w:after="0"/>
        <w:ind w:left="0"/>
        <w:jc w:val="both"/>
      </w:pPr>
      <w:r>
        <w:rPr>
          <w:rFonts w:ascii="Times New Roman"/>
          <w:b w:val="false"/>
          <w:i w:val="false"/>
          <w:color w:val="000000"/>
          <w:sz w:val="28"/>
        </w:rPr>
        <w:t>
      Пропорциональность дозы после однократного введения дозы и в равновесной концентрации. </w:t>
      </w:r>
    </w:p>
    <w:bookmarkEnd w:id="6275"/>
    <w:bookmarkStart w:name="z6470" w:id="6276"/>
    <w:p>
      <w:pPr>
        <w:spacing w:after="0"/>
        <w:ind w:left="0"/>
        <w:jc w:val="both"/>
      </w:pPr>
      <w:r>
        <w:rPr>
          <w:rFonts w:ascii="Times New Roman"/>
          <w:b w:val="false"/>
          <w:i w:val="false"/>
          <w:color w:val="000000"/>
          <w:sz w:val="28"/>
        </w:rPr>
        <w:t>
      2.1.6.2. Временная зависимость.</w:t>
      </w:r>
    </w:p>
    <w:bookmarkEnd w:id="6276"/>
    <w:bookmarkStart w:name="z6471" w:id="6277"/>
    <w:p>
      <w:pPr>
        <w:spacing w:after="0"/>
        <w:ind w:left="0"/>
        <w:jc w:val="both"/>
      </w:pPr>
      <w:r>
        <w:rPr>
          <w:rFonts w:ascii="Times New Roman"/>
          <w:b w:val="false"/>
          <w:i w:val="false"/>
          <w:color w:val="000000"/>
          <w:sz w:val="28"/>
        </w:rPr>
        <w:t>
      Системное воздействие после однократного и многократного введения терапевтической дозы и оценка временной зависимости. </w:t>
      </w:r>
    </w:p>
    <w:bookmarkEnd w:id="6277"/>
    <w:bookmarkStart w:name="z6472" w:id="6278"/>
    <w:p>
      <w:pPr>
        <w:spacing w:after="0"/>
        <w:ind w:left="0"/>
        <w:jc w:val="both"/>
      </w:pPr>
      <w:r>
        <w:rPr>
          <w:rFonts w:ascii="Times New Roman"/>
          <w:b w:val="false"/>
          <w:i w:val="false"/>
          <w:color w:val="000000"/>
          <w:sz w:val="28"/>
        </w:rPr>
        <w:t>
      2.1.7. Внутри- и межиндивидуальная вариабельность.</w:t>
      </w:r>
    </w:p>
    <w:bookmarkEnd w:id="6278"/>
    <w:bookmarkStart w:name="z6473" w:id="6279"/>
    <w:p>
      <w:pPr>
        <w:spacing w:after="0"/>
        <w:ind w:left="0"/>
        <w:jc w:val="both"/>
      </w:pPr>
      <w:r>
        <w:rPr>
          <w:rFonts w:ascii="Times New Roman"/>
          <w:b w:val="false"/>
          <w:i w:val="false"/>
          <w:color w:val="000000"/>
          <w:sz w:val="28"/>
        </w:rPr>
        <w:t>
      Данные интра- и интериндивидуальной вариабельности параметров фармакокинетики (предпочтительно у целевой группы населения). Данные интра- и интериндивидуальной вариабельности могут быть взяты из сводных результатов анализов фармакокинетики у населения. </w:t>
      </w:r>
    </w:p>
    <w:bookmarkEnd w:id="6279"/>
    <w:bookmarkStart w:name="z6474" w:id="6280"/>
    <w:p>
      <w:pPr>
        <w:spacing w:after="0"/>
        <w:ind w:left="0"/>
        <w:jc w:val="both"/>
      </w:pPr>
      <w:r>
        <w:rPr>
          <w:rFonts w:ascii="Times New Roman"/>
          <w:b w:val="false"/>
          <w:i w:val="false"/>
          <w:color w:val="000000"/>
          <w:sz w:val="28"/>
        </w:rPr>
        <w:t>
      2.1.8. Фармакокинетика у целевой популяции.</w:t>
      </w:r>
    </w:p>
    <w:bookmarkEnd w:id="6280"/>
    <w:bookmarkStart w:name="z6475" w:id="6281"/>
    <w:p>
      <w:pPr>
        <w:spacing w:after="0"/>
        <w:ind w:left="0"/>
        <w:jc w:val="both"/>
      </w:pPr>
      <w:r>
        <w:rPr>
          <w:rFonts w:ascii="Times New Roman"/>
          <w:b w:val="false"/>
          <w:i w:val="false"/>
          <w:color w:val="000000"/>
          <w:sz w:val="28"/>
        </w:rPr>
        <w:t>
      Доступные данные по ФК исходного соединения и активных метаболитов у целевой группы населения с особым акцентом внимания на отличия у здоровых добровольцев, в том числе на изменчивость у пациентов. Данные ФК препарата у населения, если таковые имеются.</w:t>
      </w:r>
    </w:p>
    <w:bookmarkEnd w:id="6281"/>
    <w:bookmarkStart w:name="z6476" w:id="6282"/>
    <w:p>
      <w:pPr>
        <w:spacing w:after="0"/>
        <w:ind w:left="0"/>
        <w:jc w:val="both"/>
      </w:pPr>
      <w:r>
        <w:rPr>
          <w:rFonts w:ascii="Times New Roman"/>
          <w:b w:val="false"/>
          <w:i w:val="false"/>
          <w:color w:val="000000"/>
          <w:sz w:val="28"/>
        </w:rPr>
        <w:t>
      В зависимости от объема информации в содержание могут быть включены несколько подзаголовков.</w:t>
      </w:r>
    </w:p>
    <w:bookmarkEnd w:id="6282"/>
    <w:bookmarkStart w:name="z6477" w:id="6283"/>
    <w:p>
      <w:pPr>
        <w:spacing w:after="0"/>
        <w:ind w:left="0"/>
        <w:jc w:val="both"/>
      </w:pPr>
      <w:r>
        <w:rPr>
          <w:rFonts w:ascii="Times New Roman"/>
          <w:b w:val="false"/>
          <w:i w:val="false"/>
          <w:color w:val="000000"/>
          <w:sz w:val="28"/>
        </w:rPr>
        <w:t>
      Если данные ФК в основном были получены при исследовании у целевой группы населения, а не у здоровых добровольцев, данный раздел необходимо удалить, а данные по фармакокинетике препарата у целевой группы населения необходимо привести выше. </w:t>
      </w:r>
    </w:p>
    <w:bookmarkEnd w:id="6283"/>
    <w:bookmarkStart w:name="z6478" w:id="6284"/>
    <w:p>
      <w:pPr>
        <w:spacing w:after="0"/>
        <w:ind w:left="0"/>
        <w:jc w:val="both"/>
      </w:pPr>
      <w:r>
        <w:rPr>
          <w:rFonts w:ascii="Times New Roman"/>
          <w:b w:val="false"/>
          <w:i w:val="false"/>
          <w:color w:val="000000"/>
          <w:sz w:val="28"/>
        </w:rPr>
        <w:t>
      2.1.9. Особые группы населения.</w:t>
      </w:r>
    </w:p>
    <w:bookmarkEnd w:id="6284"/>
    <w:bookmarkStart w:name="z6479" w:id="6285"/>
    <w:p>
      <w:pPr>
        <w:spacing w:after="0"/>
        <w:ind w:left="0"/>
        <w:jc w:val="both"/>
      </w:pPr>
      <w:r>
        <w:rPr>
          <w:rFonts w:ascii="Times New Roman"/>
          <w:b w:val="false"/>
          <w:i w:val="false"/>
          <w:color w:val="000000"/>
          <w:sz w:val="28"/>
        </w:rPr>
        <w:t>
      Должны быть проанализированы доступные данные ФК исходного лекарственного средства и активных метаболитов у особых групп населения.</w:t>
      </w:r>
    </w:p>
    <w:bookmarkEnd w:id="6285"/>
    <w:bookmarkStart w:name="z6480" w:id="6286"/>
    <w:p>
      <w:pPr>
        <w:spacing w:after="0"/>
        <w:ind w:left="0"/>
        <w:jc w:val="both"/>
      </w:pPr>
      <w:r>
        <w:rPr>
          <w:rFonts w:ascii="Times New Roman"/>
          <w:b w:val="false"/>
          <w:i w:val="false"/>
          <w:color w:val="000000"/>
          <w:sz w:val="28"/>
        </w:rPr>
        <w:t>
      Данные из модуля регистрационного досье 5.3.3.3 отчет об исследовании внутреннего фактора ФК, а также модуля регистрационного досье 5.3.3.5 отчет об исследовании ФК у населения (данные должны быть представлены подобно предыдущим разделам и могут быть включены в одну общую сводную таблицу).</w:t>
      </w:r>
    </w:p>
    <w:bookmarkEnd w:id="6286"/>
    <w:bookmarkStart w:name="z6481" w:id="6287"/>
    <w:p>
      <w:pPr>
        <w:spacing w:after="0"/>
        <w:ind w:left="0"/>
        <w:jc w:val="both"/>
      </w:pPr>
      <w:r>
        <w:rPr>
          <w:rFonts w:ascii="Times New Roman"/>
          <w:b w:val="false"/>
          <w:i w:val="false"/>
          <w:color w:val="000000"/>
          <w:sz w:val="28"/>
        </w:rPr>
        <w:t>
      Здесь могут быть отражены результаты обзорного анализа данных различных исследований, которые могут способствовать пониманию различий в фармакокинетике, с указанием заявлений о возможных последствиях. Данные изменения могут быть связаны с внешними или внутренними факторами, такими как возраст, пол, раса, курение, метаболический полиморфизм, функции почек и печеночная недостаточность. Варианты, связанные с метаболическим полиморфизмом, должны быть описаны и прокомментированы в пункте "Выведение из организма" выше. В зависимости от обстоятельств в отношении детского населения могут быть включены данные моделирования и симуляции. </w:t>
      </w:r>
    </w:p>
    <w:bookmarkEnd w:id="6287"/>
    <w:bookmarkStart w:name="z6482" w:id="6288"/>
    <w:p>
      <w:pPr>
        <w:spacing w:after="0"/>
        <w:ind w:left="0"/>
        <w:jc w:val="both"/>
      </w:pPr>
      <w:r>
        <w:rPr>
          <w:rFonts w:ascii="Times New Roman"/>
          <w:b w:val="false"/>
          <w:i w:val="false"/>
          <w:color w:val="000000"/>
          <w:sz w:val="28"/>
        </w:rPr>
        <w:t>
      2.1.9.1. Люди пожилого возраста.</w:t>
      </w:r>
    </w:p>
    <w:bookmarkEnd w:id="6288"/>
    <w:bookmarkStart w:name="z6483" w:id="6289"/>
    <w:p>
      <w:pPr>
        <w:spacing w:after="0"/>
        <w:ind w:left="0"/>
        <w:jc w:val="both"/>
      </w:pPr>
      <w:r>
        <w:rPr>
          <w:rFonts w:ascii="Times New Roman"/>
          <w:b w:val="false"/>
          <w:i w:val="false"/>
          <w:color w:val="000000"/>
          <w:sz w:val="28"/>
        </w:rPr>
        <w:t>
      Если указанные данные невозможно взять из материалов заявления или при разных возрастных границах, сообщенных заявителем, рекомендуется добавить таблицу в виде вопроса в перечень вопросов отчета, представляемого на 120-й день.</w:t>
      </w:r>
    </w:p>
    <w:bookmarkEnd w:id="6289"/>
    <w:bookmarkStart w:name="z6484" w:id="6290"/>
    <w:p>
      <w:pPr>
        <w:spacing w:after="0"/>
        <w:ind w:left="0"/>
        <w:jc w:val="both"/>
      </w:pPr>
      <w:r>
        <w:rPr>
          <w:rFonts w:ascii="Times New Roman"/>
          <w:b w:val="false"/>
          <w:i w:val="false"/>
          <w:color w:val="000000"/>
          <w:sz w:val="28"/>
        </w:rPr>
        <w:t>
      Если болезнь (заболевание) распространена у лиц пожилого возраста, должны быть представлены какие-либо конкретные данные исследований ФК и рандомизированных контролируемых клинических исследований у лиц пожилого возраста или подтвержден факт не проведения таких исследований.</w:t>
      </w:r>
    </w:p>
    <w:bookmarkEnd w:id="6290"/>
    <w:bookmarkStart w:name="z6485" w:id="6291"/>
    <w:p>
      <w:pPr>
        <w:spacing w:after="0"/>
        <w:ind w:left="0"/>
        <w:jc w:val="both"/>
      </w:pPr>
      <w:r>
        <w:rPr>
          <w:rFonts w:ascii="Times New Roman"/>
          <w:b w:val="false"/>
          <w:i w:val="false"/>
          <w:color w:val="000000"/>
          <w:sz w:val="28"/>
        </w:rPr>
        <w:t>
      При наличии вероятности изменения ФК у пожилых людей, например, в связи с нарушением функции почек, следует прокомментировать необходимость коррекции дозы. </w:t>
      </w:r>
    </w:p>
    <w:bookmarkEnd w:id="6291"/>
    <w:bookmarkStart w:name="z6486" w:id="6292"/>
    <w:p>
      <w:pPr>
        <w:spacing w:after="0"/>
        <w:ind w:left="0"/>
        <w:jc w:val="both"/>
      </w:pPr>
      <w:r>
        <w:rPr>
          <w:rFonts w:ascii="Times New Roman"/>
          <w:b w:val="false"/>
          <w:i w:val="false"/>
          <w:color w:val="000000"/>
          <w:sz w:val="28"/>
        </w:rPr>
        <w:t>
      2.1.9.2. Дети.</w:t>
      </w:r>
    </w:p>
    <w:bookmarkEnd w:id="6292"/>
    <w:bookmarkStart w:name="z6487" w:id="6293"/>
    <w:p>
      <w:pPr>
        <w:spacing w:after="0"/>
        <w:ind w:left="0"/>
        <w:jc w:val="both"/>
      </w:pPr>
      <w:r>
        <w:rPr>
          <w:rFonts w:ascii="Times New Roman"/>
          <w:b w:val="false"/>
          <w:i w:val="false"/>
          <w:color w:val="000000"/>
          <w:sz w:val="28"/>
        </w:rPr>
        <w:t>
      Приводятся общие комментарии эксперта по фармакокинетике у отдельных групп населения.</w:t>
      </w:r>
    </w:p>
    <w:bookmarkEnd w:id="6293"/>
    <w:bookmarkStart w:name="z6488" w:id="6294"/>
    <w:p>
      <w:pPr>
        <w:spacing w:after="0"/>
        <w:ind w:left="0"/>
        <w:jc w:val="both"/>
      </w:pPr>
      <w:r>
        <w:rPr>
          <w:rFonts w:ascii="Times New Roman"/>
          <w:b w:val="false"/>
          <w:i w:val="false"/>
          <w:color w:val="000000"/>
          <w:sz w:val="28"/>
        </w:rPr>
        <w:t>
      Указывается, в достаточной ли степени описана фармакокинетика исходного препарата и активных метаболитов у особых групп населения.</w:t>
      </w:r>
    </w:p>
    <w:bookmarkEnd w:id="6294"/>
    <w:bookmarkStart w:name="z6489" w:id="6295"/>
    <w:p>
      <w:pPr>
        <w:spacing w:after="0"/>
        <w:ind w:left="0"/>
        <w:jc w:val="both"/>
      </w:pPr>
      <w:r>
        <w:rPr>
          <w:rFonts w:ascii="Times New Roman"/>
          <w:b w:val="false"/>
          <w:i w:val="false"/>
          <w:color w:val="000000"/>
          <w:sz w:val="28"/>
        </w:rPr>
        <w:t>
      Включена ли в общую характеристику лекарственного препарата для медицинского применения достаточная информация о фармакокинетике у особых групп населения, и отражено ли возможное отсутствие информации (ограничения, меры предосторожности, корректировки дозы).</w:t>
      </w:r>
    </w:p>
    <w:bookmarkEnd w:id="6295"/>
    <w:bookmarkStart w:name="z6490" w:id="6296"/>
    <w:p>
      <w:pPr>
        <w:spacing w:after="0"/>
        <w:ind w:left="0"/>
        <w:jc w:val="both"/>
      </w:pPr>
      <w:r>
        <w:rPr>
          <w:rFonts w:ascii="Times New Roman"/>
          <w:b w:val="false"/>
          <w:i w:val="false"/>
          <w:color w:val="000000"/>
          <w:sz w:val="28"/>
        </w:rPr>
        <w:t>
      Важно учитывать соотношение ФК/ФД при оценке необходимости в ограничениях, мерах предосторожности, корректировке дозы для особых групп населения. Необходимо учитывать отношения концентрация-эффект и концентрация-нежелательный эффект. </w:t>
      </w:r>
    </w:p>
    <w:bookmarkEnd w:id="6296"/>
    <w:bookmarkStart w:name="z6491" w:id="6297"/>
    <w:p>
      <w:pPr>
        <w:spacing w:after="0"/>
        <w:ind w:left="0"/>
        <w:jc w:val="both"/>
      </w:pPr>
      <w:r>
        <w:rPr>
          <w:rFonts w:ascii="Times New Roman"/>
          <w:b w:val="false"/>
          <w:i w:val="false"/>
          <w:color w:val="000000"/>
          <w:sz w:val="28"/>
        </w:rPr>
        <w:t>
      2.1.10. Взаимодействия.</w:t>
      </w:r>
    </w:p>
    <w:bookmarkEnd w:id="6297"/>
    <w:bookmarkStart w:name="z6492" w:id="6298"/>
    <w:p>
      <w:pPr>
        <w:spacing w:after="0"/>
        <w:ind w:left="0"/>
        <w:jc w:val="both"/>
      </w:pPr>
      <w:r>
        <w:rPr>
          <w:rFonts w:ascii="Times New Roman"/>
          <w:b w:val="false"/>
          <w:i w:val="false"/>
          <w:color w:val="000000"/>
          <w:sz w:val="28"/>
        </w:rPr>
        <w:t>
      Критическое представление результатов исследования.</w:t>
      </w:r>
    </w:p>
    <w:bookmarkEnd w:id="6298"/>
    <w:bookmarkStart w:name="z6493" w:id="6299"/>
    <w:p>
      <w:pPr>
        <w:spacing w:after="0"/>
        <w:ind w:left="0"/>
        <w:jc w:val="both"/>
      </w:pPr>
      <w:r>
        <w:rPr>
          <w:rFonts w:ascii="Times New Roman"/>
          <w:b w:val="false"/>
          <w:i w:val="false"/>
          <w:color w:val="000000"/>
          <w:sz w:val="28"/>
        </w:rPr>
        <w:t>
      При наличии данных должны быть представлены комментарии относительно лекарственных взаимодействий (данные должны быть представлены подобно предыдущим разделам и могут быть включены в 1 общую сводную таблицу). </w:t>
      </w:r>
    </w:p>
    <w:bookmarkEnd w:id="6299"/>
    <w:bookmarkStart w:name="z6494" w:id="6300"/>
    <w:p>
      <w:pPr>
        <w:spacing w:after="0"/>
        <w:ind w:left="0"/>
        <w:jc w:val="both"/>
      </w:pPr>
      <w:r>
        <w:rPr>
          <w:rFonts w:ascii="Times New Roman"/>
          <w:b w:val="false"/>
          <w:i w:val="false"/>
          <w:color w:val="000000"/>
          <w:sz w:val="28"/>
        </w:rPr>
        <w:t>
      2.1.10.1. В лабораторных условиях.</w:t>
      </w:r>
    </w:p>
    <w:bookmarkEnd w:id="6300"/>
    <w:bookmarkStart w:name="z6495" w:id="6301"/>
    <w:p>
      <w:pPr>
        <w:spacing w:after="0"/>
        <w:ind w:left="0"/>
        <w:jc w:val="both"/>
      </w:pPr>
      <w:r>
        <w:rPr>
          <w:rFonts w:ascii="Times New Roman"/>
          <w:b w:val="false"/>
          <w:i w:val="false"/>
          <w:color w:val="000000"/>
          <w:sz w:val="28"/>
        </w:rPr>
        <w:t>
      Данные из модуля регистрационного удостоверения 5.3.2 исследования в лабораторных условиях с использованием биоматериалов человеческого происхождения. </w:t>
      </w:r>
    </w:p>
    <w:bookmarkEnd w:id="6301"/>
    <w:bookmarkStart w:name="z6496" w:id="6302"/>
    <w:p>
      <w:pPr>
        <w:spacing w:after="0"/>
        <w:ind w:left="0"/>
        <w:jc w:val="both"/>
      </w:pPr>
      <w:r>
        <w:rPr>
          <w:rFonts w:ascii="Times New Roman"/>
          <w:b w:val="false"/>
          <w:i w:val="false"/>
          <w:color w:val="000000"/>
          <w:sz w:val="28"/>
        </w:rPr>
        <w:t>
      2.1.10.2. В естественных условиях.</w:t>
      </w:r>
    </w:p>
    <w:bookmarkEnd w:id="6302"/>
    <w:bookmarkStart w:name="z6497" w:id="6303"/>
    <w:p>
      <w:pPr>
        <w:spacing w:after="0"/>
        <w:ind w:left="0"/>
        <w:jc w:val="both"/>
      </w:pPr>
      <w:r>
        <w:rPr>
          <w:rFonts w:ascii="Times New Roman"/>
          <w:b w:val="false"/>
          <w:i w:val="false"/>
          <w:color w:val="000000"/>
          <w:sz w:val="28"/>
        </w:rPr>
        <w:t>
      Данные из модуля регистрационного удостоверения 5.3.3.4 отчет об исследовании внутреннего фактора ФК. </w:t>
      </w:r>
    </w:p>
    <w:bookmarkEnd w:id="6303"/>
    <w:bookmarkStart w:name="z6498" w:id="6304"/>
    <w:p>
      <w:pPr>
        <w:spacing w:after="0"/>
        <w:ind w:left="0"/>
        <w:jc w:val="both"/>
      </w:pPr>
      <w:r>
        <w:rPr>
          <w:rFonts w:ascii="Times New Roman"/>
          <w:b w:val="false"/>
          <w:i w:val="false"/>
          <w:color w:val="000000"/>
          <w:sz w:val="28"/>
        </w:rPr>
        <w:t>
      2.1.10.3. Общие комментарии эксперта по оценке аспектов взаимодействия.</w:t>
      </w:r>
    </w:p>
    <w:bookmarkEnd w:id="6304"/>
    <w:bookmarkStart w:name="z6499" w:id="6305"/>
    <w:p>
      <w:pPr>
        <w:spacing w:after="0"/>
        <w:ind w:left="0"/>
        <w:jc w:val="both"/>
      </w:pPr>
      <w:r>
        <w:rPr>
          <w:rFonts w:ascii="Times New Roman"/>
          <w:b w:val="false"/>
          <w:i w:val="false"/>
          <w:color w:val="000000"/>
          <w:sz w:val="28"/>
        </w:rPr>
        <w:t>
      Комментарии, касающиеся проведенных исследований взаимодействия.</w:t>
      </w:r>
    </w:p>
    <w:bookmarkEnd w:id="6305"/>
    <w:bookmarkStart w:name="z6500" w:id="6306"/>
    <w:p>
      <w:pPr>
        <w:spacing w:after="0"/>
        <w:ind w:left="0"/>
        <w:jc w:val="both"/>
      </w:pPr>
      <w:r>
        <w:rPr>
          <w:rFonts w:ascii="Times New Roman"/>
          <w:b w:val="false"/>
          <w:i w:val="false"/>
          <w:color w:val="000000"/>
          <w:sz w:val="28"/>
        </w:rPr>
        <w:t>
      Сделаны ли соответствующие выводы из проведенных исследований?</w:t>
      </w:r>
    </w:p>
    <w:bookmarkEnd w:id="6306"/>
    <w:bookmarkStart w:name="z6501" w:id="6307"/>
    <w:p>
      <w:pPr>
        <w:spacing w:after="0"/>
        <w:ind w:left="0"/>
        <w:jc w:val="both"/>
      </w:pPr>
      <w:r>
        <w:rPr>
          <w:rFonts w:ascii="Times New Roman"/>
          <w:b w:val="false"/>
          <w:i w:val="false"/>
          <w:color w:val="000000"/>
          <w:sz w:val="28"/>
        </w:rPr>
        <w:t>
      Комментарии относительно информации о взаимодействиях, включенных в краткую характеристику лекарственного средства (ограничения, меры предосторожности, корректировка дозы). Важно учитывать отношение ФК/ФД при оценке необходимости в ограничениях, мерах предосторожности, корректировке дозы при совместном назначении с другими лекарственными средствами. Необходимо учитывать отношения концентрация-эффект и концентрация-нежелательный эффект.</w:t>
      </w:r>
    </w:p>
    <w:bookmarkEnd w:id="6307"/>
    <w:bookmarkStart w:name="z6502" w:id="6308"/>
    <w:p>
      <w:pPr>
        <w:spacing w:after="0"/>
        <w:ind w:left="0"/>
        <w:jc w:val="both"/>
      </w:pPr>
      <w:r>
        <w:rPr>
          <w:rFonts w:ascii="Times New Roman"/>
          <w:b w:val="false"/>
          <w:i w:val="false"/>
          <w:color w:val="000000"/>
          <w:sz w:val="28"/>
        </w:rPr>
        <w:t>
      Выявление потенциальных взаимодействий, например, ингибирование или индукция ферментов (переносчиков), которые не были изучены в исследованиях взаимодействия в лабораторных или в естественных условиях.</w:t>
      </w:r>
    </w:p>
    <w:bookmarkEnd w:id="6308"/>
    <w:bookmarkStart w:name="z6503" w:id="6309"/>
    <w:p>
      <w:pPr>
        <w:spacing w:after="0"/>
        <w:ind w:left="0"/>
        <w:jc w:val="both"/>
      </w:pPr>
      <w:r>
        <w:rPr>
          <w:rFonts w:ascii="Times New Roman"/>
          <w:b w:val="false"/>
          <w:i w:val="false"/>
          <w:color w:val="000000"/>
          <w:sz w:val="28"/>
        </w:rPr>
        <w:t>
      Выявление потенциальных взаимодействий, не изученных на уровне всасывания. </w:t>
      </w:r>
    </w:p>
    <w:bookmarkEnd w:id="6309"/>
    <w:bookmarkStart w:name="z6504" w:id="6310"/>
    <w:p>
      <w:pPr>
        <w:spacing w:after="0"/>
        <w:ind w:left="0"/>
        <w:jc w:val="both"/>
      </w:pPr>
      <w:r>
        <w:rPr>
          <w:rFonts w:ascii="Times New Roman"/>
          <w:b w:val="false"/>
          <w:i w:val="false"/>
          <w:color w:val="000000"/>
          <w:sz w:val="28"/>
        </w:rPr>
        <w:t>
      2.1.11. Воздействие, значимое для оценки безопасности.</w:t>
      </w:r>
    </w:p>
    <w:bookmarkEnd w:id="6310"/>
    <w:bookmarkStart w:name="z6505" w:id="6311"/>
    <w:p>
      <w:pPr>
        <w:spacing w:after="0"/>
        <w:ind w:left="0"/>
        <w:jc w:val="both"/>
      </w:pPr>
      <w:r>
        <w:rPr>
          <w:rFonts w:ascii="Times New Roman"/>
          <w:b w:val="false"/>
          <w:i w:val="false"/>
          <w:color w:val="000000"/>
          <w:sz w:val="28"/>
        </w:rPr>
        <w:t>
      Обобщите данные планируемого уровня безопасности у целевой популяции в равновесной концентрации, а также у определенных групп населения с повышенным уровнем безопасности для последующего использования в доклинической оценке уровня безопасности. </w:t>
      </w:r>
    </w:p>
    <w:bookmarkEnd w:id="6311"/>
    <w:bookmarkStart w:name="z6506" w:id="6312"/>
    <w:p>
      <w:pPr>
        <w:spacing w:after="0"/>
        <w:ind w:left="0"/>
        <w:jc w:val="both"/>
      </w:pPr>
      <w:r>
        <w:rPr>
          <w:rFonts w:ascii="Times New Roman"/>
          <w:b w:val="false"/>
          <w:i w:val="false"/>
          <w:color w:val="000000"/>
          <w:sz w:val="28"/>
        </w:rPr>
        <w:t>
      2.1.12. Общее заключение эксперта по фармакокинетике.</w:t>
      </w:r>
    </w:p>
    <w:bookmarkEnd w:id="6312"/>
    <w:bookmarkStart w:name="z6507" w:id="6313"/>
    <w:p>
      <w:pPr>
        <w:spacing w:after="0"/>
        <w:ind w:left="0"/>
        <w:jc w:val="both"/>
      </w:pPr>
      <w:r>
        <w:rPr>
          <w:rFonts w:ascii="Times New Roman"/>
          <w:b w:val="false"/>
          <w:i w:val="false"/>
          <w:color w:val="000000"/>
          <w:sz w:val="28"/>
        </w:rPr>
        <w:t>
      Содержание этого пункта может быть перенесено в экспертный модуль "Оценка безопасности, качества, эффективности".</w:t>
      </w:r>
    </w:p>
    <w:bookmarkEnd w:id="6313"/>
    <w:bookmarkStart w:name="z6508" w:id="6314"/>
    <w:p>
      <w:pPr>
        <w:spacing w:after="0"/>
        <w:ind w:left="0"/>
        <w:jc w:val="both"/>
      </w:pPr>
      <w:r>
        <w:rPr>
          <w:rFonts w:ascii="Times New Roman"/>
          <w:b w:val="false"/>
          <w:i w:val="false"/>
          <w:color w:val="000000"/>
          <w:sz w:val="28"/>
        </w:rPr>
        <w:t>
      В связи с этим может потребоваться проведение отдельного и углубленного анализа для обеспечения всестороннего доступа эксперта к соответствующим данным для более адекватной оценки соотношения польза - риск препарата.</w:t>
      </w:r>
    </w:p>
    <w:bookmarkEnd w:id="6314"/>
    <w:bookmarkStart w:name="z6509" w:id="6315"/>
    <w:p>
      <w:pPr>
        <w:spacing w:after="0"/>
        <w:ind w:left="0"/>
        <w:jc w:val="both"/>
      </w:pPr>
      <w:r>
        <w:rPr>
          <w:rFonts w:ascii="Times New Roman"/>
          <w:b w:val="false"/>
          <w:i w:val="false"/>
          <w:color w:val="000000"/>
          <w:sz w:val="28"/>
        </w:rPr>
        <w:t>
      В этом разделе эксперт по оценке должен выделить важнейшие вопросы, описанные в различных разделах доклада (всасывание, распределение, выведение из организма), а также дать заключение по качеству фармакокинетической документации с особым акцентом внимания на выявленных недостатках.</w:t>
      </w:r>
    </w:p>
    <w:bookmarkEnd w:id="6315"/>
    <w:bookmarkStart w:name="z6510" w:id="6316"/>
    <w:p>
      <w:pPr>
        <w:spacing w:after="0"/>
        <w:ind w:left="0"/>
        <w:jc w:val="both"/>
      </w:pPr>
      <w:r>
        <w:rPr>
          <w:rFonts w:ascii="Times New Roman"/>
          <w:b w:val="false"/>
          <w:i w:val="false"/>
          <w:color w:val="000000"/>
          <w:sz w:val="28"/>
        </w:rPr>
        <w:t>
      Кроме того, в данном разделе должна быть приведена оценка характера изложения фармакокинетической информации в краткой характеристике лекарственного препарата и в особенности должны содержаться с надлежащим обоснованием заявления, приведенные в соответствующих разделах краткой характеристики лекарственного препарата. Эксперт по оценке должен прокомментировать наличие или отсутствие достаточной информации и (или) сведений по мерам предосторожности (ограничениям) в общей характеристике лекарственного препарата в случае отсутствия информации по определенным группам пациентов (почечная (печеночная) недостаточность, дети, пожилые люди и др.).</w:t>
      </w:r>
    </w:p>
    <w:bookmarkEnd w:id="6316"/>
    <w:bookmarkStart w:name="z6511" w:id="6317"/>
    <w:p>
      <w:pPr>
        <w:spacing w:after="0"/>
        <w:ind w:left="0"/>
        <w:jc w:val="both"/>
      </w:pPr>
      <w:r>
        <w:rPr>
          <w:rFonts w:ascii="Times New Roman"/>
          <w:b w:val="false"/>
          <w:i w:val="false"/>
          <w:color w:val="000000"/>
          <w:sz w:val="28"/>
        </w:rPr>
        <w:t>
      В качестве альтернативы в этом разделе можно просто сформулировать основные выводы, и в этом случае текст в "Обзорном модуле" необходимо будет проработать отдельно.</w:t>
      </w:r>
    </w:p>
    <w:bookmarkEnd w:id="6317"/>
    <w:bookmarkStart w:name="z6512" w:id="6318"/>
    <w:p>
      <w:pPr>
        <w:spacing w:after="0"/>
        <w:ind w:left="0"/>
        <w:jc w:val="both"/>
      </w:pPr>
      <w:r>
        <w:rPr>
          <w:rFonts w:ascii="Times New Roman"/>
          <w:b w:val="false"/>
          <w:i w:val="false"/>
          <w:color w:val="000000"/>
          <w:sz w:val="28"/>
        </w:rPr>
        <w:t>
      Выделите любые области соответствия (несоответствия) с содержанием раздела "клинической обзор" в представленном досье.</w:t>
      </w:r>
    </w:p>
    <w:bookmarkEnd w:id="6318"/>
    <w:bookmarkStart w:name="z6513" w:id="6319"/>
    <w:p>
      <w:pPr>
        <w:spacing w:after="0"/>
        <w:ind w:left="0"/>
        <w:jc w:val="both"/>
      </w:pPr>
      <w:r>
        <w:rPr>
          <w:rFonts w:ascii="Times New Roman"/>
          <w:b w:val="false"/>
          <w:i w:val="false"/>
          <w:color w:val="000000"/>
          <w:sz w:val="28"/>
        </w:rPr>
        <w:t>
      2.2. Фармакодинамика. </w:t>
      </w:r>
    </w:p>
    <w:bookmarkEnd w:id="6319"/>
    <w:bookmarkStart w:name="z6514" w:id="6320"/>
    <w:p>
      <w:pPr>
        <w:spacing w:after="0"/>
        <w:ind w:left="0"/>
        <w:jc w:val="both"/>
      </w:pPr>
      <w:r>
        <w:rPr>
          <w:rFonts w:ascii="Times New Roman"/>
          <w:b w:val="false"/>
          <w:i w:val="false"/>
          <w:color w:val="000000"/>
          <w:sz w:val="28"/>
        </w:rPr>
        <w:t>
      2.2.1. Введение.</w:t>
      </w:r>
    </w:p>
    <w:bookmarkEnd w:id="6320"/>
    <w:bookmarkStart w:name="z6515" w:id="6321"/>
    <w:p>
      <w:pPr>
        <w:spacing w:after="0"/>
        <w:ind w:left="0"/>
        <w:jc w:val="both"/>
      </w:pPr>
      <w:r>
        <w:rPr>
          <w:rFonts w:ascii="Times New Roman"/>
          <w:b w:val="false"/>
          <w:i w:val="false"/>
          <w:color w:val="000000"/>
          <w:sz w:val="28"/>
        </w:rPr>
        <w:t>
      Краткие сведения о проведенных исследованиях, характеристика здоровых добровольцев (пациентов), структура исследования и сведения о точках клинической эффективности.</w:t>
      </w:r>
    </w:p>
    <w:bookmarkEnd w:id="6321"/>
    <w:bookmarkStart w:name="z6516" w:id="6322"/>
    <w:p>
      <w:pPr>
        <w:spacing w:after="0"/>
        <w:ind w:left="0"/>
        <w:jc w:val="both"/>
      </w:pPr>
      <w:r>
        <w:rPr>
          <w:rFonts w:ascii="Times New Roman"/>
          <w:b w:val="false"/>
          <w:i w:val="false"/>
          <w:color w:val="000000"/>
          <w:sz w:val="28"/>
        </w:rPr>
        <w:t>
      В отношении биоаналогов (биосимиляров) должна быть произведена сравнительная оценка фармакодинамического эффекта исследуемого и эталонного препарата у групп населения, характеристики которых позволяют наилучшим образом выявить различия. Необходимо привести обоснование структуры и продолжительности исследований. Комбинированные исследования ФК/ФД могут быть источником необходимой информации о взаимосвязи между количеством использованного средства и эффектом. Показания выбранной дозы должны отражаться на крутом участке кривой "доза-эффект". Полезными могут быть данные исследований с использованием более чем 1 дозы. Если исследования ФК/ФД используются для доказательства сходства биологических лекарственных препаратов, необходимо в обязательном порядке исследовать допустимый диапазон доз, чтобы продемонстрировать чувствительность анализа. Пределы, определяющие эквивалентность параметров ФК и ФД должны быть определены и обоснованы заранее.</w:t>
      </w:r>
    </w:p>
    <w:bookmarkEnd w:id="6322"/>
    <w:bookmarkStart w:name="z6517" w:id="6323"/>
    <w:p>
      <w:pPr>
        <w:spacing w:after="0"/>
        <w:ind w:left="0"/>
        <w:jc w:val="both"/>
      </w:pPr>
      <w:r>
        <w:rPr>
          <w:rFonts w:ascii="Times New Roman"/>
          <w:b w:val="false"/>
          <w:i w:val="false"/>
          <w:color w:val="000000"/>
          <w:sz w:val="28"/>
        </w:rPr>
        <w:t>
       </w:t>
      </w:r>
    </w:p>
    <w:bookmarkEnd w:id="6323"/>
    <w:bookmarkStart w:name="z6518" w:id="6324"/>
    <w:p>
      <w:pPr>
        <w:spacing w:after="0"/>
        <w:ind w:left="0"/>
        <w:jc w:val="both"/>
      </w:pPr>
      <w:r>
        <w:rPr>
          <w:rFonts w:ascii="Times New Roman"/>
          <w:b w:val="false"/>
          <w:i w:val="false"/>
          <w:color w:val="000000"/>
          <w:sz w:val="28"/>
        </w:rPr>
        <w:t>
      2.2.2. Механизм действия.</w:t>
      </w:r>
    </w:p>
    <w:bookmarkEnd w:id="6324"/>
    <w:bookmarkStart w:name="z6519" w:id="6325"/>
    <w:p>
      <w:pPr>
        <w:spacing w:after="0"/>
        <w:ind w:left="0"/>
        <w:jc w:val="both"/>
      </w:pPr>
      <w:r>
        <w:rPr>
          <w:rFonts w:ascii="Times New Roman"/>
          <w:b w:val="false"/>
          <w:i w:val="false"/>
          <w:color w:val="000000"/>
          <w:sz w:val="28"/>
        </w:rPr>
        <w:t>
      Можно описать режим фармакодинамического действия по отношению к клинически желаемым первичным физиологическим (терапевтическим) эффектам (первичное фармакодинамическое действие). В данном разделе или разделах ниже также можно прокомментировать актуальность выбранных биомаркеров ФД.</w:t>
      </w:r>
    </w:p>
    <w:bookmarkEnd w:id="6325"/>
    <w:bookmarkStart w:name="z6520" w:id="6326"/>
    <w:p>
      <w:pPr>
        <w:spacing w:after="0"/>
        <w:ind w:left="0"/>
        <w:jc w:val="both"/>
      </w:pPr>
      <w:r>
        <w:rPr>
          <w:rFonts w:ascii="Times New Roman"/>
          <w:b w:val="false"/>
          <w:i w:val="false"/>
          <w:color w:val="000000"/>
          <w:sz w:val="28"/>
        </w:rPr>
        <w:t>
      Кроме того, принимая во внимание природу исследуемого вещества, необходимо прокомментировать потенциальные вторичные фармакодинамические действия препарата.</w:t>
      </w:r>
    </w:p>
    <w:bookmarkEnd w:id="6326"/>
    <w:bookmarkStart w:name="z6521" w:id="6327"/>
    <w:p>
      <w:pPr>
        <w:spacing w:after="0"/>
        <w:ind w:left="0"/>
        <w:jc w:val="both"/>
      </w:pPr>
      <w:r>
        <w:rPr>
          <w:rFonts w:ascii="Times New Roman"/>
          <w:b w:val="false"/>
          <w:i w:val="false"/>
          <w:color w:val="000000"/>
          <w:sz w:val="28"/>
        </w:rPr>
        <w:t>
       </w:t>
      </w:r>
    </w:p>
    <w:bookmarkEnd w:id="6327"/>
    <w:bookmarkStart w:name="z6522" w:id="6328"/>
    <w:p>
      <w:pPr>
        <w:spacing w:after="0"/>
        <w:ind w:left="0"/>
        <w:jc w:val="both"/>
      </w:pPr>
      <w:r>
        <w:rPr>
          <w:rFonts w:ascii="Times New Roman"/>
          <w:b w:val="false"/>
          <w:i w:val="false"/>
          <w:color w:val="000000"/>
          <w:sz w:val="28"/>
        </w:rPr>
        <w:t>
      2.2.3. Первичная фармакология.</w:t>
      </w:r>
    </w:p>
    <w:bookmarkEnd w:id="6328"/>
    <w:bookmarkStart w:name="z6523" w:id="6329"/>
    <w:p>
      <w:pPr>
        <w:spacing w:after="0"/>
        <w:ind w:left="0"/>
        <w:jc w:val="both"/>
      </w:pPr>
      <w:r>
        <w:rPr>
          <w:rFonts w:ascii="Times New Roman"/>
          <w:b w:val="false"/>
          <w:i w:val="false"/>
          <w:color w:val="000000"/>
          <w:sz w:val="28"/>
        </w:rPr>
        <w:t>
      Необходимо провести критическую оценку актуальности используемых биомаркеров.</w:t>
      </w:r>
    </w:p>
    <w:bookmarkEnd w:id="6329"/>
    <w:bookmarkStart w:name="z6524" w:id="6330"/>
    <w:p>
      <w:pPr>
        <w:spacing w:after="0"/>
        <w:ind w:left="0"/>
        <w:jc w:val="both"/>
      </w:pPr>
      <w:r>
        <w:rPr>
          <w:rFonts w:ascii="Times New Roman"/>
          <w:b w:val="false"/>
          <w:i w:val="false"/>
          <w:color w:val="000000"/>
          <w:sz w:val="28"/>
        </w:rPr>
        <w:t>
      Также следует привести описание механизма действия, зависимости "доза-эффект", в том числе периода действия препарата, а также обоснование режима дозирования.</w:t>
      </w:r>
    </w:p>
    <w:bookmarkEnd w:id="6330"/>
    <w:bookmarkStart w:name="z6525" w:id="6331"/>
    <w:p>
      <w:pPr>
        <w:spacing w:after="0"/>
        <w:ind w:left="0"/>
        <w:jc w:val="both"/>
      </w:pPr>
      <w:r>
        <w:rPr>
          <w:rFonts w:ascii="Times New Roman"/>
          <w:b w:val="false"/>
          <w:i w:val="false"/>
          <w:color w:val="000000"/>
          <w:sz w:val="28"/>
        </w:rPr>
        <w:t>
      Особенно важно привести описание первоначальных исследований по определению размера доз.</w:t>
      </w:r>
    </w:p>
    <w:bookmarkEnd w:id="6331"/>
    <w:bookmarkStart w:name="z6526" w:id="6332"/>
    <w:p>
      <w:pPr>
        <w:spacing w:after="0"/>
        <w:ind w:left="0"/>
        <w:jc w:val="both"/>
      </w:pPr>
      <w:r>
        <w:rPr>
          <w:rFonts w:ascii="Times New Roman"/>
          <w:b w:val="false"/>
          <w:i w:val="false"/>
          <w:color w:val="000000"/>
          <w:sz w:val="28"/>
        </w:rPr>
        <w:t>
      Цель изложения вышеуказанной информации заключается в описании выбора доз для подтверждающих исследований зависимости "доза-эффект" на основе параметров эффективности и переносимости при увеличении дозирования. Целями являются предварительное изучение терапевтического диапазона и определение реакции на дозу препарата.</w:t>
      </w:r>
    </w:p>
    <w:bookmarkEnd w:id="6332"/>
    <w:bookmarkStart w:name="z6527" w:id="6333"/>
    <w:p>
      <w:pPr>
        <w:spacing w:after="0"/>
        <w:ind w:left="0"/>
        <w:jc w:val="both"/>
      </w:pPr>
      <w:r>
        <w:rPr>
          <w:rFonts w:ascii="Times New Roman"/>
          <w:b w:val="false"/>
          <w:i w:val="false"/>
          <w:color w:val="000000"/>
          <w:sz w:val="28"/>
        </w:rPr>
        <w:t>
      Опишите какую-либо генетическую разницу в ФД реакциях на препарат, а также потенциальные различия у детей (например, вследствие созревания).</w:t>
      </w:r>
    </w:p>
    <w:bookmarkEnd w:id="6333"/>
    <w:bookmarkStart w:name="z6528" w:id="6334"/>
    <w:p>
      <w:pPr>
        <w:spacing w:after="0"/>
        <w:ind w:left="0"/>
        <w:jc w:val="both"/>
      </w:pPr>
      <w:r>
        <w:rPr>
          <w:rFonts w:ascii="Times New Roman"/>
          <w:b w:val="false"/>
          <w:i w:val="false"/>
          <w:color w:val="000000"/>
          <w:sz w:val="28"/>
        </w:rPr>
        <w:t>
      В данном разделе могут быть описаны результаты специальных исследований (например, исследований иммуногенности и микробиологических исследований). </w:t>
      </w:r>
    </w:p>
    <w:bookmarkEnd w:id="6334"/>
    <w:bookmarkStart w:name="z6529" w:id="6335"/>
    <w:p>
      <w:pPr>
        <w:spacing w:after="0"/>
        <w:ind w:left="0"/>
        <w:jc w:val="both"/>
      </w:pPr>
      <w:r>
        <w:rPr>
          <w:rFonts w:ascii="Times New Roman"/>
          <w:b w:val="false"/>
          <w:i w:val="false"/>
          <w:color w:val="000000"/>
          <w:sz w:val="28"/>
        </w:rPr>
        <w:t>
      2.2.4. Вторичная фармакология.</w:t>
      </w:r>
    </w:p>
    <w:bookmarkEnd w:id="6335"/>
    <w:bookmarkStart w:name="z6530" w:id="6336"/>
    <w:p>
      <w:pPr>
        <w:spacing w:after="0"/>
        <w:ind w:left="0"/>
        <w:jc w:val="both"/>
      </w:pPr>
      <w:r>
        <w:rPr>
          <w:rFonts w:ascii="Times New Roman"/>
          <w:b w:val="false"/>
          <w:i w:val="false"/>
          <w:color w:val="000000"/>
          <w:sz w:val="28"/>
        </w:rPr>
        <w:t>
      Рассмотрите показатели вторичной фармакологии (в отношении показаний к применению). Общие характеристики переносимости у здоровых добровольцев в отношении вторичной фармакологии в рамках проведения соответствующих исследований с динамическими конечными точками клинической эффективности, например, артериальное давление за 24-часовой период, биохимические показатели, уровень вирусной нагрузки, ЭКГ, ЭЭГ и др. </w:t>
      </w:r>
    </w:p>
    <w:bookmarkEnd w:id="6336"/>
    <w:bookmarkStart w:name="z6531" w:id="6337"/>
    <w:p>
      <w:pPr>
        <w:spacing w:after="0"/>
        <w:ind w:left="0"/>
        <w:jc w:val="both"/>
      </w:pPr>
      <w:r>
        <w:rPr>
          <w:rFonts w:ascii="Times New Roman"/>
          <w:b w:val="false"/>
          <w:i w:val="false"/>
          <w:color w:val="000000"/>
          <w:sz w:val="28"/>
        </w:rPr>
        <w:t>
      2.2.5. Взаимосвязь между концентрацией в плазме и эффектом.</w:t>
      </w:r>
    </w:p>
    <w:bookmarkEnd w:id="6337"/>
    <w:bookmarkStart w:name="z6532" w:id="6338"/>
    <w:p>
      <w:pPr>
        <w:spacing w:after="0"/>
        <w:ind w:left="0"/>
        <w:jc w:val="both"/>
      </w:pPr>
      <w:r>
        <w:rPr>
          <w:rFonts w:ascii="Times New Roman"/>
          <w:b w:val="false"/>
          <w:i w:val="false"/>
          <w:color w:val="000000"/>
          <w:sz w:val="28"/>
        </w:rPr>
        <w:t>
      Данные из модуля регистрационного досье 5.3.4 по ФК/ФД у здоровых добровольцев и пациентов.</w:t>
      </w:r>
    </w:p>
    <w:bookmarkEnd w:id="6338"/>
    <w:bookmarkStart w:name="z6533" w:id="6339"/>
    <w:p>
      <w:pPr>
        <w:spacing w:after="0"/>
        <w:ind w:left="0"/>
        <w:jc w:val="both"/>
      </w:pPr>
      <w:r>
        <w:rPr>
          <w:rFonts w:ascii="Times New Roman"/>
          <w:b w:val="false"/>
          <w:i w:val="false"/>
          <w:color w:val="000000"/>
          <w:sz w:val="28"/>
        </w:rPr>
        <w:t>
      Показатель отношения "концентрация в плазме - эффект", разделенный на показатель отношения "доза - эффект" и показатель отношения "эффект - концентрация" с особым акцентом внимания на начале и прекращении действия.</w:t>
      </w:r>
    </w:p>
    <w:bookmarkEnd w:id="6339"/>
    <w:bookmarkStart w:name="z6534" w:id="6340"/>
    <w:p>
      <w:pPr>
        <w:spacing w:after="0"/>
        <w:ind w:left="0"/>
        <w:jc w:val="both"/>
      </w:pPr>
      <w:r>
        <w:rPr>
          <w:rFonts w:ascii="Times New Roman"/>
          <w:b w:val="false"/>
          <w:i w:val="false"/>
          <w:color w:val="000000"/>
          <w:sz w:val="28"/>
        </w:rPr>
        <w:t>
      При наличии данные ФК, имеющие отношение к ФД, также могут быть описаны здесь для передачи информации об источниках вариаций в ФК/ФД.</w:t>
      </w:r>
    </w:p>
    <w:bookmarkEnd w:id="6340"/>
    <w:bookmarkStart w:name="z6535" w:id="6341"/>
    <w:p>
      <w:pPr>
        <w:spacing w:after="0"/>
        <w:ind w:left="0"/>
        <w:jc w:val="both"/>
      </w:pPr>
      <w:r>
        <w:rPr>
          <w:rFonts w:ascii="Times New Roman"/>
          <w:b w:val="false"/>
          <w:i w:val="false"/>
          <w:color w:val="000000"/>
          <w:sz w:val="28"/>
        </w:rPr>
        <w:t>
      Показатели отношения дозы (концентрации, действия) после, например, фармакокинетического скрининга населения также могут описываться в разделе "Клиническая эффективность, исследования зависимости "доза - эффект", если результаты обосновывают заявление об эффективности и безопасности.</w:t>
      </w:r>
    </w:p>
    <w:bookmarkEnd w:id="6341"/>
    <w:bookmarkStart w:name="z6536" w:id="6342"/>
    <w:p>
      <w:pPr>
        <w:spacing w:after="0"/>
        <w:ind w:left="0"/>
        <w:jc w:val="both"/>
      </w:pPr>
      <w:r>
        <w:rPr>
          <w:rFonts w:ascii="Times New Roman"/>
          <w:b w:val="false"/>
          <w:i w:val="false"/>
          <w:color w:val="000000"/>
          <w:sz w:val="28"/>
        </w:rPr>
        <w:t>
      В принципе, в данном разделе и в разделе "Фармакокинетика" можно отразить результаты обзорного анализа данных различных исследований, которые могут облегчить понимание различий в ФК/ФД препарата.</w:t>
      </w:r>
    </w:p>
    <w:bookmarkEnd w:id="6342"/>
    <w:bookmarkStart w:name="z6537" w:id="6343"/>
    <w:p>
      <w:pPr>
        <w:spacing w:after="0"/>
        <w:ind w:left="0"/>
        <w:jc w:val="both"/>
      </w:pPr>
      <w:r>
        <w:rPr>
          <w:rFonts w:ascii="Times New Roman"/>
          <w:b w:val="false"/>
          <w:i w:val="false"/>
          <w:color w:val="000000"/>
          <w:sz w:val="28"/>
        </w:rPr>
        <w:t>
      Необходимо провести критическую оценку выбора используемых биомаркеров.</w:t>
      </w:r>
    </w:p>
    <w:bookmarkEnd w:id="6343"/>
    <w:bookmarkStart w:name="z6538" w:id="6344"/>
    <w:p>
      <w:pPr>
        <w:spacing w:after="0"/>
        <w:ind w:left="0"/>
        <w:jc w:val="both"/>
      </w:pPr>
      <w:r>
        <w:rPr>
          <w:rFonts w:ascii="Times New Roman"/>
          <w:b w:val="false"/>
          <w:i w:val="false"/>
          <w:color w:val="000000"/>
          <w:sz w:val="28"/>
        </w:rPr>
        <w:t>
      2.2.8. Общее заключение эксперта по фармакодинамике.</w:t>
      </w:r>
    </w:p>
    <w:bookmarkEnd w:id="6344"/>
    <w:bookmarkStart w:name="z6539" w:id="6345"/>
    <w:p>
      <w:pPr>
        <w:spacing w:after="0"/>
        <w:ind w:left="0"/>
        <w:jc w:val="both"/>
      </w:pPr>
      <w:r>
        <w:rPr>
          <w:rFonts w:ascii="Times New Roman"/>
          <w:b w:val="false"/>
          <w:i w:val="false"/>
          <w:color w:val="000000"/>
          <w:sz w:val="28"/>
        </w:rPr>
        <w:t>
      Содержание этого пункта может быть перенесено в "Обзорный модуль" отчета.</w:t>
      </w:r>
    </w:p>
    <w:bookmarkEnd w:id="6345"/>
    <w:bookmarkStart w:name="z6540" w:id="6346"/>
    <w:p>
      <w:pPr>
        <w:spacing w:after="0"/>
        <w:ind w:left="0"/>
        <w:jc w:val="both"/>
      </w:pPr>
      <w:r>
        <w:rPr>
          <w:rFonts w:ascii="Times New Roman"/>
          <w:b w:val="false"/>
          <w:i w:val="false"/>
          <w:color w:val="000000"/>
          <w:sz w:val="28"/>
        </w:rPr>
        <w:t>
      В связи с этим может потребоваться проведение отдельного и углубленного анализа для обеспечения всестороннего доступа к соответствующим данным для более адекватной оценки соотношения польза - риск препарата.</w:t>
      </w:r>
    </w:p>
    <w:bookmarkEnd w:id="6346"/>
    <w:bookmarkStart w:name="z6541" w:id="6347"/>
    <w:p>
      <w:pPr>
        <w:spacing w:after="0"/>
        <w:ind w:left="0"/>
        <w:jc w:val="both"/>
      </w:pPr>
      <w:r>
        <w:rPr>
          <w:rFonts w:ascii="Times New Roman"/>
          <w:b w:val="false"/>
          <w:i w:val="false"/>
          <w:color w:val="000000"/>
          <w:sz w:val="28"/>
        </w:rPr>
        <w:t>
      В этом разделе эксперт по оценке должен выделить важнейшие вопросы, описанные в различных разделах доклада (всасывание, распределение, выведение из организма), а также дать заключение по качеству документации по фармакодинамике с особым акцентом внимания на выявленных недостатках.</w:t>
      </w:r>
    </w:p>
    <w:bookmarkEnd w:id="6347"/>
    <w:bookmarkStart w:name="z6542" w:id="6348"/>
    <w:p>
      <w:pPr>
        <w:spacing w:after="0"/>
        <w:ind w:left="0"/>
        <w:jc w:val="both"/>
      </w:pPr>
      <w:r>
        <w:rPr>
          <w:rFonts w:ascii="Times New Roman"/>
          <w:b w:val="false"/>
          <w:i w:val="false"/>
          <w:color w:val="000000"/>
          <w:sz w:val="28"/>
        </w:rPr>
        <w:t>
      В качестве альтернативы в этом разделе можно просто сформулировать основные выводы, и в этом случае текст в модуле "Оценка безопасности, качества, эффективности" необходимо будет проработать отдельно.</w:t>
      </w:r>
    </w:p>
    <w:bookmarkEnd w:id="6348"/>
    <w:bookmarkStart w:name="z6543" w:id="6349"/>
    <w:p>
      <w:pPr>
        <w:spacing w:after="0"/>
        <w:ind w:left="0"/>
        <w:jc w:val="both"/>
      </w:pPr>
      <w:r>
        <w:rPr>
          <w:rFonts w:ascii="Times New Roman"/>
          <w:b w:val="false"/>
          <w:i w:val="false"/>
          <w:color w:val="000000"/>
          <w:sz w:val="28"/>
        </w:rPr>
        <w:t>
      Выделите любые области соответствия (несоответствия) с содержанием раздела "клинической обзор" в представленном досье и прокомментируйте применимость общей характеристики лекарственного средства для медицинского применения.</w:t>
      </w:r>
    </w:p>
    <w:bookmarkEnd w:id="6349"/>
    <w:bookmarkStart w:name="z6544" w:id="6350"/>
    <w:p>
      <w:pPr>
        <w:spacing w:after="0"/>
        <w:ind w:left="0"/>
        <w:jc w:val="both"/>
      </w:pPr>
      <w:r>
        <w:rPr>
          <w:rFonts w:ascii="Times New Roman"/>
          <w:b w:val="false"/>
          <w:i w:val="false"/>
          <w:color w:val="000000"/>
          <w:sz w:val="28"/>
        </w:rPr>
        <w:t>
      3. Клиническая эффективность.</w:t>
      </w:r>
    </w:p>
    <w:bookmarkEnd w:id="6350"/>
    <w:bookmarkStart w:name="z6545" w:id="6351"/>
    <w:p>
      <w:pPr>
        <w:spacing w:after="0"/>
        <w:ind w:left="0"/>
        <w:jc w:val="both"/>
      </w:pPr>
      <w:r>
        <w:rPr>
          <w:rFonts w:ascii="Times New Roman"/>
          <w:b w:val="false"/>
          <w:i w:val="false"/>
          <w:color w:val="000000"/>
          <w:sz w:val="28"/>
        </w:rPr>
        <w:t>
      3.1. Общее руководство.</w:t>
      </w:r>
    </w:p>
    <w:bookmarkEnd w:id="6351"/>
    <w:bookmarkStart w:name="z6546" w:id="6352"/>
    <w:p>
      <w:pPr>
        <w:spacing w:after="0"/>
        <w:ind w:left="0"/>
        <w:jc w:val="both"/>
      </w:pPr>
      <w:r>
        <w:rPr>
          <w:rFonts w:ascii="Times New Roman"/>
          <w:b w:val="false"/>
          <w:i w:val="false"/>
          <w:color w:val="000000"/>
          <w:sz w:val="28"/>
        </w:rPr>
        <w:t>
      Отчет должен содержать подробные сведения в объеме, достаточном для повторной оценки другими экспертами уполномоченной экспертной организации референтного государства и государства признания.</w:t>
      </w:r>
    </w:p>
    <w:bookmarkEnd w:id="6352"/>
    <w:bookmarkStart w:name="z6547" w:id="6353"/>
    <w:p>
      <w:pPr>
        <w:spacing w:after="0"/>
        <w:ind w:left="0"/>
        <w:jc w:val="both"/>
      </w:pPr>
      <w:r>
        <w:rPr>
          <w:rFonts w:ascii="Times New Roman"/>
          <w:b w:val="false"/>
          <w:i w:val="false"/>
          <w:color w:val="000000"/>
          <w:sz w:val="28"/>
        </w:rPr>
        <w:t>
      Несмотря на то что настоящий отчет должен включать в себя необходимые сведения, позволяющие понять содержимое регистрационного досье, рекомендуется сосредоточить внимание на существенных выводах и сведениях о недостатках, служащих обоснованием для разработки вопросов для заявителя, с обсуждением (интерпретацией) результатов для дальнейшего обзора соотношения польза - риск и разработки рекомендаций Экспертным комитетом при Евразийской экономической комиссии.</w:t>
      </w:r>
    </w:p>
    <w:bookmarkEnd w:id="6353"/>
    <w:bookmarkStart w:name="z6548" w:id="6354"/>
    <w:p>
      <w:pPr>
        <w:spacing w:after="0"/>
        <w:ind w:left="0"/>
        <w:jc w:val="both"/>
      </w:pPr>
      <w:r>
        <w:rPr>
          <w:rFonts w:ascii="Times New Roman"/>
          <w:b w:val="false"/>
          <w:i w:val="false"/>
          <w:color w:val="000000"/>
          <w:sz w:val="28"/>
        </w:rPr>
        <w:t>
      Беспорядочное копирование с досье заявителя (части "Обзор" и "Краткая сводная информация") в регистрационном досье недопустимо.</w:t>
      </w:r>
    </w:p>
    <w:bookmarkEnd w:id="6354"/>
    <w:bookmarkStart w:name="z6549" w:id="6355"/>
    <w:p>
      <w:pPr>
        <w:spacing w:after="0"/>
        <w:ind w:left="0"/>
        <w:jc w:val="both"/>
      </w:pPr>
      <w:r>
        <w:rPr>
          <w:rFonts w:ascii="Times New Roman"/>
          <w:b w:val="false"/>
          <w:i w:val="false"/>
          <w:color w:val="000000"/>
          <w:sz w:val="28"/>
        </w:rPr>
        <w:t>
      Таким образом, необходимо придерживаться краткого описания отдельных исследований (для сбалансированного представления положительных и отрицательных выводов).</w:t>
      </w:r>
    </w:p>
    <w:bookmarkEnd w:id="6355"/>
    <w:bookmarkStart w:name="z6550" w:id="6356"/>
    <w:p>
      <w:pPr>
        <w:spacing w:after="0"/>
        <w:ind w:left="0"/>
        <w:jc w:val="both"/>
      </w:pPr>
      <w:r>
        <w:rPr>
          <w:rFonts w:ascii="Times New Roman"/>
          <w:b w:val="false"/>
          <w:i w:val="false"/>
          <w:color w:val="000000"/>
          <w:sz w:val="28"/>
        </w:rPr>
        <w:t>
      Необходимо провести границу (также в комментариях) между базовыми клиническими исследованиями и дополнительными испытаниями, исходя из заключения о значимости каждого отдельного исследования (следует перечислить все исследования, по возможности ссылаясь на таблицы сводных данных).</w:t>
      </w:r>
    </w:p>
    <w:bookmarkEnd w:id="6356"/>
    <w:bookmarkStart w:name="z6551" w:id="6357"/>
    <w:p>
      <w:pPr>
        <w:spacing w:after="0"/>
        <w:ind w:left="0"/>
        <w:jc w:val="both"/>
      </w:pPr>
      <w:r>
        <w:rPr>
          <w:rFonts w:ascii="Times New Roman"/>
          <w:b w:val="false"/>
          <w:i w:val="false"/>
          <w:color w:val="000000"/>
          <w:sz w:val="28"/>
        </w:rPr>
        <w:t>
      Предпочтительным является использование таблиц (графиков, изображений) (но не объемных текстовых описаний).</w:t>
      </w:r>
    </w:p>
    <w:bookmarkEnd w:id="6357"/>
    <w:bookmarkStart w:name="z6552" w:id="6358"/>
    <w:p>
      <w:pPr>
        <w:spacing w:after="0"/>
        <w:ind w:left="0"/>
        <w:jc w:val="both"/>
      </w:pPr>
      <w:r>
        <w:rPr>
          <w:rFonts w:ascii="Times New Roman"/>
          <w:b w:val="false"/>
          <w:i w:val="false"/>
          <w:color w:val="000000"/>
          <w:sz w:val="28"/>
        </w:rPr>
        <w:t>
      Необходимо обеспечить четкое разделение представленных данных и комментарии эксперта по оценке.</w:t>
      </w:r>
    </w:p>
    <w:bookmarkEnd w:id="6358"/>
    <w:bookmarkStart w:name="z6553" w:id="6359"/>
    <w:p>
      <w:pPr>
        <w:spacing w:after="0"/>
        <w:ind w:left="0"/>
        <w:jc w:val="both"/>
      </w:pPr>
      <w:r>
        <w:rPr>
          <w:rFonts w:ascii="Times New Roman"/>
          <w:b w:val="false"/>
          <w:i w:val="false"/>
          <w:color w:val="000000"/>
          <w:sz w:val="28"/>
        </w:rPr>
        <w:t>
      Критическая оценка (например, комментарии в отношении применимости результатов и интерпретации данных, выводы) должна быть приведена в конце каждого подраздела раздела "Комментарии эксперта по оценке". Словосочетание "Серьезное замечание" (см. предложенный Перечень вопросов) может быть использовано при необходимости для перекрестной ссылки на Перечень вопросов.</w:t>
      </w:r>
    </w:p>
    <w:bookmarkEnd w:id="6359"/>
    <w:bookmarkStart w:name="z6554" w:id="6360"/>
    <w:p>
      <w:pPr>
        <w:spacing w:after="0"/>
        <w:ind w:left="0"/>
        <w:jc w:val="both"/>
      </w:pPr>
      <w:r>
        <w:rPr>
          <w:rFonts w:ascii="Times New Roman"/>
          <w:b w:val="false"/>
          <w:i w:val="false"/>
          <w:color w:val="000000"/>
          <w:sz w:val="28"/>
        </w:rPr>
        <w:t>
      В отчете следует указать необходимость проведения дополнительной экспертизы (например, встреча с группой научных консультантов для решения некоторых нерешенных клинических вопросов или необходимость дальнейшей оценки вопросов фармаконадзора).</w:t>
      </w:r>
    </w:p>
    <w:bookmarkEnd w:id="6360"/>
    <w:bookmarkStart w:name="z6555" w:id="6361"/>
    <w:p>
      <w:pPr>
        <w:spacing w:after="0"/>
        <w:ind w:left="0"/>
        <w:jc w:val="both"/>
      </w:pPr>
      <w:r>
        <w:rPr>
          <w:rFonts w:ascii="Times New Roman"/>
          <w:b w:val="false"/>
          <w:i w:val="false"/>
          <w:color w:val="000000"/>
          <w:sz w:val="28"/>
        </w:rPr>
        <w:t>
      В отчете должны быть подчеркнуты выводы, подлежащие отражению в краткой характеристике лекарственного средства.</w:t>
      </w:r>
    </w:p>
    <w:bookmarkEnd w:id="6361"/>
    <w:bookmarkStart w:name="z6556" w:id="6362"/>
    <w:p>
      <w:pPr>
        <w:spacing w:after="0"/>
        <w:ind w:left="0"/>
        <w:jc w:val="both"/>
      </w:pPr>
      <w:r>
        <w:rPr>
          <w:rFonts w:ascii="Times New Roman"/>
          <w:b w:val="false"/>
          <w:i w:val="false"/>
          <w:color w:val="000000"/>
          <w:sz w:val="28"/>
        </w:rPr>
        <w:t>
      3.2. Введение.</w:t>
      </w:r>
    </w:p>
    <w:bookmarkEnd w:id="6362"/>
    <w:bookmarkStart w:name="z6557" w:id="6363"/>
    <w:p>
      <w:pPr>
        <w:spacing w:after="0"/>
        <w:ind w:left="0"/>
        <w:jc w:val="both"/>
      </w:pPr>
      <w:r>
        <w:rPr>
          <w:rFonts w:ascii="Times New Roman"/>
          <w:b w:val="false"/>
          <w:i w:val="false"/>
          <w:color w:val="000000"/>
          <w:sz w:val="28"/>
        </w:rPr>
        <w:t>
      Используйте краткое вступление по общим особенностям представленных данных и заявленного показания к применению.</w:t>
      </w:r>
    </w:p>
    <w:bookmarkEnd w:id="6363"/>
    <w:bookmarkStart w:name="z6558" w:id="6364"/>
    <w:p>
      <w:pPr>
        <w:spacing w:after="0"/>
        <w:ind w:left="0"/>
        <w:jc w:val="both"/>
      </w:pPr>
      <w:r>
        <w:rPr>
          <w:rFonts w:ascii="Times New Roman"/>
          <w:b w:val="false"/>
          <w:i w:val="false"/>
          <w:color w:val="000000"/>
          <w:sz w:val="28"/>
        </w:rPr>
        <w:t>
      В введении должен быть включен табличный обзор соответствующих клинических исследований, номер исследования, дизайн исследования и количество пациентов в группах лечения, исходные характеристики групп лечения (например, возраст, пол и тяжесть заболевания), параметры эффективности и результаты эффективности. Данная таблица должна быть составлена в соответствии с таблицей регистрационного досье 2.7.3.1, по мере применимости.</w:t>
      </w:r>
    </w:p>
    <w:bookmarkEnd w:id="6364"/>
    <w:bookmarkStart w:name="z6559" w:id="6365"/>
    <w:p>
      <w:pPr>
        <w:spacing w:after="0"/>
        <w:ind w:left="0"/>
        <w:jc w:val="both"/>
      </w:pPr>
      <w:r>
        <w:rPr>
          <w:rFonts w:ascii="Times New Roman"/>
          <w:b w:val="false"/>
          <w:i w:val="false"/>
          <w:color w:val="000000"/>
          <w:sz w:val="28"/>
        </w:rPr>
        <w:t>
      В части показаний к применению, должен быть описан опыт исследования у особых групп населения в дополнение к тому, что указано в разделе 3.3.</w:t>
      </w:r>
    </w:p>
    <w:bookmarkEnd w:id="6365"/>
    <w:bookmarkStart w:name="z6560" w:id="6366"/>
    <w:p>
      <w:pPr>
        <w:spacing w:after="0"/>
        <w:ind w:left="0"/>
        <w:jc w:val="both"/>
      </w:pPr>
      <w:r>
        <w:rPr>
          <w:rFonts w:ascii="Times New Roman"/>
          <w:b w:val="false"/>
          <w:i w:val="false"/>
          <w:color w:val="000000"/>
          <w:sz w:val="28"/>
        </w:rPr>
        <w:t>
      Если применимо, должны быть приведены сведения о научных рекомендациях по клинической эффективности (пункт с подробными данными по заявленным и представленным рекомендациям).</w:t>
      </w:r>
    </w:p>
    <w:bookmarkEnd w:id="6366"/>
    <w:bookmarkStart w:name="z6561" w:id="6367"/>
    <w:p>
      <w:pPr>
        <w:spacing w:after="0"/>
        <w:ind w:left="0"/>
        <w:jc w:val="both"/>
      </w:pPr>
      <w:r>
        <w:rPr>
          <w:rFonts w:ascii="Times New Roman"/>
          <w:b w:val="false"/>
          <w:i w:val="false"/>
          <w:color w:val="000000"/>
          <w:sz w:val="28"/>
        </w:rPr>
        <w:t>
      В введении должна быть включена заключительная оценка соблюдения правил надлежащей клинической практики Союза (подлежит переносу в содержание пункта 1.2 "Аспекты надлежащей клинической практики" и "Обзорный модуль"). </w:t>
      </w:r>
    </w:p>
    <w:bookmarkEnd w:id="6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562" w:id="6368"/>
    <w:p>
      <w:pPr>
        <w:spacing w:after="0"/>
        <w:ind w:left="0"/>
        <w:jc w:val="both"/>
      </w:pPr>
      <w:r>
        <w:rPr>
          <w:rFonts w:ascii="Times New Roman"/>
          <w:b w:val="false"/>
          <w:i w:val="false"/>
          <w:color w:val="000000"/>
          <w:sz w:val="28"/>
        </w:rPr>
        <w:t>
      3.3. Исследования зависимости "доза-эффект" и основные клинические исследования.</w:t>
      </w:r>
    </w:p>
    <w:bookmarkEnd w:id="6368"/>
    <w:bookmarkStart w:name="z6563" w:id="6369"/>
    <w:p>
      <w:pPr>
        <w:spacing w:after="0"/>
        <w:ind w:left="0"/>
        <w:jc w:val="both"/>
      </w:pPr>
      <w:r>
        <w:rPr>
          <w:rFonts w:ascii="Times New Roman"/>
          <w:b w:val="false"/>
          <w:i w:val="false"/>
          <w:color w:val="000000"/>
          <w:sz w:val="28"/>
        </w:rPr>
        <w:t>
      Должна быть дана оценка основания для выбора дозы препарата для проведения основных исследований. Здесь могут быть приведены подробные сведения или приведена ссылка на раздел "Клиническая фармакология".</w:t>
      </w:r>
    </w:p>
    <w:bookmarkEnd w:id="6369"/>
    <w:bookmarkStart w:name="z6564" w:id="6370"/>
    <w:p>
      <w:pPr>
        <w:spacing w:after="0"/>
        <w:ind w:left="0"/>
        <w:jc w:val="both"/>
      </w:pPr>
      <w:r>
        <w:rPr>
          <w:rFonts w:ascii="Times New Roman"/>
          <w:b w:val="false"/>
          <w:i w:val="false"/>
          <w:color w:val="000000"/>
          <w:sz w:val="28"/>
        </w:rPr>
        <w:t>
      Краткое описание (если не приведено в другом месте) с учетом (при необходимости) режима введения, величины, диапазона исследуемых доз, обоснования выбора суррогатных точек клинической эффективности и результатов, отражающих влияние на:</w:t>
      </w:r>
    </w:p>
    <w:bookmarkEnd w:id="6370"/>
    <w:bookmarkStart w:name="z6565" w:id="6371"/>
    <w:p>
      <w:pPr>
        <w:spacing w:after="0"/>
        <w:ind w:left="0"/>
        <w:jc w:val="both"/>
      </w:pPr>
      <w:r>
        <w:rPr>
          <w:rFonts w:ascii="Times New Roman"/>
          <w:b w:val="false"/>
          <w:i w:val="false"/>
          <w:color w:val="000000"/>
          <w:sz w:val="28"/>
        </w:rPr>
        <w:t>
      предварительные данные об эффективности.</w:t>
      </w:r>
    </w:p>
    <w:bookmarkEnd w:id="6371"/>
    <w:bookmarkStart w:name="z6566" w:id="6372"/>
    <w:p>
      <w:pPr>
        <w:spacing w:after="0"/>
        <w:ind w:left="0"/>
        <w:jc w:val="both"/>
      </w:pPr>
      <w:r>
        <w:rPr>
          <w:rFonts w:ascii="Times New Roman"/>
          <w:b w:val="false"/>
          <w:i w:val="false"/>
          <w:color w:val="000000"/>
          <w:sz w:val="28"/>
        </w:rPr>
        <w:t>
      рекомендации по величине (режиму) дозирования.</w:t>
      </w:r>
    </w:p>
    <w:bookmarkEnd w:id="6372"/>
    <w:bookmarkStart w:name="z6567" w:id="6373"/>
    <w:p>
      <w:pPr>
        <w:spacing w:after="0"/>
        <w:ind w:left="0"/>
        <w:jc w:val="both"/>
      </w:pPr>
      <w:r>
        <w:rPr>
          <w:rFonts w:ascii="Times New Roman"/>
          <w:b w:val="false"/>
          <w:i w:val="false"/>
          <w:color w:val="000000"/>
          <w:sz w:val="28"/>
        </w:rPr>
        <w:t>
      Должно быть дано описание наиболее подходящих методов анализа ФК/ФД и их результаты, а также данные о ФК у населения с указанием ссылок на соответствующие разделы для получения подробной информации.</w:t>
      </w:r>
    </w:p>
    <w:bookmarkEnd w:id="6373"/>
    <w:bookmarkStart w:name="z6568" w:id="6374"/>
    <w:p>
      <w:pPr>
        <w:spacing w:after="0"/>
        <w:ind w:left="0"/>
        <w:jc w:val="both"/>
      </w:pPr>
      <w:r>
        <w:rPr>
          <w:rFonts w:ascii="Times New Roman"/>
          <w:b w:val="false"/>
          <w:i w:val="false"/>
          <w:color w:val="000000"/>
          <w:sz w:val="28"/>
        </w:rPr>
        <w:t>
      3.4. Основные исследования.</w:t>
      </w:r>
    </w:p>
    <w:bookmarkEnd w:id="6374"/>
    <w:bookmarkStart w:name="z6569" w:id="6375"/>
    <w:p>
      <w:pPr>
        <w:spacing w:after="0"/>
        <w:ind w:left="0"/>
        <w:jc w:val="both"/>
      </w:pPr>
      <w:r>
        <w:rPr>
          <w:rFonts w:ascii="Times New Roman"/>
          <w:b w:val="false"/>
          <w:i w:val="false"/>
          <w:color w:val="000000"/>
          <w:sz w:val="28"/>
        </w:rPr>
        <w:t>
      В отношении каждого исследования, идентифицируемого в тексте (например, по номеру протокола), необходимо представить и прокомментировать соответствующие методы и результаты. Рекомендуется включение в содержание таблиц.</w:t>
      </w:r>
    </w:p>
    <w:bookmarkEnd w:id="6375"/>
    <w:bookmarkStart w:name="z6570" w:id="6376"/>
    <w:p>
      <w:pPr>
        <w:spacing w:after="0"/>
        <w:ind w:left="0"/>
        <w:jc w:val="both"/>
      </w:pPr>
      <w:r>
        <w:rPr>
          <w:rFonts w:ascii="Times New Roman"/>
          <w:b w:val="false"/>
          <w:i w:val="false"/>
          <w:color w:val="000000"/>
          <w:sz w:val="28"/>
        </w:rPr>
        <w:t>
      Подробный опросный лист по описанию методов испытаний, результатам и комментированию приведен в шаблоне. Данный опросный лист не является обязательным, он служит источником упорядоченного списка предполагаемых вопросов для включения в отчет. Актуальность каждого вопроса и (при необходимости) требуемый уровень детализации сведений следует рассматривать в индивидуальном порядке.</w:t>
      </w:r>
    </w:p>
    <w:bookmarkEnd w:id="6376"/>
    <w:bookmarkStart w:name="z6571" w:id="6377"/>
    <w:p>
      <w:pPr>
        <w:spacing w:after="0"/>
        <w:ind w:left="0"/>
        <w:jc w:val="both"/>
      </w:pPr>
      <w:r>
        <w:rPr>
          <w:rFonts w:ascii="Times New Roman"/>
          <w:b w:val="false"/>
          <w:i w:val="false"/>
          <w:color w:val="000000"/>
          <w:sz w:val="28"/>
        </w:rPr>
        <w:t>
      По мере необходимости следует включать в содержание критические замечания.</w:t>
      </w:r>
    </w:p>
    <w:bookmarkEnd w:id="6377"/>
    <w:bookmarkStart w:name="z6572" w:id="6378"/>
    <w:p>
      <w:pPr>
        <w:spacing w:after="0"/>
        <w:ind w:left="0"/>
        <w:jc w:val="both"/>
      </w:pPr>
      <w:r>
        <w:rPr>
          <w:rFonts w:ascii="Times New Roman"/>
          <w:b w:val="false"/>
          <w:i w:val="false"/>
          <w:color w:val="000000"/>
          <w:sz w:val="28"/>
        </w:rPr>
        <w:t>
      Идентификация и описание исследования.</w:t>
      </w:r>
    </w:p>
    <w:bookmarkEnd w:id="6378"/>
    <w:bookmarkStart w:name="z6573" w:id="6379"/>
    <w:p>
      <w:pPr>
        <w:spacing w:after="0"/>
        <w:ind w:left="0"/>
        <w:jc w:val="both"/>
      </w:pPr>
      <w:r>
        <w:rPr>
          <w:rFonts w:ascii="Times New Roman"/>
          <w:b w:val="false"/>
          <w:i w:val="false"/>
          <w:color w:val="000000"/>
          <w:sz w:val="28"/>
        </w:rPr>
        <w:t>
      Следует указать номер и название исследования. Здесь же должен быть указан порядок распределения участников по группам лечения (например, случайное распределение, рандомизация, или рандомизированное разделение).</w:t>
      </w:r>
    </w:p>
    <w:bookmarkEnd w:id="6379"/>
    <w:bookmarkStart w:name="z6574" w:id="6380"/>
    <w:p>
      <w:pPr>
        <w:spacing w:after="0"/>
        <w:ind w:left="0"/>
        <w:jc w:val="both"/>
      </w:pPr>
      <w:r>
        <w:rPr>
          <w:rFonts w:ascii="Times New Roman"/>
          <w:b w:val="false"/>
          <w:i w:val="false"/>
          <w:color w:val="000000"/>
          <w:sz w:val="28"/>
        </w:rPr>
        <w:t>
      Сведения о методах и результаты могут быть представлены совместно или по отдельности для каждого испытания (в зависимости от типа исследований и схожих характеристик).</w:t>
      </w:r>
    </w:p>
    <w:bookmarkEnd w:id="6380"/>
    <w:bookmarkStart w:name="z6575" w:id="6381"/>
    <w:p>
      <w:pPr>
        <w:spacing w:after="0"/>
        <w:ind w:left="0"/>
        <w:jc w:val="both"/>
      </w:pPr>
      <w:r>
        <w:rPr>
          <w:rFonts w:ascii="Times New Roman"/>
          <w:b w:val="false"/>
          <w:i w:val="false"/>
          <w:color w:val="000000"/>
          <w:sz w:val="28"/>
        </w:rPr>
        <w:t>
      3.4.1. Методы.</w:t>
      </w:r>
    </w:p>
    <w:bookmarkEnd w:id="6381"/>
    <w:bookmarkStart w:name="z6576" w:id="6382"/>
    <w:p>
      <w:pPr>
        <w:spacing w:after="0"/>
        <w:ind w:left="0"/>
        <w:jc w:val="both"/>
      </w:pPr>
      <w:r>
        <w:rPr>
          <w:rFonts w:ascii="Times New Roman"/>
          <w:b w:val="false"/>
          <w:i w:val="false"/>
          <w:color w:val="000000"/>
          <w:sz w:val="28"/>
        </w:rPr>
        <w:t>
      Необходимо придерживаться наиболее важных пунктов (см. маркированный список) для каждого конкретного случая.</w:t>
      </w:r>
    </w:p>
    <w:bookmarkEnd w:id="6382"/>
    <w:bookmarkStart w:name="z6577" w:id="6383"/>
    <w:p>
      <w:pPr>
        <w:spacing w:after="0"/>
        <w:ind w:left="0"/>
        <w:jc w:val="both"/>
      </w:pPr>
      <w:r>
        <w:rPr>
          <w:rFonts w:ascii="Times New Roman"/>
          <w:b w:val="false"/>
          <w:i w:val="false"/>
          <w:color w:val="000000"/>
          <w:sz w:val="28"/>
        </w:rPr>
        <w:t>
      3.4.1.1. Участники исследования.</w:t>
      </w:r>
    </w:p>
    <w:bookmarkEnd w:id="6383"/>
    <w:bookmarkStart w:name="z6578" w:id="6384"/>
    <w:p>
      <w:pPr>
        <w:spacing w:after="0"/>
        <w:ind w:left="0"/>
        <w:jc w:val="both"/>
      </w:pPr>
      <w:r>
        <w:rPr>
          <w:rFonts w:ascii="Times New Roman"/>
          <w:b w:val="false"/>
          <w:i w:val="false"/>
          <w:color w:val="000000"/>
          <w:sz w:val="28"/>
        </w:rPr>
        <w:t>
      Критерии включения (невключения), места (например, регионы, где были расположены места набора участников) и условия (тип мест набора участников, например, тип больницы (отделения)), в которых производился сбор данных.</w:t>
      </w:r>
    </w:p>
    <w:bookmarkEnd w:id="6384"/>
    <w:bookmarkStart w:name="z6579" w:id="6385"/>
    <w:p>
      <w:pPr>
        <w:spacing w:after="0"/>
        <w:ind w:left="0"/>
        <w:jc w:val="both"/>
      </w:pPr>
      <w:r>
        <w:rPr>
          <w:rFonts w:ascii="Times New Roman"/>
          <w:b w:val="false"/>
          <w:i w:val="false"/>
          <w:color w:val="000000"/>
          <w:sz w:val="28"/>
        </w:rPr>
        <w:t>
      3.4.1.2. Лечение.</w:t>
      </w:r>
    </w:p>
    <w:bookmarkEnd w:id="6385"/>
    <w:bookmarkStart w:name="z6580" w:id="6386"/>
    <w:p>
      <w:pPr>
        <w:spacing w:after="0"/>
        <w:ind w:left="0"/>
        <w:jc w:val="both"/>
      </w:pPr>
      <w:r>
        <w:rPr>
          <w:rFonts w:ascii="Times New Roman"/>
          <w:b w:val="false"/>
          <w:i w:val="false"/>
          <w:color w:val="000000"/>
          <w:sz w:val="28"/>
        </w:rPr>
        <w:t>
      В разделе должна быть дана подробная информация о лечении (или иных вмешательствах) для каждой группы, а также о порядке и времени введения препарата.</w:t>
      </w:r>
    </w:p>
    <w:bookmarkEnd w:id="6386"/>
    <w:bookmarkStart w:name="z6581" w:id="6387"/>
    <w:p>
      <w:pPr>
        <w:spacing w:after="0"/>
        <w:ind w:left="0"/>
        <w:jc w:val="both"/>
      </w:pPr>
      <w:r>
        <w:rPr>
          <w:rFonts w:ascii="Times New Roman"/>
          <w:b w:val="false"/>
          <w:i w:val="false"/>
          <w:color w:val="000000"/>
          <w:sz w:val="28"/>
        </w:rPr>
        <w:t>
      3.4.1.3. Цели.</w:t>
      </w:r>
    </w:p>
    <w:bookmarkEnd w:id="6387"/>
    <w:bookmarkStart w:name="z6582" w:id="6388"/>
    <w:p>
      <w:pPr>
        <w:spacing w:after="0"/>
        <w:ind w:left="0"/>
        <w:jc w:val="both"/>
      </w:pPr>
      <w:r>
        <w:rPr>
          <w:rFonts w:ascii="Times New Roman"/>
          <w:b w:val="false"/>
          <w:i w:val="false"/>
          <w:color w:val="000000"/>
          <w:sz w:val="28"/>
        </w:rPr>
        <w:t>
      Конкретные цели и гипотезы. Указывается статистическая гипотеза (например, превосходство, эквивалентность или не меньшая эффективность для первичной точки(ек) клинической эффективности и какое-либо обоснование вероятности ожидаемого масштаба эффекта или выбора показателя допустимой ошибки).</w:t>
      </w:r>
    </w:p>
    <w:bookmarkEnd w:id="6388"/>
    <w:bookmarkStart w:name="z6583" w:id="6389"/>
    <w:p>
      <w:pPr>
        <w:spacing w:after="0"/>
        <w:ind w:left="0"/>
        <w:jc w:val="both"/>
      </w:pPr>
      <w:r>
        <w:rPr>
          <w:rFonts w:ascii="Times New Roman"/>
          <w:b w:val="false"/>
          <w:i w:val="false"/>
          <w:color w:val="000000"/>
          <w:sz w:val="28"/>
        </w:rPr>
        <w:t>
      3.4.1.4. Результаты (точки) клинической эффективности.</w:t>
      </w:r>
    </w:p>
    <w:bookmarkEnd w:id="6389"/>
    <w:bookmarkStart w:name="z6584" w:id="6390"/>
    <w:p>
      <w:pPr>
        <w:spacing w:after="0"/>
        <w:ind w:left="0"/>
        <w:jc w:val="both"/>
      </w:pPr>
      <w:r>
        <w:rPr>
          <w:rFonts w:ascii="Times New Roman"/>
          <w:b w:val="false"/>
          <w:i w:val="false"/>
          <w:color w:val="000000"/>
          <w:sz w:val="28"/>
        </w:rPr>
        <w:t>
      В разделе должны быть четко определенные первичные и вторичные выходные показатели и, по мере применимости, любые методы, используемые для повышения качества измерений (например, множественные наблюдения, обучение экспертов по оценке, централизованные (независимые) обзоры).</w:t>
      </w:r>
    </w:p>
    <w:bookmarkEnd w:id="6390"/>
    <w:bookmarkStart w:name="z6585" w:id="6391"/>
    <w:p>
      <w:pPr>
        <w:spacing w:after="0"/>
        <w:ind w:left="0"/>
        <w:jc w:val="both"/>
      </w:pPr>
      <w:r>
        <w:rPr>
          <w:rFonts w:ascii="Times New Roman"/>
          <w:b w:val="false"/>
          <w:i w:val="false"/>
          <w:color w:val="000000"/>
          <w:sz w:val="28"/>
        </w:rPr>
        <w:t>
      При необходимости сосредоточьтесь на наиболее важных вторичных точках клинической эффективности. По мере применимости изложите обоснования, представленные заявителем в пользу выбора каких-либо суррогатных точек клинической эффективности.</w:t>
      </w:r>
    </w:p>
    <w:bookmarkEnd w:id="6391"/>
    <w:bookmarkStart w:name="z6586" w:id="6392"/>
    <w:p>
      <w:pPr>
        <w:spacing w:after="0"/>
        <w:ind w:left="0"/>
        <w:jc w:val="both"/>
      </w:pPr>
      <w:r>
        <w:rPr>
          <w:rFonts w:ascii="Times New Roman"/>
          <w:b w:val="false"/>
          <w:i w:val="false"/>
          <w:color w:val="000000"/>
          <w:sz w:val="28"/>
        </w:rPr>
        <w:t>
      Необходимо прокомментировать обоснованность любых суррогатных точек клинической эффективности.</w:t>
      </w:r>
    </w:p>
    <w:bookmarkEnd w:id="6392"/>
    <w:bookmarkStart w:name="z6587" w:id="6393"/>
    <w:p>
      <w:pPr>
        <w:spacing w:after="0"/>
        <w:ind w:left="0"/>
        <w:jc w:val="both"/>
      </w:pPr>
      <w:r>
        <w:rPr>
          <w:rFonts w:ascii="Times New Roman"/>
          <w:b w:val="false"/>
          <w:i w:val="false"/>
          <w:color w:val="000000"/>
          <w:sz w:val="28"/>
        </w:rPr>
        <w:t>
      Необходимо привести краткие комментарии по клинической значимости вышеупомянутых точек клинической эффективности.</w:t>
      </w:r>
    </w:p>
    <w:bookmarkEnd w:id="6393"/>
    <w:bookmarkStart w:name="z6588" w:id="6394"/>
    <w:p>
      <w:pPr>
        <w:spacing w:after="0"/>
        <w:ind w:left="0"/>
        <w:jc w:val="both"/>
      </w:pPr>
      <w:r>
        <w:rPr>
          <w:rFonts w:ascii="Times New Roman"/>
          <w:b w:val="false"/>
          <w:i w:val="false"/>
          <w:color w:val="000000"/>
          <w:sz w:val="28"/>
        </w:rPr>
        <w:t>
      3.4.1.5. Размер выборки.</w:t>
      </w:r>
    </w:p>
    <w:bookmarkEnd w:id="6394"/>
    <w:bookmarkStart w:name="z6589" w:id="6395"/>
    <w:p>
      <w:pPr>
        <w:spacing w:after="0"/>
        <w:ind w:left="0"/>
        <w:jc w:val="both"/>
      </w:pPr>
      <w:r>
        <w:rPr>
          <w:rFonts w:ascii="Times New Roman"/>
          <w:b w:val="false"/>
          <w:i w:val="false"/>
          <w:color w:val="000000"/>
          <w:sz w:val="28"/>
        </w:rPr>
        <w:t>
      Необходимо привести порядок определения размера выборки и, в применимых случаях, описание любых промежуточных анализов и правил остановки.</w:t>
      </w:r>
    </w:p>
    <w:bookmarkEnd w:id="6395"/>
    <w:bookmarkStart w:name="z6590" w:id="6396"/>
    <w:p>
      <w:pPr>
        <w:spacing w:after="0"/>
        <w:ind w:left="0"/>
        <w:jc w:val="both"/>
      </w:pPr>
      <w:r>
        <w:rPr>
          <w:rFonts w:ascii="Times New Roman"/>
          <w:b w:val="false"/>
          <w:i w:val="false"/>
          <w:color w:val="000000"/>
          <w:sz w:val="28"/>
        </w:rPr>
        <w:t>
      3.4.1.6. Рандомизация.</w:t>
      </w:r>
    </w:p>
    <w:bookmarkEnd w:id="6396"/>
    <w:bookmarkStart w:name="z6591" w:id="6397"/>
    <w:p>
      <w:pPr>
        <w:spacing w:after="0"/>
        <w:ind w:left="0"/>
        <w:jc w:val="both"/>
      </w:pPr>
      <w:r>
        <w:rPr>
          <w:rFonts w:ascii="Times New Roman"/>
          <w:b w:val="false"/>
          <w:i w:val="false"/>
          <w:color w:val="000000"/>
          <w:sz w:val="28"/>
        </w:rPr>
        <w:t>
      Методы, используемые для обеспечения последовательности рандомизированного распределения, и критерии стратификации для ее реализации.</w:t>
      </w:r>
    </w:p>
    <w:bookmarkEnd w:id="6397"/>
    <w:bookmarkStart w:name="z6592" w:id="6398"/>
    <w:p>
      <w:pPr>
        <w:spacing w:after="0"/>
        <w:ind w:left="0"/>
        <w:jc w:val="both"/>
      </w:pPr>
      <w:r>
        <w:rPr>
          <w:rFonts w:ascii="Times New Roman"/>
          <w:b w:val="false"/>
          <w:i w:val="false"/>
          <w:color w:val="000000"/>
          <w:sz w:val="28"/>
        </w:rPr>
        <w:t>
      3.4.1.7. Обеспечение анонимности данных ("ослепление").</w:t>
      </w:r>
    </w:p>
    <w:bookmarkEnd w:id="6398"/>
    <w:bookmarkStart w:name="z6593" w:id="6399"/>
    <w:p>
      <w:pPr>
        <w:spacing w:after="0"/>
        <w:ind w:left="0"/>
        <w:jc w:val="both"/>
      </w:pPr>
      <w:r>
        <w:rPr>
          <w:rFonts w:ascii="Times New Roman"/>
          <w:b w:val="false"/>
          <w:i w:val="false"/>
          <w:color w:val="000000"/>
          <w:sz w:val="28"/>
        </w:rPr>
        <w:t>
      Независимо от участия в исследовании, лица, обеспечивавшие вмешательство, и лица, оценивавшие исход, знали о групповом распределении. Если нет, то как оценивался успех "ослепления"?</w:t>
      </w:r>
    </w:p>
    <w:bookmarkEnd w:id="6399"/>
    <w:bookmarkStart w:name="z6594" w:id="6400"/>
    <w:p>
      <w:pPr>
        <w:spacing w:after="0"/>
        <w:ind w:left="0"/>
        <w:jc w:val="both"/>
      </w:pPr>
      <w:r>
        <w:rPr>
          <w:rFonts w:ascii="Times New Roman"/>
          <w:b w:val="false"/>
          <w:i w:val="false"/>
          <w:color w:val="000000"/>
          <w:sz w:val="28"/>
        </w:rPr>
        <w:t>
      3.4.1.8. Статистические методы.</w:t>
      </w:r>
    </w:p>
    <w:bookmarkEnd w:id="6400"/>
    <w:bookmarkStart w:name="z6595" w:id="6401"/>
    <w:p>
      <w:pPr>
        <w:spacing w:after="0"/>
        <w:ind w:left="0"/>
        <w:jc w:val="both"/>
      </w:pPr>
      <w:r>
        <w:rPr>
          <w:rFonts w:ascii="Times New Roman"/>
          <w:b w:val="false"/>
          <w:i w:val="false"/>
          <w:color w:val="000000"/>
          <w:sz w:val="28"/>
        </w:rPr>
        <w:t>
      Статистические методы, используемые для сравнения групп по первичным точкам клинической эффективности (включая определение групп населения для основного анализа, вероятность ошибок, коррекцию на множественность, краткое описание используемых статистических методов, промежуточные анализы); методы дополнительных анализов (например, анализ подгрупп и корректированные анализы).</w:t>
      </w:r>
    </w:p>
    <w:bookmarkEnd w:id="6401"/>
    <w:bookmarkStart w:name="z6596" w:id="6402"/>
    <w:p>
      <w:pPr>
        <w:spacing w:after="0"/>
        <w:ind w:left="0"/>
        <w:jc w:val="both"/>
      </w:pPr>
      <w:r>
        <w:rPr>
          <w:rFonts w:ascii="Times New Roman"/>
          <w:b w:val="false"/>
          <w:i w:val="false"/>
          <w:color w:val="000000"/>
          <w:sz w:val="28"/>
        </w:rPr>
        <w:t>
      Приемлемость плана статистического анализа.</w:t>
      </w:r>
    </w:p>
    <w:bookmarkEnd w:id="6402"/>
    <w:bookmarkStart w:name="z6597" w:id="6403"/>
    <w:p>
      <w:pPr>
        <w:spacing w:after="0"/>
        <w:ind w:left="0"/>
        <w:jc w:val="both"/>
      </w:pPr>
      <w:r>
        <w:rPr>
          <w:rFonts w:ascii="Times New Roman"/>
          <w:b w:val="false"/>
          <w:i w:val="false"/>
          <w:color w:val="000000"/>
          <w:sz w:val="28"/>
        </w:rPr>
        <w:t>
      Необходимо прокомментировать какие-либо отклонения от предварительно заданного плана статистического анализа.</w:t>
      </w:r>
    </w:p>
    <w:bookmarkEnd w:id="6403"/>
    <w:bookmarkStart w:name="z6598" w:id="6404"/>
    <w:p>
      <w:pPr>
        <w:spacing w:after="0"/>
        <w:ind w:left="0"/>
        <w:jc w:val="both"/>
      </w:pPr>
      <w:r>
        <w:rPr>
          <w:rFonts w:ascii="Times New Roman"/>
          <w:b w:val="false"/>
          <w:i w:val="false"/>
          <w:color w:val="000000"/>
          <w:sz w:val="28"/>
        </w:rPr>
        <w:t>
      3.4.2. Результаты.</w:t>
      </w:r>
    </w:p>
    <w:bookmarkEnd w:id="6404"/>
    <w:bookmarkStart w:name="z6599" w:id="6405"/>
    <w:p>
      <w:pPr>
        <w:spacing w:after="0"/>
        <w:ind w:left="0"/>
        <w:jc w:val="both"/>
      </w:pPr>
      <w:r>
        <w:rPr>
          <w:rFonts w:ascii="Times New Roman"/>
          <w:b w:val="false"/>
          <w:i w:val="false"/>
          <w:color w:val="000000"/>
          <w:sz w:val="28"/>
        </w:rPr>
        <w:t>
      Необходимо придерживаться наиболее важных пунктов (см. маркированный список) для каждого конкретного случая.</w:t>
      </w:r>
    </w:p>
    <w:bookmarkEnd w:id="6405"/>
    <w:bookmarkStart w:name="z6600" w:id="6406"/>
    <w:p>
      <w:pPr>
        <w:spacing w:after="0"/>
        <w:ind w:left="0"/>
        <w:jc w:val="both"/>
      </w:pPr>
      <w:r>
        <w:rPr>
          <w:rFonts w:ascii="Times New Roman"/>
          <w:b w:val="false"/>
          <w:i w:val="false"/>
          <w:color w:val="000000"/>
          <w:sz w:val="28"/>
        </w:rPr>
        <w:t>
      3.4.2.1. Схема распределения участников в исследовании</w:t>
      </w:r>
    </w:p>
    <w:bookmarkEnd w:id="6406"/>
    <w:bookmarkStart w:name="z6601" w:id="6407"/>
    <w:p>
      <w:pPr>
        <w:spacing w:after="0"/>
        <w:ind w:left="0"/>
        <w:jc w:val="both"/>
      </w:pPr>
      <w:r>
        <w:rPr>
          <w:rFonts w:ascii="Times New Roman"/>
          <w:b w:val="false"/>
          <w:i w:val="false"/>
          <w:color w:val="000000"/>
          <w:sz w:val="28"/>
        </w:rPr>
        <w:t>
      Необходимо описать порядок прохождения участниками всех этапов исследования (по возможности, использовать диаграмму, указанную ниже (или в качестве альтернативы использовать таблицу)).</w:t>
      </w:r>
    </w:p>
    <w:bookmarkEnd w:id="6407"/>
    <w:bookmarkStart w:name="z6602" w:id="6408"/>
    <w:p>
      <w:pPr>
        <w:spacing w:after="0"/>
        <w:ind w:left="0"/>
        <w:jc w:val="both"/>
      </w:pPr>
      <w:r>
        <w:rPr>
          <w:rFonts w:ascii="Times New Roman"/>
          <w:b w:val="false"/>
          <w:i w:val="false"/>
          <w:color w:val="000000"/>
          <w:sz w:val="28"/>
        </w:rPr>
        <w:t>
      В частности, для каждой группы необходимо указывать число участников, распределенных по группам в рандомизированном порядке, получивших назначенное лечение, выполнивших требования протокола исследования и прошедших анализы на определение первичного исхода, например:</w:t>
      </w:r>
    </w:p>
    <w:bookmarkEnd w:id="6408"/>
    <w:bookmarkStart w:name="z6603" w:id="6409"/>
    <w:p>
      <w:pPr>
        <w:spacing w:after="0"/>
        <w:ind w:left="0"/>
        <w:jc w:val="both"/>
      </w:pPr>
      <w:r>
        <w:rPr>
          <w:rFonts w:ascii="Times New Roman"/>
          <w:b w:val="false"/>
          <w:i w:val="false"/>
          <w:color w:val="000000"/>
          <w:sz w:val="28"/>
        </w:rPr>
        <w:t>
      включение в исследование (количество субъектов, прошедших скрининг, количество рандомизированных субъектов, количество субъектов, исключенных из исследования с указанием причины, даты периоды набора субъектов для участия в исследовании);</w:t>
      </w:r>
    </w:p>
    <w:bookmarkEnd w:id="6409"/>
    <w:bookmarkStart w:name="z6604" w:id="6410"/>
    <w:p>
      <w:pPr>
        <w:spacing w:after="0"/>
        <w:ind w:left="0"/>
        <w:jc w:val="both"/>
      </w:pPr>
      <w:r>
        <w:rPr>
          <w:rFonts w:ascii="Times New Roman"/>
          <w:b w:val="false"/>
          <w:i w:val="false"/>
          <w:color w:val="000000"/>
          <w:sz w:val="28"/>
        </w:rPr>
        <w:t>
      распределение (по группам воздействия, количество рандомизированных субъектов, количество субъектов, начавших назначенное лечение, количество субъектов, не начавших назначенное лечение с указанием причин);</w:t>
      </w:r>
    </w:p>
    <w:bookmarkEnd w:id="6410"/>
    <w:bookmarkStart w:name="z6605" w:id="6411"/>
    <w:p>
      <w:pPr>
        <w:spacing w:after="0"/>
        <w:ind w:left="0"/>
        <w:jc w:val="both"/>
      </w:pPr>
      <w:r>
        <w:rPr>
          <w:rFonts w:ascii="Times New Roman"/>
          <w:b w:val="false"/>
          <w:i w:val="false"/>
          <w:color w:val="000000"/>
          <w:sz w:val="28"/>
        </w:rPr>
        <w:t>
      наблюдение после проведения лечения (по группам воздействия, количество субъектов, не прошедших наблюдение после проведения лечения, с указанием причин, количество эпизодов прерывания лечения по протоколу, период наблюдения);</w:t>
      </w:r>
    </w:p>
    <w:bookmarkEnd w:id="6411"/>
    <w:bookmarkStart w:name="z6606" w:id="6412"/>
    <w:p>
      <w:pPr>
        <w:spacing w:after="0"/>
        <w:ind w:left="0"/>
        <w:jc w:val="both"/>
      </w:pPr>
      <w:r>
        <w:rPr>
          <w:rFonts w:ascii="Times New Roman"/>
          <w:b w:val="false"/>
          <w:i w:val="false"/>
          <w:color w:val="000000"/>
          <w:sz w:val="28"/>
        </w:rPr>
        <w:t>
      анализ (количество субъектов, вошедших в группу анализа на определение первичных точек клинической эффективности, количество исключенных субъектов с указанием причин).</w:t>
      </w:r>
    </w:p>
    <w:bookmarkEnd w:id="6412"/>
    <w:bookmarkStart w:name="z6607" w:id="6413"/>
    <w:p>
      <w:pPr>
        <w:spacing w:after="0"/>
        <w:ind w:left="0"/>
        <w:jc w:val="both"/>
      </w:pPr>
      <w:r>
        <w:rPr>
          <w:rFonts w:ascii="Times New Roman"/>
          <w:b w:val="false"/>
          <w:i w:val="false"/>
          <w:color w:val="000000"/>
          <w:sz w:val="28"/>
        </w:rPr>
        <w:t>
      Необходимо приведение сведений об отклонениях от протокола запланированных исследований с указанием причин.</w:t>
      </w:r>
    </w:p>
    <w:bookmarkEnd w:id="6413"/>
    <w:bookmarkStart w:name="z6608" w:id="6414"/>
    <w:p>
      <w:pPr>
        <w:spacing w:after="0"/>
        <w:ind w:left="0"/>
        <w:jc w:val="both"/>
      </w:pPr>
      <w:r>
        <w:rPr>
          <w:rFonts w:ascii="Times New Roman"/>
          <w:b w:val="false"/>
          <w:i w:val="false"/>
          <w:color w:val="000000"/>
          <w:sz w:val="28"/>
        </w:rPr>
        <w:t>
      Необходимо описание критериев освобождения от лечения и раннего выхода из исследования, если подобные сведения будут способствовать пониманию интерпретации результатов.</w:t>
      </w:r>
    </w:p>
    <w:bookmarkEnd w:id="6414"/>
    <w:bookmarkStart w:name="z6609" w:id="6415"/>
    <w:p>
      <w:pPr>
        <w:spacing w:after="0"/>
        <w:ind w:left="0"/>
        <w:jc w:val="both"/>
      </w:pPr>
      <w:r>
        <w:rPr>
          <w:rFonts w:ascii="Times New Roman"/>
          <w:b w:val="false"/>
          <w:i w:val="false"/>
          <w:color w:val="000000"/>
          <w:sz w:val="28"/>
        </w:rPr>
        <w:t>
      3.4.2.2. Набор участников.</w:t>
      </w:r>
    </w:p>
    <w:bookmarkEnd w:id="6415"/>
    <w:bookmarkStart w:name="z6610" w:id="6416"/>
    <w:p>
      <w:pPr>
        <w:spacing w:after="0"/>
        <w:ind w:left="0"/>
        <w:jc w:val="both"/>
      </w:pPr>
      <w:r>
        <w:rPr>
          <w:rFonts w:ascii="Times New Roman"/>
          <w:b w:val="false"/>
          <w:i w:val="false"/>
          <w:color w:val="000000"/>
          <w:sz w:val="28"/>
        </w:rPr>
        <w:t>
      Даты набора и наблюдения после проведения лечения.</w:t>
      </w:r>
    </w:p>
    <w:bookmarkEnd w:id="6416"/>
    <w:bookmarkStart w:name="z6611" w:id="6417"/>
    <w:p>
      <w:pPr>
        <w:spacing w:after="0"/>
        <w:ind w:left="0"/>
        <w:jc w:val="both"/>
      </w:pPr>
      <w:r>
        <w:rPr>
          <w:rFonts w:ascii="Times New Roman"/>
          <w:b w:val="false"/>
          <w:i w:val="false"/>
          <w:color w:val="000000"/>
          <w:sz w:val="28"/>
        </w:rPr>
        <w:t>
      3.4.2.3. Проведение исследования.</w:t>
      </w:r>
    </w:p>
    <w:bookmarkEnd w:id="6417"/>
    <w:bookmarkStart w:name="z6612" w:id="6418"/>
    <w:p>
      <w:pPr>
        <w:spacing w:after="0"/>
        <w:ind w:left="0"/>
        <w:jc w:val="both"/>
      </w:pPr>
      <w:r>
        <w:rPr>
          <w:rFonts w:ascii="Times New Roman"/>
          <w:b w:val="false"/>
          <w:i w:val="false"/>
          <w:color w:val="000000"/>
          <w:sz w:val="28"/>
        </w:rPr>
        <w:t>
      Необходимо указать, были ли внесены значительные изменения в протокол (если это не описано в разделе статистического анализа). По мере применимости необходимо привести сведения, касающиеся результатов проверки на предмет соблюдения протокола и Правил надлежащей клинической практики Союза.</w:t>
      </w:r>
    </w:p>
    <w:bookmarkEnd w:id="6418"/>
    <w:bookmarkStart w:name="z6613" w:id="6419"/>
    <w:p>
      <w:pPr>
        <w:spacing w:after="0"/>
        <w:ind w:left="0"/>
        <w:jc w:val="both"/>
      </w:pPr>
      <w:r>
        <w:rPr>
          <w:rFonts w:ascii="Times New Roman"/>
          <w:b w:val="false"/>
          <w:i w:val="false"/>
          <w:color w:val="000000"/>
          <w:sz w:val="28"/>
        </w:rPr>
        <w:t>
      3.4.2.4. Исходные данные.</w:t>
      </w:r>
    </w:p>
    <w:bookmarkEnd w:id="6419"/>
    <w:bookmarkStart w:name="z6614" w:id="6420"/>
    <w:p>
      <w:pPr>
        <w:spacing w:after="0"/>
        <w:ind w:left="0"/>
        <w:jc w:val="both"/>
      </w:pPr>
      <w:r>
        <w:rPr>
          <w:rFonts w:ascii="Times New Roman"/>
          <w:b w:val="false"/>
          <w:i w:val="false"/>
          <w:color w:val="000000"/>
          <w:sz w:val="28"/>
        </w:rPr>
        <w:t>
      Исходные демографические и клинические характеристики каждой группы.</w:t>
      </w:r>
    </w:p>
    <w:bookmarkEnd w:id="6420"/>
    <w:bookmarkStart w:name="z6615" w:id="6421"/>
    <w:p>
      <w:pPr>
        <w:spacing w:after="0"/>
        <w:ind w:left="0"/>
        <w:jc w:val="both"/>
      </w:pPr>
      <w:r>
        <w:rPr>
          <w:rFonts w:ascii="Times New Roman"/>
          <w:b w:val="false"/>
          <w:i w:val="false"/>
          <w:color w:val="000000"/>
          <w:sz w:val="28"/>
        </w:rPr>
        <w:t>
      В частности, необходимо привести сведения, свидетельствующие об асимметрии в характеристиках по всем группам воздействия.</w:t>
      </w:r>
    </w:p>
    <w:bookmarkEnd w:id="6421"/>
    <w:bookmarkStart w:name="z6616" w:id="6422"/>
    <w:p>
      <w:pPr>
        <w:spacing w:after="0"/>
        <w:ind w:left="0"/>
        <w:jc w:val="both"/>
      </w:pPr>
      <w:r>
        <w:rPr>
          <w:rFonts w:ascii="Times New Roman"/>
          <w:b w:val="false"/>
          <w:i w:val="false"/>
          <w:color w:val="000000"/>
          <w:sz w:val="28"/>
        </w:rPr>
        <w:t>
      Необходимо прокомментировать, как характеристики исследуемой группы населения отражают предполагаемое показание к применению препарата (либо отложить комментарии до их включения в общие выводы).</w:t>
      </w:r>
    </w:p>
    <w:bookmarkEnd w:id="6422"/>
    <w:bookmarkStart w:name="z6617" w:id="6423"/>
    <w:p>
      <w:pPr>
        <w:spacing w:after="0"/>
        <w:ind w:left="0"/>
        <w:jc w:val="both"/>
      </w:pPr>
      <w:r>
        <w:rPr>
          <w:rFonts w:ascii="Times New Roman"/>
          <w:b w:val="false"/>
          <w:i w:val="false"/>
          <w:color w:val="000000"/>
          <w:sz w:val="28"/>
        </w:rPr>
        <w:t>
      Необходимо прокомментировать сходства и расхождения между группами воздействия (если применимо).</w:t>
      </w:r>
    </w:p>
    <w:bookmarkEnd w:id="6423"/>
    <w:bookmarkStart w:name="z6618" w:id="6424"/>
    <w:p>
      <w:pPr>
        <w:spacing w:after="0"/>
        <w:ind w:left="0"/>
        <w:jc w:val="both"/>
      </w:pPr>
      <w:r>
        <w:rPr>
          <w:rFonts w:ascii="Times New Roman"/>
          <w:b w:val="false"/>
          <w:i w:val="false"/>
          <w:color w:val="000000"/>
          <w:sz w:val="28"/>
        </w:rPr>
        <w:t>
      В случае необходимости, приводятся комментарии о приверженности участников к лечению.</w:t>
      </w:r>
    </w:p>
    <w:bookmarkEnd w:id="6424"/>
    <w:bookmarkStart w:name="z6619" w:id="6425"/>
    <w:p>
      <w:pPr>
        <w:spacing w:after="0"/>
        <w:ind w:left="0"/>
        <w:jc w:val="both"/>
      </w:pPr>
      <w:r>
        <w:rPr>
          <w:rFonts w:ascii="Times New Roman"/>
          <w:b w:val="false"/>
          <w:i w:val="false"/>
          <w:color w:val="000000"/>
          <w:sz w:val="28"/>
        </w:rPr>
        <w:t>
      3.4.2.5. Проанализированная выборка.</w:t>
      </w:r>
    </w:p>
    <w:bookmarkEnd w:id="6425"/>
    <w:bookmarkStart w:name="z6620" w:id="6426"/>
    <w:p>
      <w:pPr>
        <w:spacing w:after="0"/>
        <w:ind w:left="0"/>
        <w:jc w:val="both"/>
      </w:pPr>
      <w:r>
        <w:rPr>
          <w:rFonts w:ascii="Times New Roman"/>
          <w:b w:val="false"/>
          <w:i w:val="false"/>
          <w:color w:val="000000"/>
          <w:sz w:val="28"/>
        </w:rPr>
        <w:t>
      Необходимо указание количества участников (знаменатель) в каждой группе, включенных в каждый анализ, а также было ли участие в анализе обусловлено "приверженностью к лечению". По возможности, приводятся результаты в абсолютных цифрах (например, 10/20, но не 50%). </w:t>
      </w:r>
    </w:p>
    <w:bookmarkEnd w:id="6426"/>
    <w:bookmarkStart w:name="z6621" w:id="6427"/>
    <w:p>
      <w:pPr>
        <w:spacing w:after="0"/>
        <w:ind w:left="0"/>
        <w:jc w:val="both"/>
      </w:pPr>
      <w:r>
        <w:rPr>
          <w:rFonts w:ascii="Times New Roman"/>
          <w:b w:val="false"/>
          <w:i w:val="false"/>
          <w:color w:val="000000"/>
          <w:sz w:val="28"/>
        </w:rPr>
        <w:t>
      3.4.2.6. Исходы и оценка.</w:t>
      </w:r>
    </w:p>
    <w:bookmarkEnd w:id="6427"/>
    <w:bookmarkStart w:name="z6622" w:id="6428"/>
    <w:p>
      <w:pPr>
        <w:spacing w:after="0"/>
        <w:ind w:left="0"/>
        <w:jc w:val="both"/>
      </w:pPr>
      <w:r>
        <w:rPr>
          <w:rFonts w:ascii="Times New Roman"/>
          <w:b w:val="false"/>
          <w:i w:val="false"/>
          <w:color w:val="000000"/>
          <w:sz w:val="28"/>
        </w:rPr>
        <w:t>
      Необходимо представление краткой сводки результатов по каждому первичному и вторичному исходу у субъектов каждой группы с расчетной точностью (например, 95% CI).</w:t>
      </w:r>
    </w:p>
    <w:bookmarkEnd w:id="6428"/>
    <w:bookmarkStart w:name="z6623" w:id="6429"/>
    <w:p>
      <w:pPr>
        <w:spacing w:after="0"/>
        <w:ind w:left="0"/>
        <w:jc w:val="both"/>
      </w:pPr>
      <w:r>
        <w:rPr>
          <w:rFonts w:ascii="Times New Roman"/>
          <w:b w:val="false"/>
          <w:i w:val="false"/>
          <w:color w:val="000000"/>
          <w:sz w:val="28"/>
        </w:rPr>
        <w:t>
      Необходимо описать клиническую значимость наблюдаемого эффекта, так как это может быть особенно важно для оценки отношения польза - риск.</w:t>
      </w:r>
    </w:p>
    <w:bookmarkEnd w:id="6429"/>
    <w:bookmarkStart w:name="z6624" w:id="6430"/>
    <w:p>
      <w:pPr>
        <w:spacing w:after="0"/>
        <w:ind w:left="0"/>
        <w:jc w:val="both"/>
      </w:pPr>
      <w:r>
        <w:rPr>
          <w:rFonts w:ascii="Times New Roman"/>
          <w:b w:val="false"/>
          <w:i w:val="false"/>
          <w:color w:val="000000"/>
          <w:sz w:val="28"/>
        </w:rPr>
        <w:t>
      3.4.2.7. Дополнительные анализы.</w:t>
      </w:r>
    </w:p>
    <w:bookmarkEnd w:id="6430"/>
    <w:bookmarkStart w:name="z6625" w:id="6431"/>
    <w:p>
      <w:pPr>
        <w:spacing w:after="0"/>
        <w:ind w:left="0"/>
        <w:jc w:val="both"/>
      </w:pPr>
      <w:r>
        <w:rPr>
          <w:rFonts w:ascii="Times New Roman"/>
          <w:b w:val="false"/>
          <w:i w:val="false"/>
          <w:color w:val="000000"/>
          <w:sz w:val="28"/>
        </w:rPr>
        <w:t>
      Необходимо прокомментировать представленные сведения о ряде проведенных анализов, включая подгрупповой анализ и скорректированные анализы, а также запланированные и обзорные анализы (подгрупповые анализы и другие анализы по полученным результатам).</w:t>
      </w:r>
    </w:p>
    <w:bookmarkEnd w:id="6431"/>
    <w:bookmarkStart w:name="z6626" w:id="6432"/>
    <w:p>
      <w:pPr>
        <w:spacing w:after="0"/>
        <w:ind w:left="0"/>
        <w:jc w:val="both"/>
      </w:pPr>
      <w:r>
        <w:rPr>
          <w:rFonts w:ascii="Times New Roman"/>
          <w:b w:val="false"/>
          <w:i w:val="false"/>
          <w:color w:val="000000"/>
          <w:sz w:val="28"/>
        </w:rPr>
        <w:t>
      Может потребоваться изложение обоснований выбора анализа.</w:t>
      </w:r>
    </w:p>
    <w:bookmarkEnd w:id="6432"/>
    <w:bookmarkStart w:name="z6627" w:id="6433"/>
    <w:p>
      <w:pPr>
        <w:spacing w:after="0"/>
        <w:ind w:left="0"/>
        <w:jc w:val="both"/>
      </w:pPr>
      <w:r>
        <w:rPr>
          <w:rFonts w:ascii="Times New Roman"/>
          <w:b w:val="false"/>
          <w:i w:val="false"/>
          <w:color w:val="000000"/>
          <w:sz w:val="28"/>
        </w:rPr>
        <w:t>
      3.4.2.8. Краткий обзор основных результатов эффективности.</w:t>
      </w:r>
    </w:p>
    <w:bookmarkEnd w:id="6433"/>
    <w:bookmarkStart w:name="z6628" w:id="6434"/>
    <w:p>
      <w:pPr>
        <w:spacing w:after="0"/>
        <w:ind w:left="0"/>
        <w:jc w:val="both"/>
      </w:pPr>
      <w:r>
        <w:rPr>
          <w:rFonts w:ascii="Times New Roman"/>
          <w:b w:val="false"/>
          <w:i w:val="false"/>
          <w:color w:val="000000"/>
          <w:sz w:val="28"/>
        </w:rPr>
        <w:t>
      Следует обобщить (в табличной форме) наиболее актуальную информацию, отражающую результаты основного исследования эффективности. Данные обобщенные сведения должны быть адаптированы к массиву данных, использованных уполномоченными экспертными организациями государств-членов для составления заключения об эффективности. Таким образом, важно отразить результаты анализа, считающегося наиболее значимым (предпочтителен анализ общей выборки и группы пациентов, завершивших участие в исследовании в соответствии с протоколом, но возможен также клинически определенный подгрупповой анализ (заранее оговоренный анализ или анализ по результатам и др.). Данные заранее оговоренного первичного анализа должны быть представлены в любом случае.</w:t>
      </w:r>
    </w:p>
    <w:bookmarkEnd w:id="6434"/>
    <w:bookmarkStart w:name="z6629" w:id="6435"/>
    <w:p>
      <w:pPr>
        <w:spacing w:after="0"/>
        <w:ind w:left="0"/>
        <w:jc w:val="both"/>
      </w:pPr>
      <w:r>
        <w:rPr>
          <w:rFonts w:ascii="Times New Roman"/>
          <w:b w:val="false"/>
          <w:i w:val="false"/>
          <w:color w:val="000000"/>
          <w:sz w:val="28"/>
        </w:rPr>
        <w:t>
      Для отображения данных конкретных исследований необходимо использовать следующую таблицу стандартной формы. Уровень детализации должен обеспечивать возможность использования данных для дальнейшего комментирования и заключения о пользе препарата, а также для обзора соотношения польза - риск. Данные групп лечения, а также сведения о совокупности различных субъектов, подлежащих анализу, должны быть представлены в отдельных ячейках (например, общая выборка и группа пациентов, завершивших участие в исследовании в соответствии с протоколом). Причины отсева должны быть обобщены.</w:t>
      </w:r>
    </w:p>
    <w:bookmarkEnd w:id="6435"/>
    <w:bookmarkStart w:name="z6630" w:id="6436"/>
    <w:p>
      <w:pPr>
        <w:spacing w:after="0"/>
        <w:ind w:left="0"/>
        <w:jc w:val="both"/>
      </w:pPr>
      <w:r>
        <w:rPr>
          <w:rFonts w:ascii="Times New Roman"/>
          <w:b w:val="false"/>
          <w:i w:val="false"/>
          <w:color w:val="000000"/>
          <w:sz w:val="28"/>
        </w:rPr>
        <w:t>
      Данные различных основных испытаний должны быть представлены в отдельных таблицах. В этом разделе, кроме данных таблиц включение дополнительного текста не предполагается. Подробное описание данных испытаний с конкретной информацией по структуре дизайна и расчету соотношений приводятся в других разделах. Данные по безопасности подлежат отражению в разделе "Клиническая безопасность".</w:t>
      </w:r>
    </w:p>
    <w:bookmarkEnd w:id="6436"/>
    <w:bookmarkStart w:name="z6631" w:id="6437"/>
    <w:p>
      <w:pPr>
        <w:spacing w:after="0"/>
        <w:ind w:left="0"/>
        <w:jc w:val="both"/>
      </w:pPr>
      <w:r>
        <w:rPr>
          <w:rFonts w:ascii="Times New Roman"/>
          <w:b w:val="false"/>
          <w:i w:val="false"/>
          <w:color w:val="000000"/>
          <w:sz w:val="28"/>
        </w:rPr>
        <w:t>
      3.5. Клинические исследования у особых групп населения.</w:t>
      </w:r>
    </w:p>
    <w:bookmarkEnd w:id="6437"/>
    <w:bookmarkStart w:name="z6632" w:id="6438"/>
    <w:p>
      <w:pPr>
        <w:spacing w:after="0"/>
        <w:ind w:left="0"/>
        <w:jc w:val="both"/>
      </w:pPr>
      <w:r>
        <w:rPr>
          <w:rFonts w:ascii="Times New Roman"/>
          <w:b w:val="false"/>
          <w:i w:val="false"/>
          <w:color w:val="000000"/>
          <w:sz w:val="28"/>
        </w:rPr>
        <w:t>
      В данном разделе следует описать специальные исследования (например, у детей, пожилых людей и субъектов, страдающих от почечной или печеночной недостаточности). Необходимо описать данные исследования в соответствии с рекомендациями в отношении основных исследований, включая соображения по коррекции доз.</w:t>
      </w:r>
    </w:p>
    <w:bookmarkEnd w:id="6438"/>
    <w:bookmarkStart w:name="z6633" w:id="6439"/>
    <w:p>
      <w:pPr>
        <w:spacing w:after="0"/>
        <w:ind w:left="0"/>
        <w:jc w:val="both"/>
      </w:pPr>
      <w:r>
        <w:rPr>
          <w:rFonts w:ascii="Times New Roman"/>
          <w:b w:val="false"/>
          <w:i w:val="false"/>
          <w:color w:val="000000"/>
          <w:sz w:val="28"/>
        </w:rPr>
        <w:t>
      3.6. Анализ, выполняемый в рамках проведения испытаний (сводный анализ и мета-анализ).</w:t>
      </w:r>
    </w:p>
    <w:bookmarkEnd w:id="6439"/>
    <w:bookmarkStart w:name="z6634" w:id="6440"/>
    <w:p>
      <w:pPr>
        <w:spacing w:after="0"/>
        <w:ind w:left="0"/>
        <w:jc w:val="both"/>
      </w:pPr>
      <w:r>
        <w:rPr>
          <w:rFonts w:ascii="Times New Roman"/>
          <w:b w:val="false"/>
          <w:i w:val="false"/>
          <w:color w:val="000000"/>
          <w:sz w:val="28"/>
        </w:rPr>
        <w:t>
      В данном разделе должны быть указаны критерии данных анализов, включая обзорный анализ по всей базе данных, учитывая различные модификаторы эффекта (пол, возраст, влияние препарата на сопутствующие заболевания, курение и т.д.).</w:t>
      </w:r>
    </w:p>
    <w:bookmarkEnd w:id="6440"/>
    <w:bookmarkStart w:name="z6635" w:id="6441"/>
    <w:p>
      <w:pPr>
        <w:spacing w:after="0"/>
        <w:ind w:left="0"/>
        <w:jc w:val="both"/>
      </w:pPr>
      <w:r>
        <w:rPr>
          <w:rFonts w:ascii="Times New Roman"/>
          <w:b w:val="false"/>
          <w:i w:val="false"/>
          <w:color w:val="000000"/>
          <w:sz w:val="28"/>
        </w:rPr>
        <w:t>
      Также может потребоваться обзор соотношения "доза-эффект" у особых групп населения (вес, клиренс креатинина и т.д.).</w:t>
      </w:r>
    </w:p>
    <w:bookmarkEnd w:id="6441"/>
    <w:bookmarkStart w:name="z6636" w:id="6442"/>
    <w:p>
      <w:pPr>
        <w:spacing w:after="0"/>
        <w:ind w:left="0"/>
        <w:jc w:val="both"/>
      </w:pPr>
      <w:r>
        <w:rPr>
          <w:rFonts w:ascii="Times New Roman"/>
          <w:b w:val="false"/>
          <w:i w:val="false"/>
          <w:color w:val="000000"/>
          <w:sz w:val="28"/>
        </w:rPr>
        <w:t>
      3.7. Дополнительные исследования.</w:t>
      </w:r>
    </w:p>
    <w:bookmarkEnd w:id="6442"/>
    <w:bookmarkStart w:name="z6637" w:id="6443"/>
    <w:p>
      <w:pPr>
        <w:spacing w:after="0"/>
        <w:ind w:left="0"/>
        <w:jc w:val="both"/>
      </w:pPr>
      <w:r>
        <w:rPr>
          <w:rFonts w:ascii="Times New Roman"/>
          <w:b w:val="false"/>
          <w:i w:val="false"/>
          <w:color w:val="000000"/>
          <w:sz w:val="28"/>
        </w:rPr>
        <w:t>
      Дополнительные исследования подлежат краткому обзору с применением кумулятивного подхода. В отношении биофармацевтических препаратов следует отметить образование антител и соответствующее влияние на эффективность (например, сведения о нейтрализующих антителах).</w:t>
      </w:r>
    </w:p>
    <w:bookmarkEnd w:id="6443"/>
    <w:bookmarkStart w:name="z6638" w:id="6444"/>
    <w:p>
      <w:pPr>
        <w:spacing w:after="0"/>
        <w:ind w:left="0"/>
        <w:jc w:val="both"/>
      </w:pPr>
      <w:r>
        <w:rPr>
          <w:rFonts w:ascii="Times New Roman"/>
          <w:b w:val="false"/>
          <w:i w:val="false"/>
          <w:color w:val="000000"/>
          <w:sz w:val="28"/>
        </w:rPr>
        <w:t>
      3.8. Общее заключение эксперта по оценке клинической эффективности.</w:t>
      </w:r>
    </w:p>
    <w:bookmarkEnd w:id="6444"/>
    <w:bookmarkStart w:name="z6639" w:id="6445"/>
    <w:p>
      <w:pPr>
        <w:spacing w:after="0"/>
        <w:ind w:left="0"/>
        <w:jc w:val="both"/>
      </w:pPr>
      <w:r>
        <w:rPr>
          <w:rFonts w:ascii="Times New Roman"/>
          <w:b w:val="false"/>
          <w:i w:val="false"/>
          <w:color w:val="000000"/>
          <w:sz w:val="28"/>
        </w:rPr>
        <w:t>
      3.8.1. Выводы по клинической эффективности.</w:t>
      </w:r>
    </w:p>
    <w:bookmarkEnd w:id="6445"/>
    <w:bookmarkStart w:name="z6640" w:id="6446"/>
    <w:p>
      <w:pPr>
        <w:spacing w:after="0"/>
        <w:ind w:left="0"/>
        <w:jc w:val="both"/>
      </w:pPr>
      <w:r>
        <w:rPr>
          <w:rFonts w:ascii="Times New Roman"/>
          <w:b w:val="false"/>
          <w:i w:val="false"/>
          <w:color w:val="000000"/>
          <w:sz w:val="28"/>
        </w:rPr>
        <w:t>
      Обсуждение результатов часто является наиболее важной частью отчета по критической оценке. С точки зрения структуры обсуждение выводов должно в принципе соответствовать схеме изложения результатов, описанной выше.</w:t>
      </w:r>
    </w:p>
    <w:bookmarkEnd w:id="6446"/>
    <w:bookmarkStart w:name="z6641" w:id="6447"/>
    <w:p>
      <w:pPr>
        <w:spacing w:after="0"/>
        <w:ind w:left="0"/>
        <w:jc w:val="both"/>
      </w:pPr>
      <w:r>
        <w:rPr>
          <w:rFonts w:ascii="Times New Roman"/>
          <w:b w:val="false"/>
          <w:i w:val="false"/>
          <w:color w:val="000000"/>
          <w:sz w:val="28"/>
        </w:rPr>
        <w:t>
      Необходимо обеспечить максимально возможную точность и краткость изложения (часто обсуждение результатов характеризуется пространными выражениями и многословностью, но истинный смысл данных до читателя не доносится).</w:t>
      </w:r>
    </w:p>
    <w:bookmarkEnd w:id="6447"/>
    <w:bookmarkStart w:name="z6642" w:id="6448"/>
    <w:p>
      <w:pPr>
        <w:spacing w:after="0"/>
        <w:ind w:left="0"/>
        <w:jc w:val="both"/>
      </w:pPr>
      <w:r>
        <w:rPr>
          <w:rFonts w:ascii="Times New Roman"/>
          <w:b w:val="false"/>
          <w:i w:val="false"/>
          <w:color w:val="000000"/>
          <w:sz w:val="28"/>
        </w:rPr>
        <w:t>
      При обсуждении результатов по каждому разделу рассмотрению подлежат следующие вопросы:</w:t>
      </w:r>
    </w:p>
    <w:bookmarkEnd w:id="6448"/>
    <w:bookmarkStart w:name="z6643" w:id="6449"/>
    <w:p>
      <w:pPr>
        <w:spacing w:after="0"/>
        <w:ind w:left="0"/>
        <w:jc w:val="both"/>
      </w:pPr>
      <w:r>
        <w:rPr>
          <w:rFonts w:ascii="Times New Roman"/>
          <w:b w:val="false"/>
          <w:i w:val="false"/>
          <w:color w:val="000000"/>
          <w:sz w:val="28"/>
        </w:rPr>
        <w:t>
      наиболее важные выводы и недостатки, описанные выше (повторное изложение результатов не допускается), обзор согласованности результатов, обобщение имеющихся аргументов каждого заключения;</w:t>
      </w:r>
    </w:p>
    <w:bookmarkEnd w:id="6449"/>
    <w:bookmarkStart w:name="z6644" w:id="6450"/>
    <w:p>
      <w:pPr>
        <w:spacing w:after="0"/>
        <w:ind w:left="0"/>
        <w:jc w:val="both"/>
      </w:pPr>
      <w:r>
        <w:rPr>
          <w:rFonts w:ascii="Times New Roman"/>
          <w:b w:val="false"/>
          <w:i w:val="false"/>
          <w:color w:val="000000"/>
          <w:sz w:val="28"/>
        </w:rPr>
        <w:t>
      соответствие (несоответствие) представленных данных предусмотренным требованиям (юридическое основание, руководящие принципы, научные рекомендации);</w:t>
      </w:r>
    </w:p>
    <w:bookmarkEnd w:id="6450"/>
    <w:bookmarkStart w:name="z6645" w:id="6451"/>
    <w:p>
      <w:pPr>
        <w:spacing w:after="0"/>
        <w:ind w:left="0"/>
        <w:jc w:val="both"/>
      </w:pPr>
      <w:r>
        <w:rPr>
          <w:rFonts w:ascii="Times New Roman"/>
          <w:b w:val="false"/>
          <w:i w:val="false"/>
          <w:color w:val="000000"/>
          <w:sz w:val="28"/>
        </w:rPr>
        <w:t>
      основные возникшие вопросы, в каком объеме они должны быть решены;</w:t>
      </w:r>
    </w:p>
    <w:bookmarkEnd w:id="6451"/>
    <w:bookmarkStart w:name="z6646" w:id="6452"/>
    <w:p>
      <w:pPr>
        <w:spacing w:after="0"/>
        <w:ind w:left="0"/>
        <w:jc w:val="both"/>
      </w:pPr>
      <w:r>
        <w:rPr>
          <w:rFonts w:ascii="Times New Roman"/>
          <w:b w:val="false"/>
          <w:i w:val="false"/>
          <w:color w:val="000000"/>
          <w:sz w:val="28"/>
        </w:rPr>
        <w:t>
      важные вопросы, подлежащие рассмотрению Экспертным комитетом при Евразийской экономической комиссии.</w:t>
      </w:r>
    </w:p>
    <w:bookmarkEnd w:id="6452"/>
    <w:bookmarkStart w:name="z6647" w:id="6453"/>
    <w:p>
      <w:pPr>
        <w:spacing w:after="0"/>
        <w:ind w:left="0"/>
        <w:jc w:val="both"/>
      </w:pPr>
      <w:r>
        <w:rPr>
          <w:rFonts w:ascii="Times New Roman"/>
          <w:b w:val="false"/>
          <w:i w:val="false"/>
          <w:color w:val="000000"/>
          <w:sz w:val="28"/>
        </w:rPr>
        <w:t>
      Критическому обзору подлежат и дизайн, и результаты исследования. Необходимо представить однозначное заключение по ключевым элементам (например, выбору компараторов, точек клинической эффективности, а также в отношении недостатка данных). Далее приводится подборка потенциальных аспектов, подлежащих рассмотрению в рамках такого обсуждения результатов.</w:t>
      </w:r>
    </w:p>
    <w:bookmarkEnd w:id="6453"/>
    <w:bookmarkStart w:name="z6648" w:id="6454"/>
    <w:p>
      <w:pPr>
        <w:spacing w:after="0"/>
        <w:ind w:left="0"/>
        <w:jc w:val="both"/>
      </w:pPr>
      <w:r>
        <w:rPr>
          <w:rFonts w:ascii="Times New Roman"/>
          <w:b w:val="false"/>
          <w:i w:val="false"/>
          <w:color w:val="000000"/>
          <w:sz w:val="28"/>
        </w:rPr>
        <w:t>
      3.8.2. Дизайн и проведение клинических исследований.</w:t>
      </w:r>
    </w:p>
    <w:bookmarkEnd w:id="6454"/>
    <w:bookmarkStart w:name="z6649" w:id="6455"/>
    <w:p>
      <w:pPr>
        <w:spacing w:after="0"/>
        <w:ind w:left="0"/>
        <w:jc w:val="both"/>
      </w:pPr>
      <w:r>
        <w:rPr>
          <w:rFonts w:ascii="Times New Roman"/>
          <w:b w:val="false"/>
          <w:i w:val="false"/>
          <w:color w:val="000000"/>
          <w:sz w:val="28"/>
        </w:rPr>
        <w:t>
      Соответствует ли дизайн исследований предусмотренным требованиям (рандомизированные исследования воздействия, контролируемого по активному препарату, и исследования плацебо контролируемого воздействия)? Если нет, то каковы обоснования и являются ли они приемлемыми?</w:t>
      </w:r>
    </w:p>
    <w:bookmarkEnd w:id="6455"/>
    <w:bookmarkStart w:name="z6650" w:id="6456"/>
    <w:p>
      <w:pPr>
        <w:spacing w:after="0"/>
        <w:ind w:left="0"/>
        <w:jc w:val="both"/>
      </w:pPr>
      <w:r>
        <w:rPr>
          <w:rFonts w:ascii="Times New Roman"/>
          <w:b w:val="false"/>
          <w:i w:val="false"/>
          <w:color w:val="000000"/>
          <w:sz w:val="28"/>
        </w:rPr>
        <w:t>
      Надлежащим ли образом выбрана исследуемая группа больных (комментарии относительно критериев включения (невлючения))?</w:t>
      </w:r>
    </w:p>
    <w:bookmarkEnd w:id="6456"/>
    <w:bookmarkStart w:name="z6651" w:id="6457"/>
    <w:p>
      <w:pPr>
        <w:spacing w:after="0"/>
        <w:ind w:left="0"/>
        <w:jc w:val="both"/>
      </w:pPr>
      <w:r>
        <w:rPr>
          <w:rFonts w:ascii="Times New Roman"/>
          <w:b w:val="false"/>
          <w:i w:val="false"/>
          <w:color w:val="000000"/>
          <w:sz w:val="28"/>
        </w:rPr>
        <w:t>
      Применим ли препарат равнения? В случае использования активного препарата сравнения необходимо прокомментировать актуальность в связи с утвержденными в Союзе вариантами лечения.</w:t>
      </w:r>
    </w:p>
    <w:bookmarkEnd w:id="6457"/>
    <w:bookmarkStart w:name="z6652" w:id="6458"/>
    <w:p>
      <w:pPr>
        <w:spacing w:after="0"/>
        <w:ind w:left="0"/>
        <w:jc w:val="both"/>
      </w:pPr>
      <w:r>
        <w:rPr>
          <w:rFonts w:ascii="Times New Roman"/>
          <w:b w:val="false"/>
          <w:i w:val="false"/>
          <w:color w:val="000000"/>
          <w:sz w:val="28"/>
        </w:rPr>
        <w:t>
      Какова критическая оценка целесообразности выбора точек клинической эффективности, а также продолжительность исследования с учетом регулирующего руководства (научных рекомендаций)? Достаточна ли информативность суррогатных маркеров для замены фиксированных точек клинической эффективности? Какова приемлемость комбинированной конечной точки и областей ее применения?</w:t>
      </w:r>
    </w:p>
    <w:bookmarkEnd w:id="6458"/>
    <w:bookmarkStart w:name="z6653" w:id="6459"/>
    <w:p>
      <w:pPr>
        <w:spacing w:after="0"/>
        <w:ind w:left="0"/>
        <w:jc w:val="both"/>
      </w:pPr>
      <w:r>
        <w:rPr>
          <w:rFonts w:ascii="Times New Roman"/>
          <w:b w:val="false"/>
          <w:i w:val="false"/>
          <w:color w:val="000000"/>
          <w:sz w:val="28"/>
        </w:rPr>
        <w:t>
      В зависимости от обстоятельств, применимость методов, целесообразность их применения, анализа и представления результатов основных исследований. Необходимо прокомментировать особые проблемы в отношении дизайна исследования.</w:t>
      </w:r>
    </w:p>
    <w:bookmarkEnd w:id="6459"/>
    <w:bookmarkStart w:name="z6654" w:id="6460"/>
    <w:p>
      <w:pPr>
        <w:spacing w:after="0"/>
        <w:ind w:left="0"/>
        <w:jc w:val="both"/>
      </w:pPr>
      <w:r>
        <w:rPr>
          <w:rFonts w:ascii="Times New Roman"/>
          <w:b w:val="false"/>
          <w:i w:val="false"/>
          <w:color w:val="000000"/>
          <w:sz w:val="28"/>
        </w:rPr>
        <w:t>
      Соответствует ли дизайн требованиям законодательства, действующим руководящим принципам, научным рекомендациям?</w:t>
      </w:r>
    </w:p>
    <w:bookmarkEnd w:id="6460"/>
    <w:bookmarkStart w:name="z6655" w:id="6461"/>
    <w:p>
      <w:pPr>
        <w:spacing w:after="0"/>
        <w:ind w:left="0"/>
        <w:jc w:val="both"/>
      </w:pPr>
      <w:r>
        <w:rPr>
          <w:rFonts w:ascii="Times New Roman"/>
          <w:b w:val="false"/>
          <w:i w:val="false"/>
          <w:color w:val="000000"/>
          <w:sz w:val="28"/>
        </w:rPr>
        <w:t>
      Каковы последствия любой инспекции на предмет соблюдения Правил надлежащей клинической практики Союза?</w:t>
      </w:r>
    </w:p>
    <w:bookmarkEnd w:id="6461"/>
    <w:bookmarkStart w:name="z6656" w:id="6462"/>
    <w:p>
      <w:pPr>
        <w:spacing w:after="0"/>
        <w:ind w:left="0"/>
        <w:jc w:val="both"/>
      </w:pPr>
      <w:r>
        <w:rPr>
          <w:rFonts w:ascii="Times New Roman"/>
          <w:b w:val="false"/>
          <w:i w:val="false"/>
          <w:color w:val="000000"/>
          <w:sz w:val="28"/>
        </w:rPr>
        <w:t>
      3.8.3. Данные об эффективности и дополнительные анализы.</w:t>
      </w:r>
    </w:p>
    <w:bookmarkEnd w:id="6462"/>
    <w:bookmarkStart w:name="z6657" w:id="6463"/>
    <w:p>
      <w:pPr>
        <w:spacing w:after="0"/>
        <w:ind w:left="0"/>
        <w:jc w:val="both"/>
      </w:pPr>
      <w:r>
        <w:rPr>
          <w:rFonts w:ascii="Times New Roman"/>
          <w:b w:val="false"/>
          <w:i w:val="false"/>
          <w:color w:val="000000"/>
          <w:sz w:val="28"/>
        </w:rPr>
        <w:t>
      Величина и клиническая значимость эффекта. Должна быть описана клиническая значимость наблюдаемого эффекта, так как это может быть особенно важно для обзора соотношения польза - риск.</w:t>
      </w:r>
    </w:p>
    <w:bookmarkEnd w:id="6463"/>
    <w:bookmarkStart w:name="z6658" w:id="6464"/>
    <w:p>
      <w:pPr>
        <w:spacing w:after="0"/>
        <w:ind w:left="0"/>
        <w:jc w:val="both"/>
      </w:pPr>
      <w:r>
        <w:rPr>
          <w:rFonts w:ascii="Times New Roman"/>
          <w:b w:val="false"/>
          <w:i w:val="false"/>
          <w:color w:val="000000"/>
          <w:sz w:val="28"/>
        </w:rPr>
        <w:t>
      Каковы основные выводы (или неопределенности)? Какие ключевые выводы (или неопределенности) должны входить в обзор соотношения польза - риск?</w:t>
      </w:r>
    </w:p>
    <w:bookmarkEnd w:id="6464"/>
    <w:bookmarkStart w:name="z6659" w:id="6465"/>
    <w:p>
      <w:pPr>
        <w:spacing w:after="0"/>
        <w:ind w:left="0"/>
        <w:jc w:val="both"/>
      </w:pPr>
      <w:r>
        <w:rPr>
          <w:rFonts w:ascii="Times New Roman"/>
          <w:b w:val="false"/>
          <w:i w:val="false"/>
          <w:color w:val="000000"/>
          <w:sz w:val="28"/>
        </w:rPr>
        <w:t>
      Возможность обобщения пробных результатов (степень соответствия). Подтверждают ли результаты заявленное показание к применению?</w:t>
      </w:r>
    </w:p>
    <w:bookmarkEnd w:id="6465"/>
    <w:bookmarkStart w:name="z6660" w:id="6466"/>
    <w:p>
      <w:pPr>
        <w:spacing w:after="0"/>
        <w:ind w:left="0"/>
        <w:jc w:val="both"/>
      </w:pPr>
      <w:r>
        <w:rPr>
          <w:rFonts w:ascii="Times New Roman"/>
          <w:b w:val="false"/>
          <w:i w:val="false"/>
          <w:color w:val="000000"/>
          <w:sz w:val="28"/>
        </w:rPr>
        <w:t>
      Требуется ли проведение каких-либо дополнительных анализов, и каковы причины запроса на их проведение?</w:t>
      </w:r>
    </w:p>
    <w:bookmarkEnd w:id="6466"/>
    <w:bookmarkStart w:name="z6661" w:id="6467"/>
    <w:p>
      <w:pPr>
        <w:spacing w:after="0"/>
        <w:ind w:left="0"/>
        <w:jc w:val="both"/>
      </w:pPr>
      <w:r>
        <w:rPr>
          <w:rFonts w:ascii="Times New Roman"/>
          <w:b w:val="false"/>
          <w:i w:val="false"/>
          <w:color w:val="000000"/>
          <w:sz w:val="28"/>
        </w:rPr>
        <w:t>
      Если данные анализов подгрупп имеют особое значение для общей оценки эффективности, это должно быть объяснено.</w:t>
      </w:r>
    </w:p>
    <w:bookmarkEnd w:id="6467"/>
    <w:bookmarkStart w:name="z6662" w:id="6468"/>
    <w:p>
      <w:pPr>
        <w:spacing w:after="0"/>
        <w:ind w:left="0"/>
        <w:jc w:val="both"/>
      </w:pPr>
      <w:r>
        <w:rPr>
          <w:rFonts w:ascii="Times New Roman"/>
          <w:b w:val="false"/>
          <w:i w:val="false"/>
          <w:color w:val="000000"/>
          <w:sz w:val="28"/>
        </w:rPr>
        <w:t>
      Какие основные вопросы были подняты в ходе оценки (серьезные возражения и другие проблемные вопросы).</w:t>
      </w:r>
    </w:p>
    <w:bookmarkEnd w:id="6468"/>
    <w:bookmarkStart w:name="z6663" w:id="6469"/>
    <w:p>
      <w:pPr>
        <w:spacing w:after="0"/>
        <w:ind w:left="0"/>
        <w:jc w:val="both"/>
      </w:pPr>
      <w:r>
        <w:rPr>
          <w:rFonts w:ascii="Times New Roman"/>
          <w:b w:val="false"/>
          <w:i w:val="false"/>
          <w:color w:val="000000"/>
          <w:sz w:val="28"/>
        </w:rPr>
        <w:t>
      Необходимо прокомментировать какие-либо обоснования отказа от проведения определенных исследований или замены оригинальных исследований сведениями из научных источников.</w:t>
      </w:r>
    </w:p>
    <w:bookmarkEnd w:id="6469"/>
    <w:bookmarkStart w:name="z6664" w:id="6470"/>
    <w:p>
      <w:pPr>
        <w:spacing w:after="0"/>
        <w:ind w:left="0"/>
        <w:jc w:val="both"/>
      </w:pPr>
      <w:r>
        <w:rPr>
          <w:rFonts w:ascii="Times New Roman"/>
          <w:b w:val="false"/>
          <w:i w:val="false"/>
          <w:color w:val="000000"/>
          <w:sz w:val="28"/>
        </w:rPr>
        <w:t>
      Необходимо указать недостаточность информации по определенным группам пациентов (детей, пожилых людей, женщин, имеющих способность к деторождению и т.д.) для подтверждения заявления в разделе 4.4 общей характеристики лекарственного препарата для медицинского применения, и также отметить данные сведения общем заключении, в случае предложения уполномоченной экспертной организацией о проведении последующего исследования.</w:t>
      </w:r>
    </w:p>
    <w:bookmarkEnd w:id="6470"/>
    <w:bookmarkStart w:name="z6665" w:id="6471"/>
    <w:p>
      <w:pPr>
        <w:spacing w:after="0"/>
        <w:ind w:left="0"/>
        <w:jc w:val="both"/>
      </w:pPr>
      <w:r>
        <w:rPr>
          <w:rFonts w:ascii="Times New Roman"/>
          <w:b w:val="false"/>
          <w:i w:val="false"/>
          <w:color w:val="000000"/>
          <w:sz w:val="28"/>
        </w:rPr>
        <w:t>
      Какие данные подтверждают возможность применения у детей?</w:t>
      </w:r>
    </w:p>
    <w:bookmarkEnd w:id="6471"/>
    <w:bookmarkStart w:name="z6666" w:id="6472"/>
    <w:p>
      <w:pPr>
        <w:spacing w:after="0"/>
        <w:ind w:left="0"/>
        <w:jc w:val="both"/>
      </w:pPr>
      <w:r>
        <w:rPr>
          <w:rFonts w:ascii="Times New Roman"/>
          <w:b w:val="false"/>
          <w:i w:val="false"/>
          <w:color w:val="000000"/>
          <w:sz w:val="28"/>
        </w:rPr>
        <w:t>
      В отношении биоаналогов-биосимиляров необходимо указать сравнительный характер полученных результатов исследования с выбранным эталонным лекарственным препаратом.</w:t>
      </w:r>
    </w:p>
    <w:bookmarkEnd w:id="6472"/>
    <w:bookmarkStart w:name="z6667" w:id="6473"/>
    <w:p>
      <w:pPr>
        <w:spacing w:after="0"/>
        <w:ind w:left="0"/>
        <w:jc w:val="both"/>
      </w:pPr>
      <w:r>
        <w:rPr>
          <w:rFonts w:ascii="Times New Roman"/>
          <w:b w:val="false"/>
          <w:i w:val="false"/>
          <w:color w:val="000000"/>
          <w:sz w:val="28"/>
        </w:rPr>
        <w:t>
      Какие выводы (или сведения об отсутствии информации) отражены в общей характеристике лекарственного препарата для медицинского применения? Необходимо удостовериться в соответствии данных сведениям, указанным в общей характеристике лекарственного препарата для медицинского применения (особенно, данные в разделе 5.1) и в том, что вся информация в общей характеристике лекарственного препарата для медицинского применения прошла надлежащую экспертизу и научный анализ.</w:t>
      </w:r>
    </w:p>
    <w:bookmarkEnd w:id="6473"/>
    <w:bookmarkStart w:name="z6668" w:id="6474"/>
    <w:p>
      <w:pPr>
        <w:spacing w:after="0"/>
        <w:ind w:left="0"/>
        <w:jc w:val="both"/>
      </w:pPr>
      <w:r>
        <w:rPr>
          <w:rFonts w:ascii="Times New Roman"/>
          <w:b w:val="false"/>
          <w:i w:val="false"/>
          <w:color w:val="000000"/>
          <w:sz w:val="28"/>
        </w:rPr>
        <w:t>
      Необходимо указать наличие каких-либо неподтвержденных данных, подлежащих подтверждению после выдачи регистрационного удостоверения, и отражено ли это в общей характеристике лекарственного препарата для медицинского применения.</w:t>
      </w:r>
    </w:p>
    <w:bookmarkEnd w:id="6474"/>
    <w:bookmarkStart w:name="z6669" w:id="6475"/>
    <w:p>
      <w:pPr>
        <w:spacing w:after="0"/>
        <w:ind w:left="0"/>
        <w:jc w:val="both"/>
      </w:pPr>
      <w:r>
        <w:rPr>
          <w:rFonts w:ascii="Times New Roman"/>
          <w:b w:val="false"/>
          <w:i w:val="false"/>
          <w:color w:val="000000"/>
          <w:sz w:val="28"/>
        </w:rPr>
        <w:t>
      3.8.4. Выводы по клинической эффективности.</w:t>
      </w:r>
    </w:p>
    <w:bookmarkEnd w:id="6475"/>
    <w:bookmarkStart w:name="z6670" w:id="6476"/>
    <w:p>
      <w:pPr>
        <w:spacing w:after="0"/>
        <w:ind w:left="0"/>
        <w:jc w:val="both"/>
      </w:pPr>
      <w:r>
        <w:rPr>
          <w:rFonts w:ascii="Times New Roman"/>
          <w:b w:val="false"/>
          <w:i w:val="false"/>
          <w:color w:val="000000"/>
          <w:sz w:val="28"/>
        </w:rPr>
        <w:t>
      В данном разделе должны быть представлены краткие выводы, которые можно сделать на основании рассмотрения документации по исследованию клинической эффективности. </w:t>
      </w:r>
    </w:p>
    <w:bookmarkEnd w:id="6476"/>
    <w:bookmarkStart w:name="z6671" w:id="6477"/>
    <w:p>
      <w:pPr>
        <w:spacing w:after="0"/>
        <w:ind w:left="0"/>
        <w:jc w:val="both"/>
      </w:pPr>
      <w:r>
        <w:rPr>
          <w:rFonts w:ascii="Times New Roman"/>
          <w:b w:val="false"/>
          <w:i w:val="false"/>
          <w:color w:val="000000"/>
          <w:sz w:val="28"/>
        </w:rPr>
        <w:t>
      4. Клиническая безопасность.</w:t>
      </w:r>
    </w:p>
    <w:bookmarkEnd w:id="6477"/>
    <w:bookmarkStart w:name="z6672" w:id="6478"/>
    <w:p>
      <w:pPr>
        <w:spacing w:after="0"/>
        <w:ind w:left="0"/>
        <w:jc w:val="both"/>
      </w:pPr>
      <w:r>
        <w:rPr>
          <w:rFonts w:ascii="Times New Roman"/>
          <w:b w:val="false"/>
          <w:i w:val="false"/>
          <w:color w:val="000000"/>
          <w:sz w:val="28"/>
        </w:rPr>
        <w:t>
      Сведения о безопасности должны включать в себя массив данных по всем пациентам, принявшим участие в данном исследовании, и эти данные должны быть представлены как результаты единого анализа. Вместе с тем следует описать и дать объяснение специфическим особенностям, связанным с исследованием клинической безопасности.</w:t>
      </w:r>
    </w:p>
    <w:bookmarkEnd w:id="6478"/>
    <w:bookmarkStart w:name="z6673" w:id="6479"/>
    <w:p>
      <w:pPr>
        <w:spacing w:after="0"/>
        <w:ind w:left="0"/>
        <w:jc w:val="both"/>
      </w:pPr>
      <w:r>
        <w:rPr>
          <w:rFonts w:ascii="Times New Roman"/>
          <w:b w:val="false"/>
          <w:i w:val="false"/>
          <w:color w:val="000000"/>
          <w:sz w:val="28"/>
        </w:rPr>
        <w:t>
      Необходимо указать проблемные вопросы, выявленные в доклинических исследованиях, которые могут негативно повлиять на применение препарата человеком (например, токсичность, метаболиты, не образующиеся организмом животных, но производимые организмом человека), а также подобные вопросы в фармакодинамических исследованиях. </w:t>
      </w:r>
    </w:p>
    <w:bookmarkEnd w:id="6479"/>
    <w:bookmarkStart w:name="z6674" w:id="6480"/>
    <w:p>
      <w:pPr>
        <w:spacing w:after="0"/>
        <w:ind w:left="0"/>
        <w:jc w:val="both"/>
      </w:pPr>
      <w:r>
        <w:rPr>
          <w:rFonts w:ascii="Times New Roman"/>
          <w:b w:val="false"/>
          <w:i w:val="false"/>
          <w:color w:val="000000"/>
          <w:sz w:val="28"/>
        </w:rPr>
        <w:t>
      4.1. Введение.</w:t>
      </w:r>
    </w:p>
    <w:bookmarkEnd w:id="6480"/>
    <w:bookmarkStart w:name="z6675" w:id="6481"/>
    <w:p>
      <w:pPr>
        <w:spacing w:after="0"/>
        <w:ind w:left="0"/>
        <w:jc w:val="both"/>
      </w:pPr>
      <w:r>
        <w:rPr>
          <w:rFonts w:ascii="Times New Roman"/>
          <w:b w:val="false"/>
          <w:i w:val="false"/>
          <w:color w:val="000000"/>
          <w:sz w:val="28"/>
        </w:rPr>
        <w:t>
      4.1.1. Краткое вступление по общим особенностям представленных данных.</w:t>
      </w:r>
    </w:p>
    <w:bookmarkEnd w:id="6481"/>
    <w:bookmarkStart w:name="z6676" w:id="6482"/>
    <w:p>
      <w:pPr>
        <w:spacing w:after="0"/>
        <w:ind w:left="0"/>
        <w:jc w:val="both"/>
      </w:pPr>
      <w:r>
        <w:rPr>
          <w:rFonts w:ascii="Times New Roman"/>
          <w:b w:val="false"/>
          <w:i w:val="false"/>
          <w:color w:val="000000"/>
          <w:sz w:val="28"/>
        </w:rPr>
        <w:t>
      В отношении биоаналогов-биосимиляров в результатах оценки клинической безопасности должны быть выделены любые потенциально значимые клинические различия между профилями безопасности эталонного и биоаналога-биосимиляра.</w:t>
      </w:r>
    </w:p>
    <w:bookmarkEnd w:id="6482"/>
    <w:bookmarkStart w:name="z6677" w:id="6483"/>
    <w:p>
      <w:pPr>
        <w:spacing w:after="0"/>
        <w:ind w:left="0"/>
        <w:jc w:val="both"/>
      </w:pPr>
      <w:r>
        <w:rPr>
          <w:rFonts w:ascii="Times New Roman"/>
          <w:b w:val="false"/>
          <w:i w:val="false"/>
          <w:color w:val="000000"/>
          <w:sz w:val="28"/>
        </w:rPr>
        <w:t>
      Особое внимание должно уделяться аспектам иммуногенности (например, выработке и характеристикам антител). Кроме того, должны быть рассмотрены любые результаты постмаркетингового наблюдения после выдачи разрешения на продажу или мониторинга в рамках фармаконадзора (см. Правила исследования биологических лекарственных средств в рамках Евразийского экономического союза, утвержденные Евразийской экономической комиссией).</w:t>
      </w:r>
    </w:p>
    <w:bookmarkEnd w:id="6483"/>
    <w:bookmarkStart w:name="z6678" w:id="6484"/>
    <w:p>
      <w:pPr>
        <w:spacing w:after="0"/>
        <w:ind w:left="0"/>
        <w:jc w:val="both"/>
      </w:pPr>
      <w:r>
        <w:rPr>
          <w:rFonts w:ascii="Times New Roman"/>
          <w:b w:val="false"/>
          <w:i w:val="false"/>
          <w:color w:val="000000"/>
          <w:sz w:val="28"/>
        </w:rPr>
        <w:t>
      4.2. Влияние лекарственного вещества на пациента.</w:t>
      </w:r>
    </w:p>
    <w:bookmarkEnd w:id="6484"/>
    <w:bookmarkStart w:name="z6679" w:id="6485"/>
    <w:p>
      <w:pPr>
        <w:spacing w:after="0"/>
        <w:ind w:left="0"/>
        <w:jc w:val="both"/>
      </w:pPr>
      <w:r>
        <w:rPr>
          <w:rFonts w:ascii="Times New Roman"/>
          <w:b w:val="false"/>
          <w:i w:val="false"/>
          <w:color w:val="000000"/>
          <w:sz w:val="28"/>
        </w:rPr>
        <w:t>
      Необходимо перечислить клинические исследования, результаты которых свидетельствуют о безопасности лекарственного препарата (рекомендуется использовать сводные таблицы).</w:t>
      </w:r>
    </w:p>
    <w:bookmarkEnd w:id="6485"/>
    <w:bookmarkStart w:name="z6680" w:id="6486"/>
    <w:p>
      <w:pPr>
        <w:spacing w:after="0"/>
        <w:ind w:left="0"/>
        <w:jc w:val="both"/>
      </w:pPr>
      <w:r>
        <w:rPr>
          <w:rFonts w:ascii="Times New Roman"/>
          <w:b w:val="false"/>
          <w:i w:val="false"/>
          <w:color w:val="000000"/>
          <w:sz w:val="28"/>
        </w:rPr>
        <w:t>
      Должна быть указана дата завершения сбора данных.</w:t>
      </w:r>
    </w:p>
    <w:bookmarkEnd w:id="6486"/>
    <w:bookmarkStart w:name="z6681" w:id="6487"/>
    <w:p>
      <w:pPr>
        <w:spacing w:after="0"/>
        <w:ind w:left="0"/>
        <w:jc w:val="both"/>
      </w:pPr>
      <w:r>
        <w:rPr>
          <w:rFonts w:ascii="Times New Roman"/>
          <w:b w:val="false"/>
          <w:i w:val="false"/>
          <w:color w:val="000000"/>
          <w:sz w:val="28"/>
        </w:rPr>
        <w:t>
      Количество и характеристики включенных в исследование пациентов (возраст, этап исследования (тяжесть заболевания)) и здоровых испытуемых (данные могут быть включены в сводную таблицу). Размер базы данных на 6-й и 12-й месяц, если речь идет о длительном лечении.</w:t>
      </w:r>
    </w:p>
    <w:bookmarkEnd w:id="6487"/>
    <w:bookmarkStart w:name="z6682" w:id="6488"/>
    <w:p>
      <w:pPr>
        <w:spacing w:after="0"/>
        <w:ind w:left="0"/>
        <w:jc w:val="both"/>
      </w:pPr>
      <w:r>
        <w:rPr>
          <w:rFonts w:ascii="Times New Roman"/>
          <w:b w:val="false"/>
          <w:i w:val="false"/>
          <w:color w:val="000000"/>
          <w:sz w:val="28"/>
        </w:rPr>
        <w:t>
      В частности, по мере использования и в случае необходимости необходимо указать базу данных по безопасности при применении у больных детей по возрастным группам.</w:t>
      </w:r>
    </w:p>
    <w:bookmarkEnd w:id="6488"/>
    <w:bookmarkStart w:name="z6683" w:id="6489"/>
    <w:p>
      <w:pPr>
        <w:spacing w:after="0"/>
        <w:ind w:left="0"/>
        <w:jc w:val="both"/>
      </w:pPr>
      <w:r>
        <w:rPr>
          <w:rFonts w:ascii="Times New Roman"/>
          <w:b w:val="false"/>
          <w:i w:val="false"/>
          <w:color w:val="000000"/>
          <w:sz w:val="28"/>
        </w:rPr>
        <w:t>
      В целом это относится к данным, полученным на 6-й и 12-й месяц исследования по непрерывной программе лечения, или к данным исследования по программе лечения с перерывами.</w:t>
      </w:r>
    </w:p>
    <w:bookmarkEnd w:id="6489"/>
    <w:bookmarkStart w:name="z6684" w:id="6490"/>
    <w:p>
      <w:pPr>
        <w:spacing w:after="0"/>
        <w:ind w:left="0"/>
        <w:jc w:val="both"/>
      </w:pPr>
      <w:r>
        <w:rPr>
          <w:rFonts w:ascii="Times New Roman"/>
          <w:b w:val="false"/>
          <w:i w:val="false"/>
          <w:color w:val="000000"/>
          <w:sz w:val="28"/>
        </w:rPr>
        <w:t>
      Необходимо представить любую информацию о лечении в течение периода, превышающего 12 месяцев.</w:t>
      </w:r>
    </w:p>
    <w:bookmarkEnd w:id="6490"/>
    <w:bookmarkStart w:name="z6685" w:id="6491"/>
    <w:p>
      <w:pPr>
        <w:spacing w:after="0"/>
        <w:ind w:left="0"/>
        <w:jc w:val="both"/>
      </w:pPr>
      <w:r>
        <w:rPr>
          <w:rFonts w:ascii="Times New Roman"/>
          <w:b w:val="false"/>
          <w:i w:val="false"/>
          <w:color w:val="000000"/>
          <w:sz w:val="28"/>
        </w:rPr>
        <w:t>
      Необходимо сделать обзор каких-либо ограничений в базе данных по безопасности в отношении предлагаемой целевой группы субъектов. </w:t>
      </w:r>
    </w:p>
    <w:bookmarkEnd w:id="6491"/>
    <w:bookmarkStart w:name="z6686" w:id="6492"/>
    <w:p>
      <w:pPr>
        <w:spacing w:after="0"/>
        <w:ind w:left="0"/>
        <w:jc w:val="both"/>
      </w:pPr>
      <w:r>
        <w:rPr>
          <w:rFonts w:ascii="Times New Roman"/>
          <w:b w:val="false"/>
          <w:i w:val="false"/>
          <w:color w:val="000000"/>
          <w:sz w:val="28"/>
        </w:rPr>
        <w:t>
      4.3. Нежелательные явления.</w:t>
      </w:r>
    </w:p>
    <w:bookmarkEnd w:id="6492"/>
    <w:bookmarkStart w:name="z6687" w:id="6493"/>
    <w:p>
      <w:pPr>
        <w:spacing w:after="0"/>
        <w:ind w:left="0"/>
        <w:jc w:val="both"/>
      </w:pPr>
      <w:r>
        <w:rPr>
          <w:rFonts w:ascii="Times New Roman"/>
          <w:b w:val="false"/>
          <w:i w:val="false"/>
          <w:color w:val="000000"/>
          <w:sz w:val="28"/>
        </w:rPr>
        <w:t>
      Результаты должны быть представлены в соответствии с классификацией системы органов (SOC) (предпочтительные термины), включая данные о степени тяжести всех нежелательных побочных явлений. Необходимо представить данные в сводной таблице, аналогичной таблице, включенной в регистрационное досье (2.7.4.3), со статистическим анализом.</w:t>
      </w:r>
    </w:p>
    <w:bookmarkEnd w:id="6493"/>
    <w:bookmarkStart w:name="z6688" w:id="6494"/>
    <w:p>
      <w:pPr>
        <w:spacing w:after="0"/>
        <w:ind w:left="0"/>
        <w:jc w:val="both"/>
      </w:pPr>
      <w:r>
        <w:rPr>
          <w:rFonts w:ascii="Times New Roman"/>
          <w:b w:val="false"/>
          <w:i w:val="false"/>
          <w:color w:val="000000"/>
          <w:sz w:val="28"/>
        </w:rPr>
        <w:t>
      Во всех случаях необходимо представить результаты обзора отношения между нежелательными явлениями и реакциями (с указанием причинно-следственной связи) и другими переменными.</w:t>
      </w:r>
    </w:p>
    <w:bookmarkEnd w:id="6494"/>
    <w:bookmarkStart w:name="z6689" w:id="6495"/>
    <w:p>
      <w:pPr>
        <w:spacing w:after="0"/>
        <w:ind w:left="0"/>
        <w:jc w:val="both"/>
      </w:pPr>
      <w:r>
        <w:rPr>
          <w:rFonts w:ascii="Times New Roman"/>
          <w:b w:val="false"/>
          <w:i w:val="false"/>
          <w:color w:val="000000"/>
          <w:sz w:val="28"/>
        </w:rPr>
        <w:t>
      Такими переменными могут быть следующие:</w:t>
      </w:r>
    </w:p>
    <w:bookmarkEnd w:id="6495"/>
    <w:bookmarkStart w:name="z6690" w:id="6496"/>
    <w:p>
      <w:pPr>
        <w:spacing w:after="0"/>
        <w:ind w:left="0"/>
        <w:jc w:val="both"/>
      </w:pPr>
      <w:r>
        <w:rPr>
          <w:rFonts w:ascii="Times New Roman"/>
          <w:b w:val="false"/>
          <w:i w:val="false"/>
          <w:color w:val="000000"/>
          <w:sz w:val="28"/>
        </w:rPr>
        <w:t>
      продолжительность лечения;</w:t>
      </w:r>
    </w:p>
    <w:bookmarkEnd w:id="6496"/>
    <w:bookmarkStart w:name="z6691" w:id="6497"/>
    <w:p>
      <w:pPr>
        <w:spacing w:after="0"/>
        <w:ind w:left="0"/>
        <w:jc w:val="both"/>
      </w:pPr>
      <w:r>
        <w:rPr>
          <w:rFonts w:ascii="Times New Roman"/>
          <w:b w:val="false"/>
          <w:i w:val="false"/>
          <w:color w:val="000000"/>
          <w:sz w:val="28"/>
        </w:rPr>
        <w:t>
      режим и периоды дозирования;</w:t>
      </w:r>
    </w:p>
    <w:bookmarkEnd w:id="6497"/>
    <w:bookmarkStart w:name="z6692" w:id="6498"/>
    <w:p>
      <w:pPr>
        <w:spacing w:after="0"/>
        <w:ind w:left="0"/>
        <w:jc w:val="both"/>
      </w:pPr>
      <w:r>
        <w:rPr>
          <w:rFonts w:ascii="Times New Roman"/>
          <w:b w:val="false"/>
          <w:i w:val="false"/>
          <w:color w:val="000000"/>
          <w:sz w:val="28"/>
        </w:rPr>
        <w:t>
      совокупная токсичность и токсичность, обусловленная введенной дозой;</w:t>
      </w:r>
    </w:p>
    <w:bookmarkEnd w:id="6498"/>
    <w:bookmarkStart w:name="z6693" w:id="6499"/>
    <w:p>
      <w:pPr>
        <w:spacing w:after="0"/>
        <w:ind w:left="0"/>
        <w:jc w:val="both"/>
      </w:pPr>
      <w:r>
        <w:rPr>
          <w:rFonts w:ascii="Times New Roman"/>
          <w:b w:val="false"/>
          <w:i w:val="false"/>
          <w:color w:val="000000"/>
          <w:sz w:val="28"/>
        </w:rPr>
        <w:t>
      по мере необходимости, сопутствующие лекарственные препараты.</w:t>
      </w:r>
    </w:p>
    <w:bookmarkEnd w:id="6499"/>
    <w:bookmarkStart w:name="z6694" w:id="6500"/>
    <w:p>
      <w:pPr>
        <w:spacing w:after="0"/>
        <w:ind w:left="0"/>
        <w:jc w:val="both"/>
      </w:pPr>
      <w:r>
        <w:rPr>
          <w:rFonts w:ascii="Times New Roman"/>
          <w:b w:val="false"/>
          <w:i w:val="false"/>
          <w:color w:val="000000"/>
          <w:sz w:val="28"/>
        </w:rPr>
        <w:t>
      Комментарии об обратимости явления и о подтверждении доклинических данных приводятся в случае необходимости.</w:t>
      </w:r>
    </w:p>
    <w:bookmarkEnd w:id="6500"/>
    <w:bookmarkStart w:name="z6695" w:id="6501"/>
    <w:p>
      <w:pPr>
        <w:spacing w:after="0"/>
        <w:ind w:left="0"/>
        <w:jc w:val="both"/>
      </w:pPr>
      <w:r>
        <w:rPr>
          <w:rFonts w:ascii="Times New Roman"/>
          <w:b w:val="false"/>
          <w:i w:val="false"/>
          <w:color w:val="000000"/>
          <w:sz w:val="28"/>
        </w:rPr>
        <w:t>
      Необходимо указать возможную связь с актуальными аспектами производства (качества) (например, в отношении антигенных соединений).</w:t>
      </w:r>
    </w:p>
    <w:bookmarkEnd w:id="6501"/>
    <w:bookmarkStart w:name="z6696" w:id="6502"/>
    <w:p>
      <w:pPr>
        <w:spacing w:after="0"/>
        <w:ind w:left="0"/>
        <w:jc w:val="both"/>
      </w:pPr>
      <w:r>
        <w:rPr>
          <w:rFonts w:ascii="Times New Roman"/>
          <w:b w:val="false"/>
          <w:i w:val="false"/>
          <w:color w:val="000000"/>
          <w:sz w:val="28"/>
        </w:rPr>
        <w:t>
      В случае экспертизы регистрационного досье на биоаналоги-биосимиляры, даже при наличии свидетельств сопоставимости данных эффективности, у биоаналога-биосимиляра может наблюдаться отличающийся профиль безопасности (с точки зрения характера, степени серьезности или частоты развития нежелательных реакций). Должны быть получены данные предрегистрационного исследования безопасности у ряда пациентов, а также данные исследования с продолжительным лечением, достаточные для обзора сопоставимости профиля нежелательных явлений исследуемого и эталонного препаратов. Следует уделять особое внимание сравнению типов, степеней тяжести и частоты возникновения общих побочных реакций, отмеченных при применении биоаналога-биосимиляра и эталонного лекарственного препарата.</w:t>
      </w:r>
    </w:p>
    <w:bookmarkEnd w:id="6502"/>
    <w:bookmarkStart w:name="z6697" w:id="6503"/>
    <w:p>
      <w:pPr>
        <w:spacing w:after="0"/>
        <w:ind w:left="0"/>
        <w:jc w:val="both"/>
      </w:pPr>
      <w:r>
        <w:rPr>
          <w:rFonts w:ascii="Times New Roman"/>
          <w:b w:val="false"/>
          <w:i w:val="false"/>
          <w:color w:val="000000"/>
          <w:sz w:val="28"/>
        </w:rPr>
        <w:t>
      4.4. Серьезные нежелательные явления и летальный исход.</w:t>
      </w:r>
    </w:p>
    <w:bookmarkEnd w:id="6503"/>
    <w:bookmarkStart w:name="z6698" w:id="6504"/>
    <w:p>
      <w:pPr>
        <w:spacing w:after="0"/>
        <w:ind w:left="0"/>
        <w:jc w:val="both"/>
      </w:pPr>
      <w:r>
        <w:rPr>
          <w:rFonts w:ascii="Times New Roman"/>
          <w:b w:val="false"/>
          <w:i w:val="false"/>
          <w:color w:val="000000"/>
          <w:sz w:val="28"/>
        </w:rPr>
        <w:t>
      После обзора общего профиля безопасности необходимо провести отдельный анализ серьезных нежелательных явлений.</w:t>
      </w:r>
    </w:p>
    <w:bookmarkEnd w:id="6504"/>
    <w:bookmarkStart w:name="z6699" w:id="6505"/>
    <w:p>
      <w:pPr>
        <w:spacing w:after="0"/>
        <w:ind w:left="0"/>
        <w:jc w:val="both"/>
      </w:pPr>
      <w:r>
        <w:rPr>
          <w:rFonts w:ascii="Times New Roman"/>
          <w:b w:val="false"/>
          <w:i w:val="false"/>
          <w:color w:val="000000"/>
          <w:sz w:val="28"/>
        </w:rPr>
        <w:t>
      Результаты должны быть представлены в соответствии с классификацией системы органов (SOC) (предпочтительные термины), включая данные о степени тяжести серьезных желательных явлений. Необходимо представить данные в сводной таблице, аналогичной таблице, включенной в регистрационном досье (2.7.4.3 и 2.7.4.6).</w:t>
      </w:r>
    </w:p>
    <w:bookmarkEnd w:id="6505"/>
    <w:bookmarkStart w:name="z6700" w:id="6506"/>
    <w:p>
      <w:pPr>
        <w:spacing w:after="0"/>
        <w:ind w:left="0"/>
        <w:jc w:val="both"/>
      </w:pPr>
      <w:r>
        <w:rPr>
          <w:rFonts w:ascii="Times New Roman"/>
          <w:b w:val="false"/>
          <w:i w:val="false"/>
          <w:color w:val="000000"/>
          <w:sz w:val="28"/>
        </w:rPr>
        <w:t>
      Во всех случаях необходимо провести обзор отношения между серьезными нежелательными явлениями (случаями летального исхода) и другими переменными:</w:t>
      </w:r>
    </w:p>
    <w:bookmarkEnd w:id="6506"/>
    <w:bookmarkStart w:name="z6701" w:id="6507"/>
    <w:p>
      <w:pPr>
        <w:spacing w:after="0"/>
        <w:ind w:left="0"/>
        <w:jc w:val="both"/>
      </w:pPr>
      <w:r>
        <w:rPr>
          <w:rFonts w:ascii="Times New Roman"/>
          <w:b w:val="false"/>
          <w:i w:val="false"/>
          <w:color w:val="000000"/>
          <w:sz w:val="28"/>
        </w:rPr>
        <w:t>
      Такими переменными могут быть следующие:</w:t>
      </w:r>
    </w:p>
    <w:bookmarkEnd w:id="6507"/>
    <w:bookmarkStart w:name="z6702" w:id="6508"/>
    <w:p>
      <w:pPr>
        <w:spacing w:after="0"/>
        <w:ind w:left="0"/>
        <w:jc w:val="both"/>
      </w:pPr>
      <w:r>
        <w:rPr>
          <w:rFonts w:ascii="Times New Roman"/>
          <w:b w:val="false"/>
          <w:i w:val="false"/>
          <w:color w:val="000000"/>
          <w:sz w:val="28"/>
        </w:rPr>
        <w:t>
      продолжительность лечения;</w:t>
      </w:r>
    </w:p>
    <w:bookmarkEnd w:id="6508"/>
    <w:bookmarkStart w:name="z6703" w:id="6509"/>
    <w:p>
      <w:pPr>
        <w:spacing w:after="0"/>
        <w:ind w:left="0"/>
        <w:jc w:val="both"/>
      </w:pPr>
      <w:r>
        <w:rPr>
          <w:rFonts w:ascii="Times New Roman"/>
          <w:b w:val="false"/>
          <w:i w:val="false"/>
          <w:color w:val="000000"/>
          <w:sz w:val="28"/>
        </w:rPr>
        <w:t>
      режим и периоды дозирования;</w:t>
      </w:r>
    </w:p>
    <w:bookmarkEnd w:id="6509"/>
    <w:bookmarkStart w:name="z6704" w:id="6510"/>
    <w:p>
      <w:pPr>
        <w:spacing w:after="0"/>
        <w:ind w:left="0"/>
        <w:jc w:val="both"/>
      </w:pPr>
      <w:r>
        <w:rPr>
          <w:rFonts w:ascii="Times New Roman"/>
          <w:b w:val="false"/>
          <w:i w:val="false"/>
          <w:color w:val="000000"/>
          <w:sz w:val="28"/>
        </w:rPr>
        <w:t>
      общая токсичность и токсичность, обусловленная введенной дозой;</w:t>
      </w:r>
    </w:p>
    <w:bookmarkEnd w:id="6510"/>
    <w:bookmarkStart w:name="z6705" w:id="6511"/>
    <w:p>
      <w:pPr>
        <w:spacing w:after="0"/>
        <w:ind w:left="0"/>
        <w:jc w:val="both"/>
      </w:pPr>
      <w:r>
        <w:rPr>
          <w:rFonts w:ascii="Times New Roman"/>
          <w:b w:val="false"/>
          <w:i w:val="false"/>
          <w:color w:val="000000"/>
          <w:sz w:val="28"/>
        </w:rPr>
        <w:t>
      по мере необходимости, сопутствующие лекарственные препараты;</w:t>
      </w:r>
    </w:p>
    <w:bookmarkEnd w:id="6511"/>
    <w:bookmarkStart w:name="z6706" w:id="6512"/>
    <w:p>
      <w:pPr>
        <w:spacing w:after="0"/>
        <w:ind w:left="0"/>
        <w:jc w:val="both"/>
      </w:pPr>
      <w:r>
        <w:rPr>
          <w:rFonts w:ascii="Times New Roman"/>
          <w:b w:val="false"/>
          <w:i w:val="false"/>
          <w:color w:val="000000"/>
          <w:sz w:val="28"/>
        </w:rPr>
        <w:t>
      обратимость (исход) явления (за исключением летального исхода);</w:t>
      </w:r>
    </w:p>
    <w:bookmarkEnd w:id="6512"/>
    <w:bookmarkStart w:name="z6707" w:id="6513"/>
    <w:p>
      <w:pPr>
        <w:spacing w:after="0"/>
        <w:ind w:left="0"/>
        <w:jc w:val="both"/>
      </w:pPr>
      <w:r>
        <w:rPr>
          <w:rFonts w:ascii="Times New Roman"/>
          <w:b w:val="false"/>
          <w:i w:val="false"/>
          <w:color w:val="000000"/>
          <w:sz w:val="28"/>
        </w:rPr>
        <w:t>
      4.5. Данные лабораторных исследований.</w:t>
      </w:r>
    </w:p>
    <w:bookmarkEnd w:id="6513"/>
    <w:bookmarkStart w:name="z6708" w:id="6514"/>
    <w:p>
      <w:pPr>
        <w:spacing w:after="0"/>
        <w:ind w:left="0"/>
        <w:jc w:val="both"/>
      </w:pPr>
      <w:r>
        <w:rPr>
          <w:rFonts w:ascii="Times New Roman"/>
          <w:b w:val="false"/>
          <w:i w:val="false"/>
          <w:color w:val="000000"/>
          <w:sz w:val="28"/>
        </w:rPr>
        <w:t>
      Если болезнь (заболевание) часто встречается в пожилом возрасте, должна быть представлена информация по безопасности специально в отношении пожилых людей, либо отмечен факт ее отсутствия.</w:t>
      </w:r>
    </w:p>
    <w:bookmarkEnd w:id="6514"/>
    <w:bookmarkStart w:name="z6709" w:id="6515"/>
    <w:p>
      <w:pPr>
        <w:spacing w:after="0"/>
        <w:ind w:left="0"/>
        <w:jc w:val="both"/>
      </w:pPr>
      <w:r>
        <w:rPr>
          <w:rFonts w:ascii="Times New Roman"/>
          <w:b w:val="false"/>
          <w:i w:val="false"/>
          <w:color w:val="000000"/>
          <w:sz w:val="28"/>
        </w:rPr>
        <w:t>
      При оценке данных в отношении пожилых людей следует рассматривать не только количество включенных в исследование пациентов, но также результаты обзора соотношения польза - риск, так как во внимание должны быть приняты конкретные потенциальные риски (например, влияние на умственную деятельность, сердечно-сосудистую систему, почки и функции печени). При обзоре соотношения польза - риск следует принимать во внимание распространенность и тяжесть сопутствующих заболеваний у пожилых людей, также следует провести обзор имеющейся информации о параллельной фармакотерапии, особенно когда существует вероятность усиления действия неблагоприятных явлений на фоне одновременного введения других лекарственных препаратов.</w:t>
      </w:r>
    </w:p>
    <w:bookmarkEnd w:id="6515"/>
    <w:bookmarkStart w:name="z6710" w:id="6516"/>
    <w:p>
      <w:pPr>
        <w:spacing w:after="0"/>
        <w:ind w:left="0"/>
        <w:jc w:val="both"/>
      </w:pPr>
      <w:r>
        <w:rPr>
          <w:rFonts w:ascii="Times New Roman"/>
          <w:b w:val="false"/>
          <w:i w:val="false"/>
          <w:color w:val="000000"/>
          <w:sz w:val="28"/>
        </w:rPr>
        <w:t>
      Рекомендуется заполнить сводную таблицу сведений по нежелательным явлениям, как это указано в соответствующем разделе приложения № 7 к настоящим Правилам. Если составление данной таблицы не представляется возможным, рекомендуется добавить таблицу в виде вопроса в Перечень вопросов, составляемый на 120-й день критической оценки.</w:t>
      </w:r>
    </w:p>
    <w:bookmarkEnd w:id="6516"/>
    <w:bookmarkStart w:name="z6711" w:id="6517"/>
    <w:p>
      <w:pPr>
        <w:spacing w:after="0"/>
        <w:ind w:left="0"/>
        <w:jc w:val="both"/>
      </w:pPr>
      <w:r>
        <w:rPr>
          <w:rFonts w:ascii="Times New Roman"/>
          <w:b w:val="false"/>
          <w:i w:val="false"/>
          <w:color w:val="000000"/>
          <w:sz w:val="28"/>
        </w:rPr>
        <w:t>
      Любые заявления, сделанные в данном разделе, должны быть отражены в информации о фармацевтическом препарате.</w:t>
      </w:r>
    </w:p>
    <w:bookmarkEnd w:id="6517"/>
    <w:bookmarkStart w:name="z6712" w:id="6518"/>
    <w:p>
      <w:pPr>
        <w:spacing w:after="0"/>
        <w:ind w:left="0"/>
        <w:jc w:val="both"/>
      </w:pPr>
      <w:r>
        <w:rPr>
          <w:rFonts w:ascii="Times New Roman"/>
          <w:b w:val="false"/>
          <w:i w:val="false"/>
          <w:color w:val="000000"/>
          <w:sz w:val="28"/>
        </w:rPr>
        <w:t>
      Необходимо ввести (в сравнении с данными плацебо-контролируемого воздействия (воздействия, контролируемого по препарату сравнения)) клинически значимые отклонения (например, снижение у 10% пациентов уровня гемоглобина на 2 г/дл в течение 20-недельного воздействия).</w:t>
      </w:r>
    </w:p>
    <w:bookmarkEnd w:id="6518"/>
    <w:bookmarkStart w:name="z6713" w:id="6519"/>
    <w:p>
      <w:pPr>
        <w:spacing w:after="0"/>
        <w:ind w:left="0"/>
        <w:jc w:val="both"/>
      </w:pPr>
      <w:r>
        <w:rPr>
          <w:rFonts w:ascii="Times New Roman"/>
          <w:b w:val="false"/>
          <w:i w:val="false"/>
          <w:color w:val="000000"/>
          <w:sz w:val="28"/>
        </w:rPr>
        <w:t>
      Должен быть указан возврат к нормальным уровням показателей. Данная информация может быть включена в таблицу.</w:t>
      </w:r>
    </w:p>
    <w:bookmarkEnd w:id="6519"/>
    <w:bookmarkStart w:name="z6714" w:id="6520"/>
    <w:p>
      <w:pPr>
        <w:spacing w:after="0"/>
        <w:ind w:left="0"/>
        <w:jc w:val="both"/>
      </w:pPr>
      <w:r>
        <w:rPr>
          <w:rFonts w:ascii="Times New Roman"/>
          <w:b w:val="false"/>
          <w:i w:val="false"/>
          <w:color w:val="000000"/>
          <w:sz w:val="28"/>
        </w:rPr>
        <w:t>
      Сведения о пациентах, у которых отмечены отклонения, в 3 раза превышающие стандартное отклонение, должны указываться отдельно.</w:t>
      </w:r>
    </w:p>
    <w:bookmarkEnd w:id="6520"/>
    <w:bookmarkStart w:name="z6715" w:id="6521"/>
    <w:p>
      <w:pPr>
        <w:spacing w:after="0"/>
        <w:ind w:left="0"/>
        <w:jc w:val="both"/>
      </w:pPr>
      <w:r>
        <w:rPr>
          <w:rFonts w:ascii="Times New Roman"/>
          <w:b w:val="false"/>
          <w:i w:val="false"/>
          <w:color w:val="000000"/>
          <w:sz w:val="28"/>
        </w:rPr>
        <w:t>
      4.6. Безопасность применения препарата у особых групп населения.</w:t>
      </w:r>
    </w:p>
    <w:bookmarkEnd w:id="6521"/>
    <w:bookmarkStart w:name="z6716" w:id="6522"/>
    <w:p>
      <w:pPr>
        <w:spacing w:after="0"/>
        <w:ind w:left="0"/>
        <w:jc w:val="both"/>
      </w:pPr>
      <w:r>
        <w:rPr>
          <w:rFonts w:ascii="Times New Roman"/>
          <w:b w:val="false"/>
          <w:i w:val="false"/>
          <w:color w:val="000000"/>
          <w:sz w:val="28"/>
        </w:rPr>
        <w:t>
      Краткое резюме всей имеющейся информации, полученной по результатам доклинических и клинических исследований, для обоснования конкретных заявлений, изложенных в общей характеристике лекарственного препарата для медицинского применения (например, гендерные различия, риск применения у беременных женщин, ожидаемое или наблюдаемое действие у детей (в соответствующих возрастных группах), пожилых людей и т.п.).</w:t>
      </w:r>
    </w:p>
    <w:bookmarkEnd w:id="6522"/>
    <w:bookmarkStart w:name="z6717" w:id="6523"/>
    <w:p>
      <w:pPr>
        <w:spacing w:after="0"/>
        <w:ind w:left="0"/>
        <w:jc w:val="both"/>
      </w:pPr>
      <w:r>
        <w:rPr>
          <w:rFonts w:ascii="Times New Roman"/>
          <w:b w:val="false"/>
          <w:i w:val="false"/>
          <w:color w:val="000000"/>
          <w:sz w:val="28"/>
        </w:rPr>
        <w:t>
      Формулировка должна быть краткой, а подробные сведения, выходящие за рамки основной информации, следует указывать только при их актуальности для критической оценки. </w:t>
      </w:r>
    </w:p>
    <w:bookmarkEnd w:id="6523"/>
    <w:bookmarkStart w:name="z6718" w:id="6524"/>
    <w:p>
      <w:pPr>
        <w:spacing w:after="0"/>
        <w:ind w:left="0"/>
        <w:jc w:val="both"/>
      </w:pPr>
      <w:r>
        <w:rPr>
          <w:rFonts w:ascii="Times New Roman"/>
          <w:b w:val="false"/>
          <w:i w:val="false"/>
          <w:color w:val="000000"/>
          <w:sz w:val="28"/>
        </w:rPr>
        <w:t>
      4.7. Иммунологические явления.</w:t>
      </w:r>
    </w:p>
    <w:bookmarkEnd w:id="6524"/>
    <w:bookmarkStart w:name="z6719" w:id="6525"/>
    <w:p>
      <w:pPr>
        <w:spacing w:after="0"/>
        <w:ind w:left="0"/>
        <w:jc w:val="both"/>
      </w:pPr>
      <w:r>
        <w:rPr>
          <w:rFonts w:ascii="Times New Roman"/>
          <w:b w:val="false"/>
          <w:i w:val="false"/>
          <w:color w:val="000000"/>
          <w:sz w:val="28"/>
        </w:rPr>
        <w:t>
      В контексте обзора безопасности следует отметить образование антител (например, нейтрализующие антитела, аутоантитела, видовые антитела (например, HAMA (человеческие антимышиные антитела), HAHA (человеческий иммуноглобулин к гуманизированному антителу)) в случае выработки моноклональных антител. Необходимо прокомментировать актуальность (полезность) анализа. </w:t>
      </w:r>
    </w:p>
    <w:bookmarkEnd w:id="6525"/>
    <w:bookmarkStart w:name="z6720" w:id="6526"/>
    <w:p>
      <w:pPr>
        <w:spacing w:after="0"/>
        <w:ind w:left="0"/>
        <w:jc w:val="both"/>
      </w:pPr>
      <w:r>
        <w:rPr>
          <w:rFonts w:ascii="Times New Roman"/>
          <w:b w:val="false"/>
          <w:i w:val="false"/>
          <w:color w:val="000000"/>
          <w:sz w:val="28"/>
        </w:rPr>
        <w:t>
      4.8. Безопасность при лекарственных и других взаимодействиях.</w:t>
      </w:r>
    </w:p>
    <w:bookmarkEnd w:id="6526"/>
    <w:bookmarkStart w:name="z6721" w:id="6527"/>
    <w:p>
      <w:pPr>
        <w:spacing w:after="0"/>
        <w:ind w:left="0"/>
        <w:jc w:val="both"/>
      </w:pPr>
      <w:r>
        <w:rPr>
          <w:rFonts w:ascii="Times New Roman"/>
          <w:b w:val="false"/>
          <w:i w:val="false"/>
          <w:color w:val="000000"/>
          <w:sz w:val="28"/>
        </w:rPr>
        <w:t>
      В этом разделе должны быть указаны данные фармакокинетического и фармакодинамического взаимодействия, имеющие непосредственное отношение к безопасности. Также должны быть рассмотрены данные соответствующих клинических исследований безопасности при одновременном применении других препаратов.</w:t>
      </w:r>
    </w:p>
    <w:bookmarkEnd w:id="6527"/>
    <w:bookmarkStart w:name="z6722" w:id="6528"/>
    <w:p>
      <w:pPr>
        <w:spacing w:after="0"/>
        <w:ind w:left="0"/>
        <w:jc w:val="both"/>
      </w:pPr>
      <w:r>
        <w:rPr>
          <w:rFonts w:ascii="Times New Roman"/>
          <w:b w:val="false"/>
          <w:i w:val="false"/>
          <w:color w:val="000000"/>
          <w:sz w:val="28"/>
        </w:rPr>
        <w:t>
      4.9. Выход из исследования из-за нежелательных явлений.</w:t>
      </w:r>
    </w:p>
    <w:bookmarkEnd w:id="6528"/>
    <w:bookmarkStart w:name="z6723" w:id="6529"/>
    <w:p>
      <w:pPr>
        <w:spacing w:after="0"/>
        <w:ind w:left="0"/>
        <w:jc w:val="both"/>
      </w:pPr>
      <w:r>
        <w:rPr>
          <w:rFonts w:ascii="Times New Roman"/>
          <w:b w:val="false"/>
          <w:i w:val="false"/>
          <w:color w:val="000000"/>
          <w:sz w:val="28"/>
        </w:rPr>
        <w:t>
      Краткие данные, с возможным указанием перекрестных ссылок на таблицу регистрационного досье (2.7.4.5). </w:t>
      </w:r>
    </w:p>
    <w:bookmarkEnd w:id="6529"/>
    <w:bookmarkStart w:name="z6724" w:id="6530"/>
    <w:p>
      <w:pPr>
        <w:spacing w:after="0"/>
        <w:ind w:left="0"/>
        <w:jc w:val="both"/>
      </w:pPr>
      <w:r>
        <w:rPr>
          <w:rFonts w:ascii="Times New Roman"/>
          <w:b w:val="false"/>
          <w:i w:val="false"/>
          <w:color w:val="000000"/>
          <w:sz w:val="28"/>
        </w:rPr>
        <w:t>
      4.10. Исследования после выхода препарата на рынок.</w:t>
      </w:r>
    </w:p>
    <w:bookmarkEnd w:id="6530"/>
    <w:bookmarkStart w:name="z6725" w:id="6531"/>
    <w:p>
      <w:pPr>
        <w:spacing w:after="0"/>
        <w:ind w:left="0"/>
        <w:jc w:val="both"/>
      </w:pPr>
      <w:r>
        <w:rPr>
          <w:rFonts w:ascii="Times New Roman"/>
          <w:b w:val="false"/>
          <w:i w:val="false"/>
          <w:color w:val="000000"/>
          <w:sz w:val="28"/>
        </w:rPr>
        <w:t>
      Должна быть выделена новая информация в отношении исследований после выхода препарата на рынок.</w:t>
      </w:r>
    </w:p>
    <w:bookmarkEnd w:id="6531"/>
    <w:bookmarkStart w:name="z6726" w:id="6532"/>
    <w:p>
      <w:pPr>
        <w:spacing w:after="0"/>
        <w:ind w:left="0"/>
        <w:jc w:val="both"/>
      </w:pPr>
      <w:r>
        <w:rPr>
          <w:rFonts w:ascii="Times New Roman"/>
          <w:b w:val="false"/>
          <w:i w:val="false"/>
          <w:color w:val="000000"/>
          <w:sz w:val="28"/>
        </w:rPr>
        <w:t>
      4.11. Общее заключение эксперта по оценке клинической безопасности.</w:t>
      </w:r>
    </w:p>
    <w:bookmarkEnd w:id="6532"/>
    <w:bookmarkStart w:name="z6727" w:id="6533"/>
    <w:p>
      <w:pPr>
        <w:spacing w:after="0"/>
        <w:ind w:left="0"/>
        <w:jc w:val="both"/>
      </w:pPr>
      <w:r>
        <w:rPr>
          <w:rFonts w:ascii="Times New Roman"/>
          <w:b w:val="false"/>
          <w:i w:val="false"/>
          <w:color w:val="000000"/>
          <w:sz w:val="28"/>
        </w:rPr>
        <w:t>
      4.11.1. Выводы по клинической эффективности.</w:t>
      </w:r>
    </w:p>
    <w:bookmarkEnd w:id="6533"/>
    <w:bookmarkStart w:name="z6728" w:id="6534"/>
    <w:p>
      <w:pPr>
        <w:spacing w:after="0"/>
        <w:ind w:left="0"/>
        <w:jc w:val="both"/>
      </w:pPr>
      <w:r>
        <w:rPr>
          <w:rFonts w:ascii="Times New Roman"/>
          <w:b w:val="false"/>
          <w:i w:val="false"/>
          <w:color w:val="000000"/>
          <w:sz w:val="28"/>
        </w:rPr>
        <w:t>
      Обсуждение результатов часто является наиболее важной частью отчета по критической оценке. С точки зрения структуры обсуждение выводов должно в принципе соответствовать схеме изложения результатов, описанной выше.</w:t>
      </w:r>
    </w:p>
    <w:bookmarkEnd w:id="6534"/>
    <w:bookmarkStart w:name="z6729" w:id="6535"/>
    <w:p>
      <w:pPr>
        <w:spacing w:after="0"/>
        <w:ind w:left="0"/>
        <w:jc w:val="both"/>
      </w:pPr>
      <w:r>
        <w:rPr>
          <w:rFonts w:ascii="Times New Roman"/>
          <w:b w:val="false"/>
          <w:i w:val="false"/>
          <w:color w:val="000000"/>
          <w:sz w:val="28"/>
        </w:rPr>
        <w:t>
      Необходимо обеспечить максимально возможную точность и краткость изложения (часто обсуждение результатов характеризуется пространными выражениями и многословностью, но истинный смысл данных до читателя не доносится).</w:t>
      </w:r>
    </w:p>
    <w:bookmarkEnd w:id="6535"/>
    <w:bookmarkStart w:name="z6730" w:id="6536"/>
    <w:p>
      <w:pPr>
        <w:spacing w:after="0"/>
        <w:ind w:left="0"/>
        <w:jc w:val="both"/>
      </w:pPr>
      <w:r>
        <w:rPr>
          <w:rFonts w:ascii="Times New Roman"/>
          <w:b w:val="false"/>
          <w:i w:val="false"/>
          <w:color w:val="000000"/>
          <w:sz w:val="28"/>
        </w:rPr>
        <w:t>
      При обсуждении результатов по каждому разделу рассмотрению подлежат следующие вопросы:</w:t>
      </w:r>
    </w:p>
    <w:bookmarkEnd w:id="6536"/>
    <w:bookmarkStart w:name="z6731" w:id="6537"/>
    <w:p>
      <w:pPr>
        <w:spacing w:after="0"/>
        <w:ind w:left="0"/>
        <w:jc w:val="both"/>
      </w:pPr>
      <w:r>
        <w:rPr>
          <w:rFonts w:ascii="Times New Roman"/>
          <w:b w:val="false"/>
          <w:i w:val="false"/>
          <w:color w:val="000000"/>
          <w:sz w:val="28"/>
        </w:rPr>
        <w:t>
      наиболее важные выводы и недостатки, изложенные выше (повторное изложение результатов не допускается). Необходимо представить обзор согласованности результатов и обобщить имеющиеся выводы каждого заключения;</w:t>
      </w:r>
    </w:p>
    <w:bookmarkEnd w:id="6537"/>
    <w:bookmarkStart w:name="z6732" w:id="6538"/>
    <w:p>
      <w:pPr>
        <w:spacing w:after="0"/>
        <w:ind w:left="0"/>
        <w:jc w:val="both"/>
      </w:pPr>
      <w:r>
        <w:rPr>
          <w:rFonts w:ascii="Times New Roman"/>
          <w:b w:val="false"/>
          <w:i w:val="false"/>
          <w:color w:val="000000"/>
          <w:sz w:val="28"/>
        </w:rPr>
        <w:t>
      соответствие (несоответствие) представленных данных имеющимся требованиям;</w:t>
      </w:r>
    </w:p>
    <w:bookmarkEnd w:id="6538"/>
    <w:bookmarkStart w:name="z6733" w:id="6539"/>
    <w:p>
      <w:pPr>
        <w:spacing w:after="0"/>
        <w:ind w:left="0"/>
        <w:jc w:val="both"/>
      </w:pPr>
      <w:r>
        <w:rPr>
          <w:rFonts w:ascii="Times New Roman"/>
          <w:b w:val="false"/>
          <w:i w:val="false"/>
          <w:color w:val="000000"/>
          <w:sz w:val="28"/>
        </w:rPr>
        <w:t>
      основные возникшие вопросы, и в каком объеме они должны быть решены;</w:t>
      </w:r>
    </w:p>
    <w:bookmarkEnd w:id="6539"/>
    <w:bookmarkStart w:name="z6734" w:id="6540"/>
    <w:p>
      <w:pPr>
        <w:spacing w:after="0"/>
        <w:ind w:left="0"/>
        <w:jc w:val="both"/>
      </w:pPr>
      <w:r>
        <w:rPr>
          <w:rFonts w:ascii="Times New Roman"/>
          <w:b w:val="false"/>
          <w:i w:val="false"/>
          <w:color w:val="000000"/>
          <w:sz w:val="28"/>
        </w:rPr>
        <w:t>
      важные вопросы, подлежащие рассмотрению расширенным составом экспертов уполномоченной экспертной организации государства-члена для обсуждения;</w:t>
      </w:r>
    </w:p>
    <w:bookmarkEnd w:id="6540"/>
    <w:bookmarkStart w:name="z6735" w:id="6541"/>
    <w:p>
      <w:pPr>
        <w:spacing w:after="0"/>
        <w:ind w:left="0"/>
        <w:jc w:val="both"/>
      </w:pPr>
      <w:r>
        <w:rPr>
          <w:rFonts w:ascii="Times New Roman"/>
          <w:b w:val="false"/>
          <w:i w:val="false"/>
          <w:color w:val="000000"/>
          <w:sz w:val="28"/>
        </w:rPr>
        <w:t>
      какая информация должна быть отражена в общей характеристике лекарственного препарата для медицинского применения и в заключении;</w:t>
      </w:r>
    </w:p>
    <w:bookmarkEnd w:id="6541"/>
    <w:bookmarkStart w:name="z6736" w:id="6542"/>
    <w:p>
      <w:pPr>
        <w:spacing w:after="0"/>
        <w:ind w:left="0"/>
        <w:jc w:val="both"/>
      </w:pPr>
      <w:r>
        <w:rPr>
          <w:rFonts w:ascii="Times New Roman"/>
          <w:b w:val="false"/>
          <w:i w:val="false"/>
          <w:color w:val="000000"/>
          <w:sz w:val="28"/>
        </w:rPr>
        <w:t>
      какие ключевые выводы (или неопределенности) должны входить в обзор соотношения польза - риск.</w:t>
      </w:r>
    </w:p>
    <w:bookmarkEnd w:id="6542"/>
    <w:bookmarkStart w:name="z6737" w:id="6543"/>
    <w:p>
      <w:pPr>
        <w:spacing w:after="0"/>
        <w:ind w:left="0"/>
        <w:jc w:val="both"/>
      </w:pPr>
      <w:r>
        <w:rPr>
          <w:rFonts w:ascii="Times New Roman"/>
          <w:b w:val="false"/>
          <w:i w:val="false"/>
          <w:color w:val="000000"/>
          <w:sz w:val="28"/>
        </w:rPr>
        <w:t>
      4.11.1.1. Конкретные вопросы для обсуждения.</w:t>
      </w:r>
    </w:p>
    <w:bookmarkEnd w:id="6543"/>
    <w:bookmarkStart w:name="z6738" w:id="6544"/>
    <w:p>
      <w:pPr>
        <w:spacing w:after="0"/>
        <w:ind w:left="0"/>
        <w:jc w:val="both"/>
      </w:pPr>
      <w:r>
        <w:rPr>
          <w:rFonts w:ascii="Times New Roman"/>
          <w:b w:val="false"/>
          <w:i w:val="false"/>
          <w:color w:val="000000"/>
          <w:sz w:val="28"/>
        </w:rPr>
        <w:t>
      Влияние лекарственного препарата на пациента: описание каких-либо ограничений в базе данных по безопасности в отношении предлагаемой целевой группы населения.</w:t>
      </w:r>
    </w:p>
    <w:bookmarkEnd w:id="6544"/>
    <w:bookmarkStart w:name="z6739" w:id="6545"/>
    <w:p>
      <w:pPr>
        <w:spacing w:after="0"/>
        <w:ind w:left="0"/>
        <w:jc w:val="both"/>
      </w:pPr>
      <w:r>
        <w:rPr>
          <w:rFonts w:ascii="Times New Roman"/>
          <w:b w:val="false"/>
          <w:i w:val="false"/>
          <w:color w:val="000000"/>
          <w:sz w:val="28"/>
        </w:rPr>
        <w:t>
      Какие выводы (или сведения об отсутствии информации) отражены в общей характеристике лекарственного препарата для медицинского применения. Необходимо убедиться в соответствии данных сведениям, указанным в краткой характеристике лекарственного препарата для медицинского применения (например, в зависимости от обстоятельств, разделы 4.3 "Противопоказания", 4.4 "Особые указания", 4.7 "Влияние на способность управлять автомобилем и использовать механические средства", 4.8 "Нежелательные эффекты", 4.9 "Передозировка") и, в том числе, что вся информация в краткой характеристике лекарственного препарата для медицинского применения была подвергнута надлежащей экспертизе и научному анализу.</w:t>
      </w:r>
    </w:p>
    <w:bookmarkEnd w:id="6545"/>
    <w:bookmarkStart w:name="z6740" w:id="6546"/>
    <w:p>
      <w:pPr>
        <w:spacing w:after="0"/>
        <w:ind w:left="0"/>
        <w:jc w:val="both"/>
      </w:pPr>
      <w:r>
        <w:rPr>
          <w:rFonts w:ascii="Times New Roman"/>
          <w:b w:val="false"/>
          <w:i w:val="false"/>
          <w:color w:val="000000"/>
          <w:sz w:val="28"/>
        </w:rPr>
        <w:t>
      Описание профиля безопасности лекарственного препарата и изученной степени безопасности.</w:t>
      </w:r>
    </w:p>
    <w:bookmarkEnd w:id="6546"/>
    <w:bookmarkStart w:name="z6741" w:id="6547"/>
    <w:p>
      <w:pPr>
        <w:spacing w:after="0"/>
        <w:ind w:left="0"/>
        <w:jc w:val="both"/>
      </w:pPr>
      <w:r>
        <w:rPr>
          <w:rFonts w:ascii="Times New Roman"/>
          <w:b w:val="false"/>
          <w:i w:val="false"/>
          <w:color w:val="000000"/>
          <w:sz w:val="28"/>
        </w:rPr>
        <w:t>
      Соответствие профиля безопасности прогнозированному профилю безопасности на этапе доклинических исследований и известным классам эффектов.</w:t>
      </w:r>
    </w:p>
    <w:bookmarkEnd w:id="6547"/>
    <w:bookmarkStart w:name="z6742" w:id="6548"/>
    <w:p>
      <w:pPr>
        <w:spacing w:after="0"/>
        <w:ind w:left="0"/>
        <w:jc w:val="both"/>
      </w:pPr>
      <w:r>
        <w:rPr>
          <w:rFonts w:ascii="Times New Roman"/>
          <w:b w:val="false"/>
          <w:i w:val="false"/>
          <w:color w:val="000000"/>
          <w:sz w:val="28"/>
        </w:rPr>
        <w:t>
      В применимых случаях необходимо описать соответствующие аспекты безопасности, специфичные для применения препарата у детей по возрастным группам с указанием взаимосвязи этих данных с рекомендациями, приведенными в краткой характеристике лекарственного препарата. Имеются ли какие-либо конкретные (серьезные) нежелательные побочные реакции и (или) требования к мониторингу.</w:t>
      </w:r>
    </w:p>
    <w:bookmarkEnd w:id="6548"/>
    <w:bookmarkStart w:name="z6743" w:id="6549"/>
    <w:p>
      <w:pPr>
        <w:spacing w:after="0"/>
        <w:ind w:left="0"/>
        <w:jc w:val="both"/>
      </w:pPr>
      <w:r>
        <w:rPr>
          <w:rFonts w:ascii="Times New Roman"/>
          <w:b w:val="false"/>
          <w:i w:val="false"/>
          <w:color w:val="000000"/>
          <w:sz w:val="28"/>
        </w:rPr>
        <w:t>
      Достаточны ли данные долгосрочного исследования. Имеются ли каких-либо неподтвержденные данные, подлежащие подтверждению после выдачи регистрационного удостоверения, и отражено ли это в общей характеристике лекарственного препарата для медицинского применения. Существует ли необходимость в проведении дополнительных исследований (контрольных мероприятий) после выдачи регистрационного удостоверения.</w:t>
      </w:r>
    </w:p>
    <w:bookmarkEnd w:id="6549"/>
    <w:bookmarkStart w:name="z6744" w:id="6550"/>
    <w:p>
      <w:pPr>
        <w:spacing w:after="0"/>
        <w:ind w:left="0"/>
        <w:jc w:val="both"/>
      </w:pPr>
      <w:r>
        <w:rPr>
          <w:rFonts w:ascii="Times New Roman"/>
          <w:b w:val="false"/>
          <w:i w:val="false"/>
          <w:color w:val="000000"/>
          <w:sz w:val="28"/>
        </w:rPr>
        <w:t>
      В отношении биоаналогов-биосимиляров в однозначной форме необходимо отразить сравнительный характер полученных результатов исследования с выбранным эталонным лекарственным препаратом.</w:t>
      </w:r>
    </w:p>
    <w:bookmarkEnd w:id="6550"/>
    <w:bookmarkStart w:name="z6745" w:id="6551"/>
    <w:p>
      <w:pPr>
        <w:spacing w:after="0"/>
        <w:ind w:left="0"/>
        <w:jc w:val="both"/>
      </w:pPr>
      <w:r>
        <w:rPr>
          <w:rFonts w:ascii="Times New Roman"/>
          <w:b w:val="false"/>
          <w:i w:val="false"/>
          <w:color w:val="000000"/>
          <w:sz w:val="28"/>
        </w:rPr>
        <w:t>
      4.11.2. Выводы по клинической безопасности.</w:t>
      </w:r>
    </w:p>
    <w:bookmarkEnd w:id="6551"/>
    <w:bookmarkStart w:name="z6746" w:id="6552"/>
    <w:p>
      <w:pPr>
        <w:spacing w:after="0"/>
        <w:ind w:left="0"/>
        <w:jc w:val="both"/>
      </w:pPr>
      <w:r>
        <w:rPr>
          <w:rFonts w:ascii="Times New Roman"/>
          <w:b w:val="false"/>
          <w:i w:val="false"/>
          <w:color w:val="000000"/>
          <w:sz w:val="28"/>
        </w:rPr>
        <w:t>
      В данном разделе должны быть представлены краткие выводы, которые можно сделать на основании рассмотрения документации по исследованию клинической безопасности (например, наиболее частые неблагоприятные реакции на лекарственное средство и другие существенные вопросы, касающиеся безопасности).</w:t>
      </w:r>
    </w:p>
    <w:bookmarkEnd w:id="6552"/>
    <w:bookmarkStart w:name="z6747" w:id="6553"/>
    <w:p>
      <w:pPr>
        <w:spacing w:after="0"/>
        <w:ind w:left="0"/>
        <w:jc w:val="both"/>
      </w:pPr>
      <w:r>
        <w:rPr>
          <w:rFonts w:ascii="Times New Roman"/>
          <w:b w:val="false"/>
          <w:i w:val="false"/>
          <w:color w:val="000000"/>
          <w:sz w:val="28"/>
        </w:rPr>
        <w:t>
      5. Фармаконадзор.</w:t>
      </w:r>
    </w:p>
    <w:bookmarkEnd w:id="6553"/>
    <w:bookmarkStart w:name="z6748" w:id="6554"/>
    <w:p>
      <w:pPr>
        <w:spacing w:after="0"/>
        <w:ind w:left="0"/>
        <w:jc w:val="both"/>
      </w:pPr>
      <w:r>
        <w:rPr>
          <w:rFonts w:ascii="Times New Roman"/>
          <w:b w:val="false"/>
          <w:i w:val="false"/>
          <w:color w:val="000000"/>
          <w:sz w:val="28"/>
        </w:rPr>
        <w:t>
      5.1. Система фармаконадзора.</w:t>
      </w:r>
    </w:p>
    <w:bookmarkEnd w:id="6554"/>
    <w:bookmarkStart w:name="z6749" w:id="6555"/>
    <w:p>
      <w:pPr>
        <w:spacing w:after="0"/>
        <w:ind w:left="0"/>
        <w:jc w:val="both"/>
      </w:pPr>
      <w:r>
        <w:rPr>
          <w:rFonts w:ascii="Times New Roman"/>
          <w:b w:val="false"/>
          <w:i w:val="false"/>
          <w:color w:val="000000"/>
          <w:sz w:val="28"/>
        </w:rPr>
        <w:t>
      Будущий держатель регистрационного удостоверения должен обеспечить наличие и надлежащее функционирование системы фармаконадзора до размещения продукта на рынке и в течение всего периода его продаж.</w:t>
      </w:r>
    </w:p>
    <w:bookmarkEnd w:id="6555"/>
    <w:bookmarkStart w:name="z6750" w:id="6556"/>
    <w:p>
      <w:pPr>
        <w:spacing w:after="0"/>
        <w:ind w:left="0"/>
        <w:jc w:val="both"/>
      </w:pPr>
      <w:r>
        <w:rPr>
          <w:rFonts w:ascii="Times New Roman"/>
          <w:b w:val="false"/>
          <w:i w:val="false"/>
          <w:color w:val="000000"/>
          <w:sz w:val="28"/>
        </w:rPr>
        <w:t>
      Заявитель представляет документы, в которых приведено подробное описание системы фармаконадзора и заявление, подписанное заявителем и квалифицированным специалистом по фармаконадзору с указанием того, что заявитель пользуется услугами квалифицированного специалиста, ответственного за обеспечение фармаконадзора, и располагает необходимыми средствами для уведомления о каких-либо нежелательных реакциях, которые могут быть обнаружены либо в государствах-членах, либо в третьих странах.</w:t>
      </w:r>
    </w:p>
    <w:bookmarkEnd w:id="6556"/>
    <w:bookmarkStart w:name="z6751" w:id="6557"/>
    <w:p>
      <w:pPr>
        <w:spacing w:after="0"/>
        <w:ind w:left="0"/>
        <w:jc w:val="both"/>
      </w:pPr>
      <w:r>
        <w:rPr>
          <w:rFonts w:ascii="Times New Roman"/>
          <w:b w:val="false"/>
          <w:i w:val="false"/>
          <w:color w:val="000000"/>
          <w:sz w:val="28"/>
        </w:rPr>
        <w:t>
      5.1.1. Ключевые вопросы для рассмотрения экспертом по оценке.</w:t>
      </w:r>
    </w:p>
    <w:bookmarkEnd w:id="6557"/>
    <w:bookmarkStart w:name="z6752" w:id="6558"/>
    <w:p>
      <w:pPr>
        <w:spacing w:after="0"/>
        <w:ind w:left="0"/>
        <w:jc w:val="both"/>
      </w:pPr>
      <w:r>
        <w:rPr>
          <w:rFonts w:ascii="Times New Roman"/>
          <w:b w:val="false"/>
          <w:i w:val="false"/>
          <w:color w:val="000000"/>
          <w:sz w:val="28"/>
        </w:rPr>
        <w:t>
      Представлены ли различные элементы системы, указанные в Правилах надлежащей практики фармаконадзора Союза, и, если нет, то насколько обосновано их отсутствие? В надлежащем ли порядке рассмотрены отсутствующие элементы системы или элементы, указанные как запланированные для внедрения (подлежащие внедрению до размещения продукта на рынке), и подлежат ли они включению в перечень объектов последующих контрольных мероприятий (насколько реалистичны данные обязательства).</w:t>
      </w:r>
    </w:p>
    <w:bookmarkEnd w:id="6558"/>
    <w:bookmarkStart w:name="z6753" w:id="6559"/>
    <w:p>
      <w:pPr>
        <w:spacing w:after="0"/>
        <w:ind w:left="0"/>
        <w:jc w:val="both"/>
      </w:pPr>
      <w:r>
        <w:rPr>
          <w:rFonts w:ascii="Times New Roman"/>
          <w:b w:val="false"/>
          <w:i w:val="false"/>
          <w:color w:val="000000"/>
          <w:sz w:val="28"/>
        </w:rPr>
        <w:t>
      Является ли данный продукт первым продуктом, который компания планирует размещать на рынке, и какова степень его готовности? Если это не первый продукт, имеются ли сведения, касающиеся проблемных вопросов соблюдения необходимых норм в индивидуальных отчетах о безопасности или периодических отчетах по безопасности применения других препаратов (иными словами, имеются ли признаки ненадлежащего функционирования системы, применяемой компанией).</w:t>
      </w:r>
    </w:p>
    <w:bookmarkEnd w:id="6559"/>
    <w:bookmarkStart w:name="z6754" w:id="6560"/>
    <w:p>
      <w:pPr>
        <w:spacing w:after="0"/>
        <w:ind w:left="0"/>
        <w:jc w:val="both"/>
      </w:pPr>
      <w:r>
        <w:rPr>
          <w:rFonts w:ascii="Times New Roman"/>
          <w:b w:val="false"/>
          <w:i w:val="false"/>
          <w:color w:val="000000"/>
          <w:sz w:val="28"/>
        </w:rPr>
        <w:t>
      Имеются ли данные предыдущих инспекций системы фармаконадзора, в частности, свидетельствующие о наличии проблем, или такие данные отсутствуют (как правило, это применимо в отношении ближайшего будущего, но с течением времени теряет свою актуальность).</w:t>
      </w:r>
    </w:p>
    <w:bookmarkEnd w:id="6560"/>
    <w:bookmarkStart w:name="z6755" w:id="6561"/>
    <w:p>
      <w:pPr>
        <w:spacing w:after="0"/>
        <w:ind w:left="0"/>
        <w:jc w:val="both"/>
      </w:pPr>
      <w:r>
        <w:rPr>
          <w:rFonts w:ascii="Times New Roman"/>
          <w:b w:val="false"/>
          <w:i w:val="false"/>
          <w:color w:val="000000"/>
          <w:sz w:val="28"/>
        </w:rPr>
        <w:t>
      Можно ли судить об описанной системе фармаконадзора как о системе, способной проводить обработку прогнозируемого объема отчетов по безопасности в отношении данного препарата, или же она кажется "слишком маломасштабной" для обеспечения такой обработки. Характеризуется ли препарат более высоким показателем соотношения польза - риск в сравнении с предыдущими препаратами владельца регистрационного удостоверения.</w:t>
      </w:r>
    </w:p>
    <w:bookmarkEnd w:id="6561"/>
    <w:bookmarkStart w:name="z6756" w:id="6562"/>
    <w:p>
      <w:pPr>
        <w:spacing w:after="0"/>
        <w:ind w:left="0"/>
        <w:jc w:val="both"/>
      </w:pPr>
      <w:r>
        <w:rPr>
          <w:rFonts w:ascii="Times New Roman"/>
          <w:b w:val="false"/>
          <w:i w:val="false"/>
          <w:color w:val="000000"/>
          <w:sz w:val="28"/>
        </w:rPr>
        <w:t>
      Включает ли в себя организация деятельности компании сложный комплекс субподрядчиков и партнеров по лицензированию и т.п., то есть систему с множеством подразделений (нередко это самые слабые стороны организационного процесса).</w:t>
      </w:r>
    </w:p>
    <w:bookmarkEnd w:id="6562"/>
    <w:bookmarkStart w:name="z6757" w:id="6563"/>
    <w:p>
      <w:pPr>
        <w:spacing w:after="0"/>
        <w:ind w:left="0"/>
        <w:jc w:val="both"/>
      </w:pPr>
      <w:r>
        <w:rPr>
          <w:rFonts w:ascii="Times New Roman"/>
          <w:b w:val="false"/>
          <w:i w:val="false"/>
          <w:color w:val="000000"/>
          <w:sz w:val="28"/>
        </w:rPr>
        <w:t>
      Претерпела ли компания недавнее слияние.</w:t>
      </w:r>
    </w:p>
    <w:bookmarkEnd w:id="6563"/>
    <w:bookmarkStart w:name="z6758" w:id="6564"/>
    <w:p>
      <w:pPr>
        <w:spacing w:after="0"/>
        <w:ind w:left="0"/>
        <w:jc w:val="both"/>
      </w:pPr>
      <w:r>
        <w:rPr>
          <w:rFonts w:ascii="Times New Roman"/>
          <w:b w:val="false"/>
          <w:i w:val="false"/>
          <w:color w:val="000000"/>
          <w:sz w:val="28"/>
        </w:rPr>
        <w:t>
      Характеризуется ли лицензионная деятельность высокой специфичностью в отношении препарата (что подразумевает отсутствие проверок, даже если речь идет о хорошо организованных компаниях (субподрядчиках)).</w:t>
      </w:r>
    </w:p>
    <w:bookmarkEnd w:id="6564"/>
    <w:bookmarkStart w:name="z6759" w:id="6565"/>
    <w:p>
      <w:pPr>
        <w:spacing w:after="0"/>
        <w:ind w:left="0"/>
        <w:jc w:val="both"/>
      </w:pPr>
      <w:r>
        <w:rPr>
          <w:rFonts w:ascii="Times New Roman"/>
          <w:b w:val="false"/>
          <w:i w:val="false"/>
          <w:color w:val="000000"/>
          <w:sz w:val="28"/>
        </w:rPr>
        <w:t>
      Является ли данная информация описанием существующей системы или системы, внедрение которой планируется при допуске препарата для реализации на рынке (это будет, скорее всего, применимо в отношении первых продуктов, или совершенно новых, либо разных лицензионных соглашений).</w:t>
      </w:r>
    </w:p>
    <w:bookmarkEnd w:id="6565"/>
    <w:bookmarkStart w:name="z6760" w:id="6566"/>
    <w:p>
      <w:pPr>
        <w:spacing w:after="0"/>
        <w:ind w:left="0"/>
        <w:jc w:val="both"/>
      </w:pPr>
      <w:r>
        <w:rPr>
          <w:rFonts w:ascii="Times New Roman"/>
          <w:b w:val="false"/>
          <w:i w:val="false"/>
          <w:color w:val="000000"/>
          <w:sz w:val="28"/>
        </w:rPr>
        <w:t>
      Представляет ли собой данное описание значительные изменения в существующей системе.</w:t>
      </w:r>
    </w:p>
    <w:bookmarkEnd w:id="6566"/>
    <w:bookmarkStart w:name="z6761" w:id="6567"/>
    <w:p>
      <w:pPr>
        <w:spacing w:after="0"/>
        <w:ind w:left="0"/>
        <w:jc w:val="both"/>
      </w:pPr>
      <w:r>
        <w:rPr>
          <w:rFonts w:ascii="Times New Roman"/>
          <w:b w:val="false"/>
          <w:i w:val="false"/>
          <w:color w:val="000000"/>
          <w:sz w:val="28"/>
        </w:rPr>
        <w:t>
      Организована ли у субподрядчиков работа квалифицированного специалиста. Если да, то есть ли какие-либо признаки, что данный субподрядчик оказывает влияние на систему фармаконадзора.</w:t>
      </w:r>
    </w:p>
    <w:bookmarkEnd w:id="6567"/>
    <w:bookmarkStart w:name="z6762" w:id="6568"/>
    <w:p>
      <w:pPr>
        <w:spacing w:after="0"/>
        <w:ind w:left="0"/>
        <w:jc w:val="both"/>
      </w:pPr>
      <w:r>
        <w:rPr>
          <w:rFonts w:ascii="Times New Roman"/>
          <w:b w:val="false"/>
          <w:i w:val="false"/>
          <w:color w:val="000000"/>
          <w:sz w:val="28"/>
        </w:rPr>
        <w:t>
      Есть ли другая информация, ставящая под сомнение соответствие описанной системы имеющимся требованиям (например, информация, полученная из других органов, известные проблемы в отношении конкретного подрядчика, программного обеспечения и т.п.).</w:t>
      </w:r>
    </w:p>
    <w:bookmarkEnd w:id="6568"/>
    <w:bookmarkStart w:name="z6763" w:id="6569"/>
    <w:p>
      <w:pPr>
        <w:spacing w:after="0"/>
        <w:ind w:left="0"/>
        <w:jc w:val="both"/>
      </w:pPr>
      <w:r>
        <w:rPr>
          <w:rFonts w:ascii="Times New Roman"/>
          <w:b w:val="false"/>
          <w:i w:val="false"/>
          <w:color w:val="000000"/>
          <w:sz w:val="28"/>
        </w:rPr>
        <w:t>
      Рекомендована ли для проведения инспекция системы фармаконадзора вскоре после допуска препарата на рынок с целью устранения некоторых из указанных несоответствий.</w:t>
      </w:r>
    </w:p>
    <w:bookmarkEnd w:id="6569"/>
    <w:bookmarkStart w:name="z6764" w:id="6570"/>
    <w:p>
      <w:pPr>
        <w:spacing w:after="0"/>
        <w:ind w:left="0"/>
        <w:jc w:val="both"/>
      </w:pPr>
      <w:r>
        <w:rPr>
          <w:rFonts w:ascii="Times New Roman"/>
          <w:b w:val="false"/>
          <w:i w:val="false"/>
          <w:color w:val="000000"/>
          <w:sz w:val="28"/>
        </w:rPr>
        <w:t>
      Другие возникающие вопросы.</w:t>
      </w:r>
    </w:p>
    <w:bookmarkEnd w:id="6570"/>
    <w:bookmarkStart w:name="z6765" w:id="6571"/>
    <w:p>
      <w:pPr>
        <w:spacing w:after="0"/>
        <w:ind w:left="0"/>
        <w:jc w:val="both"/>
      </w:pPr>
      <w:r>
        <w:rPr>
          <w:rFonts w:ascii="Times New Roman"/>
          <w:b w:val="false"/>
          <w:i w:val="false"/>
          <w:color w:val="000000"/>
          <w:sz w:val="28"/>
        </w:rPr>
        <w:t>
      В содержание отчета могут быть включены следующие заявления:</w:t>
      </w:r>
    </w:p>
    <w:bookmarkEnd w:id="6571"/>
    <w:bookmarkStart w:name="z6766" w:id="6572"/>
    <w:p>
      <w:pPr>
        <w:spacing w:after="0"/>
        <w:ind w:left="0"/>
        <w:jc w:val="both"/>
      </w:pPr>
      <w:r>
        <w:rPr>
          <w:rFonts w:ascii="Times New Roman"/>
          <w:b w:val="false"/>
          <w:i w:val="false"/>
          <w:color w:val="000000"/>
          <w:sz w:val="28"/>
        </w:rPr>
        <w:t>
      заявитель представил документы, в которых изложено подробное описание системы фармаконадзора. Заявление для фармаконадзора, подписанное заявителем и уполномоченным лицом, при этом в нем указано, что заявителю предоставляются услуги уполномоченного лица, ответственного за фармаконадзор, и предоставлены необходимые средства для извещения о любой нежелательной реакции, возникающей в государствах-членах, либо в третьей стране;</w:t>
      </w:r>
    </w:p>
    <w:bookmarkEnd w:id="6572"/>
    <w:bookmarkStart w:name="z6767" w:id="6573"/>
    <w:p>
      <w:pPr>
        <w:spacing w:after="0"/>
        <w:ind w:left="0"/>
        <w:jc w:val="both"/>
      </w:pPr>
      <w:r>
        <w:rPr>
          <w:rFonts w:ascii="Times New Roman"/>
          <w:b w:val="false"/>
          <w:i w:val="false"/>
          <w:color w:val="000000"/>
          <w:sz w:val="28"/>
        </w:rPr>
        <w:t>
      эксперт считает, что система фармаконадзора, которая описана заявителем, удовлетворяет требованиям, и представляет надлежащее доказательство того, что заявителю предоставляются услуги уполномоченного лица, ответственного за фармаконадзор, и имеются необходимые средства для извещения о любой предполагаемой нежелательной реакции, возникающей в государствах-членах, либо в третьей стране. Если в описании системы фармаконадзора имеются нерешенные вопросы, которые необходимо решить и выполнить до допуска лекарственного препарата к реализации на рынке, то они должны быть указаны в качестве вопросов в перечне вопросов и (или) в качестве объектов последующих контрольных мероприятий в модуле сводного экспертного отчета "Оценка безопасности, качества, эффективности". При обнаружении недостатков в описании системы фармаконадзора или при отсутствии квалифицированного специалиста и средств сообщения о побочных реакциях, в зависимости от серьезности недостатков в отчет должен быть включен один из следующих пунктов:</w:t>
      </w:r>
    </w:p>
    <w:bookmarkEnd w:id="6573"/>
    <w:bookmarkStart w:name="z6768" w:id="6574"/>
    <w:p>
      <w:pPr>
        <w:spacing w:after="0"/>
        <w:ind w:left="0"/>
        <w:jc w:val="both"/>
      </w:pPr>
      <w:r>
        <w:rPr>
          <w:rFonts w:ascii="Times New Roman"/>
          <w:b w:val="false"/>
          <w:i w:val="false"/>
          <w:color w:val="000000"/>
          <w:sz w:val="28"/>
        </w:rPr>
        <w:t>
      эксперт считает, что система фармаконадзора, которая описана заявителем, имеет следующие недостатки: далее перечень недостатков;</w:t>
      </w:r>
    </w:p>
    <w:bookmarkEnd w:id="6574"/>
    <w:bookmarkStart w:name="z6769" w:id="6575"/>
    <w:p>
      <w:pPr>
        <w:spacing w:after="0"/>
        <w:ind w:left="0"/>
        <w:jc w:val="both"/>
      </w:pPr>
      <w:r>
        <w:rPr>
          <w:rFonts w:ascii="Times New Roman"/>
          <w:b w:val="false"/>
          <w:i w:val="false"/>
          <w:color w:val="000000"/>
          <w:sz w:val="28"/>
        </w:rPr>
        <w:t>
      с учетом того, что недостатки устраняются до того, как заявитель выводит лекарственный препарат на рынок, уполномоченная экспертная организация может считать, что система фармаконадзора будет соответствовать требованиям. Прежде чем препарат поступит на рынок, заявитель должен представить убедительные данные, что система фармаконадзора принята и функционирует.</w:t>
      </w:r>
    </w:p>
    <w:bookmarkEnd w:id="6575"/>
    <w:bookmarkStart w:name="z6770" w:id="6576"/>
    <w:p>
      <w:pPr>
        <w:spacing w:after="0"/>
        <w:ind w:left="0"/>
        <w:jc w:val="both"/>
      </w:pPr>
      <w:r>
        <w:rPr>
          <w:rFonts w:ascii="Times New Roman"/>
          <w:b w:val="false"/>
          <w:i w:val="false"/>
          <w:color w:val="000000"/>
          <w:sz w:val="28"/>
        </w:rPr>
        <w:t>
      5.2. План управления рисками.</w:t>
      </w:r>
    </w:p>
    <w:bookmarkEnd w:id="6576"/>
    <w:bookmarkStart w:name="z6771" w:id="6577"/>
    <w:p>
      <w:pPr>
        <w:spacing w:after="0"/>
        <w:ind w:left="0"/>
        <w:jc w:val="both"/>
      </w:pPr>
      <w:r>
        <w:rPr>
          <w:rFonts w:ascii="Times New Roman"/>
          <w:b w:val="false"/>
          <w:i w:val="false"/>
          <w:color w:val="000000"/>
          <w:sz w:val="28"/>
        </w:rPr>
        <w:t>
      К 80-му дню эксперт должен выполнить первую общую оценку заявления для выявления каких-либо серьезных проблемных вопросов в плане управления рисками. Для оказания помощи и предоставления рекомендаций эксперту может быть выделен специалист в области фармаконадзора (какие-либо конкретные вопросы и проблемы, определенные в процессе критической оценки досье, которые могли бы повлиять на план управления рисками). Сюда входят определенные выводы по доклинической безопасности, недостаточность досье по клинической фармакологии, потенциальные риски безопасности, выявленные из данных клинических испытаний и т.п. На этом этапе особенно важно идентифицировать проблемы безопасности (важные выявленные риски, важные потенциальные риски, важную недостающую информацию). Это тем более важно, если данные вопросы не были описаны заявителем в досье и, следовательно, вряд ли будут отражены в плане управления рисками.</w:t>
      </w:r>
    </w:p>
    <w:bookmarkEnd w:id="6577"/>
    <w:bookmarkStart w:name="z6772" w:id="6578"/>
    <w:p>
      <w:pPr>
        <w:spacing w:after="0"/>
        <w:ind w:left="0"/>
        <w:jc w:val="both"/>
      </w:pPr>
      <w:r>
        <w:rPr>
          <w:rFonts w:ascii="Times New Roman"/>
          <w:b w:val="false"/>
          <w:i w:val="false"/>
          <w:color w:val="000000"/>
          <w:sz w:val="28"/>
        </w:rPr>
        <w:t>
      Полученные рекомендации включаются в проект перечня вопросов, представляемых после подачи заявления на регистрацию. Важно отметить, что данные рекомендации могут содержать предлагаемые вопросы по плану управления рисками, подлежащие добавлению в перечень вопросов.</w:t>
      </w:r>
    </w:p>
    <w:bookmarkEnd w:id="6578"/>
    <w:bookmarkStart w:name="z6773" w:id="6579"/>
    <w:p>
      <w:pPr>
        <w:spacing w:after="0"/>
        <w:ind w:left="0"/>
        <w:jc w:val="both"/>
      </w:pPr>
      <w:r>
        <w:rPr>
          <w:rFonts w:ascii="Times New Roman"/>
          <w:b w:val="false"/>
          <w:i w:val="false"/>
          <w:color w:val="000000"/>
          <w:sz w:val="28"/>
        </w:rPr>
        <w:t>
      Необходимо перечислить вопросы и проблемы, выявленные в процессе общей оценки заявления, и подлежащие рассмотрению при оценке плана управления рисками.</w:t>
      </w:r>
    </w:p>
    <w:bookmarkEnd w:id="6579"/>
    <w:bookmarkStart w:name="z6774" w:id="6580"/>
    <w:p>
      <w:pPr>
        <w:spacing w:after="0"/>
        <w:ind w:left="0"/>
        <w:jc w:val="both"/>
      </w:pPr>
      <w:r>
        <w:rPr>
          <w:rFonts w:ascii="Times New Roman"/>
          <w:b w:val="false"/>
          <w:i w:val="false"/>
          <w:color w:val="000000"/>
          <w:sz w:val="28"/>
        </w:rPr>
        <w:t>
      6. Список использованной литературы.</w:t>
      </w:r>
    </w:p>
    <w:bookmarkEnd w:id="6580"/>
    <w:bookmarkStart w:name="z6775" w:id="6581"/>
    <w:p>
      <w:pPr>
        <w:spacing w:after="0"/>
        <w:ind w:left="0"/>
        <w:jc w:val="both"/>
      </w:pPr>
      <w:r>
        <w:rPr>
          <w:rFonts w:ascii="Times New Roman"/>
          <w:b w:val="false"/>
          <w:i w:val="false"/>
          <w:color w:val="000000"/>
          <w:sz w:val="28"/>
        </w:rPr>
        <w:t>
      7. Перечень вопросов, предложенных экспертом.</w:t>
      </w:r>
    </w:p>
    <w:bookmarkEnd w:id="6581"/>
    <w:bookmarkStart w:name="z6776" w:id="6582"/>
    <w:p>
      <w:pPr>
        <w:spacing w:after="0"/>
        <w:ind w:left="0"/>
        <w:jc w:val="both"/>
      </w:pPr>
      <w:r>
        <w:rPr>
          <w:rFonts w:ascii="Times New Roman"/>
          <w:b w:val="false"/>
          <w:i w:val="false"/>
          <w:color w:val="000000"/>
          <w:sz w:val="28"/>
        </w:rPr>
        <w:t>
      7.1. Классификация замечаний:</w:t>
      </w:r>
    </w:p>
    <w:bookmarkEnd w:id="6582"/>
    <w:bookmarkStart w:name="z6777" w:id="6583"/>
    <w:p>
      <w:pPr>
        <w:spacing w:after="0"/>
        <w:ind w:left="0"/>
        <w:jc w:val="both"/>
      </w:pPr>
      <w:r>
        <w:rPr>
          <w:rFonts w:ascii="Times New Roman"/>
          <w:b w:val="false"/>
          <w:i w:val="false"/>
          <w:color w:val="000000"/>
          <w:sz w:val="28"/>
        </w:rPr>
        <w:t>
      "критические замечания" - замечания, которые делают невозможным регистрацию лекарственного препарата. Теоретически одно критическое замечание может включать в себя несколько вопросов, в этом случае следует использовать ненумерованные списки и подзаголовки. Критическое замечание должно быть понятно и четко изложено. Для этого могут потребоваться подробные комментарии со ссылками на подходящие нормативные правовые акты и рекомендации (руководства). По возможности, замечание должно включать в себя разъяснение относительно ответа (мер), ожидаемого от заявителя;</w:t>
      </w:r>
    </w:p>
    <w:bookmarkEnd w:id="6583"/>
    <w:bookmarkStart w:name="z6778" w:id="6584"/>
    <w:p>
      <w:pPr>
        <w:spacing w:after="0"/>
        <w:ind w:left="0"/>
        <w:jc w:val="both"/>
      </w:pPr>
      <w:r>
        <w:rPr>
          <w:rFonts w:ascii="Times New Roman"/>
          <w:b w:val="false"/>
          <w:i w:val="false"/>
          <w:color w:val="000000"/>
          <w:sz w:val="28"/>
        </w:rPr>
        <w:t>
      "прочие замечания" - замечания, которые могут повлиять на предложенные заявителем условия регистрации и информацию о лекарственном препарате (общая характеристика лекарственного препарата для медицинского применения, листок-вкладыш, макеты упаковок). Прочие замечания необходимо устранить на предрегистрационном этапе, в противном случае в регистрации может быть отказано.</w:t>
      </w:r>
    </w:p>
    <w:bookmarkEnd w:id="6584"/>
    <w:bookmarkStart w:name="z6779" w:id="6585"/>
    <w:p>
      <w:pPr>
        <w:spacing w:after="0"/>
        <w:ind w:left="0"/>
        <w:jc w:val="both"/>
      </w:pPr>
      <w:r>
        <w:rPr>
          <w:rFonts w:ascii="Times New Roman"/>
          <w:b w:val="false"/>
          <w:i w:val="false"/>
          <w:color w:val="000000"/>
          <w:sz w:val="28"/>
        </w:rPr>
        <w:t>
      В целях компиляции возражений и рекомендаций заинтересованных групп при составлении перечня необходимо, в целом, использовать подзаголовки.</w:t>
      </w:r>
    </w:p>
    <w:bookmarkEnd w:id="6585"/>
    <w:bookmarkStart w:name="z6780" w:id="6586"/>
    <w:p>
      <w:pPr>
        <w:spacing w:after="0"/>
        <w:ind w:left="0"/>
        <w:jc w:val="both"/>
      </w:pPr>
      <w:r>
        <w:rPr>
          <w:rFonts w:ascii="Times New Roman"/>
          <w:b w:val="false"/>
          <w:i w:val="false"/>
          <w:color w:val="000000"/>
          <w:sz w:val="28"/>
        </w:rPr>
        <w:t>
      Перечень замечаний необходимо продублировать в "Обзорном модуле" экспертного отчета;</w:t>
      </w:r>
    </w:p>
    <w:bookmarkEnd w:id="6586"/>
    <w:bookmarkStart w:name="z6781" w:id="6587"/>
    <w:p>
      <w:pPr>
        <w:spacing w:after="0"/>
        <w:ind w:left="0"/>
        <w:jc w:val="both"/>
      </w:pPr>
      <w:r>
        <w:rPr>
          <w:rFonts w:ascii="Times New Roman"/>
          <w:b w:val="false"/>
          <w:i w:val="false"/>
          <w:color w:val="000000"/>
          <w:sz w:val="28"/>
        </w:rPr>
        <w:t>
      "рекомендации" - рекомендации, которые содержат замечания эксперта (условия), не препятствующие регистрации лекарственного препарата и могут быть учтены после регистрации препарата, включены (изменены) в рамках процедуры внесения изменений.</w:t>
      </w:r>
    </w:p>
    <w:bookmarkEnd w:id="6587"/>
    <w:bookmarkStart w:name="z6782" w:id="6588"/>
    <w:p>
      <w:pPr>
        <w:spacing w:after="0"/>
        <w:ind w:left="0"/>
        <w:jc w:val="both"/>
      </w:pPr>
      <w:r>
        <w:rPr>
          <w:rFonts w:ascii="Times New Roman"/>
          <w:b w:val="false"/>
          <w:i w:val="false"/>
          <w:color w:val="000000"/>
          <w:sz w:val="28"/>
        </w:rPr>
        <w:t>
      8. Рекомендованные экспертом условия, выполнение которых необходимо после получения заявителем регистрационного удостоверения и утверждения общей характеристики лекарственного препарата для медицинского применения:</w:t>
      </w:r>
    </w:p>
    <w:bookmarkEnd w:id="6588"/>
    <w:bookmarkStart w:name="z6783" w:id="6589"/>
    <w:p>
      <w:pPr>
        <w:spacing w:after="0"/>
        <w:ind w:left="0"/>
        <w:jc w:val="both"/>
      </w:pPr>
      <w:r>
        <w:rPr>
          <w:rFonts w:ascii="Times New Roman"/>
          <w:b w:val="false"/>
          <w:i w:val="false"/>
          <w:color w:val="000000"/>
          <w:sz w:val="28"/>
        </w:rPr>
        <w:t>
      сведения, содержащиеся в данном разделе, также должны быть специально рассмотрены в соответствующем разделе модуля сводного экспертного отчета "Оценка безопасности, качества, эффективности" (например, конкретные замечания по информации о продукте).</w:t>
      </w:r>
    </w:p>
    <w:bookmarkEnd w:id="6589"/>
    <w:bookmarkStart w:name="z6784" w:id="6590"/>
    <w:p>
      <w:pPr>
        <w:spacing w:after="0"/>
        <w:ind w:left="0"/>
        <w:jc w:val="both"/>
      </w:pPr>
      <w:r>
        <w:rPr>
          <w:rFonts w:ascii="Times New Roman"/>
          <w:b w:val="false"/>
          <w:i w:val="false"/>
          <w:color w:val="000000"/>
          <w:sz w:val="28"/>
        </w:rPr>
        <w:t>
      "Консультации с пользователями" относительно читаемости инструкции по медицинскому применению лекарственного препарата:</w:t>
      </w:r>
    </w:p>
    <w:bookmarkEnd w:id="6590"/>
    <w:bookmarkStart w:name="z6785" w:id="6591"/>
    <w:p>
      <w:pPr>
        <w:spacing w:after="0"/>
        <w:ind w:left="0"/>
        <w:jc w:val="both"/>
      </w:pPr>
      <w:r>
        <w:rPr>
          <w:rFonts w:ascii="Times New Roman"/>
          <w:b w:val="false"/>
          <w:i w:val="false"/>
          <w:color w:val="000000"/>
          <w:sz w:val="28"/>
        </w:rPr>
        <w:t>
      заявитель должен представить результаты оценки читаемости инструкции по медицинскому применению лекарственного препарата, проведенной с участием целевых групп пациентов (см. "Консультации с пользователями"), или обосновать отказ от проведения таких консультаций (для получения дополнительной информации относительно требований, представления и оценки результатов "консультации с пользователями" см. соответствующие акты органов Союза).</w:t>
      </w:r>
    </w:p>
    <w:bookmarkEnd w:id="6591"/>
    <w:bookmarkStart w:name="z6786" w:id="6592"/>
    <w:p>
      <w:pPr>
        <w:spacing w:after="0"/>
        <w:ind w:left="0"/>
        <w:jc w:val="both"/>
      </w:pPr>
      <w:r>
        <w:rPr>
          <w:rFonts w:ascii="Times New Roman"/>
          <w:b w:val="false"/>
          <w:i w:val="false"/>
          <w:color w:val="000000"/>
          <w:sz w:val="28"/>
        </w:rPr>
        <w:t>
      Во всех случаях необходимо определить и указать (см. "Обзор"), были ли "консультации с пользователями" относительно читаемости инструкции по медицинскому применению лекарственного средства фактически проведены или предусмотрены, либо определить и указать обоснованность отказа от проведения таких консультаций.</w:t>
      </w:r>
    </w:p>
    <w:bookmarkEnd w:id="6592"/>
    <w:bookmarkStart w:name="z6787" w:id="6593"/>
    <w:p>
      <w:pPr>
        <w:spacing w:after="0"/>
        <w:ind w:left="0"/>
        <w:jc w:val="both"/>
      </w:pPr>
      <w:r>
        <w:rPr>
          <w:rFonts w:ascii="Times New Roman"/>
          <w:b w:val="false"/>
          <w:i w:val="false"/>
          <w:color w:val="000000"/>
          <w:sz w:val="28"/>
        </w:rPr>
        <w:t>
      В случае проведения "консультации с пользователями" относительно читаемости Инструкции по медицинскому применению лекарственного препарата и включения ее результатов в заявление эксперты должны включить оценку результатов "консультации с пользователями" в свои отчеты о проведении оценки, а также в заключение об общей читаемости инструкции по медицинскому применению.</w:t>
      </w:r>
    </w:p>
    <w:bookmarkEnd w:id="6593"/>
    <w:bookmarkStart w:name="z6788" w:id="6594"/>
    <w:p>
      <w:pPr>
        <w:spacing w:after="0"/>
        <w:ind w:left="0"/>
        <w:jc w:val="both"/>
      </w:pPr>
      <w:r>
        <w:rPr>
          <w:rFonts w:ascii="Times New Roman"/>
          <w:b w:val="false"/>
          <w:i w:val="false"/>
          <w:color w:val="000000"/>
          <w:sz w:val="28"/>
        </w:rPr>
        <w:t>
      Любые возможные несоответствия или замечания (вопросы) должны быть включены в перечень вопросов.</w:t>
      </w:r>
    </w:p>
    <w:bookmarkEnd w:id="6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w:t>
            </w:r>
            <w:r>
              <w:br/>
            </w:r>
            <w:r>
              <w:rPr>
                <w:rFonts w:ascii="Times New Roman"/>
                <w:b w:val="false"/>
                <w:i w:val="false"/>
                <w:color w:val="000000"/>
                <w:sz w:val="20"/>
              </w:rPr>
              <w:t>средств для медицинского</w:t>
            </w:r>
            <w:r>
              <w:br/>
            </w:r>
            <w:r>
              <w:rPr>
                <w:rFonts w:ascii="Times New Roman"/>
                <w:b w:val="false"/>
                <w:i w:val="false"/>
                <w:color w:val="000000"/>
                <w:sz w:val="20"/>
              </w:rPr>
              <w:t>применения (в редакции</w:t>
            </w:r>
            <w:r>
              <w:br/>
            </w:r>
            <w:r>
              <w:rPr>
                <w:rFonts w:ascii="Times New Roman"/>
                <w:b w:val="false"/>
                <w:i w:val="false"/>
                <w:color w:val="000000"/>
                <w:sz w:val="20"/>
              </w:rPr>
              <w:t>Решения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22 мая 2025 г.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ЭКСПЕРТНЫЙ ОТЧЕТ </w:t>
      </w:r>
      <w:r>
        <w:br/>
      </w:r>
      <w:r>
        <w:rPr>
          <w:rFonts w:ascii="Times New Roman"/>
          <w:b/>
          <w:i w:val="false"/>
          <w:color w:val="000000"/>
        </w:rPr>
        <w:t>об оценке безопасности, эффективности и качества</w:t>
      </w:r>
    </w:p>
    <w:p>
      <w:pPr>
        <w:spacing w:after="0"/>
        <w:ind w:left="0"/>
        <w:jc w:val="both"/>
      </w:pPr>
      <w:r>
        <w:rPr>
          <w:rFonts w:ascii="Times New Roman"/>
          <w:b w:val="false"/>
          <w:i w:val="false"/>
          <w:color w:val="ff0000"/>
          <w:sz w:val="28"/>
        </w:rPr>
        <w:t xml:space="preserve">
      Сноска. Приложение 16 в редакции решения Совета Евразийской экономической комиссии от 22.05.2025 </w:t>
      </w:r>
      <w:r>
        <w:rPr>
          <w:rFonts w:ascii="Times New Roman"/>
          <w:b w:val="false"/>
          <w:i w:val="false"/>
          <w:color w:val="ff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распространяются на правоотношения, возникшие с 01.01.2024).</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(наименование экспертной организации государства – члена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(должность и Ф. И. О. руководителя</w:t>
            </w:r>
            <w:r>
              <w:br/>
            </w:r>
            <w:r>
              <w:rPr>
                <w:rFonts w:ascii="Times New Roman"/>
                <w:b w:val="false"/>
                <w:i w:val="false"/>
                <w:color w:val="000000"/>
                <w:sz w:val="20"/>
              </w:rPr>
              <w:t>экспертной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w:t>
            </w:r>
            <w:r>
              <w:rPr>
                <w:rFonts w:ascii="Times New Roman"/>
                <w:b w:val="false"/>
                <w:i w:val="false"/>
                <w:color w:val="000000"/>
                <w:sz w:val="20"/>
                <w:u w:val="single"/>
              </w:rPr>
              <w:t>ДД.ММ.ГГГГ</w:t>
            </w:r>
          </w:p>
        </w:tc>
      </w:tr>
    </w:tbl>
    <w:p>
      <w:pPr>
        <w:spacing w:after="0"/>
        <w:ind w:left="0"/>
        <w:jc w:val="both"/>
      </w:pPr>
      <w:r>
        <w:rPr>
          <w:rFonts w:ascii="Times New Roman"/>
          <w:b w:val="false"/>
          <w:i w:val="false"/>
          <w:color w:val="000000"/>
          <w:sz w:val="28"/>
        </w:rPr>
        <w:t>
      МП</w:t>
      </w:r>
    </w:p>
    <w:p>
      <w:pPr>
        <w:spacing w:after="0"/>
        <w:ind w:left="0"/>
        <w:jc w:val="left"/>
      </w:pPr>
      <w:r>
        <w:rPr>
          <w:rFonts w:ascii="Times New Roman"/>
          <w:b/>
          <w:i w:val="false"/>
          <w:color w:val="000000"/>
        </w:rPr>
        <w:t xml:space="preserve"> Экспертный отчет </w:t>
      </w:r>
      <w:r>
        <w:br/>
      </w:r>
      <w:r>
        <w:rPr>
          <w:rFonts w:ascii="Times New Roman"/>
          <w:b/>
          <w:i w:val="false"/>
          <w:color w:val="000000"/>
        </w:rPr>
        <w:t>об оценке безопасности, эффективности и качества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(торговое наименование)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(лекарственная форма и дозировка)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(МНН (при наличии) или общепринятое (группировочное) </w:t>
      </w:r>
    </w:p>
    <w:p>
      <w:pPr>
        <w:spacing w:after="0"/>
        <w:ind w:left="0"/>
        <w:jc w:val="both"/>
      </w:pPr>
      <w:r>
        <w:rPr>
          <w:rFonts w:ascii="Times New Roman"/>
          <w:b w:val="false"/>
          <w:i w:val="false"/>
          <w:color w:val="000000"/>
          <w:sz w:val="28"/>
        </w:rPr>
        <w:t>либо химическое наименование)</w:t>
      </w:r>
    </w:p>
    <w:p>
      <w:pPr>
        <w:spacing w:after="0"/>
        <w:ind w:left="0"/>
        <w:jc w:val="both"/>
      </w:pPr>
      <w:r>
        <w:rPr>
          <w:rFonts w:ascii="Times New Roman"/>
          <w:b w:val="false"/>
          <w:i w:val="false"/>
          <w:color w:val="000000"/>
          <w:sz w:val="28"/>
        </w:rPr>
        <w:t>
      Заявление № _______ дата __________</w:t>
      </w:r>
    </w:p>
    <w:p>
      <w:pPr>
        <w:spacing w:after="0"/>
        <w:ind w:left="0"/>
        <w:jc w:val="both"/>
      </w:pPr>
      <w:r>
        <w:rPr>
          <w:rFonts w:ascii="Times New Roman"/>
          <w:b w:val="false"/>
          <w:i w:val="false"/>
          <w:color w:val="000000"/>
          <w:sz w:val="28"/>
        </w:rPr>
        <w:t>
      Заявитель ______________________</w:t>
      </w:r>
    </w:p>
    <w:p>
      <w:pPr>
        <w:spacing w:after="0"/>
        <w:ind w:left="0"/>
        <w:jc w:val="both"/>
      </w:pPr>
      <w:r>
        <w:rPr>
          <w:rFonts w:ascii="Times New Roman"/>
          <w:b w:val="false"/>
          <w:i w:val="false"/>
          <w:color w:val="000000"/>
          <w:sz w:val="28"/>
        </w:rPr>
        <w:t>
      Дата отчета _____________________</w:t>
      </w:r>
    </w:p>
    <w:p>
      <w:pPr>
        <w:spacing w:after="0"/>
        <w:ind w:left="0"/>
        <w:jc w:val="left"/>
      </w:pPr>
      <w:r>
        <w:rPr>
          <w:rFonts w:ascii="Times New Roman"/>
          <w:b/>
          <w:i w:val="false"/>
          <w:color w:val="000000"/>
        </w:rPr>
        <w:t xml:space="preserve"> ТИТУЛЬНАЯ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лекарственного препарата в референтном государстве и в государствах признания (в случае отличия)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 (при наличии) или общепринятое (группировочное) либо химическое наименование действующего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(код АТХ)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дозировка (дозировки) и форма (формы) выпуска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Референтное государство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держателя регистрационного удостоверения в референтном государстве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регистрационного удостоверения в референтном государстве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первого регистрационного удостоверения, выданного референтным государством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признания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адрес держателя регистрационного удостоверения в государствах признания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государствах признания, указанных в заявлении1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(номера) и дата регистрационного удостоверения (удостоверений) в государстве (государствах) признания </w:t>
            </w:r>
          </w:p>
          <w:p>
            <w:pPr>
              <w:spacing w:after="20"/>
              <w:ind w:left="20"/>
              <w:jc w:val="both"/>
            </w:pPr>
            <w:r>
              <w:rPr>
                <w:rFonts w:ascii="Times New Roman"/>
                <w:b w:val="false"/>
                <w:i w:val="false"/>
                <w:color w:val="000000"/>
                <w:sz w:val="20"/>
              </w:rPr>
              <w:t>
(при наличии)</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производителя лекарственного препарата (все производственные площадки, участвующие в процессе производства лекарственного препарата (включая растворители), с указанием стадий производственного процесса), в том числе осуществляющего выпускающий контроль качества (выпуск серии)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Заполняется при первичном оформлении отчета.</w:t>
      </w:r>
    </w:p>
    <w:p>
      <w:pPr>
        <w:spacing w:after="0"/>
        <w:ind w:left="0"/>
        <w:jc w:val="both"/>
      </w:pPr>
      <w:r>
        <w:rPr>
          <w:rFonts w:ascii="Times New Roman"/>
          <w:b w:val="false"/>
          <w:i w:val="false"/>
          <w:color w:val="000000"/>
          <w:sz w:val="28"/>
        </w:rPr>
        <w:t>
      2. Заполняется в рамках актуализации при внесении изменений, требующих проведения экспертизы.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Информация, содержащаяся на титульном листе, актуализируется при внесении изменений, затрагивающих содержащиеся в нем сведения.</w:t>
      </w:r>
    </w:p>
    <w:p>
      <w:pPr>
        <w:spacing w:after="0"/>
        <w:ind w:left="0"/>
        <w:jc w:val="both"/>
      </w:pPr>
      <w:r>
        <w:rPr>
          <w:rFonts w:ascii="Times New Roman"/>
          <w:b w:val="false"/>
          <w:i w:val="false"/>
          <w:color w:val="000000"/>
          <w:sz w:val="28"/>
        </w:rPr>
        <w:t>
      При актуализации экспертного отчета заполняется титульный лист при необходимости, раздел "Перечень процедур" и соответствующее приложение.</w:t>
      </w:r>
    </w:p>
    <w:p>
      <w:pPr>
        <w:spacing w:after="0"/>
        <w:ind w:left="0"/>
        <w:jc w:val="both"/>
      </w:pPr>
      <w:r>
        <w:rPr>
          <w:rFonts w:ascii="Times New Roman"/>
          <w:b w:val="false"/>
          <w:i w:val="false"/>
          <w:color w:val="000000"/>
          <w:sz w:val="28"/>
        </w:rPr>
        <w:t>
      В соответствующем приложении заполнению подлежат разделы, требующие актуализации.</w:t>
      </w:r>
    </w:p>
    <w:p>
      <w:pPr>
        <w:spacing w:after="0"/>
        <w:ind w:left="0"/>
        <w:jc w:val="left"/>
      </w:pPr>
      <w:r>
        <w:rPr>
          <w:rFonts w:ascii="Times New Roman"/>
          <w:b/>
          <w:i w:val="false"/>
          <w:color w:val="000000"/>
        </w:rPr>
        <w:t xml:space="preserve"> ПЕРЕЧЕНЬ</w:t>
      </w:r>
      <w:r>
        <w:rPr>
          <w:rFonts w:ascii="Times New Roman"/>
          <w:b/>
          <w:i w:val="false"/>
          <w:color w:val="000000"/>
          <w:vertAlign w:val="superscript"/>
        </w:rPr>
        <w:t>*</w:t>
      </w:r>
      <w:r>
        <w:rPr>
          <w:rFonts w:ascii="Times New Roman"/>
          <w:b/>
          <w:i w:val="false"/>
          <w:color w:val="000000"/>
        </w:rPr>
        <w:t xml:space="preserve"> </w:t>
      </w:r>
      <w:r>
        <w:br/>
      </w:r>
      <w:r>
        <w:rPr>
          <w:rFonts w:ascii="Times New Roman"/>
          <w:b/>
          <w:i w:val="false"/>
          <w:color w:val="000000"/>
        </w:rPr>
        <w:t xml:space="preserve">процедур, поданных в референтное государство (внесение изменений, подтверждение регистрации (перерегистрации)) после регистрации лекарственного препарата или приведения регистрационного досье лекарственного препарата в соответствие с требованиями Евразийского экономического союза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заявления, версия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 и краткое описание вносимых изменений или информация о подтверждении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(положительное/отрицательное)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 содержащего актуализированные части экспертного отчета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Таблица наполняется в течение всего жизненного цикла лекарственного препарата.</w:t>
      </w:r>
    </w:p>
    <w:p>
      <w:pPr>
        <w:spacing w:after="0"/>
        <w:ind w:left="0"/>
        <w:jc w:val="left"/>
      </w:pPr>
      <w:r>
        <w:rPr>
          <w:rFonts w:ascii="Times New Roman"/>
          <w:b/>
          <w:i w:val="false"/>
          <w:color w:val="000000"/>
        </w:rPr>
        <w:t xml:space="preserve"> I. Пояснительная записка</w:t>
      </w:r>
    </w:p>
    <w:p>
      <w:pPr>
        <w:spacing w:after="0"/>
        <w:ind w:left="0"/>
        <w:jc w:val="both"/>
      </w:pPr>
      <w:r>
        <w:rPr>
          <w:rFonts w:ascii="Times New Roman"/>
          <w:b w:val="false"/>
          <w:i w:val="false"/>
          <w:color w:val="000000"/>
          <w:sz w:val="28"/>
        </w:rPr>
        <w:t>
      Экспертный отчет подготовлен в соответствии с &lt;пунктом 60&gt;, &lt;пунктом 178&gt;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регистрации и экспертизы), по результатам проведенной экспертизы документов регистрационного досье лекарственного препарата в целях</w:t>
      </w:r>
      <w:r>
        <w:rPr>
          <w:rFonts w:ascii="Times New Roman"/>
          <w:b w:val="false"/>
          <w:i/>
          <w:color w:val="000000"/>
          <w:sz w:val="28"/>
        </w:rPr>
        <w:t xml:space="preserve"> регистрации в соответствии с процедурой взаимного признания </w:t>
      </w:r>
      <w:r>
        <w:rPr>
          <w:rFonts w:ascii="Times New Roman"/>
          <w:b w:val="false"/>
          <w:i w:val="false"/>
          <w:color w:val="000000"/>
          <w:sz w:val="28"/>
        </w:rPr>
        <w:t xml:space="preserve">/ </w:t>
      </w:r>
      <w:r>
        <w:rPr>
          <w:rFonts w:ascii="Times New Roman"/>
          <w:b w:val="false"/>
          <w:i/>
          <w:color w:val="000000"/>
          <w:sz w:val="28"/>
        </w:rPr>
        <w:t>регистрации по децентрализованной процедуре / приведения регистрационного досье в соответствие с требованиями Евразийского экономического союза / приведения регистрационного досье в соответствие с требованиями Евразийского экономического союза с одновременным внесением изменений в регистрационное досье</w:t>
      </w:r>
      <w:r>
        <w:rPr>
          <w:rFonts w:ascii="Times New Roman"/>
          <w:b w:val="false"/>
          <w:i w:val="false"/>
          <w:color w:val="000000"/>
          <w:sz w:val="28"/>
        </w:rPr>
        <w:t xml:space="preserve"> в рамках заявления (заявлений) от __________ № ________. </w:t>
      </w:r>
    </w:p>
    <w:p>
      <w:pPr>
        <w:spacing w:after="0"/>
        <w:ind w:left="0"/>
        <w:jc w:val="both"/>
      </w:pPr>
      <w:r>
        <w:rPr>
          <w:rFonts w:ascii="Times New Roman"/>
          <w:b w:val="false"/>
          <w:i w:val="false"/>
          <w:color w:val="000000"/>
          <w:sz w:val="28"/>
        </w:rPr>
        <w:t>
      II.1. О лекарственном препарате</w:t>
      </w:r>
    </w:p>
    <w:p>
      <w:pPr>
        <w:spacing w:after="0"/>
        <w:ind w:left="0"/>
        <w:jc w:val="both"/>
      </w:pPr>
      <w:r>
        <w:rPr>
          <w:rFonts w:ascii="Times New Roman"/>
          <w:b w:val="false"/>
          <w:i w:val="false"/>
          <w:color w:val="000000"/>
          <w:sz w:val="28"/>
        </w:rPr>
        <w:t>
      II.1.1. Механизм действия</w:t>
      </w:r>
    </w:p>
    <w:p>
      <w:pPr>
        <w:spacing w:after="0"/>
        <w:ind w:left="0"/>
        <w:jc w:val="both"/>
      </w:pPr>
      <w:r>
        <w:rPr>
          <w:rFonts w:ascii="Times New Roman"/>
          <w:b w:val="false"/>
          <w:i w:val="false"/>
          <w:color w:val="000000"/>
          <w:sz w:val="28"/>
        </w:rPr>
        <w:t>
      II.1.2. Фармакологическая классификация</w:t>
      </w:r>
    </w:p>
    <w:p>
      <w:pPr>
        <w:spacing w:after="0"/>
        <w:ind w:left="0"/>
        <w:jc w:val="both"/>
      </w:pPr>
      <w:r>
        <w:rPr>
          <w:rFonts w:ascii="Times New Roman"/>
          <w:b w:val="false"/>
          <w:i w:val="false"/>
          <w:color w:val="000000"/>
          <w:sz w:val="28"/>
        </w:rPr>
        <w:t xml:space="preserve">
      II.1.3. Заявленные показания и рекомендации по применению </w:t>
      </w:r>
    </w:p>
    <w:p>
      <w:pPr>
        <w:spacing w:after="0"/>
        <w:ind w:left="0"/>
        <w:jc w:val="both"/>
      </w:pPr>
      <w:r>
        <w:rPr>
          <w:rFonts w:ascii="Times New Roman"/>
          <w:b w:val="false"/>
          <w:i w:val="false"/>
          <w:color w:val="000000"/>
          <w:sz w:val="28"/>
        </w:rPr>
        <w:t>
      &lt;дозировка (в том числе стратегия управления возможным риском)&gt;</w:t>
      </w:r>
    </w:p>
    <w:p>
      <w:pPr>
        <w:spacing w:after="0"/>
        <w:ind w:left="0"/>
        <w:jc w:val="both"/>
      </w:pPr>
      <w:r>
        <w:rPr>
          <w:rFonts w:ascii="Times New Roman"/>
          <w:b w:val="false"/>
          <w:i w:val="false"/>
          <w:color w:val="000000"/>
          <w:sz w:val="28"/>
        </w:rPr>
        <w:t xml:space="preserve">
      II.1.4. Специальные фармакологические аспекты </w:t>
      </w:r>
    </w:p>
    <w:p>
      <w:pPr>
        <w:spacing w:after="0"/>
        <w:ind w:left="0"/>
        <w:jc w:val="both"/>
      </w:pPr>
      <w:r>
        <w:rPr>
          <w:rFonts w:ascii="Times New Roman"/>
          <w:b w:val="false"/>
          <w:i w:val="false"/>
          <w:color w:val="000000"/>
          <w:sz w:val="28"/>
        </w:rPr>
        <w:t>
      &lt;(при наличии) (например, новый способ введения и т. п.)&gt;</w:t>
      </w:r>
    </w:p>
    <w:p>
      <w:pPr>
        <w:spacing w:after="0"/>
        <w:ind w:left="0"/>
        <w:jc w:val="both"/>
      </w:pPr>
      <w:r>
        <w:rPr>
          <w:rFonts w:ascii="Times New Roman"/>
          <w:b w:val="false"/>
          <w:i w:val="false"/>
          <w:color w:val="000000"/>
          <w:sz w:val="28"/>
        </w:rPr>
        <w:t>
      II.2. Общие сведения о представленном регистрационном досье лекарственного препарата</w:t>
      </w:r>
    </w:p>
    <w:p>
      <w:pPr>
        <w:spacing w:after="0"/>
        <w:ind w:left="0"/>
        <w:jc w:val="both"/>
      </w:pPr>
      <w:r>
        <w:rPr>
          <w:rFonts w:ascii="Times New Roman"/>
          <w:b w:val="false"/>
          <w:i w:val="false"/>
          <w:color w:val="000000"/>
          <w:sz w:val="28"/>
        </w:rPr>
        <w:t>
      На дату утверждения экспертного отчета актуальной версией (последовательностью) регистрационного досье является 000n.</w:t>
      </w:r>
    </w:p>
    <w:p>
      <w:pPr>
        <w:spacing w:after="0"/>
        <w:ind w:left="0"/>
        <w:jc w:val="both"/>
      </w:pPr>
      <w:r>
        <w:rPr>
          <w:rFonts w:ascii="Times New Roman"/>
          <w:b w:val="false"/>
          <w:i w:val="false"/>
          <w:color w:val="000000"/>
          <w:sz w:val="28"/>
        </w:rPr>
        <w:t>
      Регистрационное досье содержит модули 1 – 5 (1 – 3).</w:t>
      </w:r>
    </w:p>
    <w:p>
      <w:pPr>
        <w:spacing w:after="0"/>
        <w:ind w:left="0"/>
        <w:jc w:val="both"/>
      </w:pPr>
      <w:r>
        <w:rPr>
          <w:rFonts w:ascii="Times New Roman"/>
          <w:b w:val="false"/>
          <w:i w:val="false"/>
          <w:color w:val="000000"/>
          <w:sz w:val="28"/>
        </w:rPr>
        <w:t>
      &lt;Укажите, считается действующее вещество новым или нет&gt;</w:t>
      </w:r>
    </w:p>
    <w:p>
      <w:pPr>
        <w:spacing w:after="0"/>
        <w:ind w:left="0"/>
        <w:jc w:val="both"/>
      </w:pPr>
      <w:r>
        <w:rPr>
          <w:rFonts w:ascii="Times New Roman"/>
          <w:b w:val="false"/>
          <w:i w:val="false"/>
          <w:color w:val="000000"/>
          <w:sz w:val="28"/>
        </w:rPr>
        <w:t>
      &lt;Для заявлений, подаваемых в соответствии с пунктами 14.4 и 15.2 приложения № 1 к Правилам регистрации и экспертизы (упрощенное досье): в данном разделе необходимо представить документ в соответствии с разделом 1.8.2.5 регистрационного досье с кратким обобщением оснований и фактов, используемых для подтверждения того, что применение веществ, входящих в состав лекарственного препарата, хорошо изучено, имеет приемлемый уровень безопасности и признанную эффективность. Необходимо привести четкое научное обоснование допустимости отказа от проведения некоторых исследований.&gt;</w:t>
      </w:r>
    </w:p>
    <w:p>
      <w:pPr>
        <w:spacing w:after="0"/>
        <w:ind w:left="0"/>
        <w:jc w:val="both"/>
      </w:pPr>
      <w:r>
        <w:rPr>
          <w:rFonts w:ascii="Times New Roman"/>
          <w:b w:val="false"/>
          <w:i w:val="false"/>
          <w:color w:val="000000"/>
          <w:sz w:val="28"/>
        </w:rPr>
        <w:t>
      &lt;Для заявлений, подаваемых для воспроизведенных лекарственных препаратов: в данном разделе необходимо представить документ в соответствии с разделом 1.8.2.6 регистрационного досье с кратким обобщением оснований и фактов, используемых для подтверждения того, что лекарственный препарат практически эквивалентен зарегистрированному оригинальному препарату.&gt;</w:t>
      </w:r>
    </w:p>
    <w:p>
      <w:pPr>
        <w:spacing w:after="0"/>
        <w:ind w:left="0"/>
        <w:jc w:val="both"/>
      </w:pPr>
      <w:r>
        <w:rPr>
          <w:rFonts w:ascii="Times New Roman"/>
          <w:b w:val="false"/>
          <w:i w:val="false"/>
          <w:color w:val="000000"/>
          <w:sz w:val="28"/>
        </w:rPr>
        <w:t>
      &lt;Укажите, представил заявитель план управления рисками или нет (если применимо)&gt;</w:t>
      </w:r>
    </w:p>
    <w:p>
      <w:pPr>
        <w:spacing w:after="0"/>
        <w:ind w:left="0"/>
        <w:jc w:val="both"/>
      </w:pPr>
      <w:r>
        <w:rPr>
          <w:rFonts w:ascii="Times New Roman"/>
          <w:b w:val="false"/>
          <w:i w:val="false"/>
          <w:color w:val="000000"/>
          <w:sz w:val="28"/>
        </w:rPr>
        <w:t>
      &lt;Представьте программу клинической разработки лекарственного препарата и дайте соответствующие комментарии с точки зрения предложенных показаний к применению и дозировки (если применимо)&gt;</w:t>
      </w:r>
    </w:p>
    <w:p>
      <w:pPr>
        <w:spacing w:after="0"/>
        <w:ind w:left="0"/>
        <w:jc w:val="both"/>
      </w:pPr>
      <w:r>
        <w:rPr>
          <w:rFonts w:ascii="Times New Roman"/>
          <w:b w:val="false"/>
          <w:i w:val="false"/>
          <w:color w:val="000000"/>
          <w:sz w:val="28"/>
        </w:rPr>
        <w:t>
      &lt;Укажите, проводилось научное консультирование (если да, укажите дату проведения) или нет, а также выполнил заявитель данные ему рекомендации или нет&gt;</w:t>
      </w:r>
    </w:p>
    <w:p>
      <w:pPr>
        <w:spacing w:after="0"/>
        <w:ind w:left="0"/>
        <w:jc w:val="both"/>
      </w:pPr>
      <w:r>
        <w:rPr>
          <w:rFonts w:ascii="Times New Roman"/>
          <w:b w:val="false"/>
          <w:i w:val="false"/>
          <w:color w:val="000000"/>
          <w:sz w:val="28"/>
        </w:rPr>
        <w:t>
      &lt;Укажите, соблюдены заявителем требования актов органов Евразийского экономического союза в сфере обращения лекарственных средств или нет&gt;</w:t>
      </w:r>
    </w:p>
    <w:p>
      <w:pPr>
        <w:spacing w:after="0"/>
        <w:ind w:left="0"/>
        <w:jc w:val="both"/>
      </w:pPr>
      <w:r>
        <w:rPr>
          <w:rFonts w:ascii="Times New Roman"/>
          <w:b w:val="false"/>
          <w:i w:val="false"/>
          <w:color w:val="000000"/>
          <w:sz w:val="28"/>
        </w:rPr>
        <w:t>
      &lt;Укажите наличие и необходимость разработки применения лекарственного препарата в педиатрии, а также в других специальных популяциях (люди пожилого возраста, мужчины, женщины, этнические меньшинства)&gt;</w:t>
      </w:r>
    </w:p>
    <w:p>
      <w:pPr>
        <w:spacing w:after="0"/>
        <w:ind w:left="0"/>
        <w:jc w:val="both"/>
      </w:pPr>
      <w:r>
        <w:rPr>
          <w:rFonts w:ascii="Times New Roman"/>
          <w:b w:val="false"/>
          <w:i w:val="false"/>
          <w:color w:val="000000"/>
          <w:sz w:val="28"/>
        </w:rPr>
        <w:t>
      II.3. Общие сведения о соблюдении требований надлежащей производственной практики (GMP), надлежащей лабораторной практики (GLP), надлежащей клинической практики (GCP) и согласованных этических принципов</w:t>
      </w:r>
    </w:p>
    <w:p>
      <w:pPr>
        <w:spacing w:after="0"/>
        <w:ind w:left="0"/>
        <w:jc w:val="both"/>
      </w:pPr>
      <w:r>
        <w:rPr>
          <w:rFonts w:ascii="Times New Roman"/>
          <w:b w:val="false"/>
          <w:i w:val="false"/>
          <w:color w:val="000000"/>
          <w:sz w:val="28"/>
        </w:rPr>
        <w:t>
      II.3.1. Наличие подтверждения соблюдения требований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в отношении данного лекарственного препарата на участках, осуществляющих производство готовой лекарственной формы и выпускающий контроль качества (выпуск серии).</w:t>
      </w:r>
    </w:p>
    <w:p>
      <w:pPr>
        <w:spacing w:after="0"/>
        <w:ind w:left="0"/>
        <w:jc w:val="both"/>
      </w:pPr>
      <w:r>
        <w:rPr>
          <w:rFonts w:ascii="Times New Roman"/>
          <w:b w:val="false"/>
          <w:i w:val="false"/>
          <w:color w:val="000000"/>
          <w:sz w:val="28"/>
        </w:rPr>
        <w:t>
      Актуальные сведения о наименовании производителя и месте производства указаны на титульной странице отчета.</w:t>
      </w:r>
    </w:p>
    <w:p>
      <w:pPr>
        <w:spacing w:after="0"/>
        <w:ind w:left="0"/>
        <w:jc w:val="both"/>
      </w:pPr>
      <w:r>
        <w:rPr>
          <w:rFonts w:ascii="Times New Roman"/>
          <w:b w:val="false"/>
          <w:i w:val="false"/>
          <w:color w:val="000000"/>
          <w:sz w:val="28"/>
        </w:rPr>
        <w:t xml:space="preserve">
      В регистрационном досье представлено заключение (сертификат) </w:t>
      </w:r>
      <w:r>
        <w:rPr>
          <w:rFonts w:ascii="Times New Roman"/>
          <w:b w:val="false"/>
          <w:i/>
          <w:color w:val="000000"/>
          <w:sz w:val="28"/>
        </w:rPr>
        <w:t xml:space="preserve">_________________________ </w:t>
      </w:r>
      <w:r>
        <w:rPr>
          <w:rFonts w:ascii="Times New Roman"/>
          <w:b w:val="false"/>
          <w:i w:val="false"/>
          <w:color w:val="000000"/>
          <w:sz w:val="28"/>
        </w:rPr>
        <w:t xml:space="preserve">уполномоченного органа государства – члена Евразийского экономического союза о соответствии производственной площадки (производственных площадок), осуществляющей этапы производства лекарственного препарата, требованиям надлежащей производственной практики (GMP) № __________ (дата выдачи _______________, срок действия _________). </w:t>
      </w:r>
    </w:p>
    <w:p>
      <w:pPr>
        <w:spacing w:after="0"/>
        <w:ind w:left="0"/>
        <w:jc w:val="both"/>
      </w:pPr>
      <w:r>
        <w:rPr>
          <w:rFonts w:ascii="Times New Roman"/>
          <w:b w:val="false"/>
          <w:i w:val="false"/>
          <w:color w:val="000000"/>
          <w:sz w:val="28"/>
        </w:rPr>
        <w:t xml:space="preserve">
      II.3.2. Представленные в составе регистрационного досье документы и данные </w:t>
      </w:r>
      <w:r>
        <w:rPr>
          <w:rFonts w:ascii="Times New Roman"/>
          <w:b w:val="false"/>
          <w:i/>
          <w:color w:val="000000"/>
          <w:sz w:val="28"/>
        </w:rPr>
        <w:t xml:space="preserve">подтверждают </w:t>
      </w:r>
      <w:r>
        <w:rPr>
          <w:rFonts w:ascii="Times New Roman"/>
          <w:b w:val="false"/>
          <w:i w:val="false"/>
          <w:color w:val="000000"/>
          <w:sz w:val="28"/>
        </w:rPr>
        <w:t xml:space="preserve">/ </w:t>
      </w:r>
      <w:r>
        <w:rPr>
          <w:rFonts w:ascii="Times New Roman"/>
          <w:b w:val="false"/>
          <w:i/>
          <w:color w:val="000000"/>
          <w:sz w:val="28"/>
        </w:rPr>
        <w:t>не подтверждают</w:t>
      </w:r>
      <w:r>
        <w:rPr>
          <w:rFonts w:ascii="Times New Roman"/>
          <w:b w:val="false"/>
          <w:i w:val="false"/>
          <w:color w:val="000000"/>
          <w:sz w:val="28"/>
        </w:rPr>
        <w:t xml:space="preserve"> соблюдение заявителем требований надлежащей лабораторной практики (GLP), надлежащей клинической практики (GCP) и согласованных этических принципов.</w:t>
      </w:r>
    </w:p>
    <w:p>
      <w:pPr>
        <w:spacing w:after="0"/>
        <w:ind w:left="0"/>
        <w:jc w:val="both"/>
      </w:pPr>
      <w:r>
        <w:rPr>
          <w:rFonts w:ascii="Times New Roman"/>
          <w:b w:val="false"/>
          <w:i w:val="false"/>
          <w:color w:val="000000"/>
          <w:sz w:val="28"/>
        </w:rPr>
        <w:t>
      II.3.3. Необходимость проведения инспекций надлежащей производственной практики (GMP), надлежащей лабораторной практики (GLP), надлежащей клинической практики (GCP) и согласованных этических принципов отсутствует.</w:t>
      </w:r>
    </w:p>
    <w:p>
      <w:pPr>
        <w:spacing w:after="0"/>
        <w:ind w:left="0"/>
        <w:jc w:val="left"/>
      </w:pPr>
      <w:r>
        <w:rPr>
          <w:rFonts w:ascii="Times New Roman"/>
          <w:b/>
          <w:i w:val="false"/>
          <w:color w:val="000000"/>
        </w:rPr>
        <w:t xml:space="preserve"> III. Научный обзор и обсуждение</w:t>
      </w:r>
    </w:p>
    <w:p>
      <w:pPr>
        <w:spacing w:after="0"/>
        <w:ind w:left="0"/>
        <w:jc w:val="both"/>
      </w:pPr>
      <w:r>
        <w:rPr>
          <w:rFonts w:ascii="Times New Roman"/>
          <w:b w:val="false"/>
          <w:i w:val="false"/>
          <w:color w:val="000000"/>
          <w:sz w:val="28"/>
        </w:rPr>
        <w:t>
      &lt;Лекарственный препарат ________ выпускается в форме ________, содержащего/содержащих ________ в качестве действующего вещества.&gt;</w:t>
      </w:r>
    </w:p>
    <w:p>
      <w:pPr>
        <w:spacing w:after="0"/>
        <w:ind w:left="0"/>
        <w:jc w:val="both"/>
      </w:pPr>
      <w:r>
        <w:rPr>
          <w:rFonts w:ascii="Times New Roman"/>
          <w:b w:val="false"/>
          <w:i w:val="false"/>
          <w:color w:val="000000"/>
          <w:sz w:val="28"/>
        </w:rPr>
        <w:t xml:space="preserve">
      &lt;Лекарственный препарат представляет собой _________ (описание внешнего вида). Лекарственный препарат выпускается ________ (описание первичной и вторичной упаковок).&gt; </w:t>
      </w:r>
    </w:p>
    <w:p>
      <w:pPr>
        <w:spacing w:after="0"/>
        <w:ind w:left="0"/>
        <w:jc w:val="both"/>
      </w:pPr>
      <w:r>
        <w:rPr>
          <w:rFonts w:ascii="Times New Roman"/>
          <w:b w:val="false"/>
          <w:i w:val="false"/>
          <w:color w:val="000000"/>
          <w:sz w:val="28"/>
        </w:rPr>
        <w:t>
      III.1. Аспекты качества</w:t>
      </w:r>
    </w:p>
    <w:p>
      <w:pPr>
        <w:spacing w:after="0"/>
        <w:ind w:left="0"/>
        <w:jc w:val="both"/>
      </w:pPr>
      <w:r>
        <w:rPr>
          <w:rFonts w:ascii="Times New Roman"/>
          <w:b w:val="false"/>
          <w:i w:val="false"/>
          <w:color w:val="000000"/>
          <w:sz w:val="28"/>
        </w:rPr>
        <w:t>
      III.1.1. Активная фармацевтическая субстанция (АФС)</w:t>
      </w:r>
    </w:p>
    <w:p>
      <w:pPr>
        <w:spacing w:after="0"/>
        <w:ind w:left="0"/>
        <w:jc w:val="both"/>
      </w:pPr>
      <w:r>
        <w:rPr>
          <w:rFonts w:ascii="Times New Roman"/>
          <w:b w:val="false"/>
          <w:i w:val="false"/>
          <w:color w:val="000000"/>
          <w:sz w:val="28"/>
        </w:rPr>
        <w:t>
      Наименование АФС, производитель, страна производства.</w:t>
      </w:r>
    </w:p>
    <w:p>
      <w:pPr>
        <w:spacing w:after="0"/>
        <w:ind w:left="0"/>
        <w:jc w:val="both"/>
      </w:pPr>
      <w:r>
        <w:rPr>
          <w:rFonts w:ascii="Times New Roman"/>
          <w:b w:val="false"/>
          <w:i w:val="false"/>
          <w:color w:val="000000"/>
          <w:sz w:val="28"/>
        </w:rPr>
        <w:t>
      III.1.1.1. Химико-фармацевтическая документация и общее резюме по качеству АФС</w:t>
      </w:r>
    </w:p>
    <w:p>
      <w:pPr>
        <w:spacing w:after="0"/>
        <w:ind w:left="0"/>
        <w:jc w:val="both"/>
      </w:pPr>
      <w:r>
        <w:rPr>
          <w:rFonts w:ascii="Times New Roman"/>
          <w:b w:val="false"/>
          <w:i w:val="false"/>
          <w:color w:val="000000"/>
          <w:sz w:val="28"/>
        </w:rPr>
        <w:t>
      &lt;Химико-фармацевтическая документация и общее резюме по качеству в отношении АФС _________ производства ________имеют приемлемое качество с точки зрения действующих нормативных требований.&gt;</w:t>
      </w:r>
    </w:p>
    <w:p>
      <w:pPr>
        <w:spacing w:after="0"/>
        <w:ind w:left="0"/>
        <w:jc w:val="both"/>
      </w:pPr>
      <w:r>
        <w:rPr>
          <w:rFonts w:ascii="Times New Roman"/>
          <w:b w:val="false"/>
          <w:i w:val="false"/>
          <w:color w:val="000000"/>
          <w:sz w:val="28"/>
        </w:rPr>
        <w:t>
      III.1.1.2. Производство и описание характеристик АФС</w:t>
      </w:r>
    </w:p>
    <w:p>
      <w:pPr>
        <w:spacing w:after="0"/>
        <w:ind w:left="0"/>
        <w:jc w:val="both"/>
      </w:pPr>
      <w:r>
        <w:rPr>
          <w:rFonts w:ascii="Times New Roman"/>
          <w:b w:val="false"/>
          <w:i w:val="false"/>
          <w:color w:val="000000"/>
          <w:sz w:val="28"/>
        </w:rPr>
        <w:t xml:space="preserve">
      &lt;Представлена информация о процессе производства АФС и его разработке, приведены сведения о валидации процесса производства АФС. Представленные материалы свидетельствуют об адекватности и воспроизводимости процесса производства. </w:t>
      </w:r>
    </w:p>
    <w:p>
      <w:pPr>
        <w:spacing w:after="0"/>
        <w:ind w:left="0"/>
        <w:jc w:val="both"/>
      </w:pPr>
      <w:r>
        <w:rPr>
          <w:rFonts w:ascii="Times New Roman"/>
          <w:b w:val="false"/>
          <w:i w:val="false"/>
          <w:color w:val="000000"/>
          <w:sz w:val="28"/>
        </w:rPr>
        <w:t>
      Структура АФС подтверждена методами ___________. Представлены сведения о характеристиках фармацевтической субстанции, включая данные о родственных соединениях и потенциальных примесях синтеза. Профиль примесей является приемлемым.&gt;</w:t>
      </w:r>
    </w:p>
    <w:p>
      <w:pPr>
        <w:spacing w:after="0"/>
        <w:ind w:left="0"/>
        <w:jc w:val="both"/>
      </w:pPr>
      <w:r>
        <w:rPr>
          <w:rFonts w:ascii="Times New Roman"/>
          <w:b w:val="false"/>
          <w:i w:val="false"/>
          <w:color w:val="000000"/>
          <w:sz w:val="28"/>
        </w:rPr>
        <w:t>
      &lt;Для активной фармацевтической субстанции _______ производства ________ представлен сертификат соответствия Европейской фармакопее СЕР № ______, выданный Европейским директоратом по качеству лекарственных средств.&gt;</w:t>
      </w:r>
    </w:p>
    <w:p>
      <w:pPr>
        <w:spacing w:after="0"/>
        <w:ind w:left="0"/>
        <w:jc w:val="both"/>
      </w:pPr>
      <w:r>
        <w:rPr>
          <w:rFonts w:ascii="Times New Roman"/>
          <w:b w:val="false"/>
          <w:i w:val="false"/>
          <w:color w:val="000000"/>
          <w:sz w:val="28"/>
        </w:rPr>
        <w:t>
      &lt;Процесс производства, внутрипроизводственный контроль и контроль качества АФС осуществляются в соответствии с валидированными процедурами, что подтверждено документами закрытой части мастер-файла активной фармацевтической субстанции.&gt;</w:t>
      </w:r>
    </w:p>
    <w:p>
      <w:pPr>
        <w:spacing w:after="0"/>
        <w:ind w:left="0"/>
        <w:jc w:val="both"/>
      </w:pPr>
      <w:r>
        <w:rPr>
          <w:rFonts w:ascii="Times New Roman"/>
          <w:b w:val="false"/>
          <w:i w:val="false"/>
          <w:color w:val="000000"/>
          <w:sz w:val="28"/>
        </w:rPr>
        <w:t>
      III.1.1.3. Контроль качества АФС</w:t>
      </w:r>
    </w:p>
    <w:p>
      <w:pPr>
        <w:spacing w:after="0"/>
        <w:ind w:left="0"/>
        <w:jc w:val="both"/>
      </w:pPr>
      <w:r>
        <w:rPr>
          <w:rFonts w:ascii="Times New Roman"/>
          <w:b w:val="false"/>
          <w:i w:val="false"/>
          <w:color w:val="000000"/>
          <w:sz w:val="28"/>
        </w:rPr>
        <w:t>
      &lt;Показатели, включенные в спецификацию контроля качества АФС ______, обоснованы и соответствуют фармакопейным требованиям. Представленные данные анализа серий АФС подтверждают постоянство, однородность и соответствие качества АФС требованиям спецификации и доказывают, что предложенный технологический процесс производства АФС постоянен и находится под контролем.&gt;</w:t>
      </w:r>
    </w:p>
    <w:p>
      <w:pPr>
        <w:spacing w:after="0"/>
        <w:ind w:left="0"/>
        <w:jc w:val="both"/>
      </w:pPr>
      <w:r>
        <w:rPr>
          <w:rFonts w:ascii="Times New Roman"/>
          <w:b w:val="false"/>
          <w:i w:val="false"/>
          <w:color w:val="000000"/>
          <w:sz w:val="28"/>
        </w:rPr>
        <w:t>
      &lt;Валидация аналитических методик контроля качества АФС выполнена в надлежащем объеме.&gt;</w:t>
      </w:r>
    </w:p>
    <w:p>
      <w:pPr>
        <w:spacing w:after="0"/>
        <w:ind w:left="0"/>
        <w:jc w:val="both"/>
      </w:pPr>
      <w:r>
        <w:rPr>
          <w:rFonts w:ascii="Times New Roman"/>
          <w:b w:val="false"/>
          <w:i w:val="false"/>
          <w:color w:val="000000"/>
          <w:sz w:val="28"/>
        </w:rPr>
        <w:t>
      III.1.1.4. Стабильность АФС</w:t>
      </w:r>
    </w:p>
    <w:p>
      <w:pPr>
        <w:spacing w:after="0"/>
        <w:ind w:left="0"/>
        <w:jc w:val="both"/>
      </w:pPr>
      <w:r>
        <w:rPr>
          <w:rFonts w:ascii="Times New Roman"/>
          <w:b w:val="false"/>
          <w:i w:val="false"/>
          <w:color w:val="000000"/>
          <w:sz w:val="28"/>
        </w:rPr>
        <w:t>
      &lt;Срок проведения повторных испытаний для АФС _____ производства обоснован данными по исследованию стабильности АФС и составляет ___ месяцев (лет) при хранении субстанции в предлагаемом виде упаковки.&gt;</w:t>
      </w:r>
    </w:p>
    <w:p>
      <w:pPr>
        <w:spacing w:after="0"/>
        <w:ind w:left="0"/>
        <w:jc w:val="both"/>
      </w:pPr>
      <w:r>
        <w:rPr>
          <w:rFonts w:ascii="Times New Roman"/>
          <w:b w:val="false"/>
          <w:i w:val="false"/>
          <w:color w:val="000000"/>
          <w:sz w:val="28"/>
        </w:rPr>
        <w:t>
      &lt;В соответствии с сертификатом соответствия Европейской фармакопее СЕР в отношении активной фармацевтической субстанции __________ Европейским директоратом по качеству лекарственных средств и здравоохранения установлен период проведения повторных испытаний ___ месяцев (лет).&gt;</w:t>
      </w:r>
    </w:p>
    <w:p>
      <w:pPr>
        <w:spacing w:after="0"/>
        <w:ind w:left="0"/>
        <w:jc w:val="both"/>
      </w:pPr>
      <w:r>
        <w:rPr>
          <w:rFonts w:ascii="Times New Roman"/>
          <w:b w:val="false"/>
          <w:i w:val="false"/>
          <w:color w:val="000000"/>
          <w:sz w:val="28"/>
        </w:rPr>
        <w:t>
      III.1.2. Лекарственный препарат</w:t>
      </w:r>
    </w:p>
    <w:p>
      <w:pPr>
        <w:spacing w:after="0"/>
        <w:ind w:left="0"/>
        <w:jc w:val="both"/>
      </w:pPr>
      <w:r>
        <w:rPr>
          <w:rFonts w:ascii="Times New Roman"/>
          <w:b w:val="false"/>
          <w:i w:val="false"/>
          <w:color w:val="000000"/>
          <w:sz w:val="28"/>
        </w:rPr>
        <w:t>
      III.1.2.1. Оценка аспектов фармацевтической разработки</w:t>
      </w:r>
    </w:p>
    <w:p>
      <w:pPr>
        <w:spacing w:after="0"/>
        <w:ind w:left="0"/>
        <w:jc w:val="both"/>
      </w:pPr>
      <w:r>
        <w:rPr>
          <w:rFonts w:ascii="Times New Roman"/>
          <w:b w:val="false"/>
          <w:i w:val="false"/>
          <w:color w:val="000000"/>
          <w:sz w:val="28"/>
        </w:rPr>
        <w:t>
      &lt;Фармацевтическая разработка лекарственного препарата описана в достаточном объеме, выбор вспомогательных веществ обоснован и их функции объяснены. Используемые вспомогательные вещества и компоненты растворителя являются хорошо изученными и имеют надлежащее фармакопейное качество. Система упаковки (укупорки) охарактеризована и адекватна, совместимость ее с компонентами лекарственного препарата подтверждена.&gt;</w:t>
      </w:r>
    </w:p>
    <w:p>
      <w:pPr>
        <w:spacing w:after="0"/>
        <w:ind w:left="0"/>
        <w:jc w:val="both"/>
      </w:pPr>
      <w:r>
        <w:rPr>
          <w:rFonts w:ascii="Times New Roman"/>
          <w:b w:val="false"/>
          <w:i w:val="false"/>
          <w:color w:val="000000"/>
          <w:sz w:val="28"/>
        </w:rPr>
        <w:t>
      &lt;В состав лекарственного препарата входят новые вспомогательные вещества.&gt;</w:t>
      </w:r>
    </w:p>
    <w:p>
      <w:pPr>
        <w:spacing w:after="0"/>
        <w:ind w:left="0"/>
        <w:jc w:val="both"/>
      </w:pPr>
      <w:r>
        <w:rPr>
          <w:rFonts w:ascii="Times New Roman"/>
          <w:b w:val="false"/>
          <w:i w:val="false"/>
          <w:color w:val="000000"/>
          <w:sz w:val="28"/>
        </w:rPr>
        <w:t>
      III.1.2.2. Оценка данных о производстве и внутрипроизводственном контроле</w:t>
      </w:r>
    </w:p>
    <w:p>
      <w:pPr>
        <w:spacing w:after="0"/>
        <w:ind w:left="0"/>
        <w:jc w:val="both"/>
      </w:pPr>
      <w:r>
        <w:rPr>
          <w:rFonts w:ascii="Times New Roman"/>
          <w:b w:val="false"/>
          <w:i w:val="false"/>
          <w:color w:val="000000"/>
          <w:sz w:val="28"/>
        </w:rPr>
        <w:t>
      &lt;Представлены описание и схема технологического процесса производства лекарственного препарата, данные по валидации процесса производства, описание контроля критических стадий производства и промежуточной продукции, информация о составе на серию. Представленные данные подтверждают постоянство и однородность серий лекарственного препарата.&gt;</w:t>
      </w:r>
    </w:p>
    <w:p>
      <w:pPr>
        <w:spacing w:after="0"/>
        <w:ind w:left="0"/>
        <w:jc w:val="both"/>
      </w:pPr>
      <w:r>
        <w:rPr>
          <w:rFonts w:ascii="Times New Roman"/>
          <w:b w:val="false"/>
          <w:i w:val="false"/>
          <w:color w:val="000000"/>
          <w:sz w:val="28"/>
        </w:rPr>
        <w:t>
      III.1.2.3. Контроль качества лекарственного препарата</w:t>
      </w:r>
    </w:p>
    <w:p>
      <w:pPr>
        <w:spacing w:after="0"/>
        <w:ind w:left="0"/>
        <w:jc w:val="both"/>
      </w:pPr>
      <w:r>
        <w:rPr>
          <w:rFonts w:ascii="Times New Roman"/>
          <w:b w:val="false"/>
          <w:i w:val="false"/>
          <w:color w:val="000000"/>
          <w:sz w:val="28"/>
        </w:rPr>
        <w:t>
      &lt;Спецификации лекарственного препарата охватывают надлежащие параметры для данной лекарственной формы. Показатели качества и методы (методики) контроля достаточны для оценки качества лекарственного препарата, воспроизводимы и соответствуют актуальным требованиям. Данные по валидации аналитических методик подтверждают применимость для контроля качества лекарственного препарата. Стандартные образцы используются в соответствии с их назначением при контроле качества лекарственного препарата.&gt;</w:t>
      </w:r>
    </w:p>
    <w:p>
      <w:pPr>
        <w:spacing w:after="0"/>
        <w:ind w:left="0"/>
        <w:jc w:val="both"/>
      </w:pPr>
      <w:r>
        <w:rPr>
          <w:rFonts w:ascii="Times New Roman"/>
          <w:b w:val="false"/>
          <w:i w:val="false"/>
          <w:color w:val="000000"/>
          <w:sz w:val="28"/>
        </w:rPr>
        <w:t xml:space="preserve">
      &lt;Анализ серий проведен на ____ сериях лекарственного препарата. По результатам анализа серий лекарственный препарат соответствует требованиям предложенной спецификации, что подтверждает воспроизводимость процесса производства, постоянство и однородность продукта от серии к серии.&gt; </w:t>
      </w:r>
    </w:p>
    <w:p>
      <w:pPr>
        <w:spacing w:after="0"/>
        <w:ind w:left="0"/>
        <w:jc w:val="both"/>
      </w:pPr>
      <w:r>
        <w:rPr>
          <w:rFonts w:ascii="Times New Roman"/>
          <w:b w:val="false"/>
          <w:i w:val="false"/>
          <w:color w:val="000000"/>
          <w:sz w:val="28"/>
        </w:rPr>
        <w:t>
      &lt;Качество лекарственного препарата подтверждено в том числе в рамках проведения лабораторной экспертизы (испытаний) образцов по всем показателям качества нормативного документа по качеству.&gt;</w:t>
      </w:r>
    </w:p>
    <w:p>
      <w:pPr>
        <w:spacing w:after="0"/>
        <w:ind w:left="0"/>
        <w:jc w:val="both"/>
      </w:pPr>
      <w:r>
        <w:rPr>
          <w:rFonts w:ascii="Times New Roman"/>
          <w:b w:val="false"/>
          <w:i w:val="false"/>
          <w:color w:val="000000"/>
          <w:sz w:val="28"/>
        </w:rPr>
        <w:t xml:space="preserve">
      &lt;Качество лекарственного препарата подтверждено в рамках государственной регистрации на территории &lt;государства – члена Евразийского экономического союза&gt;, в том числе в рамках проведения лабораторной экспертизы (испытаний) образцов лекарственного препарата по всем показателям качества нормативного документа по качеству. В результате проведенных испытаний установлено, что методики воспроизводятся, образцы лекарственного препарата отвечают требованиям по проверенным показателям. Требования к качеству лекарственного препарата с даты регистрации на территории &lt;государства – члена Евразийского экономического союза&gt; не изменились. Проведение лабораторной экспертизы образцов лекарственного препарата не требуется.&gt; </w:t>
      </w:r>
    </w:p>
    <w:p>
      <w:pPr>
        <w:spacing w:after="0"/>
        <w:ind w:left="0"/>
        <w:jc w:val="both"/>
      </w:pPr>
      <w:r>
        <w:rPr>
          <w:rFonts w:ascii="Times New Roman"/>
          <w:b w:val="false"/>
          <w:i w:val="false"/>
          <w:color w:val="000000"/>
          <w:sz w:val="28"/>
        </w:rPr>
        <w:t>
      III.1.2.4. Стабильность</w:t>
      </w:r>
    </w:p>
    <w:p>
      <w:pPr>
        <w:spacing w:after="0"/>
        <w:ind w:left="0"/>
        <w:jc w:val="both"/>
      </w:pPr>
      <w:r>
        <w:rPr>
          <w:rFonts w:ascii="Times New Roman"/>
          <w:b w:val="false"/>
          <w:i w:val="false"/>
          <w:color w:val="000000"/>
          <w:sz w:val="28"/>
        </w:rPr>
        <w:t>
      &lt;Условия и программа исследования стабильности соответствуют Требованиям к исследованию стабильности лекарственных препаратов и фармацевтических субстанций, утвержденным Решением Коллегии Евразийской экономической комиссии от 10 мая 2018 г. № 69. В спецификации включены показатели качества, подтверждающие оценку свойств лекарственного препарата, которые подвержены изменениям в процессе хранения. Частота исследований достаточна для установления профиля стабильности лекарственного препарата.&gt;</w:t>
      </w:r>
    </w:p>
    <w:p>
      <w:pPr>
        <w:spacing w:after="0"/>
        <w:ind w:left="0"/>
        <w:jc w:val="both"/>
      </w:pPr>
      <w:r>
        <w:rPr>
          <w:rFonts w:ascii="Times New Roman"/>
          <w:b w:val="false"/>
          <w:i w:val="false"/>
          <w:color w:val="000000"/>
          <w:sz w:val="28"/>
        </w:rPr>
        <w:t>
      &lt;Укажите, заявитель представил полные данные исследования либо обязательство о завершении исследования стабильности в пострегистрационный период или нет&gt;</w:t>
      </w:r>
    </w:p>
    <w:p>
      <w:pPr>
        <w:spacing w:after="0"/>
        <w:ind w:left="0"/>
        <w:jc w:val="both"/>
      </w:pPr>
      <w:r>
        <w:rPr>
          <w:rFonts w:ascii="Times New Roman"/>
          <w:b w:val="false"/>
          <w:i w:val="false"/>
          <w:color w:val="000000"/>
          <w:sz w:val="28"/>
        </w:rPr>
        <w:t>
      &lt;Предлагаемый срок хранения в течение ______ месяцев при &lt;указать условия хранения&gt; для лекарственного препарата считается приемлемым.&gt;</w:t>
      </w:r>
    </w:p>
    <w:p>
      <w:pPr>
        <w:spacing w:after="0"/>
        <w:ind w:left="0"/>
        <w:jc w:val="both"/>
      </w:pPr>
      <w:r>
        <w:rPr>
          <w:rFonts w:ascii="Times New Roman"/>
          <w:b w:val="false"/>
          <w:i w:val="false"/>
          <w:color w:val="000000"/>
          <w:sz w:val="28"/>
        </w:rPr>
        <w:t>
      III.1.2.5. Общий вывод по аспектам качества лекарственного препарата</w:t>
      </w:r>
    </w:p>
    <w:p>
      <w:pPr>
        <w:spacing w:after="0"/>
        <w:ind w:left="0"/>
        <w:jc w:val="both"/>
      </w:pPr>
      <w:r>
        <w:rPr>
          <w:rFonts w:ascii="Times New Roman"/>
          <w:b w:val="false"/>
          <w:i w:val="false"/>
          <w:color w:val="000000"/>
          <w:sz w:val="28"/>
        </w:rPr>
        <w:t>
      &lt;Представленная информация в модуле 3 регистрационного досье охватывает все аспекты качества активных фармацевтических субстанций и лекарственного препарата и позволяет сделать вывод о контролируемом качестве активных фармацевтических субстанций и лекарственного препарата на протяжении установленного срока годности (срока хранения).&gt;</w:t>
      </w:r>
    </w:p>
    <w:p>
      <w:pPr>
        <w:spacing w:after="0"/>
        <w:ind w:left="0"/>
        <w:jc w:val="both"/>
      </w:pPr>
      <w:r>
        <w:rPr>
          <w:rFonts w:ascii="Times New Roman"/>
          <w:b w:val="false"/>
          <w:i w:val="false"/>
          <w:color w:val="000000"/>
          <w:sz w:val="28"/>
        </w:rPr>
        <w:t>
      III.2. Доклинические аспекты</w:t>
      </w:r>
    </w:p>
    <w:p>
      <w:pPr>
        <w:spacing w:after="0"/>
        <w:ind w:left="0"/>
        <w:jc w:val="both"/>
      </w:pPr>
      <w:r>
        <w:rPr>
          <w:rFonts w:ascii="Times New Roman"/>
          <w:b w:val="false"/>
          <w:i w:val="false"/>
          <w:color w:val="000000"/>
          <w:sz w:val="28"/>
        </w:rPr>
        <w:t>
      III.2.1. Фармакология</w:t>
      </w:r>
    </w:p>
    <w:p>
      <w:pPr>
        <w:spacing w:after="0"/>
        <w:ind w:left="0"/>
        <w:jc w:val="both"/>
      </w:pPr>
      <w:r>
        <w:rPr>
          <w:rFonts w:ascii="Times New Roman"/>
          <w:b w:val="false"/>
          <w:i w:val="false"/>
          <w:color w:val="000000"/>
          <w:sz w:val="28"/>
        </w:rPr>
        <w:t>
      III.2.2. Фармакокинетика</w:t>
      </w:r>
    </w:p>
    <w:p>
      <w:pPr>
        <w:spacing w:after="0"/>
        <w:ind w:left="0"/>
        <w:jc w:val="both"/>
      </w:pPr>
      <w:r>
        <w:rPr>
          <w:rFonts w:ascii="Times New Roman"/>
          <w:b w:val="false"/>
          <w:i w:val="false"/>
          <w:color w:val="000000"/>
          <w:sz w:val="28"/>
        </w:rPr>
        <w:t>
      III.2.3. Токсикология</w:t>
      </w:r>
    </w:p>
    <w:p>
      <w:pPr>
        <w:spacing w:after="0"/>
        <w:ind w:left="0"/>
        <w:jc w:val="both"/>
      </w:pPr>
      <w:r>
        <w:rPr>
          <w:rFonts w:ascii="Times New Roman"/>
          <w:b w:val="false"/>
          <w:i w:val="false"/>
          <w:color w:val="000000"/>
          <w:sz w:val="28"/>
        </w:rPr>
        <w:t>
      III.2.3.1. Токсичность при однократном введении (острая токсичность)</w:t>
      </w:r>
    </w:p>
    <w:p>
      <w:pPr>
        <w:spacing w:after="0"/>
        <w:ind w:left="0"/>
        <w:jc w:val="both"/>
      </w:pPr>
      <w:r>
        <w:rPr>
          <w:rFonts w:ascii="Times New Roman"/>
          <w:b w:val="false"/>
          <w:i w:val="false"/>
          <w:color w:val="000000"/>
          <w:sz w:val="28"/>
        </w:rPr>
        <w:t>
      III.2.3.2. Токсичность при повторном (многократном) введении (субхроническая, хроническая токсичность)</w:t>
      </w:r>
    </w:p>
    <w:p>
      <w:pPr>
        <w:spacing w:after="0"/>
        <w:ind w:left="0"/>
        <w:jc w:val="both"/>
      </w:pPr>
      <w:r>
        <w:rPr>
          <w:rFonts w:ascii="Times New Roman"/>
          <w:b w:val="false"/>
          <w:i w:val="false"/>
          <w:color w:val="000000"/>
          <w:sz w:val="28"/>
        </w:rPr>
        <w:t>
      III.2.3.3. Генотоксичность</w:t>
      </w:r>
    </w:p>
    <w:p>
      <w:pPr>
        <w:spacing w:after="0"/>
        <w:ind w:left="0"/>
        <w:jc w:val="both"/>
      </w:pPr>
      <w:r>
        <w:rPr>
          <w:rFonts w:ascii="Times New Roman"/>
          <w:b w:val="false"/>
          <w:i w:val="false"/>
          <w:color w:val="000000"/>
          <w:sz w:val="28"/>
        </w:rPr>
        <w:t>
      III.2.3.4. Канцерогенность</w:t>
      </w:r>
    </w:p>
    <w:p>
      <w:pPr>
        <w:spacing w:after="0"/>
        <w:ind w:left="0"/>
        <w:jc w:val="both"/>
      </w:pPr>
      <w:r>
        <w:rPr>
          <w:rFonts w:ascii="Times New Roman"/>
          <w:b w:val="false"/>
          <w:i w:val="false"/>
          <w:color w:val="000000"/>
          <w:sz w:val="28"/>
        </w:rPr>
        <w:t>
      III.2.3.5. Репродуктивная и онтогенетическая токсичность</w:t>
      </w:r>
    </w:p>
    <w:p>
      <w:pPr>
        <w:spacing w:after="0"/>
        <w:ind w:left="0"/>
        <w:jc w:val="both"/>
      </w:pPr>
      <w:r>
        <w:rPr>
          <w:rFonts w:ascii="Times New Roman"/>
          <w:b w:val="false"/>
          <w:i w:val="false"/>
          <w:color w:val="000000"/>
          <w:sz w:val="28"/>
        </w:rPr>
        <w:t>
      III.2.3.6. Местная переносимость</w:t>
      </w:r>
    </w:p>
    <w:p>
      <w:pPr>
        <w:spacing w:after="0"/>
        <w:ind w:left="0"/>
        <w:jc w:val="both"/>
      </w:pPr>
      <w:r>
        <w:rPr>
          <w:rFonts w:ascii="Times New Roman"/>
          <w:b w:val="false"/>
          <w:i w:val="false"/>
          <w:color w:val="000000"/>
          <w:sz w:val="28"/>
        </w:rPr>
        <w:t>
      III.2.3.7. Другие токсикологические исследования (антигенность, иммунотоксичность и др.)</w:t>
      </w:r>
    </w:p>
    <w:p>
      <w:pPr>
        <w:spacing w:after="0"/>
        <w:ind w:left="0"/>
        <w:jc w:val="both"/>
      </w:pPr>
      <w:r>
        <w:rPr>
          <w:rFonts w:ascii="Times New Roman"/>
          <w:b w:val="false"/>
          <w:i w:val="false"/>
          <w:color w:val="000000"/>
          <w:sz w:val="28"/>
        </w:rPr>
        <w:t>
      III.2.3.8. Оценка интерпретации разработчиком полученных результатов доклинических исследований (фармакологических, фармакокинетических, токсикологических исследований) лекарственного препарата</w:t>
      </w:r>
    </w:p>
    <w:p>
      <w:pPr>
        <w:spacing w:after="0"/>
        <w:ind w:left="0"/>
        <w:jc w:val="both"/>
      </w:pPr>
      <w:r>
        <w:rPr>
          <w:rFonts w:ascii="Times New Roman"/>
          <w:b w:val="false"/>
          <w:i w:val="false"/>
          <w:color w:val="000000"/>
          <w:sz w:val="28"/>
        </w:rPr>
        <w:t>
      III.3. Клинические аспекты</w:t>
      </w:r>
    </w:p>
    <w:p>
      <w:pPr>
        <w:spacing w:after="0"/>
        <w:ind w:left="0"/>
        <w:jc w:val="both"/>
      </w:pPr>
      <w:r>
        <w:rPr>
          <w:rFonts w:ascii="Times New Roman"/>
          <w:b w:val="false"/>
          <w:i w:val="false"/>
          <w:color w:val="000000"/>
          <w:sz w:val="28"/>
        </w:rPr>
        <w:t>
      III.3.1. Фармакокинетика</w:t>
      </w:r>
    </w:p>
    <w:p>
      <w:pPr>
        <w:spacing w:after="0"/>
        <w:ind w:left="0"/>
        <w:jc w:val="both"/>
      </w:pPr>
      <w:r>
        <w:rPr>
          <w:rFonts w:ascii="Times New Roman"/>
          <w:b w:val="false"/>
          <w:i w:val="false"/>
          <w:color w:val="000000"/>
          <w:sz w:val="28"/>
        </w:rPr>
        <w:t>
      III.3.2. Фармакодинамика</w:t>
      </w:r>
    </w:p>
    <w:p>
      <w:pPr>
        <w:spacing w:after="0"/>
        <w:ind w:left="0"/>
        <w:jc w:val="both"/>
      </w:pPr>
      <w:r>
        <w:rPr>
          <w:rFonts w:ascii="Times New Roman"/>
          <w:b w:val="false"/>
          <w:i w:val="false"/>
          <w:color w:val="000000"/>
          <w:sz w:val="28"/>
        </w:rPr>
        <w:t>
      III.3.3. Клиническая эффективность</w:t>
      </w:r>
    </w:p>
    <w:p>
      <w:pPr>
        <w:spacing w:after="0"/>
        <w:ind w:left="0"/>
        <w:jc w:val="both"/>
      </w:pPr>
      <w:r>
        <w:rPr>
          <w:rFonts w:ascii="Times New Roman"/>
          <w:b w:val="false"/>
          <w:i w:val="false"/>
          <w:color w:val="000000"/>
          <w:sz w:val="28"/>
        </w:rPr>
        <w:t>
      III.3.4. Клиническая безопасность</w:t>
      </w:r>
    </w:p>
    <w:p>
      <w:pPr>
        <w:spacing w:after="0"/>
        <w:ind w:left="0"/>
        <w:jc w:val="both"/>
      </w:pPr>
      <w:r>
        <w:rPr>
          <w:rFonts w:ascii="Times New Roman"/>
          <w:b w:val="false"/>
          <w:i w:val="false"/>
          <w:color w:val="000000"/>
          <w:sz w:val="28"/>
        </w:rPr>
        <w:t>
      III.3.5. Система фармаконадзора</w:t>
      </w:r>
    </w:p>
    <w:p>
      <w:pPr>
        <w:spacing w:after="0"/>
        <w:ind w:left="0"/>
        <w:jc w:val="both"/>
      </w:pPr>
      <w:r>
        <w:rPr>
          <w:rFonts w:ascii="Times New Roman"/>
          <w:b w:val="false"/>
          <w:i w:val="false"/>
          <w:color w:val="000000"/>
          <w:sz w:val="28"/>
        </w:rPr>
        <w:t>
      &lt;Заявитель (предполагаемый держатель регистрационного удостоверения) представил подписанную пояснительную записку по системе фармаконадзора заявителя (предполагаемого держателя регистрационного удостоверения). Референтное государство считает пояснительную записку приемлемой при условии полного соответствия досье по системе фармаконадзора заявителя (предполагаемого держателя регистрационного удостоверения) требованиям, предусмотренным модулем по надлежащей практике фармаконадзора.&gt;</w:t>
      </w:r>
    </w:p>
    <w:p>
      <w:pPr>
        <w:spacing w:after="0"/>
        <w:ind w:left="0"/>
        <w:jc w:val="both"/>
      </w:pPr>
      <w:r>
        <w:rPr>
          <w:rFonts w:ascii="Times New Roman"/>
          <w:b w:val="false"/>
          <w:i w:val="false"/>
          <w:color w:val="000000"/>
          <w:sz w:val="28"/>
        </w:rPr>
        <w:t>
      III.3.6. План управления рисками</w:t>
      </w:r>
    </w:p>
    <w:p>
      <w:pPr>
        <w:spacing w:after="0"/>
        <w:ind w:left="0"/>
        <w:jc w:val="both"/>
      </w:pPr>
      <w:r>
        <w:rPr>
          <w:rFonts w:ascii="Times New Roman"/>
          <w:b w:val="false"/>
          <w:i w:val="false"/>
          <w:color w:val="000000"/>
          <w:sz w:val="28"/>
        </w:rPr>
        <w:t>
      &lt;Представляются результаты оценки плана управления рисками в случае, если его представление необходимо с учетом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87, или указание о его непредставлении со ссылками на акты органов Евразийского экономического союза в сфере обращения лекарственных средств.&gt;</w:t>
      </w:r>
    </w:p>
    <w:p>
      <w:pPr>
        <w:spacing w:after="0"/>
        <w:ind w:left="0"/>
        <w:jc w:val="both"/>
      </w:pPr>
      <w:r>
        <w:rPr>
          <w:rFonts w:ascii="Times New Roman"/>
          <w:b w:val="false"/>
          <w:i w:val="false"/>
          <w:color w:val="000000"/>
          <w:sz w:val="28"/>
        </w:rPr>
        <w:t xml:space="preserve">
      III.3.7. Периодически обновляемый отчет по безопасности </w:t>
      </w:r>
    </w:p>
    <w:p>
      <w:pPr>
        <w:spacing w:after="0"/>
        <w:ind w:left="0"/>
        <w:jc w:val="both"/>
      </w:pPr>
      <w:r>
        <w:rPr>
          <w:rFonts w:ascii="Times New Roman"/>
          <w:b w:val="false"/>
          <w:i w:val="false"/>
          <w:color w:val="000000"/>
          <w:sz w:val="28"/>
        </w:rPr>
        <w:t>
      &lt;Держатель регистрационного удостоверения должен представить первый периодически обновляемый отчет по безопасности для данного лекарственного препарата в течение _______ месяцев после его регистрации.</w:t>
      </w:r>
    </w:p>
    <w:p>
      <w:pPr>
        <w:spacing w:after="0"/>
        <w:ind w:left="0"/>
        <w:jc w:val="both"/>
      </w:pPr>
      <w:r>
        <w:rPr>
          <w:rFonts w:ascii="Times New Roman"/>
          <w:b w:val="false"/>
          <w:i w:val="false"/>
          <w:color w:val="000000"/>
          <w:sz w:val="28"/>
        </w:rPr>
        <w:t>
      В последующем держатель регистрационного удостоверения должен представлять периодически обновляемые отчеты по безопасности для данного лекарственного препарата.&gt;</w:t>
      </w:r>
    </w:p>
    <w:p>
      <w:pPr>
        <w:spacing w:after="0"/>
        <w:ind w:left="0"/>
        <w:jc w:val="left"/>
      </w:pPr>
      <w:r>
        <w:rPr>
          <w:rFonts w:ascii="Times New Roman"/>
          <w:b/>
          <w:i w:val="false"/>
          <w:color w:val="000000"/>
        </w:rPr>
        <w:t xml:space="preserve"> IV. Оценка соотношения "польза – риск"</w:t>
      </w:r>
    </w:p>
    <w:p>
      <w:pPr>
        <w:spacing w:after="0"/>
        <w:ind w:left="0"/>
        <w:jc w:val="both"/>
      </w:pPr>
      <w:r>
        <w:rPr>
          <w:rFonts w:ascii="Times New Roman"/>
          <w:b w:val="false"/>
          <w:i w:val="false"/>
          <w:color w:val="000000"/>
          <w:sz w:val="28"/>
        </w:rPr>
        <w:t>
      &lt;Обобщите основные выводы и вопросы по оценке соотношения "польза – риск" (подробная информация должна быть приведена в основных разделах по безопасности, эффективности и качеству соответственно). Интегрируйте эти аспекты при рассмотрении соотношения "польза – риск" для определенных популяций.</w:t>
      </w:r>
    </w:p>
    <w:p>
      <w:pPr>
        <w:spacing w:after="0"/>
        <w:ind w:left="0"/>
        <w:jc w:val="both"/>
      </w:pPr>
      <w:r>
        <w:rPr>
          <w:rFonts w:ascii="Times New Roman"/>
          <w:b w:val="false"/>
          <w:i w:val="false"/>
          <w:color w:val="000000"/>
          <w:sz w:val="28"/>
        </w:rPr>
        <w:t>
      Включите данные по доклинической и клинической безопасности, обязательствам в пострегистрационный период после регистрации лекарственного препарата, а также рассмотрите любые аспекты управления рисками, способные оказать влияние на оценку соотношения "польза – риск".</w:t>
      </w:r>
    </w:p>
    <w:p>
      <w:pPr>
        <w:spacing w:after="0"/>
        <w:ind w:left="0"/>
        <w:jc w:val="both"/>
      </w:pPr>
      <w:r>
        <w:rPr>
          <w:rFonts w:ascii="Times New Roman"/>
          <w:b w:val="false"/>
          <w:i w:val="false"/>
          <w:color w:val="000000"/>
          <w:sz w:val="28"/>
        </w:rPr>
        <w:t>
      В оценку соотношения "польза – риск" необходимо включить следующие аспекты, если это применимо (взятые из регистрационного досье лекарственного препарата в формате общего технического документа):</w:t>
      </w:r>
    </w:p>
    <w:p>
      <w:pPr>
        <w:spacing w:after="0"/>
        <w:ind w:left="0"/>
        <w:jc w:val="both"/>
      </w:pPr>
      <w:r>
        <w:rPr>
          <w:rFonts w:ascii="Times New Roman"/>
          <w:b w:val="false"/>
          <w:i w:val="false"/>
          <w:color w:val="000000"/>
          <w:sz w:val="28"/>
        </w:rPr>
        <w:t>
      соблюдение требования актов органов Евразийского экономического союза в сфере обращения лекарственных средств и Экспертного комитета по лекарственным средствам;</w:t>
      </w:r>
    </w:p>
    <w:p>
      <w:pPr>
        <w:spacing w:after="0"/>
        <w:ind w:left="0"/>
        <w:jc w:val="both"/>
      </w:pPr>
      <w:r>
        <w:rPr>
          <w:rFonts w:ascii="Times New Roman"/>
          <w:b w:val="false"/>
          <w:i w:val="false"/>
          <w:color w:val="000000"/>
          <w:sz w:val="28"/>
        </w:rPr>
        <w:t>
      диапазон оптимальной дозировки и режим дозирования;</w:t>
      </w:r>
    </w:p>
    <w:p>
      <w:pPr>
        <w:spacing w:after="0"/>
        <w:ind w:left="0"/>
        <w:jc w:val="both"/>
      </w:pPr>
      <w:r>
        <w:rPr>
          <w:rFonts w:ascii="Times New Roman"/>
          <w:b w:val="false"/>
          <w:i w:val="false"/>
          <w:color w:val="000000"/>
          <w:sz w:val="28"/>
        </w:rPr>
        <w:t>
      безопасность и эффективность в субпопуляциях (например, для пациентов определенного возраста, пола, расовой принадлежности, степени работы органов, тяжести заболевания и генетического полиморфизма);</w:t>
      </w:r>
    </w:p>
    <w:p>
      <w:pPr>
        <w:spacing w:after="0"/>
        <w:ind w:left="0"/>
        <w:jc w:val="both"/>
      </w:pPr>
      <w:r>
        <w:rPr>
          <w:rFonts w:ascii="Times New Roman"/>
          <w:b w:val="false"/>
          <w:i w:val="false"/>
          <w:color w:val="000000"/>
          <w:sz w:val="28"/>
        </w:rPr>
        <w:t>
      известные и потенциальные механизмы лекарственного взаимодействия;</w:t>
      </w:r>
    </w:p>
    <w:p>
      <w:pPr>
        <w:spacing w:after="0"/>
        <w:ind w:left="0"/>
        <w:jc w:val="both"/>
      </w:pPr>
      <w:r>
        <w:rPr>
          <w:rFonts w:ascii="Times New Roman"/>
          <w:b w:val="false"/>
          <w:i w:val="false"/>
          <w:color w:val="000000"/>
          <w:sz w:val="28"/>
        </w:rPr>
        <w:t>
      "сигналы" по безопасности, имеющие отношение, например, к канцерогенному действию, тератогенному действию, удлинению интервала QT или подозрениям на гепатотоксичность;</w:t>
      </w:r>
    </w:p>
    <w:p>
      <w:pPr>
        <w:spacing w:after="0"/>
        <w:ind w:left="0"/>
        <w:jc w:val="both"/>
      </w:pPr>
      <w:r>
        <w:rPr>
          <w:rFonts w:ascii="Times New Roman"/>
          <w:b w:val="false"/>
          <w:i w:val="false"/>
          <w:color w:val="000000"/>
          <w:sz w:val="28"/>
        </w:rPr>
        <w:t>
      использование суррогатных конечных точек для оценки эффективности действия, когда токсичность лекарственного препарата является существенной;</w:t>
      </w:r>
    </w:p>
    <w:p>
      <w:pPr>
        <w:spacing w:after="0"/>
        <w:ind w:left="0"/>
        <w:jc w:val="both"/>
      </w:pPr>
      <w:r>
        <w:rPr>
          <w:rFonts w:ascii="Times New Roman"/>
          <w:b w:val="false"/>
          <w:i w:val="false"/>
          <w:color w:val="000000"/>
          <w:sz w:val="28"/>
        </w:rPr>
        <w:t>
      проверка рассмотрения всех вопросов по безопасности в плане фармаконадзора (если он представлен);</w:t>
      </w:r>
    </w:p>
    <w:p>
      <w:pPr>
        <w:spacing w:after="0"/>
        <w:ind w:left="0"/>
        <w:jc w:val="both"/>
      </w:pPr>
      <w:r>
        <w:rPr>
          <w:rFonts w:ascii="Times New Roman"/>
          <w:b w:val="false"/>
          <w:i w:val="false"/>
          <w:color w:val="000000"/>
          <w:sz w:val="28"/>
        </w:rPr>
        <w:t>
      безопасное и (или) эффективное применение лекарственного препарата предполагает потенциальные трудности при выборе подходов к управлению рисками, предусматривающих специальную врачебную экспертизу или обучение пациентов;</w:t>
      </w:r>
    </w:p>
    <w:p>
      <w:pPr>
        <w:spacing w:after="0"/>
        <w:ind w:left="0"/>
        <w:jc w:val="both"/>
      </w:pPr>
      <w:r>
        <w:rPr>
          <w:rFonts w:ascii="Times New Roman"/>
          <w:b w:val="false"/>
          <w:i w:val="false"/>
          <w:color w:val="000000"/>
          <w:sz w:val="28"/>
        </w:rPr>
        <w:t>
      проверка учета заявителем рисков и неопределенностей исходя из условий выдачи регистрационного удостоверения, состава информации о лекарственном препарате, последующих контрольных мероприятий или плана управления рисками;</w:t>
      </w:r>
    </w:p>
    <w:p>
      <w:pPr>
        <w:spacing w:after="0"/>
        <w:ind w:left="0"/>
        <w:jc w:val="both"/>
      </w:pPr>
      <w:r>
        <w:rPr>
          <w:rFonts w:ascii="Times New Roman"/>
          <w:b w:val="false"/>
          <w:i w:val="false"/>
          <w:color w:val="000000"/>
          <w:sz w:val="28"/>
        </w:rPr>
        <w:t>
      проверка наличия достаточной информации для характеристики соотношения "польза – риск" от применения лекарственного препарата по сравнению с надлежащей, признанной научным медицинским сообществом схемой лечения (при ее наличии) и ее рассмотрение экспертом в соответствующем порядке.&gt;</w:t>
      </w:r>
    </w:p>
    <w:p>
      <w:pPr>
        <w:spacing w:after="0"/>
        <w:ind w:left="0"/>
        <w:jc w:val="both"/>
      </w:pPr>
      <w:r>
        <w:rPr>
          <w:rFonts w:ascii="Times New Roman"/>
          <w:b w:val="false"/>
          <w:i w:val="false"/>
          <w:color w:val="000000"/>
          <w:sz w:val="28"/>
        </w:rPr>
        <w:t>
      Кроме того, необходимо рассмотреть представленные данные о применении лекарственного препарата у детей или любые планы развития по педиатрическому применению.</w:t>
      </w:r>
    </w:p>
    <w:p>
      <w:pPr>
        <w:spacing w:after="0"/>
        <w:ind w:left="0"/>
        <w:jc w:val="both"/>
      </w:pPr>
      <w:r>
        <w:rPr>
          <w:rFonts w:ascii="Times New Roman"/>
          <w:b w:val="false"/>
          <w:i w:val="false"/>
          <w:color w:val="000000"/>
          <w:sz w:val="28"/>
        </w:rPr>
        <w:t>
      Если применимо, в данный раздел необходимо включить информацию и данные оценки биоэквивалентности для заявлений на регистрацию воспроизведенных лекарственных препаратов. Необходимо отразить в заключении правильность (корректность) выбора референтного лекарственного препарата.</w:t>
      </w:r>
    </w:p>
    <w:p>
      <w:pPr>
        <w:spacing w:after="0"/>
        <w:ind w:left="0"/>
        <w:jc w:val="left"/>
      </w:pPr>
      <w:r>
        <w:rPr>
          <w:rFonts w:ascii="Times New Roman"/>
          <w:b/>
          <w:i w:val="false"/>
          <w:color w:val="000000"/>
        </w:rPr>
        <w:t xml:space="preserve"> V. Рекомендуемые условия выдачи регистрационного удостоверения и информация о лекарственном препарате</w:t>
      </w:r>
    </w:p>
    <w:p>
      <w:pPr>
        <w:spacing w:after="0"/>
        <w:ind w:left="0"/>
        <w:jc w:val="both"/>
      </w:pPr>
      <w:r>
        <w:rPr>
          <w:rFonts w:ascii="Times New Roman"/>
          <w:b w:val="false"/>
          <w:i w:val="false"/>
          <w:color w:val="000000"/>
          <w:sz w:val="28"/>
        </w:rPr>
        <w:t>
      V.1. Условия выдачи регистрационного удостоверения</w:t>
      </w:r>
    </w:p>
    <w:p>
      <w:pPr>
        <w:spacing w:after="0"/>
        <w:ind w:left="0"/>
        <w:jc w:val="both"/>
      </w:pPr>
      <w:r>
        <w:rPr>
          <w:rFonts w:ascii="Times New Roman"/>
          <w:b w:val="false"/>
          <w:i w:val="false"/>
          <w:color w:val="000000"/>
          <w:sz w:val="28"/>
        </w:rPr>
        <w:t xml:space="preserve">
      По результатам проведенной экспертизы регистрационного досье лекарственного препарата в рамках процедуры __________________________ заявителю </w:t>
      </w:r>
      <w:r>
        <w:rPr>
          <w:rFonts w:ascii="Times New Roman"/>
          <w:b w:val="false"/>
          <w:i/>
          <w:color w:val="000000"/>
          <w:sz w:val="28"/>
        </w:rPr>
        <w:t xml:space="preserve">может быть выдано </w:t>
      </w:r>
      <w:r>
        <w:rPr>
          <w:rFonts w:ascii="Times New Roman"/>
          <w:b w:val="false"/>
          <w:i/>
          <w:color w:val="000000"/>
          <w:sz w:val="28"/>
        </w:rPr>
        <w:t>/ не может</w:t>
      </w:r>
      <w:r>
        <w:rPr>
          <w:rFonts w:ascii="Times New Roman"/>
          <w:b w:val="false"/>
          <w:i w:val="false"/>
          <w:color w:val="000000"/>
          <w:sz w:val="28"/>
        </w:rPr>
        <w:t xml:space="preserve"> </w:t>
      </w:r>
      <w:r>
        <w:rPr>
          <w:rFonts w:ascii="Times New Roman"/>
          <w:b w:val="false"/>
          <w:i/>
          <w:color w:val="000000"/>
          <w:sz w:val="28"/>
        </w:rPr>
        <w:t>быть выдано</w:t>
      </w:r>
      <w:r>
        <w:rPr>
          <w:rFonts w:ascii="Times New Roman"/>
          <w:b w:val="false"/>
          <w:i w:val="false"/>
          <w:color w:val="000000"/>
          <w:sz w:val="28"/>
        </w:rPr>
        <w:t xml:space="preserve"> регистрационное удостоверение &lt;сроком действия 5 лет / бессрочно №____________ от__________.&gt; </w:t>
      </w:r>
    </w:p>
    <w:p>
      <w:pPr>
        <w:spacing w:after="0"/>
        <w:ind w:left="0"/>
        <w:jc w:val="both"/>
      </w:pPr>
      <w:r>
        <w:rPr>
          <w:rFonts w:ascii="Times New Roman"/>
          <w:b w:val="false"/>
          <w:i w:val="false"/>
          <w:color w:val="000000"/>
          <w:sz w:val="28"/>
        </w:rPr>
        <w:t>
      Правовой статус</w:t>
      </w:r>
    </w:p>
    <w:p>
      <w:pPr>
        <w:spacing w:after="0"/>
        <w:ind w:left="0"/>
        <w:jc w:val="both"/>
      </w:pPr>
      <w:r>
        <w:rPr>
          <w:rFonts w:ascii="Times New Roman"/>
          <w:b w:val="false"/>
          <w:i w:val="false"/>
          <w:color w:val="000000"/>
          <w:sz w:val="28"/>
        </w:rPr>
        <w:t xml:space="preserve">
      Порядок отпуска лекарственного препарата </w:t>
      </w:r>
      <w:r>
        <w:rPr>
          <w:rFonts w:ascii="Times New Roman"/>
          <w:b w:val="false"/>
          <w:i/>
          <w:color w:val="000000"/>
          <w:sz w:val="28"/>
        </w:rPr>
        <w:t xml:space="preserve">без рецепта </w:t>
      </w:r>
      <w:r>
        <w:rPr>
          <w:rFonts w:ascii="Times New Roman"/>
          <w:b w:val="false"/>
          <w:i w:val="false"/>
          <w:color w:val="000000"/>
          <w:sz w:val="28"/>
        </w:rPr>
        <w:t xml:space="preserve">/ </w:t>
      </w:r>
      <w:r>
        <w:rPr>
          <w:rFonts w:ascii="Times New Roman"/>
          <w:b w:val="false"/>
          <w:i/>
          <w:color w:val="000000"/>
          <w:sz w:val="28"/>
        </w:rPr>
        <w:t xml:space="preserve">по рецепту </w:t>
      </w:r>
      <w:r>
        <w:rPr>
          <w:rFonts w:ascii="Times New Roman"/>
          <w:b w:val="false"/>
          <w:i w:val="false"/>
          <w:color w:val="000000"/>
          <w:sz w:val="28"/>
        </w:rPr>
        <w:t xml:space="preserve">/ </w:t>
      </w:r>
      <w:r>
        <w:rPr>
          <w:rFonts w:ascii="Times New Roman"/>
          <w:b w:val="false"/>
          <w:i/>
          <w:color w:val="000000"/>
          <w:sz w:val="28"/>
        </w:rPr>
        <w:t>для лечебно-профилактических учреждений</w:t>
      </w:r>
      <w:r>
        <w:rPr>
          <w:rFonts w:ascii="Times New Roman"/>
          <w:b w:val="false"/>
          <w:i w:val="false"/>
          <w:color w:val="000000"/>
          <w:sz w:val="28"/>
        </w:rPr>
        <w:t>.</w:t>
      </w:r>
    </w:p>
    <w:p>
      <w:pPr>
        <w:spacing w:after="0"/>
        <w:ind w:left="0"/>
        <w:jc w:val="both"/>
      </w:pPr>
      <w:r>
        <w:rPr>
          <w:rFonts w:ascii="Times New Roman"/>
          <w:b w:val="false"/>
          <w:i w:val="false"/>
          <w:color w:val="000000"/>
          <w:sz w:val="28"/>
        </w:rPr>
        <w:t>
      Меры последующего контроля</w:t>
      </w:r>
    </w:p>
    <w:p>
      <w:pPr>
        <w:spacing w:after="0"/>
        <w:ind w:left="0"/>
        <w:jc w:val="both"/>
      </w:pPr>
      <w:r>
        <w:rPr>
          <w:rFonts w:ascii="Times New Roman"/>
          <w:b w:val="false"/>
          <w:i w:val="false"/>
          <w:color w:val="000000"/>
          <w:sz w:val="28"/>
        </w:rPr>
        <w:t>
      &lt;Приводится информация о гарантийных обязательствах, взятых заявителем относительно сведений, содержащихся в регистрационном досье лекарственного препарата, которые подлежат контролю со стороны заявителя и требуют внесения изменений в регистрационное досье лекарственного препарата в пострегистрационный период, но не позднее плановой перерегистрации лекарственного препарата.&gt;</w:t>
      </w:r>
    </w:p>
    <w:p>
      <w:pPr>
        <w:spacing w:after="0"/>
        <w:ind w:left="0"/>
        <w:jc w:val="both"/>
      </w:pPr>
      <w:r>
        <w:rPr>
          <w:rFonts w:ascii="Times New Roman"/>
          <w:b w:val="false"/>
          <w:i w:val="false"/>
          <w:color w:val="000000"/>
          <w:sz w:val="28"/>
        </w:rPr>
        <w:t>
      Специальные обязательства</w:t>
      </w:r>
    </w:p>
    <w:p>
      <w:pPr>
        <w:spacing w:after="0"/>
        <w:ind w:left="0"/>
        <w:jc w:val="both"/>
      </w:pPr>
      <w:r>
        <w:rPr>
          <w:rFonts w:ascii="Times New Roman"/>
          <w:b w:val="false"/>
          <w:i w:val="false"/>
          <w:color w:val="000000"/>
          <w:sz w:val="28"/>
        </w:rPr>
        <w:t>
      В настоящем разделе необходимо указать условия выдачи регистрационного удостоверения (если применимо).</w:t>
      </w:r>
    </w:p>
    <w:p>
      <w:pPr>
        <w:spacing w:after="0"/>
        <w:ind w:left="0"/>
        <w:jc w:val="both"/>
      </w:pPr>
      <w:r>
        <w:rPr>
          <w:rFonts w:ascii="Times New Roman"/>
          <w:b w:val="false"/>
          <w:i w:val="false"/>
          <w:color w:val="000000"/>
          <w:sz w:val="28"/>
        </w:rPr>
        <w:t>
      V.2. Общая характеристика лекарственного препарата</w:t>
      </w:r>
    </w:p>
    <w:p>
      <w:pPr>
        <w:spacing w:after="0"/>
        <w:ind w:left="0"/>
        <w:jc w:val="both"/>
      </w:pPr>
      <w:r>
        <w:rPr>
          <w:rFonts w:ascii="Times New Roman"/>
          <w:b w:val="false"/>
          <w:i w:val="false"/>
          <w:color w:val="000000"/>
          <w:sz w:val="28"/>
        </w:rPr>
        <w:t>
      V.3. Инструкции по медицинскому применению (листок-вкладыш) и пользовательское тестирование</w:t>
      </w:r>
    </w:p>
    <w:p>
      <w:pPr>
        <w:spacing w:after="0"/>
        <w:ind w:left="0"/>
        <w:jc w:val="both"/>
      </w:pPr>
      <w:r>
        <w:rPr>
          <w:rFonts w:ascii="Times New Roman"/>
          <w:b w:val="false"/>
          <w:i w:val="false"/>
          <w:color w:val="000000"/>
          <w:sz w:val="28"/>
        </w:rPr>
        <w:t>
      V.3.1. Инструкции по медицинскому применению (листок-вкладыш)</w:t>
      </w:r>
    </w:p>
    <w:p>
      <w:pPr>
        <w:spacing w:after="0"/>
        <w:ind w:left="0"/>
        <w:jc w:val="both"/>
      </w:pPr>
      <w:r>
        <w:rPr>
          <w:rFonts w:ascii="Times New Roman"/>
          <w:b w:val="false"/>
          <w:i w:val="false"/>
          <w:color w:val="000000"/>
          <w:sz w:val="28"/>
        </w:rPr>
        <w:t>
      V.3.2. Оценка пользовательского тестирования</w:t>
      </w:r>
    </w:p>
    <w:p>
      <w:pPr>
        <w:spacing w:after="0"/>
        <w:ind w:left="0"/>
        <w:jc w:val="both"/>
      </w:pPr>
      <w:r>
        <w:rPr>
          <w:rFonts w:ascii="Times New Roman"/>
          <w:b w:val="false"/>
          <w:i w:val="false"/>
          <w:color w:val="000000"/>
          <w:sz w:val="28"/>
        </w:rPr>
        <w:t>
      &lt;Приводится результат оценки пользовательского тестирования&gt;</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&lt;Представление результатов пользовательского тестирования инструкции по медицинскому применению (листок-вкладыш) (ИМП) не требуется.</w:t>
      </w:r>
    </w:p>
    <w:p>
      <w:pPr>
        <w:spacing w:after="0"/>
        <w:ind w:left="0"/>
        <w:jc w:val="both"/>
      </w:pPr>
      <w:r>
        <w:rPr>
          <w:rFonts w:ascii="Times New Roman"/>
          <w:b w:val="false"/>
          <w:i w:val="false"/>
          <w:color w:val="000000"/>
          <w:sz w:val="28"/>
        </w:rPr>
        <w:t>
      Оценка пользовательского тестирования ИМП не проводилась. Заявителем в регистрационном досье представлено достаточное обоснование отсутствия необходимости проведения пользовательского тестирования, признанное референтным государством приемлемым.&gt;</w:t>
      </w:r>
    </w:p>
    <w:p>
      <w:pPr>
        <w:spacing w:after="0"/>
        <w:ind w:left="0"/>
        <w:jc w:val="both"/>
      </w:pPr>
      <w:r>
        <w:rPr>
          <w:rFonts w:ascii="Times New Roman"/>
          <w:b w:val="false"/>
          <w:i w:val="false"/>
          <w:color w:val="000000"/>
          <w:sz w:val="28"/>
        </w:rPr>
        <w:t>
      V.4. Маркировка и макеты упаковки</w:t>
      </w:r>
    </w:p>
    <w:p>
      <w:pPr>
        <w:spacing w:after="0"/>
        <w:ind w:left="0"/>
        <w:jc w:val="both"/>
      </w:pPr>
      <w:r>
        <w:rPr>
          <w:rFonts w:ascii="Times New Roman"/>
          <w:b w:val="false"/>
          <w:i w:val="false"/>
          <w:color w:val="000000"/>
          <w:sz w:val="28"/>
        </w:rPr>
        <w:t>
      Маркировка, размещенная на упаковке лекарственного препарата, соответствует Требованиям к маркировке лекарственных средств для медицинского применения и ветеринарных лекарственных средств, утвержденным Решением Совета Евразийской экономической комиссии от 3 ноября 2016 г. № 76.</w:t>
      </w:r>
    </w:p>
    <w:p>
      <w:pPr>
        <w:spacing w:after="0"/>
        <w:ind w:left="0"/>
        <w:jc w:val="left"/>
      </w:pPr>
      <w:r>
        <w:rPr>
          <w:rFonts w:ascii="Times New Roman"/>
          <w:b/>
          <w:i w:val="false"/>
          <w:color w:val="000000"/>
        </w:rPr>
        <w:t xml:space="preserve"> VI. Заключение</w:t>
      </w:r>
    </w:p>
    <w:p>
      <w:pPr>
        <w:spacing w:after="0"/>
        <w:ind w:left="0"/>
        <w:jc w:val="both"/>
      </w:pPr>
      <w:r>
        <w:rPr>
          <w:rFonts w:ascii="Times New Roman"/>
          <w:b w:val="false"/>
          <w:i w:val="false"/>
          <w:color w:val="000000"/>
          <w:sz w:val="28"/>
        </w:rPr>
        <w:t xml:space="preserve">
      По результатам экспертизы данных по безопасности, эффективности и качеству и соотношения "польза – риск" лекарственного препарата в рамках заявления от ___________ № ________ </w:t>
      </w:r>
      <w:r>
        <w:rPr>
          <w:rFonts w:ascii="Times New Roman"/>
          <w:b w:val="false"/>
          <w:i/>
          <w:color w:val="000000"/>
          <w:sz w:val="28"/>
        </w:rPr>
        <w:t xml:space="preserve">рекомендовано </w:t>
      </w:r>
      <w:r>
        <w:rPr>
          <w:rFonts w:ascii="Times New Roman"/>
          <w:b w:val="false"/>
          <w:i w:val="false"/>
          <w:color w:val="000000"/>
          <w:sz w:val="28"/>
        </w:rPr>
        <w:t xml:space="preserve">/ </w:t>
      </w:r>
      <w:r>
        <w:rPr>
          <w:rFonts w:ascii="Times New Roman"/>
          <w:b w:val="false"/>
          <w:i/>
          <w:color w:val="000000"/>
          <w:sz w:val="28"/>
        </w:rPr>
        <w:t>не рекомендовано</w:t>
      </w:r>
      <w:r>
        <w:rPr>
          <w:rFonts w:ascii="Times New Roman"/>
          <w:b w:val="false"/>
          <w:i w:val="false"/>
          <w:color w:val="000000"/>
          <w:sz w:val="28"/>
        </w:rPr>
        <w:t xml:space="preserve"> одобрить медицинское применение лекарственного препарата в порядке, установленном Правилами регистрации и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______</w:t>
            </w:r>
            <w:r>
              <w:br/>
            </w:r>
            <w:r>
              <w:rPr>
                <w:rFonts w:ascii="Times New Roman"/>
                <w:b w:val="false"/>
                <w:i w:val="false"/>
                <w:color w:val="000000"/>
                <w:sz w:val="20"/>
              </w:rPr>
              <w:t>к экспертному отчету об оценке</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 xml:space="preserve">качества (заявление (заявления) </w:t>
            </w:r>
            <w:r>
              <w:br/>
            </w:r>
            <w:r>
              <w:rPr>
                <w:rFonts w:ascii="Times New Roman"/>
                <w:b w:val="false"/>
                <w:i w:val="false"/>
                <w:color w:val="000000"/>
                <w:sz w:val="20"/>
              </w:rPr>
              <w:t>от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ПРИЛОЖЕНИЕ, </w:t>
      </w:r>
      <w:r>
        <w:br/>
      </w:r>
      <w:r>
        <w:rPr>
          <w:rFonts w:ascii="Times New Roman"/>
          <w:b/>
          <w:i w:val="false"/>
          <w:color w:val="000000"/>
        </w:rPr>
        <w:t>содержащее актуализированные части экспертного отчета</w:t>
      </w:r>
    </w:p>
    <w:p>
      <w:pPr>
        <w:spacing w:after="0"/>
        <w:ind w:left="0"/>
        <w:jc w:val="both"/>
      </w:pPr>
      <w:r>
        <w:rPr>
          <w:rFonts w:ascii="Times New Roman"/>
          <w:b w:val="false"/>
          <w:i w:val="false"/>
          <w:color w:val="000000"/>
          <w:sz w:val="28"/>
        </w:rPr>
        <w:t>
      Заполнению подлежат разделы, требующие актуализации.</w:t>
      </w:r>
    </w:p>
    <w:p>
      <w:pPr>
        <w:spacing w:after="0"/>
        <w:ind w:left="0"/>
        <w:jc w:val="left"/>
      </w:pPr>
      <w:r>
        <w:rPr>
          <w:rFonts w:ascii="Times New Roman"/>
          <w:b/>
          <w:i w:val="false"/>
          <w:color w:val="000000"/>
        </w:rPr>
        <w:t xml:space="preserve"> I. Пояснительная записка</w:t>
      </w:r>
    </w:p>
    <w:p>
      <w:pPr>
        <w:spacing w:after="0"/>
        <w:ind w:left="0"/>
        <w:jc w:val="both"/>
      </w:pPr>
      <w:r>
        <w:rPr>
          <w:rFonts w:ascii="Times New Roman"/>
          <w:b w:val="false"/>
          <w:i w:val="false"/>
          <w:color w:val="000000"/>
          <w:sz w:val="28"/>
        </w:rPr>
        <w:t xml:space="preserve">
      Экспертный отчет актуализирован в соответствии с </w:t>
      </w:r>
      <w:r>
        <w:rPr>
          <w:rFonts w:ascii="Times New Roman"/>
          <w:b w:val="false"/>
          <w:i w:val="false"/>
          <w:color w:val="000000"/>
          <w:sz w:val="28"/>
        </w:rPr>
        <w:t>пунктом 152</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по результатам проведенной экспертизы документов регистрационного досье лекарственного препарата для медицинского применения в целях внесения изменений в регистрационное досье лекарственного препарата в рамках заявления от ___________ №_______. </w:t>
      </w:r>
    </w:p>
    <w:p>
      <w:pPr>
        <w:spacing w:after="0"/>
        <w:ind w:left="0"/>
        <w:jc w:val="both"/>
      </w:pPr>
      <w:r>
        <w:rPr>
          <w:rFonts w:ascii="Times New Roman"/>
          <w:b w:val="false"/>
          <w:i w:val="false"/>
          <w:color w:val="000000"/>
          <w:sz w:val="28"/>
        </w:rPr>
        <w:t xml:space="preserve">
      &lt;Изменения, вносимые в регистрационное досье лекарственного препарата, </w:t>
      </w:r>
      <w:r>
        <w:rPr>
          <w:rFonts w:ascii="Times New Roman"/>
          <w:b w:val="false"/>
          <w:i/>
          <w:color w:val="000000"/>
          <w:sz w:val="28"/>
        </w:rPr>
        <w:t>&lt;включают&gt; / &lt;не включают&gt;</w:t>
      </w:r>
      <w:r>
        <w:rPr>
          <w:rFonts w:ascii="Times New Roman"/>
          <w:b w:val="false"/>
          <w:i w:val="false"/>
          <w:color w:val="000000"/>
          <w:sz w:val="28"/>
        </w:rPr>
        <w:t xml:space="preserve"> пересмотр информации о лекарственном препарате (нормативного документа по качеству, ОХЛП, ЛВ, макетов упаковок).&gt;</w:t>
      </w:r>
    </w:p>
    <w:p>
      <w:pPr>
        <w:spacing w:after="0"/>
        <w:ind w:left="0"/>
        <w:jc w:val="both"/>
      </w:pPr>
      <w:r>
        <w:rPr>
          <w:rFonts w:ascii="Times New Roman"/>
          <w:b w:val="false"/>
          <w:i w:val="false"/>
          <w:color w:val="000000"/>
          <w:sz w:val="28"/>
        </w:rPr>
        <w:t>
      Изменения, вносимые в регистрационное досье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II.1. О лекарственном препарате</w:t>
      </w:r>
    </w:p>
    <w:p>
      <w:pPr>
        <w:spacing w:after="0"/>
        <w:ind w:left="0"/>
        <w:jc w:val="both"/>
      </w:pPr>
      <w:r>
        <w:rPr>
          <w:rFonts w:ascii="Times New Roman"/>
          <w:b w:val="false"/>
          <w:i w:val="false"/>
          <w:color w:val="000000"/>
          <w:sz w:val="28"/>
        </w:rPr>
        <w:t>
      &lt;Изменения, вносимые в регистрационное досье лекарственного препарата, не затрагивают информацию о механизме действия, фармакологической классификации, заявленных показаниях и рекомендациях по применению лекарственного препарата, а также информацию о его специальных фармакологических аспектах.&gt;</w:t>
      </w:r>
    </w:p>
    <w:p>
      <w:pPr>
        <w:spacing w:after="0"/>
        <w:ind w:left="0"/>
        <w:jc w:val="both"/>
      </w:pPr>
      <w:r>
        <w:rPr>
          <w:rFonts w:ascii="Times New Roman"/>
          <w:b w:val="false"/>
          <w:i w:val="false"/>
          <w:color w:val="000000"/>
          <w:sz w:val="28"/>
        </w:rPr>
        <w:t>
      II.2. Общие сведения о представленном регистрационном досье лекарственного препарата</w:t>
      </w:r>
    </w:p>
    <w:p>
      <w:pPr>
        <w:spacing w:after="0"/>
        <w:ind w:left="0"/>
        <w:jc w:val="both"/>
      </w:pPr>
      <w:r>
        <w:rPr>
          <w:rFonts w:ascii="Times New Roman"/>
          <w:b w:val="false"/>
          <w:i w:val="false"/>
          <w:color w:val="000000"/>
          <w:sz w:val="28"/>
        </w:rPr>
        <w:t>
      На дату актуализации экспертного отчета актуальной версией (последовательностью) регистрационного досье лекарственного препарата является 000n.</w:t>
      </w:r>
    </w:p>
    <w:p>
      <w:pPr>
        <w:spacing w:after="0"/>
        <w:ind w:left="0"/>
        <w:jc w:val="both"/>
      </w:pPr>
      <w:r>
        <w:rPr>
          <w:rFonts w:ascii="Times New Roman"/>
          <w:b w:val="false"/>
          <w:i w:val="false"/>
          <w:color w:val="000000"/>
          <w:sz w:val="28"/>
        </w:rPr>
        <w:t>
      II.3. Общие замечания по соблюдению требований надлежащей производственной практики (GMP), надлежащей лабораторной практики (GLP), надлежащей клинической практики (GCP) и согласованных этических принципов</w:t>
      </w:r>
    </w:p>
    <w:p>
      <w:pPr>
        <w:spacing w:after="0"/>
        <w:ind w:left="0"/>
        <w:jc w:val="both"/>
      </w:pPr>
      <w:r>
        <w:rPr>
          <w:rFonts w:ascii="Times New Roman"/>
          <w:b w:val="false"/>
          <w:i w:val="false"/>
          <w:color w:val="000000"/>
          <w:sz w:val="28"/>
        </w:rPr>
        <w:t>
      &lt;Изменения, вносимые в регистрационное досье лекарственного препарата, не затрагивают информацию в отношении соблюдения требований надлежащей производственной практики (GMP), надлежащей лабораторной практики (GLP), надлежащей клинической практики (GCP) и согласованных этических принципов.&gt;</w:t>
      </w:r>
    </w:p>
    <w:p>
      <w:pPr>
        <w:spacing w:after="0"/>
        <w:ind w:left="0"/>
        <w:jc w:val="left"/>
      </w:pPr>
      <w:r>
        <w:rPr>
          <w:rFonts w:ascii="Times New Roman"/>
          <w:b/>
          <w:i w:val="false"/>
          <w:color w:val="000000"/>
        </w:rPr>
        <w:t xml:space="preserve"> III. Научный обзор и обсуждение</w:t>
      </w:r>
    </w:p>
    <w:p>
      <w:pPr>
        <w:spacing w:after="0"/>
        <w:ind w:left="0"/>
        <w:jc w:val="both"/>
      </w:pPr>
      <w:r>
        <w:rPr>
          <w:rFonts w:ascii="Times New Roman"/>
          <w:b w:val="false"/>
          <w:i w:val="false"/>
          <w:color w:val="000000"/>
          <w:sz w:val="28"/>
        </w:rPr>
        <w:t>
      III.1. Аспекты качества</w:t>
      </w:r>
    </w:p>
    <w:p>
      <w:pPr>
        <w:spacing w:after="0"/>
        <w:ind w:left="0"/>
        <w:jc w:val="both"/>
      </w:pPr>
      <w:r>
        <w:rPr>
          <w:rFonts w:ascii="Times New Roman"/>
          <w:b w:val="false"/>
          <w:i w:val="false"/>
          <w:color w:val="000000"/>
          <w:sz w:val="28"/>
        </w:rPr>
        <w:t>
      &lt;Изменения, вносимые в регистрационное досье лекарственного препарата, не затрагивают информацию в отношении негативного влияния на качество лекарственного препарата.&gt;</w:t>
      </w:r>
    </w:p>
    <w:p>
      <w:pPr>
        <w:spacing w:after="0"/>
        <w:ind w:left="0"/>
        <w:jc w:val="both"/>
      </w:pPr>
      <w:r>
        <w:rPr>
          <w:rFonts w:ascii="Times New Roman"/>
          <w:b w:val="false"/>
          <w:i w:val="false"/>
          <w:color w:val="000000"/>
          <w:sz w:val="28"/>
        </w:rPr>
        <w:t>
      III.2. Доклинические аспекты</w:t>
      </w:r>
    </w:p>
    <w:p>
      <w:pPr>
        <w:spacing w:after="0"/>
        <w:ind w:left="0"/>
        <w:jc w:val="both"/>
      </w:pPr>
      <w:r>
        <w:rPr>
          <w:rFonts w:ascii="Times New Roman"/>
          <w:b w:val="false"/>
          <w:i w:val="false"/>
          <w:color w:val="000000"/>
          <w:sz w:val="28"/>
        </w:rPr>
        <w:t>
      &lt;Новые сведения по доклиническим аспектам фармакодинамики, фармакокинетики и токсикологии, требующие пересмотра соотношения "польза – риск" применения лекарственного препарата, не представлены.&gt;</w:t>
      </w:r>
    </w:p>
    <w:p>
      <w:pPr>
        <w:spacing w:after="0"/>
        <w:ind w:left="0"/>
        <w:jc w:val="both"/>
      </w:pPr>
      <w:r>
        <w:rPr>
          <w:rFonts w:ascii="Times New Roman"/>
          <w:b w:val="false"/>
          <w:i w:val="false"/>
          <w:color w:val="000000"/>
          <w:sz w:val="28"/>
        </w:rPr>
        <w:t>
      III.3. Клинические аспекты</w:t>
      </w:r>
    </w:p>
    <w:p>
      <w:pPr>
        <w:spacing w:after="0"/>
        <w:ind w:left="0"/>
        <w:jc w:val="both"/>
      </w:pPr>
      <w:r>
        <w:rPr>
          <w:rFonts w:ascii="Times New Roman"/>
          <w:b w:val="false"/>
          <w:i w:val="false"/>
          <w:color w:val="000000"/>
          <w:sz w:val="28"/>
        </w:rPr>
        <w:t xml:space="preserve">
      &lt;Новые сведения по фармакокинетике, фармакодинамике, эффективности, клинической безопасности, требующие пересмотра отношения ожидаемой пользы к возможному риску применения лекарственного препарата, не представлены.&gt; </w:t>
      </w:r>
    </w:p>
    <w:p>
      <w:pPr>
        <w:spacing w:after="0"/>
        <w:ind w:left="0"/>
        <w:jc w:val="both"/>
      </w:pPr>
      <w:r>
        <w:rPr>
          <w:rFonts w:ascii="Times New Roman"/>
          <w:b w:val="false"/>
          <w:i w:val="false"/>
          <w:color w:val="000000"/>
          <w:sz w:val="28"/>
        </w:rPr>
        <w:t xml:space="preserve">
      &lt;Изменения, вносимые в регистрационное досье лекарственного препарата, не затрагивают информацию в отношении мастер-файла системы фармаконадзора держателя регистрационного удостоверения &lt;наименование&gt;.&gt; </w:t>
      </w:r>
    </w:p>
    <w:p>
      <w:pPr>
        <w:spacing w:after="0"/>
        <w:ind w:left="0"/>
        <w:jc w:val="both"/>
      </w:pPr>
      <w:r>
        <w:rPr>
          <w:rFonts w:ascii="Times New Roman"/>
          <w:b w:val="false"/>
          <w:i w:val="false"/>
          <w:color w:val="000000"/>
          <w:sz w:val="28"/>
        </w:rPr>
        <w:t>
      &lt;Представление плана управления рисками не требуется.&gt;</w:t>
      </w:r>
    </w:p>
    <w:p>
      <w:pPr>
        <w:spacing w:after="0"/>
        <w:ind w:left="0"/>
        <w:jc w:val="both"/>
      </w:pPr>
      <w:r>
        <w:rPr>
          <w:rFonts w:ascii="Times New Roman"/>
          <w:b w:val="false"/>
          <w:i w:val="false"/>
          <w:color w:val="000000"/>
          <w:sz w:val="28"/>
        </w:rPr>
        <w:t>
      &lt;Держатель регистрационного удостоверения должен представлять периодические обновляемые отчеты по безопасности для данного лекарственного препарата.&gt;</w:t>
      </w:r>
    </w:p>
    <w:p>
      <w:pPr>
        <w:spacing w:after="0"/>
        <w:ind w:left="0"/>
        <w:jc w:val="left"/>
      </w:pPr>
      <w:r>
        <w:rPr>
          <w:rFonts w:ascii="Times New Roman"/>
          <w:b/>
          <w:i w:val="false"/>
          <w:color w:val="000000"/>
        </w:rPr>
        <w:t xml:space="preserve"> IV. Оценка соотношения "польза – риск"</w:t>
      </w:r>
    </w:p>
    <w:p>
      <w:pPr>
        <w:spacing w:after="0"/>
        <w:ind w:left="0"/>
        <w:jc w:val="both"/>
      </w:pPr>
      <w:r>
        <w:rPr>
          <w:rFonts w:ascii="Times New Roman"/>
          <w:b w:val="false"/>
          <w:i w:val="false"/>
          <w:color w:val="000000"/>
          <w:sz w:val="28"/>
        </w:rPr>
        <w:t>
      &lt;Установлено, что вносимые изменения не содержат изменений регистрационного досье лекарственного препарата, влияющих на соотношение "польза – риск" лекарственного препарата.&gt;</w:t>
      </w:r>
    </w:p>
    <w:p>
      <w:pPr>
        <w:spacing w:after="0"/>
        <w:ind w:left="0"/>
        <w:jc w:val="left"/>
      </w:pPr>
      <w:r>
        <w:rPr>
          <w:rFonts w:ascii="Times New Roman"/>
          <w:b/>
          <w:i w:val="false"/>
          <w:color w:val="000000"/>
        </w:rPr>
        <w:t xml:space="preserve"> V. Рекомендуемые условия выдачи регистрационного удостоверения и информация о лекарственном препарате</w:t>
      </w:r>
    </w:p>
    <w:p>
      <w:pPr>
        <w:spacing w:after="0"/>
        <w:ind w:left="0"/>
        <w:jc w:val="both"/>
      </w:pPr>
      <w:r>
        <w:rPr>
          <w:rFonts w:ascii="Times New Roman"/>
          <w:b w:val="false"/>
          <w:i w:val="false"/>
          <w:color w:val="000000"/>
          <w:sz w:val="28"/>
        </w:rPr>
        <w:t>
      V.1. Условия выдачи регистрационного удостоверения</w:t>
      </w:r>
    </w:p>
    <w:p>
      <w:pPr>
        <w:spacing w:after="0"/>
        <w:ind w:left="0"/>
        <w:jc w:val="both"/>
      </w:pPr>
      <w:r>
        <w:rPr>
          <w:rFonts w:ascii="Times New Roman"/>
          <w:b w:val="false"/>
          <w:i w:val="false"/>
          <w:color w:val="000000"/>
          <w:sz w:val="28"/>
        </w:rPr>
        <w:t>
      &lt;Условия или ограничения в отношении безопасного и эффективного использования лекарственного препарата отсутствуют.&gt;</w:t>
      </w:r>
    </w:p>
    <w:p>
      <w:pPr>
        <w:spacing w:after="0"/>
        <w:ind w:left="0"/>
        <w:jc w:val="both"/>
      </w:pPr>
      <w:r>
        <w:rPr>
          <w:rFonts w:ascii="Times New Roman"/>
          <w:b w:val="false"/>
          <w:i w:val="false"/>
          <w:color w:val="000000"/>
          <w:sz w:val="28"/>
        </w:rPr>
        <w:t>
      Правовой статус</w:t>
      </w:r>
    </w:p>
    <w:p>
      <w:pPr>
        <w:spacing w:after="0"/>
        <w:ind w:left="0"/>
        <w:jc w:val="both"/>
      </w:pPr>
      <w:r>
        <w:rPr>
          <w:rFonts w:ascii="Times New Roman"/>
          <w:b w:val="false"/>
          <w:i w:val="false"/>
          <w:color w:val="000000"/>
          <w:sz w:val="28"/>
        </w:rPr>
        <w:t xml:space="preserve">
      Порядок отпуска лекарственного препарата </w:t>
      </w:r>
      <w:r>
        <w:rPr>
          <w:rFonts w:ascii="Times New Roman"/>
          <w:b w:val="false"/>
          <w:i/>
          <w:color w:val="000000"/>
          <w:sz w:val="28"/>
        </w:rPr>
        <w:t xml:space="preserve">без рецепта </w:t>
      </w:r>
      <w:r>
        <w:rPr>
          <w:rFonts w:ascii="Times New Roman"/>
          <w:b w:val="false"/>
          <w:i w:val="false"/>
          <w:color w:val="000000"/>
          <w:sz w:val="28"/>
        </w:rPr>
        <w:t xml:space="preserve">/ </w:t>
      </w:r>
      <w:r>
        <w:rPr>
          <w:rFonts w:ascii="Times New Roman"/>
          <w:b w:val="false"/>
          <w:i/>
          <w:color w:val="000000"/>
          <w:sz w:val="28"/>
        </w:rPr>
        <w:t xml:space="preserve">по рецепту </w:t>
      </w:r>
      <w:r>
        <w:rPr>
          <w:rFonts w:ascii="Times New Roman"/>
          <w:b w:val="false"/>
          <w:i w:val="false"/>
          <w:color w:val="000000"/>
          <w:sz w:val="28"/>
        </w:rPr>
        <w:t xml:space="preserve">/ </w:t>
      </w:r>
      <w:r>
        <w:rPr>
          <w:rFonts w:ascii="Times New Roman"/>
          <w:b w:val="false"/>
          <w:i/>
          <w:color w:val="000000"/>
          <w:sz w:val="28"/>
        </w:rPr>
        <w:t>для лечебно-профилактических учреждений</w:t>
      </w:r>
      <w:r>
        <w:rPr>
          <w:rFonts w:ascii="Times New Roman"/>
          <w:b w:val="false"/>
          <w:i w:val="false"/>
          <w:color w:val="000000"/>
          <w:sz w:val="28"/>
        </w:rPr>
        <w:t>.</w:t>
      </w:r>
    </w:p>
    <w:p>
      <w:pPr>
        <w:spacing w:after="0"/>
        <w:ind w:left="0"/>
        <w:jc w:val="both"/>
      </w:pPr>
      <w:r>
        <w:rPr>
          <w:rFonts w:ascii="Times New Roman"/>
          <w:b w:val="false"/>
          <w:i w:val="false"/>
          <w:color w:val="000000"/>
          <w:sz w:val="28"/>
        </w:rPr>
        <w:t>
      Меры последующего контроля</w:t>
      </w:r>
    </w:p>
    <w:p>
      <w:pPr>
        <w:spacing w:after="0"/>
        <w:ind w:left="0"/>
        <w:jc w:val="both"/>
      </w:pPr>
      <w:r>
        <w:rPr>
          <w:rFonts w:ascii="Times New Roman"/>
          <w:b w:val="false"/>
          <w:i w:val="false"/>
          <w:color w:val="000000"/>
          <w:sz w:val="28"/>
        </w:rPr>
        <w:t>
      &lt;Приводится информация о гарантийных обязательствах, взятых заявителем относительно сведений, содержащихся в регистрационном досье лекарственного препарата, которые подлежат контролю со стороны заявителя и требуют внесения изменений в регистрационное досье лекарственного препарата в пострегистрационный период, но не позднее плановой перерегистрации лекарственного препарата.&gt;</w:t>
      </w:r>
    </w:p>
    <w:p>
      <w:pPr>
        <w:spacing w:after="0"/>
        <w:ind w:left="0"/>
        <w:jc w:val="both"/>
      </w:pPr>
      <w:r>
        <w:rPr>
          <w:rFonts w:ascii="Times New Roman"/>
          <w:b w:val="false"/>
          <w:i w:val="false"/>
          <w:color w:val="000000"/>
          <w:sz w:val="28"/>
        </w:rPr>
        <w:t>
      Специальные обязательства</w:t>
      </w:r>
    </w:p>
    <w:p>
      <w:pPr>
        <w:spacing w:after="0"/>
        <w:ind w:left="0"/>
        <w:jc w:val="both"/>
      </w:pPr>
      <w:r>
        <w:rPr>
          <w:rFonts w:ascii="Times New Roman"/>
          <w:b w:val="false"/>
          <w:i w:val="false"/>
          <w:color w:val="000000"/>
          <w:sz w:val="28"/>
        </w:rPr>
        <w:t>
      В настоящем разделе указываются условия выдачи регистрационного удостоверения (если применимо).</w:t>
      </w:r>
    </w:p>
    <w:p>
      <w:pPr>
        <w:spacing w:after="0"/>
        <w:ind w:left="0"/>
        <w:jc w:val="both"/>
      </w:pPr>
      <w:r>
        <w:rPr>
          <w:rFonts w:ascii="Times New Roman"/>
          <w:b w:val="false"/>
          <w:i w:val="false"/>
          <w:color w:val="000000"/>
          <w:sz w:val="28"/>
        </w:rPr>
        <w:t>
      V.2. Общая характеристика лекарственного препарата</w:t>
      </w:r>
    </w:p>
    <w:p>
      <w:pPr>
        <w:spacing w:after="0"/>
        <w:ind w:left="0"/>
        <w:jc w:val="both"/>
      </w:pPr>
      <w:r>
        <w:rPr>
          <w:rFonts w:ascii="Times New Roman"/>
          <w:b w:val="false"/>
          <w:i w:val="false"/>
          <w:color w:val="000000"/>
          <w:sz w:val="28"/>
        </w:rPr>
        <w:t>
      &lt;Держателем регистрационного удостоверения предложены следующие изменения в ОХЛП: ____________.&gt;</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&lt;Вносимые изменения в регистрационное досье не включают в себя пересмотр информации, содержащейся в ОХЛП.&gt;</w:t>
      </w:r>
    </w:p>
    <w:p>
      <w:pPr>
        <w:spacing w:after="0"/>
        <w:ind w:left="0"/>
        <w:jc w:val="both"/>
      </w:pPr>
      <w:r>
        <w:rPr>
          <w:rFonts w:ascii="Times New Roman"/>
          <w:b w:val="false"/>
          <w:i w:val="false"/>
          <w:color w:val="000000"/>
          <w:sz w:val="28"/>
        </w:rPr>
        <w:t>
      V.3. Инструкция по медицинскому применению (листок-вкладыш) и пользовательское тестирование</w:t>
      </w:r>
    </w:p>
    <w:p>
      <w:pPr>
        <w:spacing w:after="0"/>
        <w:ind w:left="0"/>
        <w:jc w:val="both"/>
      </w:pPr>
      <w:r>
        <w:rPr>
          <w:rFonts w:ascii="Times New Roman"/>
          <w:b w:val="false"/>
          <w:i w:val="false"/>
          <w:color w:val="000000"/>
          <w:sz w:val="28"/>
        </w:rPr>
        <w:t xml:space="preserve">
      V.3.1. Инструкция по медицинскому применению (листок-вкладыш) </w:t>
      </w:r>
    </w:p>
    <w:p>
      <w:pPr>
        <w:spacing w:after="0"/>
        <w:ind w:left="0"/>
        <w:jc w:val="both"/>
      </w:pPr>
      <w:r>
        <w:rPr>
          <w:rFonts w:ascii="Times New Roman"/>
          <w:b w:val="false"/>
          <w:i w:val="false"/>
          <w:color w:val="000000"/>
          <w:sz w:val="28"/>
        </w:rPr>
        <w:t>
      &lt;Держателем регистрационного удостоверения предложены следующие изменения в ИМП: _____________.&gt;</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&lt;Вносимые изменения в регистрационное досье не включают в себя пересмотр информации, содержащейся в ОХЛП.&gt;</w:t>
      </w:r>
    </w:p>
    <w:p>
      <w:pPr>
        <w:spacing w:after="0"/>
        <w:ind w:left="0"/>
        <w:jc w:val="both"/>
      </w:pPr>
      <w:r>
        <w:rPr>
          <w:rFonts w:ascii="Times New Roman"/>
          <w:b w:val="false"/>
          <w:i w:val="false"/>
          <w:color w:val="000000"/>
          <w:sz w:val="28"/>
        </w:rPr>
        <w:t>
      V.3.2. Оценка пользовательского тестирования инструкции по медицинскому применению</w:t>
      </w:r>
    </w:p>
    <w:p>
      <w:pPr>
        <w:spacing w:after="0"/>
        <w:ind w:left="0"/>
        <w:jc w:val="both"/>
      </w:pPr>
      <w:r>
        <w:rPr>
          <w:rFonts w:ascii="Times New Roman"/>
          <w:b w:val="false"/>
          <w:i w:val="false"/>
          <w:color w:val="000000"/>
          <w:sz w:val="28"/>
        </w:rPr>
        <w:t>
      &lt;Приводится результат оценки пользовательского тестирования инструкции по медицинскому применению&gt;</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&lt;Представление результатов пользовательского тестирования инструкции по медицинскому применению не требуется.</w:t>
      </w:r>
    </w:p>
    <w:p>
      <w:pPr>
        <w:spacing w:after="0"/>
        <w:ind w:left="0"/>
        <w:jc w:val="both"/>
      </w:pPr>
      <w:r>
        <w:rPr>
          <w:rFonts w:ascii="Times New Roman"/>
          <w:b w:val="false"/>
          <w:i w:val="false"/>
          <w:color w:val="000000"/>
          <w:sz w:val="28"/>
        </w:rPr>
        <w:t>
      Оценка пользовательского тестирования ИМП не проводилась. Заявителем в регистрационном досье лекарственного препарата представлено достаточное обоснование отсутствия необходимости проведения пользовательского тестирования, признанное референтным государством приемлемым.&gt;</w:t>
      </w:r>
    </w:p>
    <w:p>
      <w:pPr>
        <w:spacing w:after="0"/>
        <w:ind w:left="0"/>
        <w:jc w:val="both"/>
      </w:pPr>
      <w:r>
        <w:rPr>
          <w:rFonts w:ascii="Times New Roman"/>
          <w:b w:val="false"/>
          <w:i w:val="false"/>
          <w:color w:val="000000"/>
          <w:sz w:val="28"/>
        </w:rPr>
        <w:t>
      V.4. Маркировка и макеты упаковок</w:t>
      </w:r>
    </w:p>
    <w:p>
      <w:pPr>
        <w:spacing w:after="0"/>
        <w:ind w:left="0"/>
        <w:jc w:val="both"/>
      </w:pPr>
      <w:r>
        <w:rPr>
          <w:rFonts w:ascii="Times New Roman"/>
          <w:b w:val="false"/>
          <w:i w:val="false"/>
          <w:color w:val="000000"/>
          <w:sz w:val="28"/>
        </w:rPr>
        <w:t>
      &lt;Приводятся результаты оценки соответствия требованиям актов органов Евразийского экономического союза в сфере обращения лекарственных средств.&gt;</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&lt;Представление новых макетов упаковок не требуется. Изменения, вносимые в регистрационное досье лекарственного препарата, не затрагивают информацию, размещенную на упаковках лекарственных препаратов для медицинского применения.&gt;</w:t>
      </w:r>
    </w:p>
    <w:p>
      <w:pPr>
        <w:spacing w:after="0"/>
        <w:ind w:left="0"/>
        <w:jc w:val="left"/>
      </w:pPr>
      <w:r>
        <w:rPr>
          <w:rFonts w:ascii="Times New Roman"/>
          <w:b/>
          <w:i w:val="false"/>
          <w:color w:val="000000"/>
        </w:rPr>
        <w:t xml:space="preserve"> VI. Заключение</w:t>
      </w:r>
    </w:p>
    <w:p>
      <w:pPr>
        <w:spacing w:after="0"/>
        <w:ind w:left="0"/>
        <w:jc w:val="both"/>
      </w:pPr>
      <w:r>
        <w:rPr>
          <w:rFonts w:ascii="Times New Roman"/>
          <w:b w:val="false"/>
          <w:i w:val="false"/>
          <w:color w:val="000000"/>
          <w:sz w:val="28"/>
        </w:rPr>
        <w:t xml:space="preserve">
      По результатам экспертизы данных по безопасности, эффективности и качеству и соотношения "польза – риск" лекарственного препарата в рамках заявления от ___________ № ________ </w:t>
      </w:r>
      <w:r>
        <w:rPr>
          <w:rFonts w:ascii="Times New Roman"/>
          <w:b w:val="false"/>
          <w:i/>
          <w:color w:val="000000"/>
          <w:sz w:val="28"/>
        </w:rPr>
        <w:t>рекомендовано</w:t>
      </w:r>
      <w:r>
        <w:rPr>
          <w:rFonts w:ascii="Times New Roman"/>
          <w:b w:val="false"/>
          <w:i w:val="false"/>
          <w:color w:val="000000"/>
          <w:sz w:val="28"/>
        </w:rPr>
        <w:t xml:space="preserve"> / </w:t>
      </w:r>
      <w:r>
        <w:rPr>
          <w:rFonts w:ascii="Times New Roman"/>
          <w:b w:val="false"/>
          <w:i/>
          <w:color w:val="000000"/>
          <w:sz w:val="28"/>
        </w:rPr>
        <w:t>не рекомендовано</w:t>
      </w:r>
      <w:r>
        <w:rPr>
          <w:rFonts w:ascii="Times New Roman"/>
          <w:b w:val="false"/>
          <w:i w:val="false"/>
          <w:color w:val="000000"/>
          <w:sz w:val="28"/>
        </w:rPr>
        <w:t xml:space="preserve"> одобрить медицинское применение лекарственного препарата в порядке, установленном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w:t>
      </w:r>
    </w:p>
    <w:p>
      <w:pPr>
        <w:spacing w:after="0"/>
        <w:ind w:left="0"/>
        <w:jc w:val="both"/>
      </w:pPr>
      <w:r>
        <w:rPr>
          <w:rFonts w:ascii="Times New Roman"/>
          <w:b w:val="false"/>
          <w:i w:val="false"/>
          <w:color w:val="000000"/>
          <w:sz w:val="28"/>
        </w:rPr>
        <w:t>
      4. В приложении № 19 к указанным Правилам:</w:t>
      </w:r>
    </w:p>
    <w:p>
      <w:pPr>
        <w:spacing w:after="0"/>
        <w:ind w:left="0"/>
        <w:jc w:val="both"/>
      </w:pPr>
      <w:r>
        <w:rPr>
          <w:rFonts w:ascii="Times New Roman"/>
          <w:b w:val="false"/>
          <w:i w:val="false"/>
          <w:color w:val="000000"/>
          <w:sz w:val="28"/>
        </w:rPr>
        <w:t>
      а) в предложении пятом абзаца второго пункта 2.1.1 слова "референтного государства и" заменить словами "референтного государства и (или)";</w:t>
      </w:r>
    </w:p>
    <w:p>
      <w:pPr>
        <w:spacing w:after="0"/>
        <w:ind w:left="0"/>
        <w:jc w:val="both"/>
      </w:pPr>
      <w:r>
        <w:rPr>
          <w:rFonts w:ascii="Times New Roman"/>
          <w:b w:val="false"/>
          <w:i w:val="false"/>
          <w:color w:val="000000"/>
          <w:sz w:val="28"/>
        </w:rPr>
        <w:t>
      б) в пункте 2.1.2:</w:t>
      </w:r>
    </w:p>
    <w:p>
      <w:pPr>
        <w:spacing w:after="0"/>
        <w:ind w:left="0"/>
        <w:jc w:val="both"/>
      </w:pPr>
      <w:r>
        <w:rPr>
          <w:rFonts w:ascii="Times New Roman"/>
          <w:b w:val="false"/>
          <w:i w:val="false"/>
          <w:color w:val="000000"/>
          <w:sz w:val="28"/>
        </w:rPr>
        <w:t>
      в абзаце первом и предложении первом абзаца второго после слова "государства" дополнить словами "или государства признания (в случаях, предусмотренных пунктом 2.1.5 настоящих Правил");</w:t>
      </w:r>
    </w:p>
    <w:p>
      <w:pPr>
        <w:spacing w:after="0"/>
        <w:ind w:left="0"/>
        <w:jc w:val="both"/>
      </w:pPr>
      <w:r>
        <w:rPr>
          <w:rFonts w:ascii="Times New Roman"/>
          <w:b w:val="false"/>
          <w:i w:val="false"/>
          <w:color w:val="000000"/>
          <w:sz w:val="28"/>
        </w:rPr>
        <w:t>
      в абзаце третьем слова "референтного государства" заменить словами "государства-члена";</w:t>
      </w:r>
    </w:p>
    <w:p>
      <w:pPr>
        <w:spacing w:after="0"/>
        <w:ind w:left="0"/>
        <w:jc w:val="both"/>
      </w:pPr>
      <w:r>
        <w:rPr>
          <w:rFonts w:ascii="Times New Roman"/>
          <w:b w:val="false"/>
          <w:i w:val="false"/>
          <w:color w:val="000000"/>
          <w:sz w:val="28"/>
        </w:rPr>
        <w:t>
      в абзаце четвертом после слова "государством" дополнить словами "либо государством признания (в случаях, предусмотренных пунктом 2.1.5 настоящих Правил)";</w:t>
      </w:r>
    </w:p>
    <w:p>
      <w:pPr>
        <w:spacing w:after="0"/>
        <w:ind w:left="0"/>
        <w:jc w:val="both"/>
      </w:pPr>
      <w:r>
        <w:rPr>
          <w:rFonts w:ascii="Times New Roman"/>
          <w:b w:val="false"/>
          <w:i w:val="false"/>
          <w:color w:val="000000"/>
          <w:sz w:val="28"/>
        </w:rPr>
        <w:t>
      в абзаце пятом слова "пункте 2.1.1" заменить словами "настоящем пункте";</w:t>
      </w:r>
    </w:p>
    <w:p>
      <w:pPr>
        <w:spacing w:after="0"/>
        <w:ind w:left="0"/>
        <w:jc w:val="both"/>
      </w:pPr>
      <w:r>
        <w:rPr>
          <w:rFonts w:ascii="Times New Roman"/>
          <w:b w:val="false"/>
          <w:i w:val="false"/>
          <w:color w:val="000000"/>
          <w:sz w:val="28"/>
        </w:rPr>
        <w:t>
      абзац шестой исключить;</w:t>
      </w:r>
    </w:p>
    <w:p>
      <w:pPr>
        <w:spacing w:after="0"/>
        <w:ind w:left="0"/>
        <w:jc w:val="both"/>
      </w:pPr>
      <w:r>
        <w:rPr>
          <w:rFonts w:ascii="Times New Roman"/>
          <w:b w:val="false"/>
          <w:i w:val="false"/>
          <w:color w:val="000000"/>
          <w:sz w:val="28"/>
        </w:rPr>
        <w:t>
      абзац седьмой изложить в следующей редакции:</w:t>
      </w:r>
    </w:p>
    <w:p>
      <w:pPr>
        <w:spacing w:after="0"/>
        <w:ind w:left="0"/>
        <w:jc w:val="both"/>
      </w:pPr>
      <w:r>
        <w:rPr>
          <w:rFonts w:ascii="Times New Roman"/>
          <w:b w:val="false"/>
          <w:i w:val="false"/>
          <w:color w:val="000000"/>
          <w:sz w:val="28"/>
        </w:rPr>
        <w:t>
      "При внесении изменений уведомительного характера по результатам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либо государства признания (в случаях, предусмотренных пунктом 2.1.5 настоящих Правил) в срок, не превышающий 20 рабочих дней с даты получения уведомления, принимает решение и информирует в электронном виде заявителя и посредством интегрированной системы соответствующие органы государств признания о возможности приобщения соответствующих версий (последовательностей) регистрационного досье к электронному регистрационному досье или об отказе во внесении незначимых изменений уведомительного характера. В случае одобрения изменений уполномоченный орган (экспертная организация) государства-члена размещает сведения о лекарственном препарате в едином реестре, а также включает информацию об изменениях в соответствующие разделы экспертного отчета об оценке безопасности, эффективности и качества по форме согласно приложению № 16 к Правилам регистрации и экспертизы (далее – экспертный отчет об оценке) (при этом указанную информацию допускается включать в экспертный отчет об оценке при его очередной актуализации).";</w:t>
      </w:r>
    </w:p>
    <w:p>
      <w:pPr>
        <w:spacing w:after="0"/>
        <w:ind w:left="0"/>
        <w:jc w:val="both"/>
      </w:pPr>
      <w:r>
        <w:rPr>
          <w:rFonts w:ascii="Times New Roman"/>
          <w:b w:val="false"/>
          <w:i w:val="false"/>
          <w:color w:val="000000"/>
          <w:sz w:val="28"/>
        </w:rPr>
        <w:t>
      в) в пункте 2.1.4:</w:t>
      </w:r>
    </w:p>
    <w:p>
      <w:pPr>
        <w:spacing w:after="0"/>
        <w:ind w:left="0"/>
        <w:jc w:val="both"/>
      </w:pPr>
      <w:r>
        <w:rPr>
          <w:rFonts w:ascii="Times New Roman"/>
          <w:b w:val="false"/>
          <w:i w:val="false"/>
          <w:color w:val="000000"/>
          <w:sz w:val="28"/>
        </w:rPr>
        <w:t>
      в абзаце первом после слова "Правил," дополнить словами "и получения документов, указанных в абзаце втором пункта 2.1.3 настоящих Правил,";</w:t>
      </w:r>
    </w:p>
    <w:p>
      <w:pPr>
        <w:spacing w:after="0"/>
        <w:ind w:left="0"/>
        <w:jc w:val="both"/>
      </w:pPr>
      <w:r>
        <w:rPr>
          <w:rFonts w:ascii="Times New Roman"/>
          <w:b w:val="false"/>
          <w:i w:val="false"/>
          <w:color w:val="000000"/>
          <w:sz w:val="28"/>
        </w:rPr>
        <w:t>
      в абзаце втором цифры "2.1.2" заменить цифрами "2.1.3";</w:t>
      </w:r>
    </w:p>
    <w:p>
      <w:pPr>
        <w:spacing w:after="0"/>
        <w:ind w:left="0"/>
        <w:jc w:val="both"/>
      </w:pPr>
      <w:r>
        <w:rPr>
          <w:rFonts w:ascii="Times New Roman"/>
          <w:b w:val="false"/>
          <w:i w:val="false"/>
          <w:color w:val="000000"/>
          <w:sz w:val="28"/>
        </w:rPr>
        <w:t>
      в абзаце третьем слова "абзаце восьмом пункта 2.1.2" заменить словами "абзацах первом и втором пункта 2.1.3";</w:t>
      </w:r>
    </w:p>
    <w:p>
      <w:pPr>
        <w:spacing w:after="0"/>
        <w:ind w:left="0"/>
        <w:jc w:val="both"/>
      </w:pPr>
      <w:r>
        <w:rPr>
          <w:rFonts w:ascii="Times New Roman"/>
          <w:b w:val="false"/>
          <w:i w:val="false"/>
          <w:color w:val="000000"/>
          <w:sz w:val="28"/>
        </w:rPr>
        <w:t>
      г) предложение второе абзаца второго пункта 2.2.3 изложить в следующей редакции: "Срок представления заявителем ответа на указанный запрос не должен превышать 90 рабочих дней с даты его получения, включая подачу в государства признания документов, специфичных для этих государств признания (при необходимости).";</w:t>
      </w:r>
    </w:p>
    <w:p>
      <w:pPr>
        <w:spacing w:after="0"/>
        <w:ind w:left="0"/>
        <w:jc w:val="both"/>
      </w:pPr>
      <w:r>
        <w:rPr>
          <w:rFonts w:ascii="Times New Roman"/>
          <w:b w:val="false"/>
          <w:i w:val="false"/>
          <w:color w:val="000000"/>
          <w:sz w:val="28"/>
        </w:rPr>
        <w:t>
      д) предложение первое абзаца пятого пункта 3.1.2 изложить в следующей редакции: "При отклонении внесения изменений, не приводящих к изменению информации о лекарственном препарате в соответствии с пунктом 1.6 настоящих Правил и не влияющих на информацию, содержащуюся в едином реестре, реализация таких изменений не прекращается в течение 365 календарных дней с даты начала их реализации.";</w:t>
      </w:r>
    </w:p>
    <w:p>
      <w:pPr>
        <w:spacing w:after="0"/>
        <w:ind w:left="0"/>
        <w:jc w:val="both"/>
      </w:pPr>
      <w:r>
        <w:rPr>
          <w:rFonts w:ascii="Times New Roman"/>
          <w:b w:val="false"/>
          <w:i w:val="false"/>
          <w:color w:val="000000"/>
          <w:sz w:val="28"/>
        </w:rPr>
        <w:t>
      е) дополнить пунктом 2.5 следующего содержания:</w:t>
      </w:r>
    </w:p>
    <w:p>
      <w:pPr>
        <w:spacing w:after="0"/>
        <w:ind w:left="0"/>
        <w:jc w:val="left"/>
      </w:pPr>
      <w:r>
        <w:rPr>
          <w:rFonts w:ascii="Times New Roman"/>
          <w:b/>
          <w:i w:val="false"/>
          <w:color w:val="000000"/>
        </w:rPr>
        <w:t xml:space="preserve"> "2.5. Процедура внесения новых изменений до завершения рассмотрения регистрационного досье лекарственного препарата </w:t>
      </w:r>
      <w:r>
        <w:br/>
      </w:r>
      <w:r>
        <w:rPr>
          <w:rFonts w:ascii="Times New Roman"/>
          <w:b/>
          <w:i w:val="false"/>
          <w:color w:val="000000"/>
        </w:rPr>
        <w:t>в государствах признания</w:t>
      </w:r>
    </w:p>
    <w:p>
      <w:pPr>
        <w:spacing w:after="0"/>
        <w:ind w:left="0"/>
        <w:jc w:val="both"/>
      </w:pPr>
      <w:r>
        <w:rPr>
          <w:rFonts w:ascii="Times New Roman"/>
          <w:b w:val="false"/>
          <w:i w:val="false"/>
          <w:color w:val="000000"/>
          <w:sz w:val="28"/>
        </w:rPr>
        <w:t>
      2.5.1. При инициировании заявителем процедуры внесения незначимого изменения IA и (или) IA</w:t>
      </w:r>
      <w:r>
        <w:rPr>
          <w:rFonts w:ascii="Times New Roman"/>
          <w:b w:val="false"/>
          <w:i w:val="false"/>
          <w:color w:val="000000"/>
          <w:vertAlign w:val="subscript"/>
        </w:rPr>
        <w:t>НУ</w:t>
      </w:r>
      <w:r>
        <w:rPr>
          <w:rFonts w:ascii="Times New Roman"/>
          <w:b w:val="false"/>
          <w:i w:val="false"/>
          <w:color w:val="000000"/>
          <w:sz w:val="28"/>
        </w:rPr>
        <w:t xml:space="preserve"> в регистрационное досье лекарственного препарата в референтном государстве до завершения процедуры рассмотрения регистрационного досье лекарственного препарата в государствах признания (далее – процедура признания) и его одобрении уполномоченным органом (экспертной организацией) референтного государства во время процедуры признания заявитель после завершения данной процедуры направляет в уполномоченный орган (экспертную организацию) государства признания заявление о внесении изменений, документы, подтверждающие оплату сбора (пошлины) за внесение изменений в регистрационное досье в случаях и порядке, установленных законодательством государств-членов, и при необходимости документы модуля 1 регистрационного досье, специфичные для государства признания, относящиеся к вносимым изменениям, а также копию решения уполномоченного органа (экспертной организации) референтного государства о возможности приобщения соответствующих версий (последовательностей) к электронному досье или одобрении изменений. </w:t>
      </w:r>
    </w:p>
    <w:p>
      <w:pPr>
        <w:spacing w:after="0"/>
        <w:ind w:left="0"/>
        <w:jc w:val="both"/>
      </w:pPr>
      <w:r>
        <w:rPr>
          <w:rFonts w:ascii="Times New Roman"/>
          <w:b w:val="false"/>
          <w:i w:val="false"/>
          <w:color w:val="000000"/>
          <w:sz w:val="28"/>
        </w:rPr>
        <w:t>
      При внесении изменений, не приводящих к пересмотру информации о лекарственном препарате в соответствии с пунктом 1.6 настоящих Правил или не влияющих на информацию, содержащуюся в едином реестре, уполномоченный орган (экспертная организация) государства признания приобщает соответствующую версию (последовательность) к электронному досье и обновляет информацию в едином реестре.</w:t>
      </w:r>
    </w:p>
    <w:p>
      <w:pPr>
        <w:spacing w:after="0"/>
        <w:ind w:left="0"/>
        <w:jc w:val="both"/>
      </w:pPr>
      <w:r>
        <w:rPr>
          <w:rFonts w:ascii="Times New Roman"/>
          <w:b w:val="false"/>
          <w:i w:val="false"/>
          <w:color w:val="000000"/>
          <w:sz w:val="28"/>
        </w:rPr>
        <w:t>
      При внесении изменений, приводящих к пересмотру информации о лекарственном препарате в соответствии с пунктом 1.6 настоящих Правил, уполномоченный орган (экспертная организация) государства признания направляет запрос в уполномоченный орган (экспертную организацию) референтного государства о предоставлении доступа к версии (последовательности) электронного досье в рамках заявления о внесении изменений с использованием средств интегрированной системы. Уполномоченный орган (экспертная организация) референтного государства предоставляет доступ в срок, не превышающий 5 рабочих дней с даты получения указанного запроса.</w:t>
      </w:r>
    </w:p>
    <w:p>
      <w:pPr>
        <w:spacing w:after="0"/>
        <w:ind w:left="0"/>
        <w:jc w:val="both"/>
      </w:pPr>
      <w:r>
        <w:rPr>
          <w:rFonts w:ascii="Times New Roman"/>
          <w:b w:val="false"/>
          <w:i w:val="false"/>
          <w:color w:val="000000"/>
          <w:sz w:val="28"/>
        </w:rPr>
        <w:t>
      После получения указанного доступа уполномоченный орган (экспертная организация) государства признания действует в соответствии с абзацами третьим – пятым пункта 2.1.4 настоящих Правил.</w:t>
      </w:r>
    </w:p>
    <w:p>
      <w:pPr>
        <w:spacing w:after="0"/>
        <w:ind w:left="0"/>
        <w:jc w:val="both"/>
      </w:pPr>
      <w:r>
        <w:rPr>
          <w:rFonts w:ascii="Times New Roman"/>
          <w:b w:val="false"/>
          <w:i w:val="false"/>
          <w:color w:val="000000"/>
          <w:sz w:val="28"/>
        </w:rPr>
        <w:t xml:space="preserve">
      2.5.2. При инициировании заявителем процедуры внесения значимого изменения IВ типа и изменения II типа в регистрационное досье лекарственного препарата в референтном государстве до завершения процедуры признания в государстве (государствах) признания и его одобрении уполномоченным органом (экспертной организацией) референтного государства во время процедуры признания заявитель после завершения данной процедуры направляет в уполномоченный орган (экспертную организацию) государства признания заявление о внесении изменений в регистрационное досье, документы, подтверждающие оплату сбора (пошлины) за внесение изменений в регистрационное досье в случаях и порядке, установленных законодательством государств-членов, и при необходимости документы модуля 1 регистрационного досье, специфичные для государства признания, относящиеся к вносимым изменениям, а также копию решения уполномоченного органа (экспертной организации) референтного государства об одобрении изменений и (или) документ, подтверждающий валидность представленной версии (последовательности) электронного досье, содержащей специфичные для государства признания документы модуля 1 регистрационного досье. </w:t>
      </w:r>
    </w:p>
    <w:p>
      <w:pPr>
        <w:spacing w:after="0"/>
        <w:ind w:left="0"/>
        <w:jc w:val="both"/>
      </w:pPr>
      <w:r>
        <w:rPr>
          <w:rFonts w:ascii="Times New Roman"/>
          <w:b w:val="false"/>
          <w:i w:val="false"/>
          <w:color w:val="000000"/>
          <w:sz w:val="28"/>
        </w:rPr>
        <w:t xml:space="preserve">
      Уполномоченный орган (экспертная организация) государства признания направляет запрос в уполномоченный орган (экспертную организацию) референтного государства о предоставлении доступа к актуальной версии (последовательности) электронного досье и экспертному отчету об оценке в рамках заявления о внесении изменений с использованием средств интегрированной системы. Уполномоченный орган (экспертная организация) референтного государства предоставляет доступ в срок, не превышающий 5 рабочих дней с даты получения указанного запроса. </w:t>
      </w:r>
    </w:p>
    <w:p>
      <w:pPr>
        <w:spacing w:after="0"/>
        <w:ind w:left="0"/>
        <w:jc w:val="both"/>
      </w:pPr>
      <w:r>
        <w:rPr>
          <w:rFonts w:ascii="Times New Roman"/>
          <w:b w:val="false"/>
          <w:i w:val="false"/>
          <w:color w:val="000000"/>
          <w:sz w:val="28"/>
        </w:rPr>
        <w:t>
      Государство признания в срок, не превышающий 20 рабочих дней с даты получения заявления о внесении изменений и документов от заявителя, указанных в абзаце первом пункта 2.5.2 настоящих Правил, а также с даты предоставления доступа к материалам регистрационного досье, принимает решение об одобрении или отклонении заявления о внесении изменения IB типа или II типа и информирует об этом заявителя в электронном виде. Уполномоченный орган (экспертная организация) государства признания не позднее 15 рабочих дней с даты получения доступа к экспертному отчету об оценке в случае необходимости направляет запрос заявителю и в уполномоченный орган (экспертную организацию) референтного государства по форме согласно приложению № 18 к Правилам регистрации и экспертизы.</w:t>
      </w:r>
    </w:p>
    <w:p>
      <w:pPr>
        <w:spacing w:after="0"/>
        <w:ind w:left="0"/>
        <w:jc w:val="both"/>
      </w:pPr>
      <w:r>
        <w:rPr>
          <w:rFonts w:ascii="Times New Roman"/>
          <w:b w:val="false"/>
          <w:i w:val="false"/>
          <w:color w:val="000000"/>
          <w:sz w:val="28"/>
        </w:rPr>
        <w:t xml:space="preserve">
      Заявитель направляет ответ на запрос в уполномоченный орган (экспертную организацию) государства признания в срок, не превышающий 90 рабочих дней с даты получения указанного запроса от уполномоченного органа (экспертной организации) последнего из государств признания. Срок ответа заявителя на запрос не включается в общий срок проведения процедуры. Уполномоченный орган (экспертная организация) государства признания в течение 5 рабочих дней с даты получения ответа заявителя обеспечивает уполномоченному органу (экспертной организации) референтного государства доступ к ответу заявителя посредством интегрированной системы. </w:t>
      </w:r>
    </w:p>
    <w:p>
      <w:pPr>
        <w:spacing w:after="0"/>
        <w:ind w:left="0"/>
        <w:jc w:val="both"/>
      </w:pPr>
      <w:r>
        <w:rPr>
          <w:rFonts w:ascii="Times New Roman"/>
          <w:b w:val="false"/>
          <w:i w:val="false"/>
          <w:color w:val="000000"/>
          <w:sz w:val="28"/>
        </w:rPr>
        <w:t>
      В случае принятия положительного решения в срок, не превышающий 5 рабочих дней с даты его принятия, уполномоченные органы (экспертные организации) государств признания размещают соответствующую информацию в едином реестре при необходимости с приложением измененных утвержденных общей характеристики лекарственного препарата, инструкции по медицинскому применению, макетов упаковок, нормативного документа по качеству в соответствии с порядком формирования и ведения единого реестра, а также выдают заявителю измененные общую характеристику лекарственного препарата, инструкцию по медицинскому применению, макеты упаковок, нормативный документ по качеству и (при необходимости) регистрационное удостоверение.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Приложение 17 с изменениями, внесенными решениями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23.04.2021 </w:t>
      </w:r>
      <w:r>
        <w:rPr>
          <w:rFonts w:ascii="Times New Roman"/>
          <w:b w:val="false"/>
          <w:i w:val="false"/>
          <w:color w:val="ff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p>
    <w:bookmarkStart w:name="z7068" w:id="6595"/>
    <w:p>
      <w:pPr>
        <w:spacing w:after="0"/>
        <w:ind w:left="0"/>
        <w:jc w:val="both"/>
      </w:pPr>
      <w:r>
        <w:rPr>
          <w:rFonts w:ascii="Times New Roman"/>
          <w:b w:val="false"/>
          <w:i w:val="false"/>
          <w:color w:val="000000"/>
          <w:sz w:val="28"/>
        </w:rPr>
        <w:t>
       </w:t>
      </w:r>
    </w:p>
    <w:bookmarkEnd w:id="6595"/>
    <w:bookmarkStart w:name="z7069" w:id="6596"/>
    <w:p>
      <w:pPr>
        <w:spacing w:after="0"/>
        <w:ind w:left="0"/>
        <w:jc w:val="left"/>
      </w:pPr>
      <w:r>
        <w:rPr>
          <w:rFonts w:ascii="Times New Roman"/>
          <w:b/>
          <w:i w:val="false"/>
          <w:color w:val="000000"/>
        </w:rPr>
        <w:t xml:space="preserve"> ФОРМА ЕВРАЗИЙСКИЙ ЭКОНОМИЧЕСКИЙ СОЮЗ</w:t>
      </w:r>
      <w:r>
        <w:br/>
      </w:r>
      <w:r>
        <w:rPr>
          <w:rFonts w:ascii="Times New Roman"/>
          <w:b/>
          <w:i w:val="false"/>
          <w:color w:val="000000"/>
        </w:rPr>
        <w:t>__________________________________</w:t>
      </w:r>
      <w:r>
        <w:br/>
      </w:r>
      <w:r>
        <w:rPr>
          <w:rFonts w:ascii="Times New Roman"/>
          <w:b/>
          <w:i w:val="false"/>
          <w:color w:val="000000"/>
        </w:rPr>
        <w:t>наименование уполномоченного органа</w:t>
      </w:r>
      <w:r>
        <w:br/>
      </w:r>
      <w:r>
        <w:rPr>
          <w:rFonts w:ascii="Times New Roman"/>
          <w:b/>
          <w:i w:val="false"/>
          <w:color w:val="000000"/>
        </w:rPr>
        <w:t>РЕГИСТРАЦИОННОЕ УДОСТОВЕРЕНИЕ</w:t>
      </w:r>
      <w:r>
        <w:br/>
      </w:r>
      <w:r>
        <w:rPr>
          <w:rFonts w:ascii="Times New Roman"/>
          <w:b/>
          <w:i w:val="false"/>
          <w:color w:val="000000"/>
        </w:rPr>
        <w:t>лекарственного препарата для медицинского применения</w:t>
      </w:r>
      <w:r>
        <w:br/>
      </w:r>
      <w:r>
        <w:rPr>
          <w:rFonts w:ascii="Times New Roman"/>
          <w:b/>
          <w:i w:val="false"/>
          <w:color w:val="000000"/>
        </w:rPr>
        <w:t>ДЛЯ МЕДИЦИНСКОГО ПРИМЕНЕНИЯ</w:t>
      </w:r>
    </w:p>
    <w:bookmarkEnd w:id="6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071" w:id="6597"/>
    <w:p>
      <w:pPr>
        <w:spacing w:after="0"/>
        <w:ind w:left="0"/>
        <w:jc w:val="both"/>
      </w:pPr>
      <w:r>
        <w:rPr>
          <w:rFonts w:ascii="Times New Roman"/>
          <w:b w:val="false"/>
          <w:i w:val="false"/>
          <w:color w:val="000000"/>
          <w:sz w:val="28"/>
        </w:rPr>
        <w:t>
       </w:t>
      </w:r>
    </w:p>
    <w:bookmarkEnd w:id="6597"/>
    <w:bookmarkStart w:name="z7072" w:id="6598"/>
    <w:p>
      <w:pPr>
        <w:spacing w:after="0"/>
        <w:ind w:left="0"/>
        <w:jc w:val="both"/>
      </w:pPr>
      <w:r>
        <w:rPr>
          <w:rFonts w:ascii="Times New Roman"/>
          <w:b w:val="false"/>
          <w:i w:val="false"/>
          <w:color w:val="000000"/>
          <w:sz w:val="28"/>
        </w:rPr>
        <w:t>
      РЕГИСТРАЦИОННОЕ УДОСТОВЕРЕНИЕ</w:t>
      </w:r>
    </w:p>
    <w:bookmarkEnd w:id="6598"/>
    <w:bookmarkStart w:name="z7073" w:id="6599"/>
    <w:p>
      <w:pPr>
        <w:spacing w:after="0"/>
        <w:ind w:left="0"/>
        <w:jc w:val="both"/>
      </w:pPr>
      <w:r>
        <w:rPr>
          <w:rFonts w:ascii="Times New Roman"/>
          <w:b w:val="false"/>
          <w:i w:val="false"/>
          <w:color w:val="000000"/>
          <w:sz w:val="28"/>
        </w:rPr>
        <w:t>
       лекарственного препарата для медицинского применения</w:t>
      </w:r>
    </w:p>
    <w:bookmarkEnd w:id="6599"/>
    <w:bookmarkStart w:name="z7074" w:id="6600"/>
    <w:p>
      <w:pPr>
        <w:spacing w:after="0"/>
        <w:ind w:left="0"/>
        <w:jc w:val="both"/>
      </w:pPr>
      <w:r>
        <w:rPr>
          <w:rFonts w:ascii="Times New Roman"/>
          <w:b w:val="false"/>
          <w:i w:val="false"/>
          <w:color w:val="000000"/>
          <w:sz w:val="28"/>
        </w:rPr>
        <w:t>
       </w:t>
      </w:r>
    </w:p>
    <w:bookmarkEnd w:id="6600"/>
    <w:bookmarkStart w:name="z7075" w:id="6601"/>
    <w:p>
      <w:pPr>
        <w:spacing w:after="0"/>
        <w:ind w:left="0"/>
        <w:jc w:val="both"/>
      </w:pPr>
      <w:r>
        <w:rPr>
          <w:rFonts w:ascii="Times New Roman"/>
          <w:b w:val="false"/>
          <w:i w:val="false"/>
          <w:color w:val="000000"/>
          <w:sz w:val="28"/>
        </w:rPr>
        <w:t>
      ЛП-№ (XXXXXX)-(YY-ZZ)</w:t>
      </w:r>
    </w:p>
    <w:bookmarkEnd w:id="6601"/>
    <w:bookmarkStart w:name="z7076" w:id="6602"/>
    <w:p>
      <w:pPr>
        <w:spacing w:after="0"/>
        <w:ind w:left="0"/>
        <w:jc w:val="both"/>
      </w:pPr>
      <w:r>
        <w:rPr>
          <w:rFonts w:ascii="Times New Roman"/>
          <w:b w:val="false"/>
          <w:i w:val="false"/>
          <w:color w:val="000000"/>
          <w:sz w:val="28"/>
        </w:rPr>
        <w:t>
       ──────────────────────────────────────</w:t>
      </w:r>
    </w:p>
    <w:bookmarkEnd w:id="6602"/>
    <w:bookmarkStart w:name="z7077" w:id="6603"/>
    <w:p>
      <w:pPr>
        <w:spacing w:after="0"/>
        <w:ind w:left="0"/>
        <w:jc w:val="both"/>
      </w:pPr>
      <w:r>
        <w:rPr>
          <w:rFonts w:ascii="Times New Roman"/>
          <w:b w:val="false"/>
          <w:i w:val="false"/>
          <w:color w:val="000000"/>
          <w:sz w:val="28"/>
        </w:rPr>
        <w:t>
       (номер регистрационного удостоверения)</w:t>
      </w:r>
    </w:p>
    <w:bookmarkEnd w:id="6603"/>
    <w:bookmarkStart w:name="z7078" w:id="6604"/>
    <w:p>
      <w:pPr>
        <w:spacing w:after="0"/>
        <w:ind w:left="0"/>
        <w:jc w:val="both"/>
      </w:pPr>
      <w:r>
        <w:rPr>
          <w:rFonts w:ascii="Times New Roman"/>
          <w:b w:val="false"/>
          <w:i w:val="false"/>
          <w:color w:val="000000"/>
          <w:sz w:val="28"/>
        </w:rPr>
        <w:t>
       </w:t>
      </w:r>
    </w:p>
    <w:bookmarkEnd w:id="6604"/>
    <w:bookmarkStart w:name="z7079" w:id="6605"/>
    <w:p>
      <w:pPr>
        <w:spacing w:after="0"/>
        <w:ind w:left="0"/>
        <w:jc w:val="both"/>
      </w:pPr>
      <w:r>
        <w:rPr>
          <w:rFonts w:ascii="Times New Roman"/>
          <w:b w:val="false"/>
          <w:i w:val="false"/>
          <w:color w:val="000000"/>
          <w:sz w:val="28"/>
        </w:rPr>
        <w:t>
      В соответствии с Правилами регистрации и экспертизы лекарственных</w:t>
      </w:r>
    </w:p>
    <w:bookmarkEnd w:id="6605"/>
    <w:bookmarkStart w:name="z7080" w:id="6606"/>
    <w:p>
      <w:pPr>
        <w:spacing w:after="0"/>
        <w:ind w:left="0"/>
        <w:jc w:val="both"/>
      </w:pPr>
      <w:r>
        <w:rPr>
          <w:rFonts w:ascii="Times New Roman"/>
          <w:b w:val="false"/>
          <w:i w:val="false"/>
          <w:color w:val="000000"/>
          <w:sz w:val="28"/>
        </w:rPr>
        <w:t>
      средств для медицинского применения, настоящее регистрационное</w:t>
      </w:r>
    </w:p>
    <w:bookmarkEnd w:id="6606"/>
    <w:bookmarkStart w:name="z7081" w:id="6607"/>
    <w:p>
      <w:pPr>
        <w:spacing w:after="0"/>
        <w:ind w:left="0"/>
        <w:jc w:val="both"/>
      </w:pPr>
      <w:r>
        <w:rPr>
          <w:rFonts w:ascii="Times New Roman"/>
          <w:b w:val="false"/>
          <w:i w:val="false"/>
          <w:color w:val="000000"/>
          <w:sz w:val="28"/>
        </w:rPr>
        <w:t>
      удостоверение выдано:</w:t>
      </w:r>
    </w:p>
    <w:bookmarkEnd w:id="6607"/>
    <w:bookmarkStart w:name="z7082" w:id="6608"/>
    <w:p>
      <w:pPr>
        <w:spacing w:after="0"/>
        <w:ind w:left="0"/>
        <w:jc w:val="both"/>
      </w:pPr>
      <w:r>
        <w:rPr>
          <w:rFonts w:ascii="Times New Roman"/>
          <w:b w:val="false"/>
          <w:i w:val="false"/>
          <w:color w:val="000000"/>
          <w:sz w:val="28"/>
        </w:rPr>
        <w:t>
       </w:t>
      </w:r>
    </w:p>
    <w:bookmarkEnd w:id="6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6609"/>
          <w:p>
            <w:pPr>
              <w:spacing w:after="20"/>
              <w:ind w:left="20"/>
              <w:jc w:val="both"/>
            </w:pPr>
            <w:r>
              <w:rPr>
                <w:rFonts w:ascii="Times New Roman"/>
                <w:b w:val="false"/>
                <w:i w:val="false"/>
                <w:color w:val="000000"/>
                <w:sz w:val="20"/>
              </w:rPr>
              <w:t xml:space="preserve">
1 </w:t>
            </w:r>
          </w:p>
          <w:bookmarkEnd w:id="6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держателя регистрационного удостоверения: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6610"/>
          <w:p>
            <w:pPr>
              <w:spacing w:after="20"/>
              <w:ind w:left="20"/>
              <w:jc w:val="both"/>
            </w:pPr>
            <w:r>
              <w:rPr>
                <w:rFonts w:ascii="Times New Roman"/>
                <w:b w:val="false"/>
                <w:i w:val="false"/>
                <w:color w:val="000000"/>
                <w:sz w:val="20"/>
              </w:rPr>
              <w:t xml:space="preserve">
2 </w:t>
            </w:r>
          </w:p>
          <w:bookmarkEnd w:id="6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держателя регистрационного удостоверения: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6611"/>
          <w:p>
            <w:pPr>
              <w:spacing w:after="20"/>
              <w:ind w:left="20"/>
              <w:jc w:val="both"/>
            </w:pPr>
            <w:r>
              <w:rPr>
                <w:rFonts w:ascii="Times New Roman"/>
                <w:b w:val="false"/>
                <w:i w:val="false"/>
                <w:color w:val="000000"/>
                <w:sz w:val="20"/>
              </w:rPr>
              <w:t xml:space="preserve">
3 </w:t>
            </w:r>
          </w:p>
          <w:bookmarkEnd w:id="6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6" w:id="6612"/>
          <w:p>
            <w:pPr>
              <w:spacing w:after="20"/>
              <w:ind w:left="20"/>
              <w:jc w:val="both"/>
            </w:pPr>
            <w:r>
              <w:rPr>
                <w:rFonts w:ascii="Times New Roman"/>
                <w:b w:val="false"/>
                <w:i w:val="false"/>
                <w:color w:val="000000"/>
                <w:sz w:val="20"/>
              </w:rPr>
              <w:t xml:space="preserve">
4 </w:t>
            </w:r>
          </w:p>
          <w:bookmarkEnd w:id="6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истечения срока действия регистрационного удостоверения: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6613"/>
          <w:p>
            <w:pPr>
              <w:spacing w:after="20"/>
              <w:ind w:left="20"/>
              <w:jc w:val="both"/>
            </w:pPr>
            <w:r>
              <w:rPr>
                <w:rFonts w:ascii="Times New Roman"/>
                <w:b w:val="false"/>
                <w:i w:val="false"/>
                <w:color w:val="000000"/>
                <w:sz w:val="20"/>
              </w:rPr>
              <w:t xml:space="preserve">
5 </w:t>
            </w:r>
          </w:p>
          <w:bookmarkEnd w:id="6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подтверждения регистрации (перерегистрации):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6614"/>
          <w:p>
            <w:pPr>
              <w:spacing w:after="20"/>
              <w:ind w:left="20"/>
              <w:jc w:val="both"/>
            </w:pPr>
            <w:r>
              <w:rPr>
                <w:rFonts w:ascii="Times New Roman"/>
                <w:b w:val="false"/>
                <w:i w:val="false"/>
                <w:color w:val="000000"/>
                <w:sz w:val="20"/>
              </w:rPr>
              <w:t xml:space="preserve">
6 </w:t>
            </w:r>
          </w:p>
          <w:bookmarkEnd w:id="6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внесения изменений (переоформления) в регистрационное удостоверение: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6615"/>
          <w:p>
            <w:pPr>
              <w:spacing w:after="20"/>
              <w:ind w:left="20"/>
              <w:jc w:val="both"/>
            </w:pPr>
            <w:r>
              <w:rPr>
                <w:rFonts w:ascii="Times New Roman"/>
                <w:b w:val="false"/>
                <w:i w:val="false"/>
                <w:color w:val="000000"/>
                <w:sz w:val="20"/>
              </w:rPr>
              <w:t xml:space="preserve">
7 </w:t>
            </w:r>
          </w:p>
          <w:bookmarkEnd w:id="6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регистрации в референтном государстве: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0" w:id="6616"/>
    <w:p>
      <w:pPr>
        <w:spacing w:after="0"/>
        <w:ind w:left="0"/>
        <w:jc w:val="both"/>
      </w:pPr>
      <w:r>
        <w:rPr>
          <w:rFonts w:ascii="Times New Roman"/>
          <w:b w:val="false"/>
          <w:i w:val="false"/>
          <w:color w:val="000000"/>
          <w:sz w:val="28"/>
        </w:rPr>
        <w:t>
       </w:t>
      </w:r>
    </w:p>
    <w:bookmarkEnd w:id="6616"/>
    <w:bookmarkStart w:name="z7091" w:id="6617"/>
    <w:p>
      <w:pPr>
        <w:spacing w:after="0"/>
        <w:ind w:left="0"/>
        <w:jc w:val="both"/>
      </w:pPr>
      <w:r>
        <w:rPr>
          <w:rFonts w:ascii="Times New Roman"/>
          <w:b w:val="false"/>
          <w:i w:val="false"/>
          <w:color w:val="000000"/>
          <w:sz w:val="28"/>
        </w:rPr>
        <w:t>
      и подтверждает, что лекарственный препарат зарегистрирован и разрешен к</w:t>
      </w:r>
    </w:p>
    <w:bookmarkEnd w:id="6617"/>
    <w:bookmarkStart w:name="z7092" w:id="6618"/>
    <w:p>
      <w:pPr>
        <w:spacing w:after="0"/>
        <w:ind w:left="0"/>
        <w:jc w:val="both"/>
      </w:pPr>
      <w:r>
        <w:rPr>
          <w:rFonts w:ascii="Times New Roman"/>
          <w:b w:val="false"/>
          <w:i w:val="false"/>
          <w:color w:val="000000"/>
          <w:sz w:val="28"/>
        </w:rPr>
        <w:t>
      медицинскому применению на территории</w:t>
      </w:r>
    </w:p>
    <w:bookmarkEnd w:id="6618"/>
    <w:bookmarkStart w:name="z7093" w:id="6619"/>
    <w:p>
      <w:pPr>
        <w:spacing w:after="0"/>
        <w:ind w:left="0"/>
        <w:jc w:val="both"/>
      </w:pPr>
      <w:r>
        <w:rPr>
          <w:rFonts w:ascii="Times New Roman"/>
          <w:b w:val="false"/>
          <w:i w:val="false"/>
          <w:color w:val="000000"/>
          <w:sz w:val="28"/>
        </w:rPr>
        <w:t>
      ___________________________________________________________________________</w:t>
      </w:r>
    </w:p>
    <w:bookmarkEnd w:id="6619"/>
    <w:bookmarkStart w:name="z7094" w:id="6620"/>
    <w:p>
      <w:pPr>
        <w:spacing w:after="0"/>
        <w:ind w:left="0"/>
        <w:jc w:val="both"/>
      </w:pPr>
      <w:r>
        <w:rPr>
          <w:rFonts w:ascii="Times New Roman"/>
          <w:b w:val="false"/>
          <w:i w:val="false"/>
          <w:color w:val="000000"/>
          <w:sz w:val="28"/>
        </w:rPr>
        <w:t>
       (государство - член Евразийского экономического союза)</w:t>
      </w:r>
    </w:p>
    <w:bookmarkEnd w:id="6620"/>
    <w:bookmarkStart w:name="z7095" w:id="6621"/>
    <w:p>
      <w:pPr>
        <w:spacing w:after="0"/>
        <w:ind w:left="0"/>
        <w:jc w:val="both"/>
      </w:pPr>
      <w:r>
        <w:rPr>
          <w:rFonts w:ascii="Times New Roman"/>
          <w:b w:val="false"/>
          <w:i w:val="false"/>
          <w:color w:val="000000"/>
          <w:sz w:val="28"/>
        </w:rPr>
        <w:t>
       </w:t>
      </w:r>
    </w:p>
    <w:bookmarkEnd w:id="6621"/>
    <w:bookmarkStart w:name="z7096" w:id="6622"/>
    <w:p>
      <w:pPr>
        <w:spacing w:after="0"/>
        <w:ind w:left="0"/>
        <w:jc w:val="both"/>
      </w:pPr>
      <w:r>
        <w:rPr>
          <w:rFonts w:ascii="Times New Roman"/>
          <w:b w:val="false"/>
          <w:i w:val="false"/>
          <w:color w:val="000000"/>
          <w:sz w:val="28"/>
        </w:rPr>
        <w:t>
      Информация о зарегистрированном лекарственном препарате</w:t>
      </w:r>
    </w:p>
    <w:bookmarkEnd w:id="6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6623"/>
          <w:p>
            <w:pPr>
              <w:spacing w:after="20"/>
              <w:ind w:left="20"/>
              <w:jc w:val="both"/>
            </w:pPr>
            <w:r>
              <w:rPr>
                <w:rFonts w:ascii="Times New Roman"/>
                <w:b w:val="false"/>
                <w:i w:val="false"/>
                <w:color w:val="000000"/>
                <w:sz w:val="20"/>
              </w:rPr>
              <w:t xml:space="preserve">
8 </w:t>
            </w:r>
          </w:p>
          <w:bookmarkEnd w:id="6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лекарственного препарата: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6624"/>
          <w:p>
            <w:pPr>
              <w:spacing w:after="20"/>
              <w:ind w:left="20"/>
              <w:jc w:val="both"/>
            </w:pPr>
            <w:r>
              <w:rPr>
                <w:rFonts w:ascii="Times New Roman"/>
                <w:b w:val="false"/>
                <w:i w:val="false"/>
                <w:color w:val="000000"/>
                <w:sz w:val="20"/>
              </w:rPr>
              <w:t xml:space="preserve">
9 </w:t>
            </w:r>
          </w:p>
          <w:bookmarkEnd w:id="6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наименование (МНН), или общепринятое (группировочное) наименование, или химическое наименование активной фармацевтической субстанции (при отсутствии МНН):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6625"/>
          <w:p>
            <w:pPr>
              <w:spacing w:after="20"/>
              <w:ind w:left="20"/>
              <w:jc w:val="both"/>
            </w:pPr>
            <w:r>
              <w:rPr>
                <w:rFonts w:ascii="Times New Roman"/>
                <w:b w:val="false"/>
                <w:i w:val="false"/>
                <w:color w:val="000000"/>
                <w:sz w:val="20"/>
              </w:rPr>
              <w:t xml:space="preserve">
10 </w:t>
            </w:r>
          </w:p>
          <w:bookmarkEnd w:id="6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6626"/>
          <w:p>
            <w:pPr>
              <w:spacing w:after="20"/>
              <w:ind w:left="20"/>
              <w:jc w:val="both"/>
            </w:pPr>
            <w:r>
              <w:rPr>
                <w:rFonts w:ascii="Times New Roman"/>
                <w:b w:val="false"/>
                <w:i w:val="false"/>
                <w:color w:val="000000"/>
                <w:sz w:val="20"/>
              </w:rPr>
              <w:t xml:space="preserve">
11 </w:t>
            </w:r>
          </w:p>
          <w:bookmarkEnd w:id="6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Дозировка(-и):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6627"/>
          <w:p>
            <w:pPr>
              <w:spacing w:after="20"/>
              <w:ind w:left="20"/>
              <w:jc w:val="both"/>
            </w:pPr>
            <w:r>
              <w:rPr>
                <w:rFonts w:ascii="Times New Roman"/>
                <w:b w:val="false"/>
                <w:i w:val="false"/>
                <w:color w:val="000000"/>
                <w:sz w:val="20"/>
              </w:rPr>
              <w:t xml:space="preserve">
12 </w:t>
            </w:r>
          </w:p>
          <w:bookmarkEnd w:id="6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Форма(-ы) выпуска: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нерасфасованной продукции (bulk product)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6628"/>
          <w:p>
            <w:pPr>
              <w:spacing w:after="20"/>
              <w:ind w:left="20"/>
              <w:jc w:val="both"/>
            </w:pPr>
            <w:r>
              <w:rPr>
                <w:rFonts w:ascii="Times New Roman"/>
                <w:b w:val="false"/>
                <w:i w:val="false"/>
                <w:color w:val="000000"/>
                <w:sz w:val="20"/>
              </w:rPr>
              <w:t xml:space="preserve">
13 </w:t>
            </w:r>
          </w:p>
          <w:bookmarkEnd w:id="6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лекарственного препарата: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3" w:id="6629"/>
    <w:p>
      <w:pPr>
        <w:spacing w:after="0"/>
        <w:ind w:left="0"/>
        <w:jc w:val="both"/>
      </w:pPr>
      <w:r>
        <w:rPr>
          <w:rFonts w:ascii="Times New Roman"/>
          <w:b w:val="false"/>
          <w:i w:val="false"/>
          <w:color w:val="000000"/>
          <w:sz w:val="28"/>
        </w:rPr>
        <w:t>
       </w:t>
      </w:r>
    </w:p>
    <w:bookmarkEnd w:id="6629"/>
    <w:bookmarkStart w:name="z7104" w:id="6630"/>
    <w:p>
      <w:pPr>
        <w:spacing w:after="0"/>
        <w:ind w:left="0"/>
        <w:jc w:val="both"/>
      </w:pPr>
      <w:r>
        <w:rPr>
          <w:rFonts w:ascii="Times New Roman"/>
          <w:b w:val="false"/>
          <w:i w:val="false"/>
          <w:color w:val="000000"/>
          <w:sz w:val="28"/>
        </w:rPr>
        <w:t>
      Информация о производителе лекарственного препарата</w:t>
      </w:r>
    </w:p>
    <w:bookmarkEnd w:id="6630"/>
    <w:bookmarkStart w:name="z7105" w:id="6631"/>
    <w:p>
      <w:pPr>
        <w:spacing w:after="0"/>
        <w:ind w:left="0"/>
        <w:jc w:val="both"/>
      </w:pPr>
      <w:r>
        <w:rPr>
          <w:rFonts w:ascii="Times New Roman"/>
          <w:b w:val="false"/>
          <w:i w:val="false"/>
          <w:color w:val="000000"/>
          <w:sz w:val="28"/>
        </w:rPr>
        <w:t>
       (названия и адреса производственных площадок, участвующих</w:t>
      </w:r>
    </w:p>
    <w:bookmarkEnd w:id="6631"/>
    <w:bookmarkStart w:name="z7106" w:id="6632"/>
    <w:p>
      <w:pPr>
        <w:spacing w:after="0"/>
        <w:ind w:left="0"/>
        <w:jc w:val="both"/>
      </w:pPr>
      <w:r>
        <w:rPr>
          <w:rFonts w:ascii="Times New Roman"/>
          <w:b w:val="false"/>
          <w:i w:val="false"/>
          <w:color w:val="000000"/>
          <w:sz w:val="28"/>
        </w:rPr>
        <w:t>
       в процессе производства лекарственного препарата)</w:t>
      </w:r>
    </w:p>
    <w:bookmarkEnd w:id="6632"/>
    <w:bookmarkStart w:name="z7107" w:id="6633"/>
    <w:p>
      <w:pPr>
        <w:spacing w:after="0"/>
        <w:ind w:left="0"/>
        <w:jc w:val="both"/>
      </w:pPr>
      <w:r>
        <w:rPr>
          <w:rFonts w:ascii="Times New Roman"/>
          <w:b w:val="false"/>
          <w:i w:val="false"/>
          <w:color w:val="000000"/>
          <w:sz w:val="28"/>
        </w:rPr>
        <w:t>
       </w:t>
      </w:r>
    </w:p>
    <w:bookmarkEnd w:id="6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6634"/>
          <w:p>
            <w:pPr>
              <w:spacing w:after="20"/>
              <w:ind w:left="20"/>
              <w:jc w:val="both"/>
            </w:pPr>
            <w:r>
              <w:rPr>
                <w:rFonts w:ascii="Times New Roman"/>
                <w:b w:val="false"/>
                <w:i w:val="false"/>
                <w:color w:val="000000"/>
                <w:sz w:val="20"/>
              </w:rPr>
              <w:t xml:space="preserve">
№ </w:t>
            </w:r>
          </w:p>
          <w:bookmarkEnd w:id="6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Стадия производства (все участники производственного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производственной площадки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6635"/>
          <w:p>
            <w:pPr>
              <w:spacing w:after="20"/>
              <w:ind w:left="20"/>
              <w:jc w:val="both"/>
            </w:pPr>
            <w:r>
              <w:rPr>
                <w:rFonts w:ascii="Times New Roman"/>
                <w:b w:val="false"/>
                <w:i w:val="false"/>
                <w:color w:val="000000"/>
                <w:sz w:val="20"/>
              </w:rPr>
              <w:t xml:space="preserve">
1 </w:t>
            </w:r>
          </w:p>
          <w:bookmarkEnd w:id="6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готовой лекарственной формы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6636"/>
          <w:p>
            <w:pPr>
              <w:spacing w:after="20"/>
              <w:ind w:left="20"/>
              <w:jc w:val="both"/>
            </w:pPr>
            <w:r>
              <w:rPr>
                <w:rFonts w:ascii="Times New Roman"/>
                <w:b w:val="false"/>
                <w:i w:val="false"/>
                <w:color w:val="000000"/>
                <w:sz w:val="20"/>
              </w:rPr>
              <w:t xml:space="preserve">
2 </w:t>
            </w:r>
          </w:p>
          <w:bookmarkEnd w:id="6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Первичная упаковка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6637"/>
          <w:p>
            <w:pPr>
              <w:spacing w:after="20"/>
              <w:ind w:left="20"/>
              <w:jc w:val="both"/>
            </w:pPr>
            <w:r>
              <w:rPr>
                <w:rFonts w:ascii="Times New Roman"/>
                <w:b w:val="false"/>
                <w:i w:val="false"/>
                <w:color w:val="000000"/>
                <w:sz w:val="20"/>
              </w:rPr>
              <w:t xml:space="preserve">
3 </w:t>
            </w:r>
          </w:p>
          <w:bookmarkEnd w:id="6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Вторичная упаковка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6638"/>
          <w:p>
            <w:pPr>
              <w:spacing w:after="20"/>
              <w:ind w:left="20"/>
              <w:jc w:val="both"/>
            </w:pPr>
            <w:r>
              <w:rPr>
                <w:rFonts w:ascii="Times New Roman"/>
                <w:b w:val="false"/>
                <w:i w:val="false"/>
                <w:color w:val="000000"/>
                <w:sz w:val="20"/>
              </w:rPr>
              <w:t xml:space="preserve">
4 </w:t>
            </w:r>
          </w:p>
          <w:bookmarkEnd w:id="6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Выпускающий контроль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3" w:id="6639"/>
    <w:p>
      <w:pPr>
        <w:spacing w:after="0"/>
        <w:ind w:left="0"/>
        <w:jc w:val="both"/>
      </w:pPr>
      <w:r>
        <w:rPr>
          <w:rFonts w:ascii="Times New Roman"/>
          <w:b w:val="false"/>
          <w:i w:val="false"/>
          <w:color w:val="000000"/>
          <w:sz w:val="28"/>
        </w:rPr>
        <w:t>
       </w:t>
      </w:r>
    </w:p>
    <w:bookmarkEnd w:id="6639"/>
    <w:bookmarkStart w:name="z7114" w:id="6640"/>
    <w:p>
      <w:pPr>
        <w:spacing w:after="0"/>
        <w:ind w:left="0"/>
        <w:jc w:val="both"/>
      </w:pPr>
      <w:r>
        <w:rPr>
          <w:rFonts w:ascii="Times New Roman"/>
          <w:b w:val="false"/>
          <w:i w:val="false"/>
          <w:color w:val="000000"/>
          <w:sz w:val="28"/>
        </w:rPr>
        <w:t>
      Приложение: на ____ л.</w:t>
      </w:r>
    </w:p>
    <w:bookmarkEnd w:id="6640"/>
    <w:bookmarkStart w:name="z7115" w:id="6641"/>
    <w:p>
      <w:pPr>
        <w:spacing w:after="0"/>
        <w:ind w:left="0"/>
        <w:jc w:val="both"/>
      </w:pPr>
      <w:r>
        <w:rPr>
          <w:rFonts w:ascii="Times New Roman"/>
          <w:b w:val="false"/>
          <w:i w:val="false"/>
          <w:color w:val="000000"/>
          <w:sz w:val="28"/>
        </w:rPr>
        <w:t>
      Руководитель уполномоченного органа Подпись М.П.</w:t>
      </w:r>
    </w:p>
    <w:bookmarkEnd w:id="6641"/>
    <w:bookmarkStart w:name="z7116" w:id="6642"/>
    <w:p>
      <w:pPr>
        <w:spacing w:after="0"/>
        <w:ind w:left="0"/>
        <w:jc w:val="both"/>
      </w:pPr>
      <w:r>
        <w:rPr>
          <w:rFonts w:ascii="Times New Roman"/>
          <w:b w:val="false"/>
          <w:i w:val="false"/>
          <w:color w:val="000000"/>
          <w:sz w:val="28"/>
        </w:rPr>
        <w:t>
       (или уполномоченное лицо)</w:t>
      </w:r>
    </w:p>
    <w:bookmarkEnd w:id="6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приложения</w:t>
            </w:r>
            <w:r>
              <w:br/>
            </w:r>
            <w:r>
              <w:rPr>
                <w:rFonts w:ascii="Times New Roman"/>
                <w:b w:val="false"/>
                <w:i w:val="false"/>
                <w:color w:val="000000"/>
                <w:sz w:val="20"/>
              </w:rPr>
              <w:t>к регистрационному удостоверению</w:t>
            </w:r>
            <w:r>
              <w:br/>
            </w:r>
            <w:r>
              <w:rPr>
                <w:rFonts w:ascii="Times New Roman"/>
                <w:b w:val="false"/>
                <w:i w:val="false"/>
                <w:color w:val="000000"/>
                <w:sz w:val="20"/>
              </w:rPr>
              <w:t>лекарственного препарата</w:t>
            </w:r>
            <w:r>
              <w:br/>
            </w:r>
            <w:r>
              <w:rPr>
                <w:rFonts w:ascii="Times New Roman"/>
                <w:b w:val="false"/>
                <w:i w:val="false"/>
                <w:color w:val="000000"/>
                <w:sz w:val="20"/>
              </w:rPr>
              <w:t xml:space="preserve">для медицинского 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регистрационному удостоверению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лекарственного препарата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для медицинского применения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______________</w:t>
            </w:r>
          </w:p>
        </w:tc>
      </w:tr>
    </w:tbl>
    <w:bookmarkStart w:name="z7128" w:id="6643"/>
    <w:p>
      <w:pPr>
        <w:spacing w:after="0"/>
        <w:ind w:left="0"/>
        <w:jc w:val="both"/>
      </w:pPr>
      <w:r>
        <w:rPr>
          <w:rFonts w:ascii="Times New Roman"/>
          <w:b w:val="false"/>
          <w:i w:val="false"/>
          <w:color w:val="000000"/>
          <w:sz w:val="28"/>
        </w:rPr>
        <w:t>
       </w:t>
      </w:r>
    </w:p>
    <w:bookmarkEnd w:id="6643"/>
    <w:bookmarkStart w:name="z7129" w:id="6644"/>
    <w:p>
      <w:pPr>
        <w:spacing w:after="0"/>
        <w:ind w:left="0"/>
        <w:jc w:val="both"/>
      </w:pPr>
      <w:r>
        <w:rPr>
          <w:rFonts w:ascii="Times New Roman"/>
          <w:b w:val="false"/>
          <w:i w:val="false"/>
          <w:color w:val="000000"/>
          <w:sz w:val="28"/>
        </w:rPr>
        <w:t>
      Особые условия регистрации лекарственного препарата</w:t>
      </w:r>
    </w:p>
    <w:bookmarkEnd w:id="6644"/>
    <w:bookmarkStart w:name="z7130" w:id="6645"/>
    <w:p>
      <w:pPr>
        <w:spacing w:after="0"/>
        <w:ind w:left="0"/>
        <w:jc w:val="both"/>
      </w:pPr>
      <w:r>
        <w:rPr>
          <w:rFonts w:ascii="Times New Roman"/>
          <w:b w:val="false"/>
          <w:i w:val="false"/>
          <w:color w:val="000000"/>
          <w:sz w:val="28"/>
        </w:rPr>
        <w:t>
       </w:t>
      </w:r>
    </w:p>
    <w:bookmarkEnd w:id="6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6646"/>
          <w:p>
            <w:pPr>
              <w:spacing w:after="20"/>
              <w:ind w:left="20"/>
              <w:jc w:val="both"/>
            </w:pPr>
            <w:r>
              <w:rPr>
                <w:rFonts w:ascii="Times New Roman"/>
                <w:b w:val="false"/>
                <w:i w:val="false"/>
                <w:color w:val="000000"/>
                <w:sz w:val="20"/>
              </w:rPr>
              <w:t xml:space="preserve">
Ограничения применения лекарственного препарата, установленные в ходе регистрации лекарственного препарата </w:t>
            </w:r>
          </w:p>
          <w:bookmarkEnd w:id="6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держателя регистрационного удостоверения, подлежащие выполнению в рамках "регистрации на условиях"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выполнения обязательств и наложенных ограничений для держателя регистрационного удостоверения, установленные при регистрации лекарственного препарата </w:t>
            </w:r>
          </w:p>
        </w:tc>
      </w:tr>
    </w:tbl>
    <w:bookmarkStart w:name="z7132" w:id="6647"/>
    <w:p>
      <w:pPr>
        <w:spacing w:after="0"/>
        <w:ind w:left="0"/>
        <w:jc w:val="both"/>
      </w:pPr>
      <w:r>
        <w:rPr>
          <w:rFonts w:ascii="Times New Roman"/>
          <w:b w:val="false"/>
          <w:i w:val="false"/>
          <w:color w:val="000000"/>
          <w:sz w:val="28"/>
        </w:rPr>
        <w:t>
       </w:t>
      </w:r>
    </w:p>
    <w:bookmarkEnd w:id="6647"/>
    <w:bookmarkStart w:name="z7133" w:id="6648"/>
    <w:p>
      <w:pPr>
        <w:spacing w:after="0"/>
        <w:ind w:left="0"/>
        <w:jc w:val="both"/>
      </w:pPr>
      <w:r>
        <w:rPr>
          <w:rFonts w:ascii="Times New Roman"/>
          <w:b w:val="false"/>
          <w:i w:val="false"/>
          <w:color w:val="000000"/>
          <w:sz w:val="28"/>
        </w:rPr>
        <w:t>
      Руководитель уполномоченного органа Подпись М.П.</w:t>
      </w:r>
    </w:p>
    <w:bookmarkEnd w:id="6648"/>
    <w:bookmarkStart w:name="z7134" w:id="6649"/>
    <w:p>
      <w:pPr>
        <w:spacing w:after="0"/>
        <w:ind w:left="0"/>
        <w:jc w:val="both"/>
      </w:pPr>
      <w:r>
        <w:rPr>
          <w:rFonts w:ascii="Times New Roman"/>
          <w:b w:val="false"/>
          <w:i w:val="false"/>
          <w:color w:val="000000"/>
          <w:sz w:val="28"/>
        </w:rPr>
        <w:t>
       (или уполномоченное лицо)</w:t>
      </w:r>
    </w:p>
    <w:bookmarkEnd w:id="6649"/>
    <w:bookmarkStart w:name="z7135" w:id="6650"/>
    <w:p>
      <w:pPr>
        <w:spacing w:after="0"/>
        <w:ind w:left="0"/>
        <w:jc w:val="both"/>
      </w:pPr>
      <w:r>
        <w:rPr>
          <w:rFonts w:ascii="Times New Roman"/>
          <w:b w:val="false"/>
          <w:i w:val="false"/>
          <w:color w:val="000000"/>
          <w:sz w:val="28"/>
        </w:rPr>
        <w:t>
       </w:t>
      </w:r>
    </w:p>
    <w:bookmarkEnd w:id="6650"/>
    <w:bookmarkStart w:name="z7136" w:id="6651"/>
    <w:p>
      <w:pPr>
        <w:spacing w:after="0"/>
        <w:ind w:left="0"/>
        <w:jc w:val="left"/>
      </w:pPr>
      <w:r>
        <w:rPr>
          <w:rFonts w:ascii="Times New Roman"/>
          <w:b/>
          <w:i w:val="false"/>
          <w:color w:val="000000"/>
        </w:rPr>
        <w:t xml:space="preserve"> ПРАВИЛА</w:t>
      </w:r>
      <w:r>
        <w:br/>
      </w:r>
      <w:r>
        <w:rPr>
          <w:rFonts w:ascii="Times New Roman"/>
          <w:b/>
          <w:i w:val="false"/>
          <w:color w:val="000000"/>
        </w:rPr>
        <w:t>заполнения регистрационного удостоверения лекарственного</w:t>
      </w:r>
      <w:r>
        <w:br/>
      </w:r>
      <w:r>
        <w:rPr>
          <w:rFonts w:ascii="Times New Roman"/>
          <w:b/>
          <w:i w:val="false"/>
          <w:color w:val="000000"/>
        </w:rPr>
        <w:t>препарата для медицинского применения</w:t>
      </w:r>
    </w:p>
    <w:bookmarkEnd w:id="6651"/>
    <w:bookmarkStart w:name="z7137" w:id="6652"/>
    <w:p>
      <w:pPr>
        <w:spacing w:after="0"/>
        <w:ind w:left="0"/>
        <w:jc w:val="both"/>
      </w:pPr>
      <w:r>
        <w:rPr>
          <w:rFonts w:ascii="Times New Roman"/>
          <w:b w:val="false"/>
          <w:i w:val="false"/>
          <w:color w:val="000000"/>
          <w:sz w:val="28"/>
        </w:rPr>
        <w:t>
      1. Регистрационное удостоверение - документ, подтверждающий факт регистрации лекарственного препарата для медицинского применения в рамках Евразийского экономического союза (далее соответственно - регистрационное удостоверение, Союз), заполняется уполномоченным органом государства - члена Союза, осуществившего регистрацию лекарственного препарата для медицинского применения в рамках Союза, в соответствии с настоящими Правилами (далее соответственно - уполномоченный орган, государство-член) по единой форме.</w:t>
      </w:r>
    </w:p>
    <w:bookmarkEnd w:id="6652"/>
    <w:bookmarkStart w:name="z7138" w:id="6653"/>
    <w:p>
      <w:pPr>
        <w:spacing w:after="0"/>
        <w:ind w:left="0"/>
        <w:jc w:val="both"/>
      </w:pPr>
      <w:r>
        <w:rPr>
          <w:rFonts w:ascii="Times New Roman"/>
          <w:b w:val="false"/>
          <w:i w:val="false"/>
          <w:color w:val="000000"/>
          <w:sz w:val="28"/>
        </w:rPr>
        <w:t>
      2. Регистрационное удостоверение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государств-членов - на государственном языке этого государства-члена, в котором находится уполномоченный орган, оформивший такой документ. В случае составления указанных документов на русском языке и государственном языке одного из государств-членов такие документы заполняются на двусторонних бланках, каждая сторона которых соответствует одному из языков.</w:t>
      </w:r>
    </w:p>
    <w:bookmarkEnd w:id="6653"/>
    <w:bookmarkStart w:name="z7139" w:id="6654"/>
    <w:p>
      <w:pPr>
        <w:spacing w:after="0"/>
        <w:ind w:left="0"/>
        <w:jc w:val="both"/>
      </w:pPr>
      <w:r>
        <w:rPr>
          <w:rFonts w:ascii="Times New Roman"/>
          <w:b w:val="false"/>
          <w:i w:val="false"/>
          <w:color w:val="000000"/>
          <w:sz w:val="28"/>
        </w:rPr>
        <w:t>
      Регистрационное удостоверение относится к документам строгой отчетности, бланк должен быть изготовлен типографским способом, иметь степени защиты в соответствии с законодательством соответствующего государства-члена.</w:t>
      </w:r>
    </w:p>
    <w:bookmarkEnd w:id="6654"/>
    <w:bookmarkStart w:name="z7140" w:id="6655"/>
    <w:p>
      <w:pPr>
        <w:spacing w:after="0"/>
        <w:ind w:left="0"/>
        <w:jc w:val="both"/>
      </w:pPr>
      <w:r>
        <w:rPr>
          <w:rFonts w:ascii="Times New Roman"/>
          <w:b w:val="false"/>
          <w:i w:val="false"/>
          <w:color w:val="000000"/>
          <w:sz w:val="28"/>
        </w:rPr>
        <w:t>
      При необходимости название производителя, его места нахождения (юридический адрес), название и юридический адрес держателя регистрационного удостоверения могут быть указаны (продублированы) с использованием букв латинского алфавита.</w:t>
      </w:r>
    </w:p>
    <w:bookmarkEnd w:id="6655"/>
    <w:bookmarkStart w:name="z7141" w:id="6656"/>
    <w:p>
      <w:pPr>
        <w:spacing w:after="0"/>
        <w:ind w:left="0"/>
        <w:jc w:val="both"/>
      </w:pPr>
      <w:r>
        <w:rPr>
          <w:rFonts w:ascii="Times New Roman"/>
          <w:b w:val="false"/>
          <w:i w:val="false"/>
          <w:color w:val="000000"/>
          <w:sz w:val="28"/>
        </w:rPr>
        <w:t>
      3. Номер регистрационного удостоверения формируется в следующем порядке:</w:t>
      </w:r>
    </w:p>
    <w:bookmarkEnd w:id="6656"/>
    <w:bookmarkStart w:name="z7142" w:id="6657"/>
    <w:p>
      <w:pPr>
        <w:spacing w:after="0"/>
        <w:ind w:left="0"/>
        <w:jc w:val="both"/>
      </w:pPr>
      <w:r>
        <w:rPr>
          <w:rFonts w:ascii="Times New Roman"/>
          <w:b w:val="false"/>
          <w:i w:val="false"/>
          <w:color w:val="000000"/>
          <w:sz w:val="28"/>
        </w:rPr>
        <w:t>
      ЛП-№ (XXXXXX)-(YY-ZZ) где:</w:t>
      </w:r>
    </w:p>
    <w:bookmarkEnd w:id="6657"/>
    <w:bookmarkStart w:name="z7143" w:id="6658"/>
    <w:p>
      <w:pPr>
        <w:spacing w:after="0"/>
        <w:ind w:left="0"/>
        <w:jc w:val="both"/>
      </w:pPr>
      <w:r>
        <w:rPr>
          <w:rFonts w:ascii="Times New Roman"/>
          <w:b w:val="false"/>
          <w:i w:val="false"/>
          <w:color w:val="000000"/>
          <w:sz w:val="28"/>
        </w:rPr>
        <w:t>
      позиция "ЛП" - лекарственный препарат;</w:t>
      </w:r>
    </w:p>
    <w:bookmarkEnd w:id="6658"/>
    <w:bookmarkStart w:name="z7144" w:id="6659"/>
    <w:p>
      <w:pPr>
        <w:spacing w:after="0"/>
        <w:ind w:left="0"/>
        <w:jc w:val="both"/>
      </w:pPr>
      <w:r>
        <w:rPr>
          <w:rFonts w:ascii="Times New Roman"/>
          <w:b w:val="false"/>
          <w:i w:val="false"/>
          <w:color w:val="000000"/>
          <w:sz w:val="28"/>
        </w:rPr>
        <w:t>
      позиция "№ (XXXXXX)" - единый шестизначный порядковый номер регистрационного удостоверения, присвоенный референтным государством-членом (присваивается автоматически из единого реестра лекарственных средств, зарегистрированных в рамках Союза);</w:t>
      </w:r>
    </w:p>
    <w:bookmarkEnd w:id="6659"/>
    <w:bookmarkStart w:name="z7145" w:id="6660"/>
    <w:p>
      <w:pPr>
        <w:spacing w:after="0"/>
        <w:ind w:left="0"/>
        <w:jc w:val="both"/>
      </w:pPr>
      <w:r>
        <w:rPr>
          <w:rFonts w:ascii="Times New Roman"/>
          <w:b w:val="false"/>
          <w:i w:val="false"/>
          <w:color w:val="000000"/>
          <w:sz w:val="28"/>
        </w:rPr>
        <w:t>
      позиция "YY" - статус государства-члена в процессе экспертизы и регистрации лекарственного препарата ("РГ" - референтное государство; "ГП" - государство признания);</w:t>
      </w:r>
    </w:p>
    <w:bookmarkEnd w:id="6660"/>
    <w:bookmarkStart w:name="z7146" w:id="6661"/>
    <w:p>
      <w:pPr>
        <w:spacing w:after="0"/>
        <w:ind w:left="0"/>
        <w:jc w:val="both"/>
      </w:pPr>
      <w:r>
        <w:rPr>
          <w:rFonts w:ascii="Times New Roman"/>
          <w:b w:val="false"/>
          <w:i w:val="false"/>
          <w:color w:val="000000"/>
          <w:sz w:val="28"/>
        </w:rPr>
        <w:t>
      позиция "ZZ" - двухбуквенный код государства-члена (в соответствии с международным стандартом ISO 3166-1-2013 "Коды для представления названий стран и их подразделений. Часть 1. Коды стран": Республика Армения - AM; Республика Беларусь - BY; Республика Казахстан - KZ; Кыргызская Республика - KG; Российская Федерация - RU).</w:t>
      </w:r>
    </w:p>
    <w:bookmarkEnd w:id="6661"/>
    <w:bookmarkStart w:name="z7147" w:id="6662"/>
    <w:p>
      <w:pPr>
        <w:spacing w:after="0"/>
        <w:ind w:left="0"/>
        <w:jc w:val="both"/>
      </w:pPr>
      <w:r>
        <w:rPr>
          <w:rFonts w:ascii="Times New Roman"/>
          <w:b w:val="false"/>
          <w:i w:val="false"/>
          <w:color w:val="000000"/>
          <w:sz w:val="28"/>
        </w:rPr>
        <w:t>
      4. В поле 1 указывается полное наименование держателя регистрационного удостоверения.</w:t>
      </w:r>
    </w:p>
    <w:bookmarkEnd w:id="6662"/>
    <w:bookmarkStart w:name="z7148" w:id="6663"/>
    <w:p>
      <w:pPr>
        <w:spacing w:after="0"/>
        <w:ind w:left="0"/>
        <w:jc w:val="both"/>
      </w:pPr>
      <w:r>
        <w:rPr>
          <w:rFonts w:ascii="Times New Roman"/>
          <w:b w:val="false"/>
          <w:i w:val="false"/>
          <w:color w:val="000000"/>
          <w:sz w:val="28"/>
        </w:rPr>
        <w:t>
      5. В поле 2 указывается юридический адрес держателя регистрационного удостоверения, включая страну.</w:t>
      </w:r>
    </w:p>
    <w:bookmarkEnd w:id="6663"/>
    <w:bookmarkStart w:name="z7149" w:id="6664"/>
    <w:p>
      <w:pPr>
        <w:spacing w:after="0"/>
        <w:ind w:left="0"/>
        <w:jc w:val="both"/>
      </w:pPr>
      <w:r>
        <w:rPr>
          <w:rFonts w:ascii="Times New Roman"/>
          <w:b w:val="false"/>
          <w:i w:val="false"/>
          <w:color w:val="000000"/>
          <w:sz w:val="28"/>
        </w:rPr>
        <w:t>
      6. В поле 3 указывается дата регистрации в формате ДД.ММ.ГГГГ, являющаяся датой принятия решения уполномоченным органом о регистрации лекарственного препарата.</w:t>
      </w:r>
    </w:p>
    <w:bookmarkEnd w:id="6664"/>
    <w:bookmarkStart w:name="z7150" w:id="6665"/>
    <w:p>
      <w:pPr>
        <w:spacing w:after="0"/>
        <w:ind w:left="0"/>
        <w:jc w:val="both"/>
      </w:pPr>
      <w:r>
        <w:rPr>
          <w:rFonts w:ascii="Times New Roman"/>
          <w:b w:val="false"/>
          <w:i w:val="false"/>
          <w:color w:val="000000"/>
          <w:sz w:val="28"/>
        </w:rPr>
        <w:t>
      7. В поле 4 указывается дата истечения срока действия регистрационного удостоверения в формате ДД.ММ.ГГГГ, исчисляющаяся от даты регистрации лекарственного препарата референтным государством.</w:t>
      </w:r>
    </w:p>
    <w:bookmarkEnd w:id="6665"/>
    <w:bookmarkStart w:name="z7151" w:id="6666"/>
    <w:p>
      <w:pPr>
        <w:spacing w:after="0"/>
        <w:ind w:left="0"/>
        <w:jc w:val="both"/>
      </w:pPr>
      <w:r>
        <w:rPr>
          <w:rFonts w:ascii="Times New Roman"/>
          <w:b w:val="false"/>
          <w:i w:val="false"/>
          <w:color w:val="000000"/>
          <w:sz w:val="28"/>
        </w:rPr>
        <w:t>
      8. В поле 5 указывается дата подтверждения регистрации (перерегистрации) в формате ДД.ММ.ГГГГ, исчисляющаяся от даты регистрации лекарственного препарата референтным государством.</w:t>
      </w:r>
    </w:p>
    <w:bookmarkEnd w:id="6666"/>
    <w:bookmarkStart w:name="z7152" w:id="6667"/>
    <w:p>
      <w:pPr>
        <w:spacing w:after="0"/>
        <w:ind w:left="0"/>
        <w:jc w:val="both"/>
      </w:pPr>
      <w:r>
        <w:rPr>
          <w:rFonts w:ascii="Times New Roman"/>
          <w:b w:val="false"/>
          <w:i w:val="false"/>
          <w:color w:val="000000"/>
          <w:sz w:val="28"/>
        </w:rPr>
        <w:t>
      9. В поле 6 указывается дата внесения изменений (переоформления) регистрационного удостоверения в формате ДД.ММ.ГГГГ.</w:t>
      </w:r>
    </w:p>
    <w:bookmarkEnd w:id="6667"/>
    <w:bookmarkStart w:name="z7153" w:id="6668"/>
    <w:p>
      <w:pPr>
        <w:spacing w:after="0"/>
        <w:ind w:left="0"/>
        <w:jc w:val="both"/>
      </w:pPr>
      <w:r>
        <w:rPr>
          <w:rFonts w:ascii="Times New Roman"/>
          <w:b w:val="false"/>
          <w:i w:val="false"/>
          <w:color w:val="000000"/>
          <w:sz w:val="28"/>
        </w:rPr>
        <w:t>
      10. В поле 7 указывается дата регистрации лекарственного препарата в референтном государстве.</w:t>
      </w:r>
    </w:p>
    <w:bookmarkEnd w:id="6668"/>
    <w:bookmarkStart w:name="z7154" w:id="6669"/>
    <w:p>
      <w:pPr>
        <w:spacing w:after="0"/>
        <w:ind w:left="0"/>
        <w:jc w:val="both"/>
      </w:pPr>
      <w:r>
        <w:rPr>
          <w:rFonts w:ascii="Times New Roman"/>
          <w:b w:val="false"/>
          <w:i w:val="false"/>
          <w:color w:val="000000"/>
          <w:sz w:val="28"/>
        </w:rPr>
        <w:t>
      11. Подтабличные строки заполняются указанием наименования государства-члена, на территории которого разрешено медицинское применение данного лекарственного препарата.</w:t>
      </w:r>
    </w:p>
    <w:bookmarkEnd w:id="6669"/>
    <w:bookmarkStart w:name="z7155" w:id="6670"/>
    <w:p>
      <w:pPr>
        <w:spacing w:after="0"/>
        <w:ind w:left="0"/>
        <w:jc w:val="both"/>
      </w:pPr>
      <w:r>
        <w:rPr>
          <w:rFonts w:ascii="Times New Roman"/>
          <w:b w:val="false"/>
          <w:i w:val="false"/>
          <w:color w:val="000000"/>
          <w:sz w:val="28"/>
        </w:rPr>
        <w:t>
      12. В поле 8 указывается торговое наименование лекарственного препарата в соответствии с требованиями к инструкции по медицинскому применению лекарственного препарата и общей характеристики лекарственного препарата для медицинского применения, утверждаемыми Евразийской экономической комиссией.</w:t>
      </w:r>
    </w:p>
    <w:bookmarkEnd w:id="6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156" w:id="6671"/>
    <w:p>
      <w:pPr>
        <w:spacing w:after="0"/>
        <w:ind w:left="0"/>
        <w:jc w:val="both"/>
      </w:pPr>
      <w:r>
        <w:rPr>
          <w:rFonts w:ascii="Times New Roman"/>
          <w:b w:val="false"/>
          <w:i w:val="false"/>
          <w:color w:val="000000"/>
          <w:sz w:val="28"/>
        </w:rPr>
        <w:t>
      13. В поле 9 указывается международное непатентованное наименование активной фармацевтической субстанции (далее - МНН), при отсутствии МНН используют общепринятые (группировочные) наименования, а в случае их отсутствия - наименования по химической номенклатуре ИЮПАК (IUPAC). Для комбинированных лекарственных препаратов использует соответствующее общепринятое (группировочное наименование), которое будет представлять перечисление МНН и (или) группировочных наименований через знак "+" в алфавитном порядке. В случае если фармакологическая активность одного или нескольких активных компонентов напрямую не обусловливает фармакологический эффект лекарственного препарата, а является вспомогательной, то наименование такого компонента(-ов) указывается в квадратных скобках в конце общепринятого (группировочного наименования) вне зависимости от алфавитного порядка.</w:t>
      </w:r>
    </w:p>
    <w:bookmarkEnd w:id="6671"/>
    <w:bookmarkStart w:name="z7157" w:id="6672"/>
    <w:p>
      <w:pPr>
        <w:spacing w:after="0"/>
        <w:ind w:left="0"/>
        <w:jc w:val="both"/>
      </w:pPr>
      <w:r>
        <w:rPr>
          <w:rFonts w:ascii="Times New Roman"/>
          <w:b w:val="false"/>
          <w:i w:val="false"/>
          <w:color w:val="000000"/>
          <w:sz w:val="28"/>
        </w:rPr>
        <w:t>
      14. В поле 10 указывается наименование лекарственной формы, руководствуясь номенклатурой лекарственных форм Союза, для наборов (комплектов) указывается наименование лекарственной формы каждого из компонентов набора (комплекта).</w:t>
      </w:r>
    </w:p>
    <w:bookmarkEnd w:id="6672"/>
    <w:bookmarkStart w:name="z7158" w:id="6673"/>
    <w:p>
      <w:pPr>
        <w:spacing w:after="0"/>
        <w:ind w:left="0"/>
        <w:jc w:val="both"/>
      </w:pPr>
      <w:r>
        <w:rPr>
          <w:rFonts w:ascii="Times New Roman"/>
          <w:b w:val="false"/>
          <w:i w:val="false"/>
          <w:color w:val="000000"/>
          <w:sz w:val="28"/>
        </w:rPr>
        <w:t>
      15. В поле 11 указывается дозировка каждой единицы лекарственной формы. Для комбинированных лекарственных препаратов дозировка каждого компонента лекарственной формы указывается через знак "+" в порядке, соответствующем общепринятому (группировочному) наименованию. Указание дозировки (дозировок) должно совпадать со сведениями, приведенными в нормативном документе по качеству лекарственного препарата.</w:t>
      </w:r>
    </w:p>
    <w:bookmarkEnd w:id="6673"/>
    <w:bookmarkStart w:name="z7159" w:id="6674"/>
    <w:p>
      <w:pPr>
        <w:spacing w:after="0"/>
        <w:ind w:left="0"/>
        <w:jc w:val="both"/>
      </w:pPr>
      <w:r>
        <w:rPr>
          <w:rFonts w:ascii="Times New Roman"/>
          <w:b w:val="false"/>
          <w:i w:val="false"/>
          <w:color w:val="000000"/>
          <w:sz w:val="28"/>
        </w:rPr>
        <w:t>
      16. В поле 12 указывается форма выпуска лекарственного препарата с указанием вида первичной и вторичной упаковки и количества лекарственной формы (числа доз) в них, а также комплектности. Указания должны совпадать с информацией, приведенной в нормативном документе по качеству лекарственного препарата.</w:t>
      </w:r>
    </w:p>
    <w:bookmarkEnd w:id="6674"/>
    <w:bookmarkStart w:name="z11805" w:id="6675"/>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В поле 12.1 при необходимости указывается форма выпуска нерасфасованной продукции (bulk product) с указанием вида и объема (диапазона объема) упаковки нерасфасованной продукции.</w:t>
      </w:r>
    </w:p>
    <w:bookmarkEnd w:id="667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23.04.2021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160" w:id="6676"/>
    <w:p>
      <w:pPr>
        <w:spacing w:after="0"/>
        <w:ind w:left="0"/>
        <w:jc w:val="both"/>
      </w:pPr>
      <w:r>
        <w:rPr>
          <w:rFonts w:ascii="Times New Roman"/>
          <w:b w:val="false"/>
          <w:i w:val="false"/>
          <w:color w:val="000000"/>
          <w:sz w:val="28"/>
        </w:rPr>
        <w:t>
      17. В поле 13 приводятся состав лекарственного препарата с указанием количественного содержания активных фармацевтических субстанций и перечисление качественного состава вспомогательных веществ. Указание должно совпадать со сведениями, приведенными в нормативном документе по качеству лекарственного препарата.</w:t>
      </w:r>
    </w:p>
    <w:bookmarkEnd w:id="6676"/>
    <w:bookmarkStart w:name="z7161" w:id="6677"/>
    <w:p>
      <w:pPr>
        <w:spacing w:after="0"/>
        <w:ind w:left="0"/>
        <w:jc w:val="both"/>
      </w:pPr>
      <w:r>
        <w:rPr>
          <w:rFonts w:ascii="Times New Roman"/>
          <w:b w:val="false"/>
          <w:i w:val="false"/>
          <w:color w:val="000000"/>
          <w:sz w:val="28"/>
        </w:rPr>
        <w:t>
      18. В поле 14 указывается срок годности лекарственного препарата в виде соответствующего временного промежутка словесно цифровым способом (1 год, 2 года, 3 года и т.п.). Указание срока годности должно совпадать со сведениями, приведенными в нормативном документе по качеству лекарственного препарата.</w:t>
      </w:r>
    </w:p>
    <w:bookmarkEnd w:id="6677"/>
    <w:bookmarkStart w:name="z7162" w:id="6678"/>
    <w:p>
      <w:pPr>
        <w:spacing w:after="0"/>
        <w:ind w:left="0"/>
        <w:jc w:val="both"/>
      </w:pPr>
      <w:r>
        <w:rPr>
          <w:rFonts w:ascii="Times New Roman"/>
          <w:b w:val="false"/>
          <w:i w:val="false"/>
          <w:color w:val="000000"/>
          <w:sz w:val="28"/>
        </w:rPr>
        <w:t>
      19. Таблица "Информация о производителе лекарственного препарата (названия и адреса производственных площадок, участвующих в процессе производства лекарственного препарата)" заполняется с указанием фактических адресов расположения каждой из производственных площадок в соответствии со сведениями, указанными в разделе 3.2.P.3 "Процесс производства лекарственного препарата" регистрационного досье.</w:t>
      </w:r>
    </w:p>
    <w:bookmarkEnd w:id="6678"/>
    <w:bookmarkStart w:name="z7163" w:id="6679"/>
    <w:p>
      <w:pPr>
        <w:spacing w:after="0"/>
        <w:ind w:left="0"/>
        <w:jc w:val="both"/>
      </w:pPr>
      <w:r>
        <w:rPr>
          <w:rFonts w:ascii="Times New Roman"/>
          <w:b w:val="false"/>
          <w:i w:val="false"/>
          <w:color w:val="000000"/>
          <w:sz w:val="28"/>
        </w:rPr>
        <w:t>
      Таблица должна содержать информацию о производственных площадках по всему циклу производства лекарственного препарата, включая производственные площадки, участвующие в производстве растворителей, разбавителей, и иных участниках производственного процесса, обеспечивающих получение готового лекарственного препарата. Информация о таких производственных площадках вносится в соответствующие поля под каждой стадией производственного цикла.</w:t>
      </w:r>
    </w:p>
    <w:bookmarkEnd w:id="6679"/>
    <w:bookmarkStart w:name="z7164" w:id="6680"/>
    <w:p>
      <w:pPr>
        <w:spacing w:after="0"/>
        <w:ind w:left="0"/>
        <w:jc w:val="both"/>
      </w:pPr>
      <w:r>
        <w:rPr>
          <w:rFonts w:ascii="Times New Roman"/>
          <w:b w:val="false"/>
          <w:i w:val="false"/>
          <w:color w:val="000000"/>
          <w:sz w:val="28"/>
        </w:rPr>
        <w:t>
      В каждом поле таблицы указываются все участники процесса, имеющие отношение к данной стадии производственного цикла. Если на какой либо стадии производственного процесса в производстве лекарственного препарата принимают участие несколько производственных площадок, в форме регистрационного удостоверения производят добавление строк в таблицу в количестве, соответствующем числу участников производственного процесса.</w:t>
      </w:r>
    </w:p>
    <w:bookmarkEnd w:id="6680"/>
    <w:bookmarkStart w:name="z7165" w:id="6681"/>
    <w:p>
      <w:pPr>
        <w:spacing w:after="0"/>
        <w:ind w:left="0"/>
        <w:jc w:val="both"/>
      </w:pPr>
      <w:r>
        <w:rPr>
          <w:rFonts w:ascii="Times New Roman"/>
          <w:b w:val="false"/>
          <w:i w:val="false"/>
          <w:color w:val="000000"/>
          <w:sz w:val="28"/>
        </w:rPr>
        <w:t>
      20. В приложении к регистрационному удостоверению при наличии особых условий регистрации лекарственного препарата приводится таблица "Особые условия регистрации лекарственного препарата" (заполняется в отдельном приложении к регистрационному удостоверению). В левом поле таблицы указываются ограничения для применения лекарственного препарата, в центральном поле - дополнительные обязательства, которые следует выполнить держателю регистрационного удостоверения, в правом поле - срок выполнения обязательств и наложенных ограничений в формате ДД.ММ.ГГГГ.</w:t>
      </w:r>
    </w:p>
    <w:bookmarkEnd w:id="6681"/>
    <w:bookmarkStart w:name="z7166" w:id="6682"/>
    <w:p>
      <w:pPr>
        <w:spacing w:after="0"/>
        <w:ind w:left="0"/>
        <w:jc w:val="both"/>
      </w:pPr>
      <w:r>
        <w:rPr>
          <w:rFonts w:ascii="Times New Roman"/>
          <w:b w:val="false"/>
          <w:i w:val="false"/>
          <w:color w:val="000000"/>
          <w:sz w:val="28"/>
        </w:rPr>
        <w:t>
      Приложение является неотъемлемой частью регистрационного удостоверения. Каждый лист приложения должен быть пронумерован, на нем проставляются регистрационный номер регистрационного удостоверения, должность, подпись, фамилия, имя, отчество руководителя (уполномоченного лица) уполномоченного органа, выдавшего регистрационное удостоверение, каждый лист заверяется печатью уполномоченного органа.</w:t>
      </w:r>
    </w:p>
    <w:bookmarkEnd w:id="6682"/>
    <w:bookmarkStart w:name="z7167" w:id="6683"/>
    <w:p>
      <w:pPr>
        <w:spacing w:after="0"/>
        <w:ind w:left="0"/>
        <w:jc w:val="both"/>
      </w:pPr>
      <w:r>
        <w:rPr>
          <w:rFonts w:ascii="Times New Roman"/>
          <w:b w:val="false"/>
          <w:i w:val="false"/>
          <w:color w:val="000000"/>
          <w:sz w:val="28"/>
        </w:rPr>
        <w:t>
      21. Поле "Руководитель уполномоченного органа, подпись, печать" заполняется собственноручно, использование факсимиле вместо подписи не допускается.</w:t>
      </w:r>
    </w:p>
    <w:bookmarkEnd w:id="6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p>
      <w:pPr>
        <w:spacing w:after="0"/>
        <w:ind w:left="0"/>
        <w:jc w:val="both"/>
      </w:pPr>
      <w:r>
        <w:rPr>
          <w:rFonts w:ascii="Times New Roman"/>
          <w:b w:val="false"/>
          <w:i w:val="false"/>
          <w:color w:val="ff0000"/>
          <w:sz w:val="28"/>
        </w:rPr>
        <w:t xml:space="preserve">
      Сноска. Приложении 18 с изменениями, внесенными решением Совета Евразийской экономической комиссии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169" w:id="6684"/>
    <w:p>
      <w:pPr>
        <w:spacing w:after="0"/>
        <w:ind w:left="0"/>
        <w:jc w:val="left"/>
      </w:pPr>
      <w:r>
        <w:rPr>
          <w:rFonts w:ascii="Times New Roman"/>
          <w:b/>
          <w:i w:val="false"/>
          <w:color w:val="000000"/>
        </w:rPr>
        <w:t xml:space="preserve"> ФОРМА ЗАМЕЧАНИЙ ОТ ГОСУДАРСТВА ПРИЗНАНИЯ </w:t>
      </w:r>
    </w:p>
    <w:bookmarkEnd w:id="6684"/>
    <w:bookmarkStart w:name="z7170" w:id="6685"/>
    <w:p>
      <w:pPr>
        <w:spacing w:after="0"/>
        <w:ind w:left="0"/>
        <w:jc w:val="both"/>
      </w:pPr>
      <w:r>
        <w:rPr>
          <w:rFonts w:ascii="Times New Roman"/>
          <w:b w:val="false"/>
          <w:i w:val="false"/>
          <w:color w:val="000000"/>
          <w:sz w:val="28"/>
        </w:rPr>
        <w:t>
       </w:t>
      </w:r>
    </w:p>
    <w:bookmarkEnd w:id="6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172" w:id="6686"/>
    <w:p>
      <w:pPr>
        <w:spacing w:after="0"/>
        <w:ind w:left="0"/>
        <w:jc w:val="left"/>
      </w:pPr>
      <w:r>
        <w:rPr>
          <w:rFonts w:ascii="Times New Roman"/>
          <w:b/>
          <w:i w:val="false"/>
          <w:color w:val="000000"/>
        </w:rPr>
        <w:t xml:space="preserve"> Замечания от государства признания</w:t>
      </w:r>
    </w:p>
    <w:bookmarkEnd w:id="6686"/>
    <w:bookmarkStart w:name="z7173" w:id="6687"/>
    <w:p>
      <w:pPr>
        <w:spacing w:after="0"/>
        <w:ind w:left="0"/>
        <w:jc w:val="both"/>
      </w:pPr>
      <w:r>
        <w:rPr>
          <w:rFonts w:ascii="Times New Roman"/>
          <w:b w:val="false"/>
          <w:i w:val="false"/>
          <w:color w:val="000000"/>
          <w:sz w:val="28"/>
        </w:rPr>
        <w:t xml:space="preserve">
      Вид процедуры </w:t>
      </w:r>
    </w:p>
    <w:bookmarkEnd w:id="6687"/>
    <w:bookmarkStart w:name="z7174" w:id="6688"/>
    <w:p>
      <w:pPr>
        <w:spacing w:after="0"/>
        <w:ind w:left="0"/>
        <w:jc w:val="both"/>
      </w:pPr>
      <w:r>
        <w:rPr>
          <w:rFonts w:ascii="Times New Roman"/>
          <w:b w:val="false"/>
          <w:i w:val="false"/>
          <w:color w:val="000000"/>
          <w:sz w:val="28"/>
        </w:rPr>
        <w:t xml:space="preserve">
      </w:t>
      </w:r>
    </w:p>
    <w:bookmarkEnd w:id="6688"/>
    <w:p>
      <w:pPr>
        <w:spacing w:after="0"/>
        <w:ind w:left="0"/>
        <w:jc w:val="both"/>
      </w:pPr>
      <w:r>
        <w:t>[MISSING IMAGE: ,  ]</w:t>
      </w:r>
    </w:p>
    <w:p>
      <w:pPr>
        <w:spacing w:after="0"/>
        <w:ind w:left="0"/>
        <w:jc w:val="left"/>
      </w:pPr>
      <w:r>
        <w:rPr>
          <w:rFonts w:ascii="Times New Roman"/>
          <w:b w:val="false"/>
          <w:i w:val="false"/>
          <w:color w:val="000000"/>
          <w:sz w:val="28"/>
        </w:rPr>
        <w:t xml:space="preserve"> Процедура взаимного признания</w:t>
      </w:r>
      <w:r>
        <w:br/>
      </w:r>
      <w:r>
        <w:rPr>
          <w:rFonts w:ascii="Times New Roman"/>
          <w:b w:val="false"/>
          <w:i w:val="false"/>
          <w:color w:val="000000"/>
          <w:sz w:val="28"/>
        </w:rPr>
        <w:t>
</w:t>
      </w:r>
    </w:p>
    <w:bookmarkStart w:name="z7175" w:id="6689"/>
    <w:p>
      <w:pPr>
        <w:spacing w:after="0"/>
        <w:ind w:left="0"/>
        <w:jc w:val="both"/>
      </w:pPr>
      <w:r>
        <w:rPr>
          <w:rFonts w:ascii="Times New Roman"/>
          <w:b w:val="false"/>
          <w:i w:val="false"/>
          <w:color w:val="000000"/>
          <w:sz w:val="28"/>
        </w:rPr>
        <w:t xml:space="preserve">
      </w:t>
      </w:r>
    </w:p>
    <w:bookmarkEnd w:id="6689"/>
    <w:p>
      <w:pPr>
        <w:spacing w:after="0"/>
        <w:ind w:left="0"/>
        <w:jc w:val="both"/>
      </w:pPr>
      <w:r>
        <w:t>[MISSING IMAGE: ,  ]</w:t>
      </w:r>
    </w:p>
    <w:p>
      <w:pPr>
        <w:spacing w:after="0"/>
        <w:ind w:left="0"/>
        <w:jc w:val="left"/>
      </w:pPr>
      <w:r>
        <w:rPr>
          <w:rFonts w:ascii="Times New Roman"/>
          <w:b w:val="false"/>
          <w:i w:val="false"/>
          <w:color w:val="000000"/>
          <w:sz w:val="28"/>
        </w:rPr>
        <w:t xml:space="preserve"> децентрализованная процедура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6690"/>
          <w:p>
            <w:pPr>
              <w:spacing w:after="20"/>
              <w:ind w:left="20"/>
              <w:jc w:val="both"/>
            </w:pPr>
            <w:r>
              <w:rPr>
                <w:rFonts w:ascii="Times New Roman"/>
                <w:b w:val="false"/>
                <w:i w:val="false"/>
                <w:color w:val="000000"/>
                <w:sz w:val="20"/>
              </w:rPr>
              <w:t xml:space="preserve">
1. День </w:t>
            </w:r>
          </w:p>
          <w:bookmarkEnd w:id="6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6691"/>
          <w:p>
            <w:pPr>
              <w:spacing w:after="20"/>
              <w:ind w:left="20"/>
              <w:jc w:val="both"/>
            </w:pPr>
            <w:r>
              <w:rPr>
                <w:rFonts w:ascii="Times New Roman"/>
                <w:b w:val="false"/>
                <w:i w:val="false"/>
                <w:color w:val="000000"/>
                <w:sz w:val="20"/>
              </w:rPr>
              <w:t xml:space="preserve">
2. Замечания от </w:t>
            </w:r>
          </w:p>
          <w:bookmarkEnd w:id="6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6692"/>
          <w:p>
            <w:pPr>
              <w:spacing w:after="20"/>
              <w:ind w:left="20"/>
              <w:jc w:val="both"/>
            </w:pPr>
          </w:p>
          <w:bookmarkEnd w:id="669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6693"/>
          <w:p>
            <w:pPr>
              <w:spacing w:after="20"/>
              <w:ind w:left="20"/>
              <w:jc w:val="both"/>
            </w:pPr>
            <w:r>
              <w:rPr>
                <w:rFonts w:ascii="Times New Roman"/>
                <w:b w:val="false"/>
                <w:i w:val="false"/>
                <w:color w:val="000000"/>
                <w:sz w:val="20"/>
              </w:rPr>
              <w:t xml:space="preserve">
Заявление № </w:t>
            </w:r>
          </w:p>
          <w:bookmarkEnd w:id="6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6694"/>
          <w:p>
            <w:pPr>
              <w:spacing w:after="20"/>
              <w:ind w:left="20"/>
              <w:jc w:val="both"/>
            </w:pPr>
            <w:r>
              <w:rPr>
                <w:rFonts w:ascii="Times New Roman"/>
                <w:b w:val="false"/>
                <w:i w:val="false"/>
                <w:color w:val="000000"/>
                <w:sz w:val="20"/>
              </w:rPr>
              <w:t xml:space="preserve">
Дата </w:t>
            </w:r>
          </w:p>
          <w:bookmarkEnd w:id="6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6695"/>
          <w:p>
            <w:pPr>
              <w:spacing w:after="20"/>
              <w:ind w:left="20"/>
              <w:jc w:val="both"/>
            </w:pPr>
            <w:r>
              <w:rPr>
                <w:rFonts w:ascii="Times New Roman"/>
                <w:b w:val="false"/>
                <w:i w:val="false"/>
                <w:color w:val="000000"/>
                <w:sz w:val="20"/>
              </w:rPr>
              <w:t xml:space="preserve">
Наименование лекарственного препарата </w:t>
            </w:r>
          </w:p>
          <w:bookmarkEnd w:id="6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6696"/>
          <w:p>
            <w:pPr>
              <w:spacing w:after="20"/>
              <w:ind w:left="20"/>
              <w:jc w:val="both"/>
            </w:pPr>
            <w:r>
              <w:rPr>
                <w:rFonts w:ascii="Times New Roman"/>
                <w:b w:val="false"/>
                <w:i w:val="false"/>
                <w:color w:val="000000"/>
                <w:sz w:val="20"/>
              </w:rPr>
              <w:t xml:space="preserve">
Активная фармацевтическая субстанция(и) </w:t>
            </w:r>
          </w:p>
          <w:bookmarkEnd w:id="6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6697"/>
          <w:p>
            <w:pPr>
              <w:spacing w:after="20"/>
              <w:ind w:left="20"/>
              <w:jc w:val="both"/>
            </w:pPr>
            <w:r>
              <w:rPr>
                <w:rFonts w:ascii="Times New Roman"/>
                <w:b w:val="false"/>
                <w:i w:val="false"/>
                <w:color w:val="000000"/>
                <w:sz w:val="20"/>
              </w:rPr>
              <w:t xml:space="preserve">
Дозировка(и) или концентрация(и) </w:t>
            </w:r>
          </w:p>
          <w:bookmarkEnd w:id="6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6698"/>
          <w:p>
            <w:pPr>
              <w:spacing w:after="20"/>
              <w:ind w:left="20"/>
              <w:jc w:val="both"/>
            </w:pPr>
            <w:r>
              <w:rPr>
                <w:rFonts w:ascii="Times New Roman"/>
                <w:b w:val="false"/>
                <w:i w:val="false"/>
                <w:color w:val="000000"/>
                <w:sz w:val="20"/>
              </w:rPr>
              <w:t xml:space="preserve">
Лекарственная форма </w:t>
            </w:r>
          </w:p>
          <w:bookmarkEnd w:id="66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6699"/>
          <w:p>
            <w:pPr>
              <w:spacing w:after="20"/>
              <w:ind w:left="20"/>
              <w:jc w:val="both"/>
            </w:pPr>
            <w:r>
              <w:rPr>
                <w:rFonts w:ascii="Times New Roman"/>
                <w:b w:val="false"/>
                <w:i w:val="false"/>
                <w:color w:val="000000"/>
                <w:sz w:val="20"/>
              </w:rPr>
              <w:t xml:space="preserve">
Форма выпуска </w:t>
            </w:r>
          </w:p>
          <w:bookmarkEnd w:id="6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6700"/>
          <w:p>
            <w:pPr>
              <w:spacing w:after="20"/>
              <w:ind w:left="20"/>
              <w:jc w:val="both"/>
            </w:pPr>
            <w:r>
              <w:rPr>
                <w:rFonts w:ascii="Times New Roman"/>
                <w:b w:val="false"/>
                <w:i w:val="false"/>
                <w:color w:val="000000"/>
                <w:sz w:val="20"/>
              </w:rPr>
              <w:t xml:space="preserve">
Заявитель (представитель заявителя) </w:t>
            </w:r>
          </w:p>
          <w:bookmarkEnd w:id="67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7" w:id="6701"/>
    <w:p>
      <w:pPr>
        <w:spacing w:after="0"/>
        <w:ind w:left="0"/>
        <w:jc w:val="both"/>
      </w:pPr>
      <w:r>
        <w:rPr>
          <w:rFonts w:ascii="Times New Roman"/>
          <w:b w:val="false"/>
          <w:i w:val="false"/>
          <w:color w:val="000000"/>
          <w:sz w:val="28"/>
        </w:rPr>
        <w:t>
       </w:t>
      </w:r>
    </w:p>
    <w:bookmarkEnd w:id="6701"/>
    <w:bookmarkStart w:name="z7188" w:id="6702"/>
    <w:p>
      <w:pPr>
        <w:spacing w:after="0"/>
        <w:ind w:left="0"/>
        <w:jc w:val="both"/>
      </w:pPr>
      <w:r>
        <w:rPr>
          <w:rFonts w:ascii="Times New Roman"/>
          <w:b w:val="false"/>
          <w:i w:val="false"/>
          <w:color w:val="000000"/>
          <w:sz w:val="28"/>
        </w:rPr>
        <w:t>
      &lt;Государство - член Союза&gt;</w:t>
      </w:r>
    </w:p>
    <w:bookmarkEnd w:id="6702"/>
    <w:bookmarkStart w:name="z7189" w:id="6703"/>
    <w:p>
      <w:pPr>
        <w:spacing w:after="0"/>
        <w:ind w:left="0"/>
        <w:jc w:val="both"/>
      </w:pPr>
      <w:r>
        <w:rPr>
          <w:rFonts w:ascii="Times New Roman"/>
          <w:b w:val="false"/>
          <w:i w:val="false"/>
          <w:color w:val="000000"/>
          <w:sz w:val="28"/>
        </w:rPr>
        <w:t>
      ────────────────────────── согласно с общим заключением референтного</w:t>
      </w:r>
    </w:p>
    <w:bookmarkEnd w:id="6703"/>
    <w:bookmarkStart w:name="z7190" w:id="6704"/>
    <w:p>
      <w:pPr>
        <w:spacing w:after="0"/>
        <w:ind w:left="0"/>
        <w:jc w:val="both"/>
      </w:pPr>
      <w:r>
        <w:rPr>
          <w:rFonts w:ascii="Times New Roman"/>
          <w:b w:val="false"/>
          <w:i w:val="false"/>
          <w:color w:val="000000"/>
          <w:sz w:val="28"/>
        </w:rPr>
        <w:t>
       &lt;заявляемый на</w:t>
      </w:r>
    </w:p>
    <w:bookmarkEnd w:id="6704"/>
    <w:bookmarkStart w:name="z7191" w:id="6705"/>
    <w:p>
      <w:pPr>
        <w:spacing w:after="0"/>
        <w:ind w:left="0"/>
        <w:jc w:val="both"/>
      </w:pPr>
      <w:r>
        <w:rPr>
          <w:rFonts w:ascii="Times New Roman"/>
          <w:b w:val="false"/>
          <w:i w:val="false"/>
          <w:color w:val="000000"/>
          <w:sz w:val="28"/>
        </w:rPr>
        <w:t>
      государства и готово выдать регистрационное удостоверение на ──────────────</w:t>
      </w:r>
    </w:p>
    <w:bookmarkEnd w:id="6705"/>
    <w:bookmarkStart w:name="z7192" w:id="6706"/>
    <w:p>
      <w:pPr>
        <w:spacing w:after="0"/>
        <w:ind w:left="0"/>
        <w:jc w:val="both"/>
      </w:pPr>
      <w:r>
        <w:rPr>
          <w:rFonts w:ascii="Times New Roman"/>
          <w:b w:val="false"/>
          <w:i w:val="false"/>
          <w:color w:val="000000"/>
          <w:sz w:val="28"/>
        </w:rPr>
        <w:t>
      регистрацию лекарственный препарат&gt;.</w:t>
      </w:r>
    </w:p>
    <w:bookmarkEnd w:id="6706"/>
    <w:bookmarkStart w:name="z7193" w:id="6707"/>
    <w:p>
      <w:pPr>
        <w:spacing w:after="0"/>
        <w:ind w:left="0"/>
        <w:jc w:val="both"/>
      </w:pPr>
      <w:r>
        <w:rPr>
          <w:rFonts w:ascii="Times New Roman"/>
          <w:b w:val="false"/>
          <w:i w:val="false"/>
          <w:color w:val="000000"/>
          <w:sz w:val="28"/>
        </w:rPr>
        <w:t>
      ────────────────────────────────</w:t>
      </w:r>
    </w:p>
    <w:bookmarkEnd w:id="6707"/>
    <w:bookmarkStart w:name="z7194" w:id="6708"/>
    <w:p>
      <w:pPr>
        <w:spacing w:after="0"/>
        <w:ind w:left="0"/>
        <w:jc w:val="both"/>
      </w:pPr>
      <w:r>
        <w:rPr>
          <w:rFonts w:ascii="Times New Roman"/>
          <w:b w:val="false"/>
          <w:i w:val="false"/>
          <w:color w:val="000000"/>
          <w:sz w:val="28"/>
        </w:rPr>
        <w:t>
       </w:t>
      </w:r>
    </w:p>
    <w:bookmarkEnd w:id="6708"/>
    <w:bookmarkStart w:name="z7195" w:id="6709"/>
    <w:p>
      <w:pPr>
        <w:spacing w:after="0"/>
        <w:ind w:left="0"/>
        <w:jc w:val="both"/>
      </w:pPr>
      <w:r>
        <w:rPr>
          <w:rFonts w:ascii="Times New Roman"/>
          <w:b w:val="false"/>
          <w:i w:val="false"/>
          <w:color w:val="000000"/>
          <w:sz w:val="28"/>
        </w:rPr>
        <w:t>
      или:</w:t>
      </w:r>
    </w:p>
    <w:bookmarkEnd w:id="6709"/>
    <w:bookmarkStart w:name="z7196" w:id="6710"/>
    <w:p>
      <w:pPr>
        <w:spacing w:after="0"/>
        <w:ind w:left="0"/>
        <w:jc w:val="both"/>
      </w:pPr>
      <w:r>
        <w:rPr>
          <w:rFonts w:ascii="Times New Roman"/>
          <w:b w:val="false"/>
          <w:i w:val="false"/>
          <w:color w:val="000000"/>
          <w:sz w:val="28"/>
        </w:rPr>
        <w:t>
       </w:t>
      </w:r>
    </w:p>
    <w:bookmarkEnd w:id="6710"/>
    <w:bookmarkStart w:name="z7197" w:id="6711"/>
    <w:p>
      <w:pPr>
        <w:spacing w:after="0"/>
        <w:ind w:left="0"/>
        <w:jc w:val="both"/>
      </w:pPr>
      <w:r>
        <w:rPr>
          <w:rFonts w:ascii="Times New Roman"/>
          <w:b w:val="false"/>
          <w:i w:val="false"/>
          <w:color w:val="000000"/>
          <w:sz w:val="28"/>
        </w:rPr>
        <w:t>
      &lt;Государство - член Союза&gt;</w:t>
      </w:r>
    </w:p>
    <w:bookmarkEnd w:id="6711"/>
    <w:bookmarkStart w:name="z7198" w:id="6712"/>
    <w:p>
      <w:pPr>
        <w:spacing w:after="0"/>
        <w:ind w:left="0"/>
        <w:jc w:val="both"/>
      </w:pPr>
      <w:r>
        <w:rPr>
          <w:rFonts w:ascii="Times New Roman"/>
          <w:b w:val="false"/>
          <w:i w:val="false"/>
          <w:color w:val="000000"/>
          <w:sz w:val="28"/>
        </w:rPr>
        <w:t>
      ────────────────────────── считает, что применение данного препарата</w:t>
      </w:r>
    </w:p>
    <w:bookmarkEnd w:id="6712"/>
    <w:bookmarkStart w:name="z7199" w:id="6713"/>
    <w:p>
      <w:pPr>
        <w:spacing w:after="0"/>
        <w:ind w:left="0"/>
        <w:jc w:val="both"/>
      </w:pPr>
      <w:r>
        <w:rPr>
          <w:rFonts w:ascii="Times New Roman"/>
          <w:b w:val="false"/>
          <w:i w:val="false"/>
          <w:color w:val="000000"/>
          <w:sz w:val="28"/>
        </w:rPr>
        <w:t>
      связано с серьезным потенциальным риском для здоровья населения (см.</w:t>
      </w:r>
    </w:p>
    <w:bookmarkEnd w:id="6713"/>
    <w:bookmarkStart w:name="z7200" w:id="6714"/>
    <w:p>
      <w:pPr>
        <w:spacing w:after="0"/>
        <w:ind w:left="0"/>
        <w:jc w:val="both"/>
      </w:pPr>
      <w:r>
        <w:rPr>
          <w:rFonts w:ascii="Times New Roman"/>
          <w:b w:val="false"/>
          <w:i w:val="false"/>
          <w:color w:val="000000"/>
          <w:sz w:val="28"/>
        </w:rPr>
        <w:t>
      далее), и в настоящее время не готово выдать регистрационное удостоверение.</w:t>
      </w:r>
    </w:p>
    <w:bookmarkEnd w:id="6714"/>
    <w:bookmarkStart w:name="z7201" w:id="6715"/>
    <w:p>
      <w:pPr>
        <w:spacing w:after="0"/>
        <w:ind w:left="0"/>
        <w:jc w:val="both"/>
      </w:pPr>
      <w:r>
        <w:rPr>
          <w:rFonts w:ascii="Times New Roman"/>
          <w:b w:val="false"/>
          <w:i w:val="false"/>
          <w:color w:val="000000"/>
          <w:sz w:val="28"/>
        </w:rPr>
        <w:t>
       </w:t>
      </w:r>
    </w:p>
    <w:bookmarkEnd w:id="6715"/>
    <w:bookmarkStart w:name="z7202" w:id="6716"/>
    <w:p>
      <w:pPr>
        <w:spacing w:after="0"/>
        <w:ind w:left="0"/>
        <w:jc w:val="both"/>
      </w:pPr>
      <w:r>
        <w:rPr>
          <w:rFonts w:ascii="Times New Roman"/>
          <w:b w:val="false"/>
          <w:i w:val="false"/>
          <w:color w:val="000000"/>
          <w:sz w:val="28"/>
        </w:rPr>
        <w:t>
      2. Серьезный потенциальный риск для здоровья населения</w:t>
      </w:r>
    </w:p>
    <w:bookmarkEnd w:id="6716"/>
    <w:bookmarkStart w:name="z7203" w:id="6717"/>
    <w:p>
      <w:pPr>
        <w:spacing w:after="0"/>
        <w:ind w:left="0"/>
        <w:jc w:val="both"/>
      </w:pPr>
      <w:r>
        <w:rPr>
          <w:rFonts w:ascii="Times New Roman"/>
          <w:b w:val="false"/>
          <w:i w:val="false"/>
          <w:color w:val="000000"/>
          <w:sz w:val="28"/>
        </w:rPr>
        <w:t>
       </w:t>
      </w:r>
    </w:p>
    <w:bookmarkEnd w:id="6717"/>
    <w:bookmarkStart w:name="z7204" w:id="6718"/>
    <w:p>
      <w:pPr>
        <w:spacing w:after="0"/>
        <w:ind w:left="0"/>
        <w:jc w:val="both"/>
      </w:pPr>
      <w:r>
        <w:rPr>
          <w:rFonts w:ascii="Times New Roman"/>
          <w:b w:val="false"/>
          <w:i w:val="false"/>
          <w:color w:val="000000"/>
          <w:sz w:val="28"/>
        </w:rPr>
        <w:t>
      2.1. Общая характеристика лекарственного препарата, инструкция по</w:t>
      </w:r>
    </w:p>
    <w:bookmarkEnd w:id="6718"/>
    <w:bookmarkStart w:name="z7205" w:id="6719"/>
    <w:p>
      <w:pPr>
        <w:spacing w:after="0"/>
        <w:ind w:left="0"/>
        <w:jc w:val="both"/>
      </w:pPr>
      <w:r>
        <w:rPr>
          <w:rFonts w:ascii="Times New Roman"/>
          <w:b w:val="false"/>
          <w:i w:val="false"/>
          <w:color w:val="000000"/>
          <w:sz w:val="28"/>
        </w:rPr>
        <w:t>
      медицинскому применению (листок-вкладыш) и макеты упаковок</w:t>
      </w:r>
    </w:p>
    <w:bookmarkEnd w:id="6719"/>
    <w:bookmarkStart w:name="z7206" w:id="6720"/>
    <w:p>
      <w:pPr>
        <w:spacing w:after="0"/>
        <w:ind w:left="0"/>
        <w:jc w:val="both"/>
      </w:pPr>
      <w:r>
        <w:rPr>
          <w:rFonts w:ascii="Times New Roman"/>
          <w:b w:val="false"/>
          <w:i w:val="false"/>
          <w:color w:val="000000"/>
          <w:sz w:val="28"/>
        </w:rPr>
        <w:t>
       </w:t>
      </w:r>
    </w:p>
    <w:bookmarkEnd w:id="6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6721"/>
          <w:p>
            <w:pPr>
              <w:spacing w:after="20"/>
              <w:ind w:left="20"/>
              <w:jc w:val="both"/>
            </w:pPr>
            <w:r>
              <w:rPr>
                <w:rFonts w:ascii="Times New Roman"/>
                <w:b w:val="false"/>
                <w:i w:val="false"/>
                <w:color w:val="000000"/>
                <w:sz w:val="20"/>
              </w:rPr>
              <w:t xml:space="preserve">
Развернутые возражения с обоснованиями и перекрестными ссылками на страницы регистрационного досье, нормативных документов, научных руководств, публикаций, экспертных заключений, прилагаемых к форме </w:t>
            </w:r>
          </w:p>
          <w:bookmarkEnd w:id="6721"/>
        </w:tc>
      </w:tr>
    </w:tbl>
    <w:bookmarkStart w:name="z7208" w:id="6722"/>
    <w:p>
      <w:pPr>
        <w:spacing w:after="0"/>
        <w:ind w:left="0"/>
        <w:jc w:val="both"/>
      </w:pPr>
      <w:r>
        <w:rPr>
          <w:rFonts w:ascii="Times New Roman"/>
          <w:b w:val="false"/>
          <w:i w:val="false"/>
          <w:color w:val="000000"/>
          <w:sz w:val="28"/>
        </w:rPr>
        <w:t>
       </w:t>
      </w:r>
    </w:p>
    <w:bookmarkEnd w:id="6722"/>
    <w:bookmarkStart w:name="z7209" w:id="6723"/>
    <w:p>
      <w:pPr>
        <w:spacing w:after="0"/>
        <w:ind w:left="0"/>
        <w:jc w:val="both"/>
      </w:pPr>
      <w:r>
        <w:rPr>
          <w:rFonts w:ascii="Times New Roman"/>
          <w:b w:val="false"/>
          <w:i w:val="false"/>
          <w:color w:val="000000"/>
          <w:sz w:val="28"/>
        </w:rPr>
        <w:t>
      2.2. Модуль 3. "Качество"</w:t>
      </w:r>
    </w:p>
    <w:bookmarkEnd w:id="6723"/>
    <w:bookmarkStart w:name="z7210" w:id="6724"/>
    <w:p>
      <w:pPr>
        <w:spacing w:after="0"/>
        <w:ind w:left="0"/>
        <w:jc w:val="both"/>
      </w:pPr>
      <w:r>
        <w:rPr>
          <w:rFonts w:ascii="Times New Roman"/>
          <w:b w:val="false"/>
          <w:i w:val="false"/>
          <w:color w:val="000000"/>
          <w:sz w:val="28"/>
        </w:rPr>
        <w:t>
       </w:t>
      </w:r>
    </w:p>
    <w:bookmarkEnd w:id="6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6725"/>
          <w:p>
            <w:pPr>
              <w:spacing w:after="20"/>
              <w:ind w:left="20"/>
              <w:jc w:val="both"/>
            </w:pPr>
            <w:r>
              <w:rPr>
                <w:rFonts w:ascii="Times New Roman"/>
                <w:b w:val="false"/>
                <w:i w:val="false"/>
                <w:color w:val="000000"/>
                <w:sz w:val="20"/>
              </w:rPr>
              <w:t xml:space="preserve">
Развернутые возражения с обоснованиями и перекрестными ссылками на страницы регистрационного досье, нормативных документов, научных руководств, публикаций, экспертных заключений, прилагаемых к форме </w:t>
            </w:r>
          </w:p>
          <w:bookmarkEnd w:id="6725"/>
        </w:tc>
      </w:tr>
    </w:tbl>
    <w:bookmarkStart w:name="z7212" w:id="6726"/>
    <w:p>
      <w:pPr>
        <w:spacing w:after="0"/>
        <w:ind w:left="0"/>
        <w:jc w:val="both"/>
      </w:pPr>
      <w:r>
        <w:rPr>
          <w:rFonts w:ascii="Times New Roman"/>
          <w:b w:val="false"/>
          <w:i w:val="false"/>
          <w:color w:val="000000"/>
          <w:sz w:val="28"/>
        </w:rPr>
        <w:t>
       </w:t>
      </w:r>
    </w:p>
    <w:bookmarkEnd w:id="6726"/>
    <w:bookmarkStart w:name="z7213" w:id="6727"/>
    <w:p>
      <w:pPr>
        <w:spacing w:after="0"/>
        <w:ind w:left="0"/>
        <w:jc w:val="both"/>
      </w:pPr>
      <w:r>
        <w:rPr>
          <w:rFonts w:ascii="Times New Roman"/>
          <w:b w:val="false"/>
          <w:i w:val="false"/>
          <w:color w:val="000000"/>
          <w:sz w:val="28"/>
        </w:rPr>
        <w:t>
      2.3. Модуль 4. "Доклинические исследования"</w:t>
      </w:r>
    </w:p>
    <w:bookmarkEnd w:id="6727"/>
    <w:bookmarkStart w:name="z7214" w:id="6728"/>
    <w:p>
      <w:pPr>
        <w:spacing w:after="0"/>
        <w:ind w:left="0"/>
        <w:jc w:val="both"/>
      </w:pPr>
      <w:r>
        <w:rPr>
          <w:rFonts w:ascii="Times New Roman"/>
          <w:b w:val="false"/>
          <w:i w:val="false"/>
          <w:color w:val="000000"/>
          <w:sz w:val="28"/>
        </w:rPr>
        <w:t>
       </w:t>
      </w:r>
    </w:p>
    <w:bookmarkEnd w:id="6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6729"/>
          <w:p>
            <w:pPr>
              <w:spacing w:after="20"/>
              <w:ind w:left="20"/>
              <w:jc w:val="both"/>
            </w:pPr>
            <w:r>
              <w:rPr>
                <w:rFonts w:ascii="Times New Roman"/>
                <w:b w:val="false"/>
                <w:i w:val="false"/>
                <w:color w:val="000000"/>
                <w:sz w:val="20"/>
              </w:rPr>
              <w:t xml:space="preserve">
Развернутые возражения с обоснованиями и перекрестными ссылками на страницы регистрационного досье, нормативных документов, научных руководств, публикаций, экспертных заключений, прилагаемых к форме </w:t>
            </w:r>
          </w:p>
          <w:bookmarkEnd w:id="6729"/>
        </w:tc>
      </w:tr>
    </w:tbl>
    <w:bookmarkStart w:name="z7216" w:id="6730"/>
    <w:p>
      <w:pPr>
        <w:spacing w:after="0"/>
        <w:ind w:left="0"/>
        <w:jc w:val="both"/>
      </w:pPr>
      <w:r>
        <w:rPr>
          <w:rFonts w:ascii="Times New Roman"/>
          <w:b w:val="false"/>
          <w:i w:val="false"/>
          <w:color w:val="000000"/>
          <w:sz w:val="28"/>
        </w:rPr>
        <w:t>
       </w:t>
      </w:r>
    </w:p>
    <w:bookmarkEnd w:id="6730"/>
    <w:bookmarkStart w:name="z7217" w:id="6731"/>
    <w:p>
      <w:pPr>
        <w:spacing w:after="0"/>
        <w:ind w:left="0"/>
        <w:jc w:val="both"/>
      </w:pPr>
      <w:r>
        <w:rPr>
          <w:rFonts w:ascii="Times New Roman"/>
          <w:b w:val="false"/>
          <w:i w:val="false"/>
          <w:color w:val="000000"/>
          <w:sz w:val="28"/>
        </w:rPr>
        <w:t>
      2.4. Модуль 5. "Клинические исследования"</w:t>
      </w:r>
    </w:p>
    <w:bookmarkEnd w:id="6731"/>
    <w:bookmarkStart w:name="z7218" w:id="6732"/>
    <w:p>
      <w:pPr>
        <w:spacing w:after="0"/>
        <w:ind w:left="0"/>
        <w:jc w:val="both"/>
      </w:pPr>
      <w:r>
        <w:rPr>
          <w:rFonts w:ascii="Times New Roman"/>
          <w:b w:val="false"/>
          <w:i w:val="false"/>
          <w:color w:val="000000"/>
          <w:sz w:val="28"/>
        </w:rPr>
        <w:t>
       </w:t>
      </w:r>
    </w:p>
    <w:bookmarkEnd w:id="6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6733"/>
          <w:p>
            <w:pPr>
              <w:spacing w:after="20"/>
              <w:ind w:left="20"/>
              <w:jc w:val="both"/>
            </w:pPr>
          </w:p>
          <w:bookmarkEnd w:id="6733"/>
        </w:tc>
      </w:tr>
    </w:tbl>
    <w:bookmarkStart w:name="z7220" w:id="6734"/>
    <w:p>
      <w:pPr>
        <w:spacing w:after="0"/>
        <w:ind w:left="0"/>
        <w:jc w:val="both"/>
      </w:pPr>
      <w:r>
        <w:rPr>
          <w:rFonts w:ascii="Times New Roman"/>
          <w:b w:val="false"/>
          <w:i w:val="false"/>
          <w:color w:val="000000"/>
          <w:sz w:val="28"/>
        </w:rPr>
        <w:t>
       </w:t>
      </w:r>
    </w:p>
    <w:bookmarkEnd w:id="6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6735"/>
          <w:p>
            <w:pPr>
              <w:spacing w:after="20"/>
              <w:ind w:left="20"/>
              <w:jc w:val="both"/>
            </w:pPr>
            <w:r>
              <w:rPr>
                <w:rFonts w:ascii="Times New Roman"/>
                <w:b w:val="false"/>
                <w:i w:val="false"/>
                <w:color w:val="000000"/>
                <w:sz w:val="20"/>
              </w:rPr>
              <w:t xml:space="preserve">
Развернутые возражения с обоснованиями и перекрестными ссылками на страницы регистрационного досье, нормативных документов, научных руководств, публикаций, экспертных заключений, прилагаемых к форме </w:t>
            </w:r>
          </w:p>
          <w:bookmarkEnd w:id="6735"/>
        </w:tc>
      </w:tr>
    </w:tbl>
    <w:bookmarkStart w:name="z7222" w:id="6736"/>
    <w:p>
      <w:pPr>
        <w:spacing w:after="0"/>
        <w:ind w:left="0"/>
        <w:jc w:val="both"/>
      </w:pPr>
      <w:r>
        <w:rPr>
          <w:rFonts w:ascii="Times New Roman"/>
          <w:b w:val="false"/>
          <w:i w:val="false"/>
          <w:color w:val="000000"/>
          <w:sz w:val="28"/>
        </w:rPr>
        <w:t>
       </w:t>
      </w:r>
    </w:p>
    <w:bookmarkEnd w:id="6736"/>
    <w:bookmarkStart w:name="z7223" w:id="6737"/>
    <w:p>
      <w:pPr>
        <w:spacing w:after="0"/>
        <w:ind w:left="0"/>
        <w:jc w:val="both"/>
      </w:pPr>
      <w:r>
        <w:rPr>
          <w:rFonts w:ascii="Times New Roman"/>
          <w:b w:val="false"/>
          <w:i w:val="false"/>
          <w:color w:val="000000"/>
          <w:sz w:val="28"/>
        </w:rPr>
        <w:t>
      3. Замечания для ответа.</w:t>
      </w:r>
    </w:p>
    <w:bookmarkEnd w:id="6737"/>
    <w:bookmarkStart w:name="z7224" w:id="6738"/>
    <w:p>
      <w:pPr>
        <w:spacing w:after="0"/>
        <w:ind w:left="0"/>
        <w:jc w:val="both"/>
      </w:pPr>
      <w:r>
        <w:rPr>
          <w:rFonts w:ascii="Times New Roman"/>
          <w:b w:val="false"/>
          <w:i w:val="false"/>
          <w:color w:val="000000"/>
          <w:sz w:val="28"/>
        </w:rPr>
        <w:t>
       </w:t>
      </w:r>
    </w:p>
    <w:bookmarkEnd w:id="6738"/>
    <w:bookmarkStart w:name="z7225" w:id="6739"/>
    <w:p>
      <w:pPr>
        <w:spacing w:after="0"/>
        <w:ind w:left="0"/>
        <w:jc w:val="both"/>
      </w:pPr>
      <w:r>
        <w:rPr>
          <w:rFonts w:ascii="Times New Roman"/>
          <w:b w:val="false"/>
          <w:i w:val="false"/>
          <w:color w:val="000000"/>
          <w:sz w:val="28"/>
        </w:rPr>
        <w:t>
      3.1. Модуль 1. "Замечания, имеющие отношение к заявлению, общей</w:t>
      </w:r>
    </w:p>
    <w:bookmarkEnd w:id="6739"/>
    <w:bookmarkStart w:name="z7226" w:id="6740"/>
    <w:p>
      <w:pPr>
        <w:spacing w:after="0"/>
        <w:ind w:left="0"/>
        <w:jc w:val="both"/>
      </w:pPr>
      <w:r>
        <w:rPr>
          <w:rFonts w:ascii="Times New Roman"/>
          <w:b w:val="false"/>
          <w:i w:val="false"/>
          <w:color w:val="000000"/>
          <w:sz w:val="28"/>
        </w:rPr>
        <w:t>
      характеристике лекарственного препарата, инструкции по медицинскому</w:t>
      </w:r>
    </w:p>
    <w:bookmarkEnd w:id="6740"/>
    <w:bookmarkStart w:name="z7227" w:id="6741"/>
    <w:p>
      <w:pPr>
        <w:spacing w:after="0"/>
        <w:ind w:left="0"/>
        <w:jc w:val="both"/>
      </w:pPr>
      <w:r>
        <w:rPr>
          <w:rFonts w:ascii="Times New Roman"/>
          <w:b w:val="false"/>
          <w:i w:val="false"/>
          <w:color w:val="000000"/>
          <w:sz w:val="28"/>
        </w:rPr>
        <w:t>
      применению (листку-вкладышу) и макетам упаковок (включая наименование препарата)"</w:t>
      </w:r>
      <w:r>
        <w:rPr>
          <w:rFonts w:ascii="Times New Roman"/>
          <w:b w:val="false"/>
          <w:i w:val="false"/>
          <w:color w:val="000000"/>
          <w:vertAlign w:val="superscript"/>
        </w:rPr>
        <w:t>1</w:t>
      </w:r>
    </w:p>
    <w:bookmarkEnd w:id="6741"/>
    <w:bookmarkStart w:name="z7228" w:id="6742"/>
    <w:p>
      <w:pPr>
        <w:spacing w:after="0"/>
        <w:ind w:left="0"/>
        <w:jc w:val="both"/>
      </w:pPr>
      <w:r>
        <w:rPr>
          <w:rFonts w:ascii="Times New Roman"/>
          <w:b w:val="false"/>
          <w:i w:val="false"/>
          <w:color w:val="000000"/>
          <w:sz w:val="28"/>
        </w:rPr>
        <w:t>
       </w:t>
      </w:r>
    </w:p>
    <w:bookmarkEnd w:id="6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6743"/>
          <w:p>
            <w:pPr>
              <w:spacing w:after="20"/>
              <w:ind w:left="20"/>
              <w:jc w:val="both"/>
            </w:pPr>
            <w:r>
              <w:rPr>
                <w:rFonts w:ascii="Times New Roman"/>
                <w:b w:val="false"/>
                <w:i w:val="false"/>
                <w:color w:val="000000"/>
                <w:sz w:val="20"/>
              </w:rPr>
              <w:t xml:space="preserve">
Привести перечень замечаний для ответа, разделив их на группы: критические замечания и прочие замечания. </w:t>
            </w:r>
          </w:p>
          <w:bookmarkEnd w:id="6743"/>
        </w:tc>
      </w:tr>
    </w:tbl>
    <w:bookmarkStart w:name="z7230" w:id="6744"/>
    <w:p>
      <w:pPr>
        <w:spacing w:after="0"/>
        <w:ind w:left="0"/>
        <w:jc w:val="both"/>
      </w:pPr>
      <w:r>
        <w:rPr>
          <w:rFonts w:ascii="Times New Roman"/>
          <w:b w:val="false"/>
          <w:i w:val="false"/>
          <w:color w:val="000000"/>
          <w:sz w:val="28"/>
        </w:rPr>
        <w:t>
       </w:t>
      </w:r>
    </w:p>
    <w:bookmarkEnd w:id="6744"/>
    <w:bookmarkStart w:name="z7231" w:id="6745"/>
    <w:p>
      <w:pPr>
        <w:spacing w:after="0"/>
        <w:ind w:left="0"/>
        <w:jc w:val="both"/>
      </w:pPr>
      <w:r>
        <w:rPr>
          <w:rFonts w:ascii="Times New Roman"/>
          <w:b w:val="false"/>
          <w:i w:val="false"/>
          <w:color w:val="000000"/>
          <w:sz w:val="28"/>
        </w:rPr>
        <w:t>
      3.2. Модуль 3. "Качество"</w:t>
      </w:r>
    </w:p>
    <w:bookmarkEnd w:id="6745"/>
    <w:bookmarkStart w:name="z7232" w:id="6746"/>
    <w:p>
      <w:pPr>
        <w:spacing w:after="0"/>
        <w:ind w:left="0"/>
        <w:jc w:val="both"/>
      </w:pPr>
      <w:r>
        <w:rPr>
          <w:rFonts w:ascii="Times New Roman"/>
          <w:b w:val="false"/>
          <w:i w:val="false"/>
          <w:color w:val="000000"/>
          <w:sz w:val="28"/>
        </w:rPr>
        <w:t>
       </w:t>
      </w:r>
    </w:p>
    <w:bookmarkEnd w:id="6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6747"/>
          <w:p>
            <w:pPr>
              <w:spacing w:after="20"/>
              <w:ind w:left="20"/>
              <w:jc w:val="both"/>
            </w:pPr>
            <w:r>
              <w:rPr>
                <w:rFonts w:ascii="Times New Roman"/>
                <w:b w:val="false"/>
                <w:i w:val="false"/>
                <w:color w:val="000000"/>
                <w:sz w:val="20"/>
              </w:rPr>
              <w:t xml:space="preserve">
Привести перечень замечаний для ответа, разделив их на группы: критические замечания и прочие замечания. </w:t>
            </w:r>
          </w:p>
          <w:bookmarkEnd w:id="6747"/>
        </w:tc>
      </w:tr>
    </w:tbl>
    <w:bookmarkStart w:name="z7234" w:id="6748"/>
    <w:p>
      <w:pPr>
        <w:spacing w:after="0"/>
        <w:ind w:left="0"/>
        <w:jc w:val="both"/>
      </w:pPr>
      <w:r>
        <w:rPr>
          <w:rFonts w:ascii="Times New Roman"/>
          <w:b w:val="false"/>
          <w:i w:val="false"/>
          <w:color w:val="000000"/>
          <w:sz w:val="28"/>
        </w:rPr>
        <w:t>
       </w:t>
      </w:r>
    </w:p>
    <w:bookmarkEnd w:id="6748"/>
    <w:bookmarkStart w:name="z7235" w:id="6749"/>
    <w:p>
      <w:pPr>
        <w:spacing w:after="0"/>
        <w:ind w:left="0"/>
        <w:jc w:val="both"/>
      </w:pPr>
      <w:r>
        <w:rPr>
          <w:rFonts w:ascii="Times New Roman"/>
          <w:b w:val="false"/>
          <w:i w:val="false"/>
          <w:color w:val="000000"/>
          <w:sz w:val="28"/>
        </w:rPr>
        <w:t>
      3.3. Модуль 4. "Доклинические исследования"</w:t>
      </w:r>
    </w:p>
    <w:bookmarkEnd w:id="6749"/>
    <w:bookmarkStart w:name="z7236" w:id="6750"/>
    <w:p>
      <w:pPr>
        <w:spacing w:after="0"/>
        <w:ind w:left="0"/>
        <w:jc w:val="both"/>
      </w:pPr>
      <w:r>
        <w:rPr>
          <w:rFonts w:ascii="Times New Roman"/>
          <w:b w:val="false"/>
          <w:i w:val="false"/>
          <w:color w:val="000000"/>
          <w:sz w:val="28"/>
        </w:rPr>
        <w:t>
       </w:t>
      </w:r>
    </w:p>
    <w:bookmarkEnd w:id="6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6751"/>
          <w:p>
            <w:pPr>
              <w:spacing w:after="20"/>
              <w:ind w:left="20"/>
              <w:jc w:val="both"/>
            </w:pPr>
            <w:r>
              <w:rPr>
                <w:rFonts w:ascii="Times New Roman"/>
                <w:b w:val="false"/>
                <w:i w:val="false"/>
                <w:color w:val="000000"/>
                <w:sz w:val="20"/>
              </w:rPr>
              <w:t xml:space="preserve">
Привести перечень замечаний для ответа, разделив их на группы: критические замечания и прочие замечания. </w:t>
            </w:r>
          </w:p>
          <w:bookmarkEnd w:id="6751"/>
        </w:tc>
      </w:tr>
    </w:tbl>
    <w:bookmarkStart w:name="z7238" w:id="6752"/>
    <w:p>
      <w:pPr>
        <w:spacing w:after="0"/>
        <w:ind w:left="0"/>
        <w:jc w:val="both"/>
      </w:pPr>
      <w:r>
        <w:rPr>
          <w:rFonts w:ascii="Times New Roman"/>
          <w:b w:val="false"/>
          <w:i w:val="false"/>
          <w:color w:val="000000"/>
          <w:sz w:val="28"/>
        </w:rPr>
        <w:t>
       </w:t>
      </w:r>
    </w:p>
    <w:bookmarkEnd w:id="6752"/>
    <w:bookmarkStart w:name="z7239" w:id="6753"/>
    <w:p>
      <w:pPr>
        <w:spacing w:after="0"/>
        <w:ind w:left="0"/>
        <w:jc w:val="both"/>
      </w:pPr>
      <w:r>
        <w:rPr>
          <w:rFonts w:ascii="Times New Roman"/>
          <w:b w:val="false"/>
          <w:i w:val="false"/>
          <w:color w:val="000000"/>
          <w:sz w:val="28"/>
        </w:rPr>
        <w:t>
      3.4. Модуль 5. "Клинические исследования"</w:t>
      </w:r>
    </w:p>
    <w:bookmarkEnd w:id="6753"/>
    <w:bookmarkStart w:name="z7240" w:id="6754"/>
    <w:p>
      <w:pPr>
        <w:spacing w:after="0"/>
        <w:ind w:left="0"/>
        <w:jc w:val="both"/>
      </w:pPr>
      <w:r>
        <w:rPr>
          <w:rFonts w:ascii="Times New Roman"/>
          <w:b w:val="false"/>
          <w:i w:val="false"/>
          <w:color w:val="000000"/>
          <w:sz w:val="28"/>
        </w:rPr>
        <w:t>
       </w:t>
      </w:r>
    </w:p>
    <w:bookmarkEnd w:id="6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6755"/>
          <w:p>
            <w:pPr>
              <w:spacing w:after="20"/>
              <w:ind w:left="20"/>
              <w:jc w:val="both"/>
            </w:pPr>
            <w:r>
              <w:rPr>
                <w:rFonts w:ascii="Times New Roman"/>
                <w:b w:val="false"/>
                <w:i w:val="false"/>
                <w:color w:val="000000"/>
                <w:sz w:val="20"/>
              </w:rPr>
              <w:t xml:space="preserve">
Привести перечень замечаний для ответа, разделив их на группы: критические замечания и прочие замечания. </w:t>
            </w:r>
          </w:p>
          <w:bookmarkEnd w:id="6755"/>
        </w:tc>
      </w:tr>
    </w:tbl>
    <w:bookmarkStart w:name="z7242" w:id="6756"/>
    <w:p>
      <w:pPr>
        <w:spacing w:after="0"/>
        <w:ind w:left="0"/>
        <w:jc w:val="both"/>
      </w:pPr>
      <w:r>
        <w:rPr>
          <w:rFonts w:ascii="Times New Roman"/>
          <w:b w:val="false"/>
          <w:i w:val="false"/>
          <w:color w:val="000000"/>
          <w:sz w:val="28"/>
        </w:rPr>
        <w:t>
       </w:t>
      </w:r>
    </w:p>
    <w:bookmarkEnd w:id="6756"/>
    <w:bookmarkStart w:name="z7243" w:id="6757"/>
    <w:p>
      <w:pPr>
        <w:spacing w:after="0"/>
        <w:ind w:left="0"/>
        <w:jc w:val="both"/>
      </w:pPr>
      <w:r>
        <w:rPr>
          <w:rFonts w:ascii="Times New Roman"/>
          <w:b w:val="false"/>
          <w:i w:val="false"/>
          <w:color w:val="000000"/>
          <w:sz w:val="28"/>
        </w:rPr>
        <w:t>
      4. Информация для заявителя</w:t>
      </w:r>
    </w:p>
    <w:bookmarkEnd w:id="6757"/>
    <w:bookmarkStart w:name="z7244" w:id="6758"/>
    <w:p>
      <w:pPr>
        <w:spacing w:after="0"/>
        <w:ind w:left="0"/>
        <w:jc w:val="both"/>
      </w:pPr>
      <w:r>
        <w:rPr>
          <w:rFonts w:ascii="Times New Roman"/>
          <w:b w:val="false"/>
          <w:i w:val="false"/>
          <w:color w:val="000000"/>
          <w:sz w:val="28"/>
        </w:rPr>
        <w:t>
      Внимание! Любые ответы, направляемые по электронной почте, необходимо</w:t>
      </w:r>
    </w:p>
    <w:bookmarkEnd w:id="6758"/>
    <w:bookmarkStart w:name="z7245" w:id="6759"/>
    <w:p>
      <w:pPr>
        <w:spacing w:after="0"/>
        <w:ind w:left="0"/>
        <w:jc w:val="both"/>
      </w:pPr>
      <w:r>
        <w:rPr>
          <w:rFonts w:ascii="Times New Roman"/>
          <w:b w:val="false"/>
          <w:i w:val="false"/>
          <w:color w:val="000000"/>
          <w:sz w:val="28"/>
        </w:rPr>
        <w:t>
      посылать на наш общий электронный адрес @, а не на какие-либо личные</w:t>
      </w:r>
    </w:p>
    <w:bookmarkEnd w:id="6759"/>
    <w:bookmarkStart w:name="z7246" w:id="6760"/>
    <w:p>
      <w:pPr>
        <w:spacing w:after="0"/>
        <w:ind w:left="0"/>
        <w:jc w:val="both"/>
      </w:pPr>
      <w:r>
        <w:rPr>
          <w:rFonts w:ascii="Times New Roman"/>
          <w:b w:val="false"/>
          <w:i w:val="false"/>
          <w:color w:val="000000"/>
          <w:sz w:val="28"/>
        </w:rPr>
        <w:t>
      адреса. Максимальный размер электронного сообщения составляет 2 Мб.</w:t>
      </w:r>
    </w:p>
    <w:bookmarkEnd w:id="6760"/>
    <w:bookmarkStart w:name="z7247" w:id="6761"/>
    <w:p>
      <w:pPr>
        <w:spacing w:after="0"/>
        <w:ind w:left="0"/>
        <w:jc w:val="both"/>
      </w:pPr>
      <w:r>
        <w:rPr>
          <w:rFonts w:ascii="Times New Roman"/>
          <w:b w:val="false"/>
          <w:i w:val="false"/>
          <w:color w:val="000000"/>
          <w:sz w:val="28"/>
        </w:rPr>
        <w:t>
      Необходимо также направить копию на бумажном носителе по следующему адресу</w:t>
      </w:r>
    </w:p>
    <w:bookmarkEnd w:id="6761"/>
    <w:bookmarkStart w:name="z7248" w:id="6762"/>
    <w:p>
      <w:pPr>
        <w:spacing w:after="0"/>
        <w:ind w:left="0"/>
        <w:jc w:val="both"/>
      </w:pPr>
      <w:r>
        <w:rPr>
          <w:rFonts w:ascii="Times New Roman"/>
          <w:b w:val="false"/>
          <w:i w:val="false"/>
          <w:color w:val="000000"/>
          <w:sz w:val="28"/>
        </w:rPr>
        <w:t xml:space="preserve">
      &lt;адрес&gt; </w:t>
      </w:r>
      <w:r>
        <w:rPr>
          <w:rFonts w:ascii="Times New Roman"/>
          <w:b w:val="false"/>
          <w:i w:val="false"/>
          <w:color w:val="000000"/>
          <w:vertAlign w:val="superscript"/>
        </w:rPr>
        <w:t>2</w:t>
      </w:r>
      <w:r>
        <w:rPr>
          <w:rFonts w:ascii="Times New Roman"/>
          <w:b w:val="false"/>
          <w:i w:val="false"/>
          <w:color w:val="000000"/>
          <w:sz w:val="28"/>
        </w:rPr>
        <w:t>.</w:t>
      </w:r>
    </w:p>
    <w:bookmarkEnd w:id="6762"/>
    <w:bookmarkStart w:name="z7249" w:id="6763"/>
    <w:p>
      <w:pPr>
        <w:spacing w:after="0"/>
        <w:ind w:left="0"/>
        <w:jc w:val="both"/>
      </w:pPr>
      <w:r>
        <w:rPr>
          <w:rFonts w:ascii="Times New Roman"/>
          <w:b w:val="false"/>
          <w:i w:val="false"/>
          <w:color w:val="000000"/>
          <w:sz w:val="28"/>
        </w:rPr>
        <w:t>
       </w:t>
      </w:r>
    </w:p>
    <w:bookmarkEnd w:id="67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bookmarkStart w:name="z7250" w:id="6764"/>
          <w:p>
            <w:pPr>
              <w:spacing w:after="20"/>
              <w:ind w:left="20"/>
              <w:jc w:val="both"/>
            </w:pPr>
            <w:r>
              <w:rPr>
                <w:rFonts w:ascii="Times New Roman"/>
                <w:b w:val="false"/>
                <w:i w:val="false"/>
                <w:color w:val="000000"/>
                <w:sz w:val="20"/>
              </w:rPr>
              <w:t xml:space="preserve">
Ф.И.О. менеджера проекта контактного лица в государстве-члене </w:t>
            </w:r>
          </w:p>
          <w:bookmarkEnd w:id="6764"/>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bookmarkStart w:name="z7252" w:id="6765"/>
    <w:p>
      <w:pPr>
        <w:spacing w:after="0"/>
        <w:ind w:left="0"/>
        <w:jc w:val="both"/>
      </w:pPr>
      <w:r>
        <w:rPr>
          <w:rFonts w:ascii="Times New Roman"/>
          <w:b w:val="false"/>
          <w:i w:val="false"/>
          <w:color w:val="000000"/>
          <w:sz w:val="28"/>
        </w:rPr>
        <w:t>
      Ф.И.О. экспертов по оценке (если применимо):</w:t>
      </w:r>
    </w:p>
    <w:bookmarkEnd w:id="67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253" w:id="6766"/>
          <w:p>
            <w:pPr>
              <w:spacing w:after="20"/>
              <w:ind w:left="20"/>
              <w:jc w:val="both"/>
            </w:pPr>
            <w:r>
              <w:rPr>
                <w:rFonts w:ascii="Times New Roman"/>
                <w:b w:val="false"/>
                <w:i w:val="false"/>
                <w:color w:val="000000"/>
                <w:sz w:val="20"/>
              </w:rPr>
              <w:t>
Качество (Модуль 3):</w:t>
            </w:r>
          </w:p>
          <w:bookmarkEnd w:id="6766"/>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исследования (Модуль 5):</w:t>
            </w:r>
          </w:p>
          <w:p>
            <w:pPr>
              <w:spacing w:after="20"/>
              <w:ind w:left="20"/>
              <w:jc w:val="both"/>
            </w:pPr>
            <w:r>
              <w:rPr>
                <w:rFonts w:ascii="Times New Roman"/>
                <w:b w:val="false"/>
                <w:i w:val="false"/>
                <w:color w:val="000000"/>
                <w:sz w:val="20"/>
              </w:rPr>
              <w:t>Фармакокинетика</w:t>
            </w:r>
          </w:p>
        </w:tc>
      </w:tr>
      <w:tr>
        <w:trPr>
          <w:trHeight w:val="30" w:hRule="atLeast"/>
        </w:trPr>
        <w:tc>
          <w:tcPr>
            <w:tcW w:w="6150" w:type="dxa"/>
            <w:tcBorders/>
            <w:tcMar>
              <w:top w:w="15" w:type="dxa"/>
              <w:left w:w="15" w:type="dxa"/>
              <w:bottom w:w="15" w:type="dxa"/>
              <w:right w:w="15" w:type="dxa"/>
            </w:tcMar>
            <w:vAlign w:val="center"/>
          </w:tcPr>
          <w:bookmarkStart w:name="z7254" w:id="6767"/>
          <w:p>
            <w:pPr>
              <w:spacing w:after="20"/>
              <w:ind w:left="20"/>
              <w:jc w:val="both"/>
            </w:pPr>
          </w:p>
          <w:bookmarkEnd w:id="6767"/>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255" w:id="6768"/>
          <w:p>
            <w:pPr>
              <w:spacing w:after="20"/>
              <w:ind w:left="20"/>
              <w:jc w:val="both"/>
            </w:pPr>
            <w:r>
              <w:rPr>
                <w:rFonts w:ascii="Times New Roman"/>
                <w:b w:val="false"/>
                <w:i w:val="false"/>
                <w:color w:val="000000"/>
                <w:sz w:val="20"/>
              </w:rPr>
              <w:t xml:space="preserve">
Доклинич. Исследования (Модуль 4): </w:t>
            </w:r>
          </w:p>
          <w:bookmarkEnd w:id="67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Эффективность и безопасность </w:t>
            </w:r>
          </w:p>
        </w:tc>
      </w:tr>
      <w:tr>
        <w:trPr>
          <w:trHeight w:val="30" w:hRule="atLeast"/>
        </w:trPr>
        <w:tc>
          <w:tcPr>
            <w:tcW w:w="6150" w:type="dxa"/>
            <w:tcBorders/>
            <w:tcMar>
              <w:top w:w="15" w:type="dxa"/>
              <w:left w:w="15" w:type="dxa"/>
              <w:bottom w:w="15" w:type="dxa"/>
              <w:right w:w="15" w:type="dxa"/>
            </w:tcMar>
            <w:vAlign w:val="center"/>
          </w:tcPr>
          <w:bookmarkStart w:name="z7256" w:id="6769"/>
          <w:p>
            <w:pPr>
              <w:spacing w:after="20"/>
              <w:ind w:left="20"/>
              <w:jc w:val="both"/>
            </w:pPr>
          </w:p>
          <w:bookmarkEnd w:id="6769"/>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bookmarkStart w:name="z7257" w:id="6770"/>
    <w:p>
      <w:pPr>
        <w:spacing w:after="0"/>
        <w:ind w:left="0"/>
        <w:jc w:val="both"/>
      </w:pPr>
      <w:r>
        <w:rPr>
          <w:rFonts w:ascii="Times New Roman"/>
          <w:b w:val="false"/>
          <w:i w:val="false"/>
          <w:color w:val="000000"/>
          <w:sz w:val="28"/>
        </w:rPr>
        <w:t>
      --------------------------------</w:t>
      </w:r>
    </w:p>
    <w:bookmarkEnd w:id="6770"/>
    <w:bookmarkStart w:name="z7258" w:id="67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Пожалуйста, примите во внимание, что для заявок, подаваемых для генерических и биоаналоговых лекарственных средств, когда в качестве референтного препарата выступает разрешенный к реализации препарат на рынке Союза, важно направить замечания в отношении наименования препарата на как можно более раннем этапе.</w:t>
      </w:r>
    </w:p>
    <w:bookmarkEnd w:id="6771"/>
    <w:bookmarkStart w:name="z7259" w:id="67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Будет вписан в соответствии с требованиями каждого государства-члена Союза. </w:t>
      </w:r>
    </w:p>
    <w:bookmarkEnd w:id="6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 xml:space="preserve">к Правилам регистрации </w:t>
            </w:r>
            <w:r>
              <w:br/>
            </w:r>
            <w:r>
              <w:rPr>
                <w:rFonts w:ascii="Times New Roman"/>
                <w:b w:val="false"/>
                <w:i w:val="false"/>
                <w:color w:val="000000"/>
                <w:sz w:val="20"/>
              </w:rPr>
              <w:t xml:space="preserve">и экспертизы лекарственных средств </w:t>
            </w:r>
            <w:r>
              <w:br/>
            </w:r>
            <w:r>
              <w:rPr>
                <w:rFonts w:ascii="Times New Roman"/>
                <w:b w:val="false"/>
                <w:i w:val="false"/>
                <w:color w:val="000000"/>
                <w:sz w:val="20"/>
              </w:rPr>
              <w:t xml:space="preserve">для медицинского применения </w:t>
            </w:r>
            <w:r>
              <w:br/>
            </w:r>
            <w:r>
              <w:rPr>
                <w:rFonts w:ascii="Times New Roman"/>
                <w:b w:val="false"/>
                <w:i w:val="false"/>
                <w:color w:val="000000"/>
                <w:sz w:val="20"/>
              </w:rPr>
              <w:t xml:space="preserve">(в редакции Решения Совета Евразийской экономической комиссии </w:t>
            </w:r>
            <w:r>
              <w:br/>
            </w:r>
            <w:r>
              <w:rPr>
                <w:rFonts w:ascii="Times New Roman"/>
                <w:b w:val="false"/>
                <w:i w:val="false"/>
                <w:color w:val="000000"/>
                <w:sz w:val="20"/>
              </w:rPr>
              <w:t>от 29 мая 2024 г. № 43)</w:t>
            </w:r>
          </w:p>
        </w:tc>
      </w:tr>
    </w:tbl>
    <w:bookmarkStart w:name="z7261" w:id="6773"/>
    <w:p>
      <w:pPr>
        <w:spacing w:after="0"/>
        <w:ind w:left="0"/>
        <w:jc w:val="left"/>
      </w:pPr>
      <w:r>
        <w:rPr>
          <w:rFonts w:ascii="Times New Roman"/>
          <w:b/>
          <w:i w:val="false"/>
          <w:color w:val="000000"/>
        </w:rPr>
        <w:t xml:space="preserve"> ПРАВИЛА </w:t>
      </w:r>
      <w:r>
        <w:br/>
      </w:r>
      <w:r>
        <w:rPr>
          <w:rFonts w:ascii="Times New Roman"/>
          <w:b/>
          <w:i w:val="false"/>
          <w:color w:val="000000"/>
        </w:rPr>
        <w:t>внесения изменений в регистрационное досье зарегистрированного лекарственного препарата для медицинского применения</w:t>
      </w:r>
    </w:p>
    <w:bookmarkEnd w:id="6773"/>
    <w:p>
      <w:pPr>
        <w:spacing w:after="0"/>
        <w:ind w:left="0"/>
        <w:jc w:val="both"/>
      </w:pPr>
      <w:r>
        <w:rPr>
          <w:rFonts w:ascii="Times New Roman"/>
          <w:b w:val="false"/>
          <w:i w:val="false"/>
          <w:color w:val="ff0000"/>
          <w:sz w:val="28"/>
        </w:rPr>
        <w:t xml:space="preserve">
      Сноска. Приложение 19 в редакции (за исключением дополнений) решения Совета Евразийской экономической комиссии от 29.05.2024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2340" w:id="6774"/>
    <w:p>
      <w:pPr>
        <w:spacing w:after="0"/>
        <w:ind w:left="0"/>
        <w:jc w:val="left"/>
      </w:pPr>
      <w:r>
        <w:rPr>
          <w:rFonts w:ascii="Times New Roman"/>
          <w:b/>
          <w:i w:val="false"/>
          <w:color w:val="000000"/>
        </w:rPr>
        <w:t xml:space="preserve"> I. Общие положения</w:t>
      </w:r>
    </w:p>
    <w:bookmarkEnd w:id="6774"/>
    <w:bookmarkStart w:name="z12341" w:id="6775"/>
    <w:p>
      <w:pPr>
        <w:spacing w:after="0"/>
        <w:ind w:left="0"/>
        <w:jc w:val="left"/>
      </w:pPr>
      <w:r>
        <w:rPr>
          <w:rFonts w:ascii="Times New Roman"/>
          <w:b/>
          <w:i w:val="false"/>
          <w:color w:val="000000"/>
        </w:rPr>
        <w:t xml:space="preserve"> 1.1. Предмет и сфера применения</w:t>
      </w:r>
    </w:p>
    <w:bookmarkEnd w:id="6775"/>
    <w:bookmarkStart w:name="z12342" w:id="6776"/>
    <w:p>
      <w:pPr>
        <w:spacing w:after="0"/>
        <w:ind w:left="0"/>
        <w:jc w:val="both"/>
      </w:pPr>
      <w:r>
        <w:rPr>
          <w:rFonts w:ascii="Times New Roman"/>
          <w:b w:val="false"/>
          <w:i w:val="false"/>
          <w:color w:val="000000"/>
          <w:sz w:val="28"/>
        </w:rPr>
        <w:t xml:space="preserve">
      1.1.1. Настоящие Правила устанавливают порядок внесения изменений в регистрационное досье зарегистрированного лекарственного препарата (далее – внесение изменений)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 и порядок внесения изменений в регистрационное досье лекарственных препаратов, подвергающихся процедуре приведения регистрационного досье лекарственного препарата, зарегистрированного по национальной процедуре в государствах – членах Евразийского экономического союза (далее – государства-члены, Союз), в соответствие с Правилами регистрации и экспертизы (далее – приведение в соответствие), а также регламентируют правила проведения экспертизы при внесении указанных изменений.</w:t>
      </w:r>
    </w:p>
    <w:bookmarkEnd w:id="6776"/>
    <w:bookmarkStart w:name="z12343" w:id="6777"/>
    <w:p>
      <w:pPr>
        <w:spacing w:after="0"/>
        <w:ind w:left="0"/>
        <w:jc w:val="both"/>
      </w:pPr>
      <w:r>
        <w:rPr>
          <w:rFonts w:ascii="Times New Roman"/>
          <w:b w:val="false"/>
          <w:i w:val="false"/>
          <w:color w:val="000000"/>
          <w:sz w:val="28"/>
        </w:rPr>
        <w:t>
      Держатели регистрационных удостоверений лекарственных препаратов (далее соответственно – держатели, регистрационные удостоверения) или заявители вправе обратиться в уполномоченный орган (экспертную организацию) референтного государства для получения рекомендации по классификации изменений, классификация которых не предусмотрена настоящими Правилами, в соответствии с пунктом 1.5.1 настоящих Правил или по иным вопросам, связанным с процедурой внесения изменений. При необходимости может быть организовано обсуждение указанных вопросов с уполномоченными органами (экспертными организациями) государств признания.</w:t>
      </w:r>
    </w:p>
    <w:bookmarkEnd w:id="6777"/>
    <w:bookmarkStart w:name="z12344" w:id="6778"/>
    <w:p>
      <w:pPr>
        <w:spacing w:after="0"/>
        <w:ind w:left="0"/>
        <w:jc w:val="both"/>
      </w:pPr>
      <w:r>
        <w:rPr>
          <w:rFonts w:ascii="Times New Roman"/>
          <w:b w:val="false"/>
          <w:i w:val="false"/>
          <w:color w:val="000000"/>
          <w:sz w:val="28"/>
        </w:rPr>
        <w:t>
      Держатель по запросу соответствующего органа должен в кратчайшие сроки, но не позднее 20 рабочих дней с даты получения такого запроса, представить любую информацию, касающуюся реализации определенного изменения.</w:t>
      </w:r>
    </w:p>
    <w:bookmarkEnd w:id="6778"/>
    <w:bookmarkStart w:name="z12345" w:id="6779"/>
    <w:p>
      <w:pPr>
        <w:spacing w:after="0"/>
        <w:ind w:left="0"/>
        <w:jc w:val="both"/>
      </w:pPr>
      <w:r>
        <w:rPr>
          <w:rFonts w:ascii="Times New Roman"/>
          <w:b w:val="false"/>
          <w:i w:val="false"/>
          <w:color w:val="000000"/>
          <w:sz w:val="28"/>
        </w:rPr>
        <w:t>
      1.1.2. Настоящие Правила распространяются в том числе на трансферы регистрационных удостоверений от одного держателя другому юридическому лицу (изменение держателя). В таких случаях представляются документы, указанные в абзаце втором пункта 155 Правил регистрации и экспертизы.</w:t>
      </w:r>
    </w:p>
    <w:bookmarkEnd w:id="6779"/>
    <w:bookmarkStart w:name="z12346" w:id="6780"/>
    <w:p>
      <w:pPr>
        <w:spacing w:after="0"/>
        <w:ind w:left="0"/>
        <w:jc w:val="both"/>
      </w:pPr>
      <w:r>
        <w:rPr>
          <w:rFonts w:ascii="Times New Roman"/>
          <w:b w:val="false"/>
          <w:i w:val="false"/>
          <w:color w:val="000000"/>
          <w:sz w:val="28"/>
        </w:rPr>
        <w:t xml:space="preserve">
      1.1.3. Положения раздела II настоящих Правил применяются для внесения изменений в регистрационное досье лекарственного препарата, зарегистрированного или прошедшего (проходящего) процедуру приведения в соответствие согласно разделу XIII Правил регистрации и экспертизы более чем в одном государстве-члене. </w:t>
      </w:r>
    </w:p>
    <w:bookmarkEnd w:id="6780"/>
    <w:bookmarkStart w:name="z12347" w:id="6781"/>
    <w:p>
      <w:pPr>
        <w:spacing w:after="0"/>
        <w:ind w:left="0"/>
        <w:jc w:val="both"/>
      </w:pPr>
      <w:r>
        <w:rPr>
          <w:rFonts w:ascii="Times New Roman"/>
          <w:b w:val="false"/>
          <w:i w:val="false"/>
          <w:color w:val="000000"/>
          <w:sz w:val="28"/>
        </w:rPr>
        <w:t>
      1.1.4. Положения раздела III настоящих Правил применяются для внесения изменений в регистрационное досье лекарственного препарата, зарегистрированного или прошедшего (проходящего) процедуру приведения в соответствие согласно разделу XIII Правил регистрации и экспертизы в одном (референтном) государстве-члене (национальную процедуру).</w:t>
      </w:r>
    </w:p>
    <w:bookmarkEnd w:id="6781"/>
    <w:bookmarkStart w:name="z12348" w:id="6782"/>
    <w:p>
      <w:pPr>
        <w:spacing w:after="0"/>
        <w:ind w:left="0"/>
        <w:jc w:val="both"/>
      </w:pPr>
      <w:r>
        <w:rPr>
          <w:rFonts w:ascii="Times New Roman"/>
          <w:b w:val="false"/>
          <w:i w:val="false"/>
          <w:color w:val="000000"/>
          <w:sz w:val="28"/>
        </w:rPr>
        <w:t>
      1.1.5. При изменении условий регистрации лекарственного препарата в соответствии с разделом IV настоящих Правил внесение изменений осуществляется в соответствии с пунктами 1.1.3 и 1.1.4 настоящих Правил.</w:t>
      </w:r>
    </w:p>
    <w:bookmarkEnd w:id="6782"/>
    <w:bookmarkStart w:name="z12349" w:id="6783"/>
    <w:p>
      <w:pPr>
        <w:spacing w:after="0"/>
        <w:ind w:left="0"/>
        <w:jc w:val="left"/>
      </w:pPr>
      <w:r>
        <w:rPr>
          <w:rFonts w:ascii="Times New Roman"/>
          <w:b/>
          <w:i w:val="false"/>
          <w:color w:val="000000"/>
        </w:rPr>
        <w:t xml:space="preserve"> 1.2. Определения</w:t>
      </w:r>
    </w:p>
    <w:bookmarkEnd w:id="6783"/>
    <w:bookmarkStart w:name="z12350" w:id="6784"/>
    <w:p>
      <w:pPr>
        <w:spacing w:after="0"/>
        <w:ind w:left="0"/>
        <w:jc w:val="both"/>
      </w:pPr>
      <w:r>
        <w:rPr>
          <w:rFonts w:ascii="Times New Roman"/>
          <w:b w:val="false"/>
          <w:i w:val="false"/>
          <w:color w:val="000000"/>
          <w:sz w:val="28"/>
        </w:rPr>
        <w:t>
      Для целей настоящих Правил используются понятия, которые означают следующее:</w:t>
      </w:r>
    </w:p>
    <w:bookmarkEnd w:id="6784"/>
    <w:bookmarkStart w:name="z12351" w:id="6785"/>
    <w:p>
      <w:pPr>
        <w:spacing w:after="0"/>
        <w:ind w:left="0"/>
        <w:jc w:val="both"/>
      </w:pPr>
      <w:r>
        <w:rPr>
          <w:rFonts w:ascii="Times New Roman"/>
          <w:b w:val="false"/>
          <w:i w:val="false"/>
          <w:color w:val="000000"/>
          <w:sz w:val="28"/>
        </w:rPr>
        <w:t>
      "заинтересованное государство-член" – государство-член, уполномоченный орган которого зарегистрировал рассматриваемый лекарственный препарат;</w:t>
      </w:r>
    </w:p>
    <w:bookmarkEnd w:id="6785"/>
    <w:bookmarkStart w:name="z12352" w:id="6786"/>
    <w:p>
      <w:pPr>
        <w:spacing w:after="0"/>
        <w:ind w:left="0"/>
        <w:jc w:val="both"/>
      </w:pPr>
      <w:r>
        <w:rPr>
          <w:rFonts w:ascii="Times New Roman"/>
          <w:b w:val="false"/>
          <w:i w:val="false"/>
          <w:color w:val="000000"/>
          <w:sz w:val="28"/>
        </w:rPr>
        <w:t>
      "значимое изменение II типа" – изменение, которое, не являясь расширением регистрации, может оказать значительное влияние на качество, безопасность или эффективность зарегистрированного лекарственного препарата;</w:t>
      </w:r>
    </w:p>
    <w:bookmarkEnd w:id="6786"/>
    <w:bookmarkStart w:name="z12353" w:id="6787"/>
    <w:p>
      <w:pPr>
        <w:spacing w:after="0"/>
        <w:ind w:left="0"/>
        <w:jc w:val="both"/>
      </w:pPr>
      <w:r>
        <w:rPr>
          <w:rFonts w:ascii="Times New Roman"/>
          <w:b w:val="false"/>
          <w:i w:val="false"/>
          <w:color w:val="000000"/>
          <w:sz w:val="28"/>
        </w:rPr>
        <w:t>
      "изменение в регистрационное досье" – изменение документов и данных, указанных в приложениях № 1 и 4 к Правилам регистрации и экспертизы;</w:t>
      </w:r>
    </w:p>
    <w:bookmarkEnd w:id="6787"/>
    <w:bookmarkStart w:name="z12354" w:id="6788"/>
    <w:p>
      <w:pPr>
        <w:spacing w:after="0"/>
        <w:ind w:left="0"/>
        <w:jc w:val="both"/>
      </w:pPr>
      <w:r>
        <w:rPr>
          <w:rFonts w:ascii="Times New Roman"/>
          <w:b w:val="false"/>
          <w:i w:val="false"/>
          <w:color w:val="000000"/>
          <w:sz w:val="28"/>
        </w:rPr>
        <w:t>
      "изменение условий регистрации" – изменение условий принятия решения о регистрации лекарственного препарата, включая изменения общей характеристики лекарственного препарата и любых условий, обязательств или ограничений, влияющих на регистрацию лекарственного препарата, а также изменение макетов упаковок или листка-вкладыша, обусловленное изменением общей характеристики лекарственного препарата и (или) нормативного документа по качеству;</w:t>
      </w:r>
    </w:p>
    <w:bookmarkEnd w:id="6788"/>
    <w:bookmarkStart w:name="z12355" w:id="6789"/>
    <w:p>
      <w:pPr>
        <w:spacing w:after="0"/>
        <w:ind w:left="0"/>
        <w:jc w:val="both"/>
      </w:pPr>
      <w:r>
        <w:rPr>
          <w:rFonts w:ascii="Times New Roman"/>
          <w:b w:val="false"/>
          <w:i w:val="false"/>
          <w:color w:val="000000"/>
          <w:sz w:val="28"/>
        </w:rPr>
        <w:t>
      "незначимое изменение IA типа" – изменение, которое оказывает минимальное влияние на качество, безопасность и эффективность зарегистрированного лекарственного препарата или не оказывает его вовсе;</w:t>
      </w:r>
    </w:p>
    <w:bookmarkEnd w:id="6789"/>
    <w:bookmarkStart w:name="z12356" w:id="6790"/>
    <w:p>
      <w:pPr>
        <w:spacing w:after="0"/>
        <w:ind w:left="0"/>
        <w:jc w:val="both"/>
      </w:pPr>
      <w:r>
        <w:rPr>
          <w:rFonts w:ascii="Times New Roman"/>
          <w:b w:val="false"/>
          <w:i w:val="false"/>
          <w:color w:val="000000"/>
          <w:sz w:val="28"/>
        </w:rPr>
        <w:t>
      "незначимое изменение IA</w:t>
      </w:r>
      <w:r>
        <w:rPr>
          <w:rFonts w:ascii="Times New Roman"/>
          <w:b w:val="false"/>
          <w:i w:val="false"/>
          <w:color w:val="000000"/>
          <w:vertAlign w:val="subscript"/>
        </w:rPr>
        <w:t>НУ</w:t>
      </w:r>
      <w:r>
        <w:rPr>
          <w:rFonts w:ascii="Times New Roman"/>
          <w:b w:val="false"/>
          <w:i w:val="false"/>
          <w:color w:val="000000"/>
          <w:sz w:val="28"/>
        </w:rPr>
        <w:t xml:space="preserve"> типа" – изменение IA типа, требующее немедленного уведомления, то есть немедленной подачи заявления о внесении изменений (в течение 20 рабочих дней с даты реализации указанных изменений); </w:t>
      </w:r>
    </w:p>
    <w:bookmarkEnd w:id="6790"/>
    <w:bookmarkStart w:name="z12357" w:id="6791"/>
    <w:p>
      <w:pPr>
        <w:spacing w:after="0"/>
        <w:ind w:left="0"/>
        <w:jc w:val="both"/>
      </w:pPr>
      <w:r>
        <w:rPr>
          <w:rFonts w:ascii="Times New Roman"/>
          <w:b w:val="false"/>
          <w:i w:val="false"/>
          <w:color w:val="000000"/>
          <w:sz w:val="28"/>
        </w:rPr>
        <w:t>
       "незначимое изменение IB типа" – изменение, не подпадающее под определения изменений IA, IA</w:t>
      </w:r>
      <w:r>
        <w:rPr>
          <w:rFonts w:ascii="Times New Roman"/>
          <w:b w:val="false"/>
          <w:i w:val="false"/>
          <w:color w:val="000000"/>
          <w:vertAlign w:val="subscript"/>
        </w:rPr>
        <w:t>НУ</w:t>
      </w:r>
      <w:r>
        <w:rPr>
          <w:rFonts w:ascii="Times New Roman"/>
          <w:b w:val="false"/>
          <w:i w:val="false"/>
          <w:color w:val="000000"/>
          <w:sz w:val="28"/>
        </w:rPr>
        <w:t xml:space="preserve"> и II типов и расширения регистрации;</w:t>
      </w:r>
    </w:p>
    <w:bookmarkEnd w:id="6791"/>
    <w:bookmarkStart w:name="z12358" w:id="6792"/>
    <w:p>
      <w:pPr>
        <w:spacing w:after="0"/>
        <w:ind w:left="0"/>
        <w:jc w:val="both"/>
      </w:pPr>
      <w:r>
        <w:rPr>
          <w:rFonts w:ascii="Times New Roman"/>
          <w:b w:val="false"/>
          <w:i w:val="false"/>
          <w:color w:val="000000"/>
          <w:sz w:val="28"/>
        </w:rPr>
        <w:t>
      "неотложное ограничение в целях безопасности" – изменение условий регистрации в силу появления новых сведений, касающихся безопасного применения лекарственного препарата;</w:t>
      </w:r>
    </w:p>
    <w:bookmarkEnd w:id="6792"/>
    <w:bookmarkStart w:name="z12359" w:id="6793"/>
    <w:p>
      <w:pPr>
        <w:spacing w:after="0"/>
        <w:ind w:left="0"/>
        <w:jc w:val="both"/>
      </w:pPr>
      <w:r>
        <w:rPr>
          <w:rFonts w:ascii="Times New Roman"/>
          <w:b w:val="false"/>
          <w:i w:val="false"/>
          <w:color w:val="000000"/>
          <w:sz w:val="28"/>
        </w:rPr>
        <w:t>
      "расширение регистрации" – изменения, указанные в дополнении I к настоящим Правилам и требующие новой регистрации лекарственного препарата;</w:t>
      </w:r>
    </w:p>
    <w:bookmarkEnd w:id="6793"/>
    <w:bookmarkStart w:name="z12360" w:id="6794"/>
    <w:p>
      <w:pPr>
        <w:spacing w:after="0"/>
        <w:ind w:left="0"/>
        <w:jc w:val="both"/>
      </w:pPr>
      <w:r>
        <w:rPr>
          <w:rFonts w:ascii="Times New Roman"/>
          <w:b w:val="false"/>
          <w:i w:val="false"/>
          <w:color w:val="000000"/>
          <w:sz w:val="28"/>
        </w:rPr>
        <w:t>
      "соответствующий орган" – уполномоченный орган (экспертная организация) заинтересованного государства-члена, рассматривающий заявление о внесении изменений.</w:t>
      </w:r>
    </w:p>
    <w:bookmarkEnd w:id="6794"/>
    <w:bookmarkStart w:name="z12361" w:id="6795"/>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актами органов Союза в сфере обращения лекарственных средств.</w:t>
      </w:r>
    </w:p>
    <w:bookmarkEnd w:id="6795"/>
    <w:bookmarkStart w:name="z12362" w:id="6796"/>
    <w:p>
      <w:pPr>
        <w:spacing w:after="0"/>
        <w:ind w:left="0"/>
        <w:jc w:val="left"/>
      </w:pPr>
      <w:r>
        <w:rPr>
          <w:rFonts w:ascii="Times New Roman"/>
          <w:b/>
          <w:i w:val="false"/>
          <w:color w:val="000000"/>
        </w:rPr>
        <w:t xml:space="preserve"> 1.3. Классификация изменений</w:t>
      </w:r>
    </w:p>
    <w:bookmarkEnd w:id="6796"/>
    <w:bookmarkStart w:name="z12363" w:id="6797"/>
    <w:p>
      <w:pPr>
        <w:spacing w:after="0"/>
        <w:ind w:left="0"/>
        <w:jc w:val="both"/>
      </w:pPr>
      <w:r>
        <w:rPr>
          <w:rFonts w:ascii="Times New Roman"/>
          <w:b w:val="false"/>
          <w:i w:val="false"/>
          <w:color w:val="000000"/>
          <w:sz w:val="28"/>
        </w:rPr>
        <w:t>
      1.3.1. К каждому изменению, не являющемуся расширением регистрации лекарственного препарата, применяется классификация изменений, предусмотренная дополнением II к настоящим Правилам.</w:t>
      </w:r>
    </w:p>
    <w:bookmarkEnd w:id="6797"/>
    <w:bookmarkStart w:name="z12364" w:id="6798"/>
    <w:p>
      <w:pPr>
        <w:spacing w:after="0"/>
        <w:ind w:left="0"/>
        <w:jc w:val="both"/>
      </w:pPr>
      <w:r>
        <w:rPr>
          <w:rFonts w:ascii="Times New Roman"/>
          <w:b w:val="false"/>
          <w:i w:val="false"/>
          <w:color w:val="000000"/>
          <w:sz w:val="28"/>
        </w:rPr>
        <w:t>
      1.3.2. Изменение, не являющееся расширением регистрации лекарственного препарата, классификационную принадлежность которого невозможно определить с учетом рекомендаций, предусмотренных разделом 1.5 настоящих Правил, является значимым изменением II типа в следующих случаях:</w:t>
      </w:r>
    </w:p>
    <w:bookmarkEnd w:id="6798"/>
    <w:bookmarkStart w:name="z12365" w:id="6799"/>
    <w:p>
      <w:pPr>
        <w:spacing w:after="0"/>
        <w:ind w:left="0"/>
        <w:jc w:val="both"/>
      </w:pPr>
      <w:r>
        <w:rPr>
          <w:rFonts w:ascii="Times New Roman"/>
          <w:b w:val="false"/>
          <w:i w:val="false"/>
          <w:color w:val="000000"/>
          <w:sz w:val="28"/>
        </w:rPr>
        <w:t>
      если получен мотивированный запрос заявителя при подаче заявления о внесении изменения;</w:t>
      </w:r>
    </w:p>
    <w:bookmarkEnd w:id="6799"/>
    <w:bookmarkStart w:name="z12366" w:id="6800"/>
    <w:p>
      <w:pPr>
        <w:spacing w:after="0"/>
        <w:ind w:left="0"/>
        <w:jc w:val="both"/>
      </w:pPr>
      <w:r>
        <w:rPr>
          <w:rFonts w:ascii="Times New Roman"/>
          <w:b w:val="false"/>
          <w:i w:val="false"/>
          <w:color w:val="000000"/>
          <w:sz w:val="28"/>
        </w:rPr>
        <w:t>
      если уполномоченный орган (экспертная организация) референтного государства после обсуждения с уполномоченными органами (экспертными организациями) государств признания или уполномоченный орган (экспертная организация) референтного государства при регистрации лекарственного препарата только в этом государстве-члене после оценки заявления в соответствии с пунктами 2.2.2 или 3.2.2 настоящих Правил соответственно и с учетом положений раздела 1.5 настоящих Правил принимает решение, что изменение оказывает значительное влияние на качество, безопасность или эффективность зарегистрированного лекарственного препарата.</w:t>
      </w:r>
    </w:p>
    <w:bookmarkEnd w:id="6800"/>
    <w:bookmarkStart w:name="z12367" w:id="6801"/>
    <w:p>
      <w:pPr>
        <w:spacing w:after="0"/>
        <w:ind w:left="0"/>
        <w:jc w:val="both"/>
      </w:pPr>
      <w:r>
        <w:rPr>
          <w:rFonts w:ascii="Times New Roman"/>
          <w:b w:val="false"/>
          <w:i w:val="false"/>
          <w:color w:val="000000"/>
          <w:sz w:val="28"/>
        </w:rPr>
        <w:t>
      1.3.3. В остальных случаях изменение, не являющееся расширением регистрации лекарственного препарата, классификационную принадлежность которого нельзя определить с учетом рекомендаций, предусмотренных разделом 1.5 настоящих Правил, является по умолчанию изменением IB типа.</w:t>
      </w:r>
    </w:p>
    <w:bookmarkEnd w:id="6801"/>
    <w:bookmarkStart w:name="z12368" w:id="6802"/>
    <w:p>
      <w:pPr>
        <w:spacing w:after="0"/>
        <w:ind w:left="0"/>
        <w:jc w:val="both"/>
      </w:pPr>
      <w:r>
        <w:rPr>
          <w:rFonts w:ascii="Times New Roman"/>
          <w:b w:val="false"/>
          <w:i w:val="false"/>
          <w:color w:val="000000"/>
          <w:sz w:val="28"/>
        </w:rPr>
        <w:t xml:space="preserve">
      1.3.4. Классификация изменений в регистрационное досье лекарственного препарата (далее – регистрационное досье) приводится в дополнении V к настоящим Правилам. </w:t>
      </w:r>
    </w:p>
    <w:bookmarkEnd w:id="6802"/>
    <w:bookmarkStart w:name="z12369" w:id="6803"/>
    <w:p>
      <w:pPr>
        <w:spacing w:after="0"/>
        <w:ind w:left="0"/>
        <w:jc w:val="both"/>
      </w:pPr>
      <w:r>
        <w:rPr>
          <w:rFonts w:ascii="Times New Roman"/>
          <w:b w:val="false"/>
          <w:i w:val="false"/>
          <w:color w:val="000000"/>
          <w:sz w:val="28"/>
        </w:rPr>
        <w:t>
      Классификация изменений в регистрационное досье, которые допускается вносить одновременно с подачей заявления о приведении в соответствие согласно пункту 172 Правил регистрации и экспертизы, приводится в дополнении VI к настоящим Правилам.</w:t>
      </w:r>
    </w:p>
    <w:bookmarkEnd w:id="6803"/>
    <w:bookmarkStart w:name="z12370" w:id="6804"/>
    <w:p>
      <w:pPr>
        <w:spacing w:after="0"/>
        <w:ind w:left="0"/>
        <w:jc w:val="left"/>
      </w:pPr>
      <w:r>
        <w:rPr>
          <w:rFonts w:ascii="Times New Roman"/>
          <w:b/>
          <w:i w:val="false"/>
          <w:color w:val="000000"/>
        </w:rPr>
        <w:t xml:space="preserve"> 1.4. Внесение изменений в настоящие Правила</w:t>
      </w:r>
    </w:p>
    <w:bookmarkEnd w:id="6804"/>
    <w:bookmarkStart w:name="z12371" w:id="6805"/>
    <w:p>
      <w:pPr>
        <w:spacing w:after="0"/>
        <w:ind w:left="0"/>
        <w:jc w:val="both"/>
      </w:pPr>
      <w:r>
        <w:rPr>
          <w:rFonts w:ascii="Times New Roman"/>
          <w:b w:val="false"/>
          <w:i w:val="false"/>
          <w:color w:val="000000"/>
          <w:sz w:val="28"/>
        </w:rPr>
        <w:t>
      1.4.1. Евразийская экономическая комиссия вносит изменения в настоящие Правила с учетом актуальных научных данных и предложений соответствующих органов.</w:t>
      </w:r>
    </w:p>
    <w:bookmarkEnd w:id="6805"/>
    <w:bookmarkStart w:name="z12372" w:id="6806"/>
    <w:p>
      <w:pPr>
        <w:spacing w:after="0"/>
        <w:ind w:left="0"/>
        <w:jc w:val="left"/>
      </w:pPr>
      <w:r>
        <w:rPr>
          <w:rFonts w:ascii="Times New Roman"/>
          <w:b/>
          <w:i w:val="false"/>
          <w:color w:val="000000"/>
        </w:rPr>
        <w:t xml:space="preserve"> 1.5. Рекомендации по неклассифицированным изменениям</w:t>
      </w:r>
    </w:p>
    <w:bookmarkEnd w:id="6806"/>
    <w:bookmarkStart w:name="z12373" w:id="6807"/>
    <w:p>
      <w:pPr>
        <w:spacing w:after="0"/>
        <w:ind w:left="0"/>
        <w:jc w:val="both"/>
      </w:pPr>
      <w:r>
        <w:rPr>
          <w:rFonts w:ascii="Times New Roman"/>
          <w:b w:val="false"/>
          <w:i w:val="false"/>
          <w:color w:val="000000"/>
          <w:sz w:val="28"/>
        </w:rPr>
        <w:t>
      1.5.1. До подачи заявления о внесении изменения, классификационную принадлежность которого невозможно определить в соответствии с настоящими Правилами, держатель (заявитель) вправе запросить рекомендацию по классификации такого изменения у уполномоченного органа (экспертной организации) референтного государства в соответствии с абзацем вторым пункта 1.1.1 настоящих Правил.</w:t>
      </w:r>
    </w:p>
    <w:bookmarkEnd w:id="6807"/>
    <w:bookmarkStart w:name="z12374" w:id="6808"/>
    <w:p>
      <w:pPr>
        <w:spacing w:after="0"/>
        <w:ind w:left="0"/>
        <w:jc w:val="both"/>
      </w:pPr>
      <w:r>
        <w:rPr>
          <w:rFonts w:ascii="Times New Roman"/>
          <w:b w:val="false"/>
          <w:i w:val="false"/>
          <w:color w:val="000000"/>
          <w:sz w:val="28"/>
        </w:rPr>
        <w:t>
      1.5.2. Рекомендация, указанная в пункте 1.5.1 настоящих Правил, не должна противоречить положениям настоящих Правил. Уполномоченному органу (экспертной организации) референтного государства необходимо в срок, не превышающий 30 рабочих дней с даты получения запроса от держателя (заявителя), направить рекомендацию ему, а также уполномоченным органам (экспертным организациям) других государств-членов и в Экспертный комитет по лекарственным средствам (далее – Экспертный комитет) в электронном и (или) бумажном виде. Указанный срок может быть продлен на 30 рабочих дней, если уполномоченный орган (экспертная организация) референтного государства обращается за консультацией в Экспертный комитет.</w:t>
      </w:r>
    </w:p>
    <w:bookmarkEnd w:id="6808"/>
    <w:bookmarkStart w:name="z12375" w:id="6809"/>
    <w:p>
      <w:pPr>
        <w:spacing w:after="0"/>
        <w:ind w:left="0"/>
        <w:jc w:val="both"/>
      </w:pPr>
      <w:r>
        <w:rPr>
          <w:rFonts w:ascii="Times New Roman"/>
          <w:b w:val="false"/>
          <w:i w:val="false"/>
          <w:color w:val="000000"/>
          <w:sz w:val="28"/>
        </w:rPr>
        <w:t xml:space="preserve">
      1.5.3. До проведения экспертизы изменения, классификационную принадлежность которого невозможно определить в соответствии с настоящими Правилами, соответствующий орган вправе запросить у Экспертного комитета рекомендацию относительно классификации такого изменения. </w:t>
      </w:r>
    </w:p>
    <w:bookmarkEnd w:id="6809"/>
    <w:bookmarkStart w:name="z12376" w:id="6810"/>
    <w:p>
      <w:pPr>
        <w:spacing w:after="0"/>
        <w:ind w:left="0"/>
        <w:jc w:val="both"/>
      </w:pPr>
      <w:r>
        <w:rPr>
          <w:rFonts w:ascii="Times New Roman"/>
          <w:b w:val="false"/>
          <w:i w:val="false"/>
          <w:color w:val="000000"/>
          <w:sz w:val="28"/>
        </w:rPr>
        <w:t xml:space="preserve">
      1.5.4. Рекомендация, указанная в пункте 1.5.3 настоящих Правил, не должна противоречить положениям настоящих Правил. Экспертному комитету необходимо в срок, не превышающий 30 рабочих дней с даты получения запроса от соответствующего органа направить такую рекомендацию держателю (заявителю) и соответствующим органам других государств-членов. </w:t>
      </w:r>
    </w:p>
    <w:bookmarkEnd w:id="6810"/>
    <w:bookmarkStart w:name="z12377" w:id="6811"/>
    <w:p>
      <w:pPr>
        <w:spacing w:after="0"/>
        <w:ind w:left="0"/>
        <w:jc w:val="both"/>
      </w:pPr>
      <w:r>
        <w:rPr>
          <w:rFonts w:ascii="Times New Roman"/>
          <w:b w:val="false"/>
          <w:i w:val="false"/>
          <w:color w:val="000000"/>
          <w:sz w:val="28"/>
        </w:rPr>
        <w:t xml:space="preserve">
      1.5.5. В целях обеспечения согласованности рекомендаций, указанных в пунктах 1.5.1 и 1.5.3, Евразийская экономическая комиссия должна публиковать такие рекомендации на своем официальном сайте в информационно-телекоммуникационной сети "Интернет", предварительно удалив все сведения, носящие конфиденциальный характер. </w:t>
      </w:r>
    </w:p>
    <w:bookmarkEnd w:id="6811"/>
    <w:bookmarkStart w:name="z12378" w:id="6812"/>
    <w:p>
      <w:pPr>
        <w:spacing w:after="0"/>
        <w:ind w:left="0"/>
        <w:jc w:val="left"/>
      </w:pPr>
      <w:r>
        <w:rPr>
          <w:rFonts w:ascii="Times New Roman"/>
          <w:b/>
          <w:i w:val="false"/>
          <w:color w:val="000000"/>
        </w:rPr>
        <w:t xml:space="preserve"> 1.6. Изменения, приводящие к пересмотру информации о лекарственном препарате</w:t>
      </w:r>
    </w:p>
    <w:bookmarkEnd w:id="6812"/>
    <w:bookmarkStart w:name="z12379" w:id="6813"/>
    <w:p>
      <w:pPr>
        <w:spacing w:after="0"/>
        <w:ind w:left="0"/>
        <w:jc w:val="both"/>
      </w:pPr>
      <w:r>
        <w:rPr>
          <w:rFonts w:ascii="Times New Roman"/>
          <w:b w:val="false"/>
          <w:i w:val="false"/>
          <w:color w:val="000000"/>
          <w:sz w:val="28"/>
        </w:rPr>
        <w:t>
      1.6.1. Если в результате внесения изменений требуется пересмотр общей характеристики лекарственного препарата, макетов упаковок, листка-вкладыша, а также нормативного документа по качеству или изменение информации в регистрационном удостоверении, такой пересмотр считается частью этого изменения.</w:t>
      </w:r>
    </w:p>
    <w:bookmarkEnd w:id="6813"/>
    <w:bookmarkStart w:name="z12380" w:id="6814"/>
    <w:p>
      <w:pPr>
        <w:spacing w:after="0"/>
        <w:ind w:left="0"/>
        <w:jc w:val="left"/>
      </w:pPr>
      <w:r>
        <w:rPr>
          <w:rFonts w:ascii="Times New Roman"/>
          <w:b/>
          <w:i w:val="false"/>
          <w:color w:val="000000"/>
        </w:rPr>
        <w:t xml:space="preserve"> 1.7. Группировка изменений</w:t>
      </w:r>
    </w:p>
    <w:bookmarkEnd w:id="6814"/>
    <w:bookmarkStart w:name="z12381" w:id="6815"/>
    <w:p>
      <w:pPr>
        <w:spacing w:after="0"/>
        <w:ind w:left="0"/>
        <w:jc w:val="both"/>
      </w:pPr>
      <w:r>
        <w:rPr>
          <w:rFonts w:ascii="Times New Roman"/>
          <w:b w:val="false"/>
          <w:i w:val="false"/>
          <w:color w:val="000000"/>
          <w:sz w:val="28"/>
        </w:rPr>
        <w:t>
      1.7.1. При необходимости внесения нескольких изменений в регистрационное досье в соответствии с разделами II или III либо пунктом 4.1.1 настоящих Правил для каждого изменения необходимо подать отдельное заявление и досье на внесение изменений (далее – досье на изменение), за исключением случаев, указанных в настоящем пункте.</w:t>
      </w:r>
    </w:p>
    <w:bookmarkEnd w:id="6815"/>
    <w:bookmarkStart w:name="z12382" w:id="6816"/>
    <w:p>
      <w:pPr>
        <w:spacing w:after="0"/>
        <w:ind w:left="0"/>
        <w:jc w:val="both"/>
      </w:pPr>
      <w:r>
        <w:rPr>
          <w:rFonts w:ascii="Times New Roman"/>
          <w:b w:val="false"/>
          <w:i w:val="false"/>
          <w:color w:val="000000"/>
          <w:sz w:val="28"/>
        </w:rPr>
        <w:t>
      В рамках одного заявления о внесении изменений держатель вправе группировать изменения IA, IA</w:t>
      </w:r>
      <w:r>
        <w:rPr>
          <w:rFonts w:ascii="Times New Roman"/>
          <w:b w:val="false"/>
          <w:i w:val="false"/>
          <w:color w:val="000000"/>
          <w:vertAlign w:val="subscript"/>
        </w:rPr>
        <w:t>НУ</w:t>
      </w:r>
      <w:r>
        <w:rPr>
          <w:rFonts w:ascii="Times New Roman"/>
          <w:b w:val="false"/>
          <w:i w:val="false"/>
          <w:color w:val="000000"/>
          <w:sz w:val="28"/>
        </w:rPr>
        <w:t>, IB и II типов, за исключением расширения регистрации. При этом для внесения изменений уведомительного характера не допускается группировать в одном заявлении изменения IA и IA</w:t>
      </w:r>
      <w:r>
        <w:rPr>
          <w:rFonts w:ascii="Times New Roman"/>
          <w:b w:val="false"/>
          <w:i w:val="false"/>
          <w:color w:val="000000"/>
          <w:vertAlign w:val="subscript"/>
        </w:rPr>
        <w:t>НУ</w:t>
      </w:r>
      <w:r>
        <w:rPr>
          <w:rFonts w:ascii="Times New Roman"/>
          <w:b w:val="false"/>
          <w:i w:val="false"/>
          <w:color w:val="000000"/>
          <w:sz w:val="28"/>
        </w:rPr>
        <w:t xml:space="preserve"> типов с другими типами изменений, если изменения IA и IA</w:t>
      </w:r>
      <w:r>
        <w:rPr>
          <w:rFonts w:ascii="Times New Roman"/>
          <w:b w:val="false"/>
          <w:i w:val="false"/>
          <w:color w:val="000000"/>
          <w:vertAlign w:val="subscript"/>
        </w:rPr>
        <w:t>НУ</w:t>
      </w:r>
      <w:r>
        <w:rPr>
          <w:rFonts w:ascii="Times New Roman"/>
          <w:b w:val="false"/>
          <w:i w:val="false"/>
          <w:color w:val="000000"/>
          <w:sz w:val="28"/>
        </w:rPr>
        <w:t xml:space="preserve"> типов являются незначимыми.</w:t>
      </w:r>
    </w:p>
    <w:bookmarkEnd w:id="6816"/>
    <w:bookmarkStart w:name="z12383" w:id="6817"/>
    <w:p>
      <w:pPr>
        <w:spacing w:after="0"/>
        <w:ind w:left="0"/>
        <w:jc w:val="both"/>
      </w:pPr>
      <w:r>
        <w:rPr>
          <w:rFonts w:ascii="Times New Roman"/>
          <w:b w:val="false"/>
          <w:i w:val="false"/>
          <w:color w:val="000000"/>
          <w:sz w:val="28"/>
        </w:rPr>
        <w:t>
      Расширение регистрации подается в составе группы изменений только в том случае, если все заявленные изменения являются связанными с ним или являются его следствиями.</w:t>
      </w:r>
    </w:p>
    <w:bookmarkEnd w:id="6817"/>
    <w:bookmarkStart w:name="z12384" w:id="6818"/>
    <w:p>
      <w:pPr>
        <w:spacing w:after="0"/>
        <w:ind w:left="0"/>
        <w:jc w:val="both"/>
      </w:pPr>
      <w:r>
        <w:rPr>
          <w:rFonts w:ascii="Times New Roman"/>
          <w:b w:val="false"/>
          <w:i w:val="false"/>
          <w:color w:val="000000"/>
          <w:sz w:val="28"/>
        </w:rPr>
        <w:t>
      При отклонении одного из изменений, включенных в одно заявление, отклоняются все изменения, включенные в такое заявление.</w:t>
      </w:r>
    </w:p>
    <w:bookmarkEnd w:id="6818"/>
    <w:bookmarkStart w:name="z12385" w:id="6819"/>
    <w:p>
      <w:pPr>
        <w:spacing w:after="0"/>
        <w:ind w:left="0"/>
        <w:jc w:val="both"/>
      </w:pPr>
      <w:r>
        <w:rPr>
          <w:rFonts w:ascii="Times New Roman"/>
          <w:b w:val="false"/>
          <w:i w:val="false"/>
          <w:color w:val="000000"/>
          <w:sz w:val="28"/>
        </w:rPr>
        <w:t>
      При группировке разных типов изменений в рамках одного заявления срок проведения процедуры внесения изменений исчисляется с учетом длительности экспертизы наиболее сложного типа изменений в группе и может быть продлен экспертной организацией государства-члена до 60 рабочих дней в случае, если заявление не содержит изменений II типа, или до 80 рабочих дней в случае, если заявление содержит изменения II типа.</w:t>
      </w:r>
    </w:p>
    <w:bookmarkEnd w:id="6819"/>
    <w:bookmarkStart w:name="z12386" w:id="6820"/>
    <w:p>
      <w:pPr>
        <w:spacing w:after="0"/>
        <w:ind w:left="0"/>
        <w:jc w:val="both"/>
      </w:pPr>
      <w:r>
        <w:rPr>
          <w:rFonts w:ascii="Times New Roman"/>
          <w:b w:val="false"/>
          <w:i w:val="false"/>
          <w:color w:val="000000"/>
          <w:sz w:val="28"/>
        </w:rPr>
        <w:t>
      1.7.2. В порядке исключения в случае подачи заявлений о внесении одинаковых множественных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в регистрационные досье лекарственных препаратов, держателем регистрационных удостоверений которых является одна организация, или в случае, если изменения касаются изменения этого держателя или информации о нем, а также в случае, если подаются группировки изменений в соответствии с дополнением III такие изменения допускается представить единовременно в виде пакета документов по форме дополнения IV и с сопроводительным письмом, составленным по форме согласно дополнению VII к настоящему приложению.</w:t>
      </w:r>
    </w:p>
    <w:bookmarkEnd w:id="6820"/>
    <w:bookmarkStart w:name="z12387" w:id="6821"/>
    <w:p>
      <w:pPr>
        <w:spacing w:after="0"/>
        <w:ind w:left="0"/>
        <w:jc w:val="both"/>
      </w:pPr>
      <w:r>
        <w:rPr>
          <w:rFonts w:ascii="Times New Roman"/>
          <w:b w:val="false"/>
          <w:i w:val="false"/>
          <w:color w:val="000000"/>
          <w:sz w:val="28"/>
        </w:rPr>
        <w:t xml:space="preserve">
      К указанному сопроводительному письму прилагаются следующие документы: </w:t>
      </w:r>
    </w:p>
    <w:bookmarkEnd w:id="6821"/>
    <w:bookmarkStart w:name="z12388" w:id="6822"/>
    <w:p>
      <w:pPr>
        <w:spacing w:after="0"/>
        <w:ind w:left="0"/>
        <w:jc w:val="both"/>
      </w:pPr>
      <w:r>
        <w:rPr>
          <w:rFonts w:ascii="Times New Roman"/>
          <w:b w:val="false"/>
          <w:i w:val="false"/>
          <w:color w:val="000000"/>
          <w:sz w:val="28"/>
        </w:rPr>
        <w:t>
      заявление о внесении изменений в регистрационное досье каждого заявляемого лекарственного препарата по форме согласно приложению № 2 к Правилам регистрации и экспертизы;</w:t>
      </w:r>
    </w:p>
    <w:bookmarkEnd w:id="6822"/>
    <w:bookmarkStart w:name="z12389" w:id="6823"/>
    <w:p>
      <w:pPr>
        <w:spacing w:after="0"/>
        <w:ind w:left="0"/>
        <w:jc w:val="both"/>
      </w:pPr>
      <w:r>
        <w:rPr>
          <w:rFonts w:ascii="Times New Roman"/>
          <w:b w:val="false"/>
          <w:i w:val="false"/>
          <w:color w:val="000000"/>
          <w:sz w:val="28"/>
        </w:rPr>
        <w:t>
      документы, подтверждающие оплату сбора (пошлины) за внесение изменений в соответствии с законодательством государств-членов;</w:t>
      </w:r>
    </w:p>
    <w:bookmarkEnd w:id="6823"/>
    <w:bookmarkStart w:name="z12390" w:id="6824"/>
    <w:p>
      <w:pPr>
        <w:spacing w:after="0"/>
        <w:ind w:left="0"/>
        <w:jc w:val="both"/>
      </w:pPr>
      <w:r>
        <w:rPr>
          <w:rFonts w:ascii="Times New Roman"/>
          <w:b w:val="false"/>
          <w:i w:val="false"/>
          <w:color w:val="000000"/>
          <w:sz w:val="28"/>
        </w:rPr>
        <w:t xml:space="preserve">
      поправки к соответствующим разделам и документам регистрационного досье (обновленные документы) и соответствующие документы регистрационного досье, обосновывающие внесение каждого изменения и подтверждающие соблюдение условий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 каждого заявленного лекарственного препарата. </w:t>
      </w:r>
    </w:p>
    <w:bookmarkEnd w:id="6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с изменением, внесенным решением Совета Евразийской экономической комиссии от 26.11.2025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391" w:id="6825"/>
    <w:p>
      <w:pPr>
        <w:spacing w:after="0"/>
        <w:ind w:left="0"/>
        <w:jc w:val="both"/>
      </w:pPr>
      <w:r>
        <w:rPr>
          <w:rFonts w:ascii="Times New Roman"/>
          <w:b w:val="false"/>
          <w:i w:val="false"/>
          <w:color w:val="000000"/>
          <w:sz w:val="28"/>
        </w:rPr>
        <w:t>
      1.7.3. Внесение группы изменений с приложением документов, указанных в абзацах третьем – пятом пункта 1.7.2 настоящих Правил, должно осуществляться следующим образом.</w:t>
      </w:r>
    </w:p>
    <w:bookmarkEnd w:id="6825"/>
    <w:bookmarkStart w:name="z12392" w:id="6826"/>
    <w:p>
      <w:pPr>
        <w:spacing w:after="0"/>
        <w:ind w:left="0"/>
        <w:jc w:val="both"/>
      </w:pPr>
      <w:r>
        <w:rPr>
          <w:rFonts w:ascii="Times New Roman"/>
          <w:b w:val="false"/>
          <w:i w:val="false"/>
          <w:color w:val="000000"/>
          <w:sz w:val="28"/>
        </w:rPr>
        <w:t>
      По результатам рассмотрения сопроводительного письма и указанных документов уполномоченный орган (экспертная организация) референтного государства-члена в срок не позднее 30 рабочих дней с даты его получения принимает решение и информирует заявителя и соответствующие органы государств признания об одобрении или отклонении изменения и возможности приобщения соответствующих версий (последовательностей) к электронному регистрационному досье, а также в случае отклонения изменения уведомляет заявителя и соответствующие органы государств признания (при наличии) об основаниях такого решения.</w:t>
      </w:r>
    </w:p>
    <w:bookmarkEnd w:id="6826"/>
    <w:bookmarkStart w:name="z12393" w:id="6827"/>
    <w:p>
      <w:pPr>
        <w:spacing w:after="0"/>
        <w:ind w:left="0"/>
        <w:jc w:val="left"/>
      </w:pPr>
      <w:r>
        <w:rPr>
          <w:rFonts w:ascii="Times New Roman"/>
          <w:b/>
          <w:i w:val="false"/>
          <w:color w:val="000000"/>
        </w:rPr>
        <w:t xml:space="preserve"> II. Внесение изменений в регистрационное досье лекарственных препаратов, зарегистрированных более чем в одном государстве-члене</w:t>
      </w:r>
    </w:p>
    <w:bookmarkEnd w:id="6827"/>
    <w:bookmarkStart w:name="z12394" w:id="6828"/>
    <w:p>
      <w:pPr>
        <w:spacing w:after="0"/>
        <w:ind w:left="0"/>
        <w:jc w:val="left"/>
      </w:pPr>
      <w:r>
        <w:rPr>
          <w:rFonts w:ascii="Times New Roman"/>
          <w:b/>
          <w:i w:val="false"/>
          <w:color w:val="000000"/>
        </w:rPr>
        <w:t xml:space="preserve"> 2.1. Процедура уведомления о внесении незначимых изменений IA типа и (или) IA</w:t>
      </w:r>
      <w:r>
        <w:rPr>
          <w:rFonts w:ascii="Times New Roman"/>
          <w:b/>
          <w:i w:val="false"/>
          <w:color w:val="000000"/>
          <w:vertAlign w:val="subscript"/>
        </w:rPr>
        <w:t xml:space="preserve">НУ </w:t>
      </w:r>
      <w:r>
        <w:rPr>
          <w:rFonts w:ascii="Times New Roman"/>
          <w:b/>
          <w:i w:val="false"/>
          <w:color w:val="000000"/>
        </w:rPr>
        <w:t>типа</w:t>
      </w:r>
    </w:p>
    <w:bookmarkEnd w:id="6828"/>
    <w:bookmarkStart w:name="z12395" w:id="6829"/>
    <w:p>
      <w:pPr>
        <w:spacing w:after="0"/>
        <w:ind w:left="0"/>
        <w:jc w:val="both"/>
      </w:pPr>
      <w:r>
        <w:rPr>
          <w:rFonts w:ascii="Times New Roman"/>
          <w:b w:val="false"/>
          <w:i w:val="false"/>
          <w:color w:val="000000"/>
          <w:sz w:val="28"/>
        </w:rPr>
        <w:t>
      2.1.1. В уведомительном порядке (без экспертизы) может быть подано заявление только о внесении изменения IA типа и (или) изменения IA</w:t>
      </w:r>
      <w:r>
        <w:rPr>
          <w:rFonts w:ascii="Times New Roman"/>
          <w:b w:val="false"/>
          <w:i w:val="false"/>
          <w:color w:val="000000"/>
          <w:vertAlign w:val="subscript"/>
        </w:rPr>
        <w:t>НУ</w:t>
      </w:r>
      <w:r>
        <w:rPr>
          <w:rFonts w:ascii="Times New Roman"/>
          <w:b w:val="false"/>
          <w:i w:val="false"/>
          <w:color w:val="000000"/>
          <w:sz w:val="28"/>
        </w:rPr>
        <w:t xml:space="preserve"> типа. Если заявление дополнительно содержит изменения, не относящиеся к указанным типам, экспертиза осуществляется в порядке, установленном в настоящих Правилах для соответствующего типа изменений с учетом положений абзаца второго пункта 1.7.1 настоящих Правил.</w:t>
      </w:r>
    </w:p>
    <w:bookmarkEnd w:id="6829"/>
    <w:bookmarkStart w:name="z12396" w:id="6830"/>
    <w:p>
      <w:pPr>
        <w:spacing w:after="0"/>
        <w:ind w:left="0"/>
        <w:jc w:val="both"/>
      </w:pPr>
      <w:r>
        <w:rPr>
          <w:rFonts w:ascii="Times New Roman"/>
          <w:b w:val="false"/>
          <w:i w:val="false"/>
          <w:color w:val="000000"/>
          <w:sz w:val="28"/>
        </w:rPr>
        <w:t>
      Дополнение V к настоящим Правилам содержит перечень изменений, которые необходимо рассматривать в качестве незначимых изменений IA типа. Держатель должен подать заявление о внесении таких изменений в течение 365 календарных дней со дня их реализации (процедура "сделай и расскажи"). В целях обеспечения непрерывного надзора за лекарственным препаратом в отношении некоторых незначимых изменений требуется отправка уведомления в срок, не превышающий 20 рабочих дней с даты их реализации (изменения IA</w:t>
      </w:r>
      <w:r>
        <w:rPr>
          <w:rFonts w:ascii="Times New Roman"/>
          <w:b w:val="false"/>
          <w:i w:val="false"/>
          <w:color w:val="000000"/>
          <w:vertAlign w:val="subscript"/>
        </w:rPr>
        <w:t xml:space="preserve">НУ </w:t>
      </w:r>
      <w:r>
        <w:rPr>
          <w:rFonts w:ascii="Times New Roman"/>
          <w:b w:val="false"/>
          <w:i w:val="false"/>
          <w:color w:val="000000"/>
          <w:sz w:val="28"/>
        </w:rPr>
        <w:t>типа). При этом для незначимых изменений IA типа, приводящих к пересмотру информации о лекарственном препарате согласно пункту 1.6.1 настоящих Правил или влияющих на информацию, содержащуюся в едином реестре зарегистрированных лекарственных средств Союза (далее – единый реестр), заявление о внесении изменений необходимо представить до реализации изменений. Реализация таких изменений возможна только после внесения уполномоченным органом (экспертной организацией) референтного государства и государства признания (при наличии) соответствующих сведений в единый реестр.</w:t>
      </w:r>
    </w:p>
    <w:bookmarkEnd w:id="6830"/>
    <w:bookmarkStart w:name="z12397" w:id="6831"/>
    <w:p>
      <w:pPr>
        <w:spacing w:after="0"/>
        <w:ind w:left="0"/>
        <w:jc w:val="both"/>
      </w:pPr>
      <w:r>
        <w:rPr>
          <w:rFonts w:ascii="Times New Roman"/>
          <w:b w:val="false"/>
          <w:i w:val="false"/>
          <w:color w:val="000000"/>
          <w:sz w:val="28"/>
        </w:rPr>
        <w:t>
      Если регистрационное досье дополнительно содержит изменения, не указанные в заявлении о внесении изменений и не относящиеся к изменениям уведомительного характера, уполномоченный орган (экспертная организация) референтного государства отклоняет такое заявление в срок, не превышающий 20 рабочих дней с даты его получения, и информирует в электронном виде заявителя и посредством интегрированной информационной системы Союза (далее – интегрированная система) соответствующие органы государств признания об отказе во внесении изменений уведомительного характера.</w:t>
      </w:r>
    </w:p>
    <w:bookmarkEnd w:id="6831"/>
    <w:bookmarkStart w:name="z12398" w:id="6832"/>
    <w:p>
      <w:pPr>
        <w:spacing w:after="0"/>
        <w:ind w:left="0"/>
        <w:jc w:val="both"/>
      </w:pPr>
      <w:r>
        <w:rPr>
          <w:rFonts w:ascii="Times New Roman"/>
          <w:b w:val="false"/>
          <w:i w:val="false"/>
          <w:color w:val="000000"/>
          <w:sz w:val="28"/>
        </w:rPr>
        <w:t>
      Непредставление всей необходимой документации к заявлению, документов, подтверждающих оплату сбора (пошлины) за внесение изменений, в случаях и порядке, установленных законодательством государств-членов, а также несоблюдение условий классификации изменений является основанием для отклонения заявления о внесении изменений уведомительного характера, при этом уполномоченный орган (экспертная организация) вправе направить заявителю запрос о предоставлении необходимой документации в срок, не превышающий 5 рабочих дней.</w:t>
      </w:r>
    </w:p>
    <w:bookmarkEnd w:id="6832"/>
    <w:bookmarkStart w:name="z12399" w:id="6833"/>
    <w:p>
      <w:pPr>
        <w:spacing w:after="0"/>
        <w:ind w:left="0"/>
        <w:jc w:val="both"/>
      </w:pPr>
      <w:r>
        <w:rPr>
          <w:rFonts w:ascii="Times New Roman"/>
          <w:b w:val="false"/>
          <w:i w:val="false"/>
          <w:color w:val="000000"/>
          <w:sz w:val="28"/>
        </w:rPr>
        <w:t>
      2.1.2. При внесении незначимых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в случае если такие изменения не приводят к пересмотру информации о лекарственном препарате в соответствии с пунктом 1.6.1 настоящих Правил или не влияют на информацию, содержащуюся в едином реестре,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в котором осуществляется подача такого заявления, по форме согласно приложению № 2 к Правилам регистрации и экспертизы, документы, подтверждающие оплату сбора (пошлины) за внесение изменений, в случаях и порядке, установленных законодательством государств-членов, а также поправки к соответствующим разделам и документам регистрационного досье (обновленные документы) и соответствующие документы регистрационного досье, обосновывающие внесение каждого изменения и подтверждающие соблюдение условий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 </w:t>
      </w:r>
    </w:p>
    <w:bookmarkEnd w:id="6833"/>
    <w:bookmarkStart w:name="z12400" w:id="6834"/>
    <w:p>
      <w:pPr>
        <w:spacing w:after="0"/>
        <w:ind w:left="0"/>
        <w:jc w:val="both"/>
      </w:pPr>
      <w:r>
        <w:rPr>
          <w:rFonts w:ascii="Times New Roman"/>
          <w:b w:val="false"/>
          <w:i w:val="false"/>
          <w:color w:val="000000"/>
          <w:sz w:val="28"/>
        </w:rPr>
        <w:t>
      При необходимости единовременного внесения одинаковых множественных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заявитель представляет в уполномоченный орган (экспертную организацию) референтного государства документы, указанные в абзацах третьем – пятом пункта 1.7.2 настоящих Правил. Заявитель вправе представить в уполномоченный орган (экспертную организацию) референтного государства документы, указанные в абзаце первом настоящего пункта или в абзацах третьем – пятом пункта 1.7.2 настоящих Правил, в течение 365 календарных дней со дня реализации изменений в случае, если заявленные изменения не приводят к пересмотру информации о лекарственном препарате в соответствии с пунктом 1.6.1 настоящих Правил и не относятся к изменениям IA</w:t>
      </w:r>
      <w:r>
        <w:rPr>
          <w:rFonts w:ascii="Times New Roman"/>
          <w:b w:val="false"/>
          <w:i w:val="false"/>
          <w:color w:val="000000"/>
          <w:vertAlign w:val="subscript"/>
        </w:rPr>
        <w:t>НУ</w:t>
      </w:r>
      <w:r>
        <w:rPr>
          <w:rFonts w:ascii="Times New Roman"/>
          <w:b w:val="false"/>
          <w:i w:val="false"/>
          <w:color w:val="000000"/>
          <w:sz w:val="28"/>
        </w:rPr>
        <w:t xml:space="preserve"> типа. При этом срок подачи заявления заявитель рассчитывает самостоятельно с учетом положений абзаца пятого пункта 1.7.1 настоящих Правил.</w:t>
      </w:r>
    </w:p>
    <w:bookmarkEnd w:id="6834"/>
    <w:bookmarkStart w:name="z12401" w:id="6835"/>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после получения документов, указанных в абзаце втором настоящего пункта, проводит оценку полноты, комплектности и правильности оформления таких документов.</w:t>
      </w:r>
    </w:p>
    <w:bookmarkEnd w:id="6835"/>
    <w:bookmarkStart w:name="z12402" w:id="6836"/>
    <w:p>
      <w:pPr>
        <w:spacing w:after="0"/>
        <w:ind w:left="0"/>
        <w:jc w:val="both"/>
      </w:pPr>
      <w:r>
        <w:rPr>
          <w:rFonts w:ascii="Times New Roman"/>
          <w:b w:val="false"/>
          <w:i w:val="false"/>
          <w:color w:val="000000"/>
          <w:sz w:val="28"/>
        </w:rPr>
        <w:t>
      Принятие решения о возможности приобщения соответствующей версии (последовательности) регистрационного досье к электронному регистрационному досье при внесении незначимых изменений уведомительного характера, не приводящих к пересмотру информации о лекарственном препарате в соответствии с пунктом 1.6.1 настоящих Правил или не влияющих на информацию, содержащуюся в едином реестре, и размещение сведений в едином реестре референтным государством являются основаниями для продолжения реализации изменения в референтном государстве и государствах признания.</w:t>
      </w:r>
    </w:p>
    <w:bookmarkEnd w:id="6836"/>
    <w:bookmarkStart w:name="z12403" w:id="6837"/>
    <w:p>
      <w:pPr>
        <w:spacing w:after="0"/>
        <w:ind w:left="0"/>
        <w:jc w:val="both"/>
      </w:pPr>
      <w:r>
        <w:rPr>
          <w:rFonts w:ascii="Times New Roman"/>
          <w:b w:val="false"/>
          <w:i w:val="false"/>
          <w:color w:val="000000"/>
          <w:sz w:val="28"/>
        </w:rPr>
        <w:t>
      При отклонении изменений, указанных в пункте 2.1.1 и в абзаце первом пункта 1.7.2 настоящих Правил, реализация таких изменений не прекращается в течение 365 календарных дней с даты начала их реализации. Заявитель обязан представить новое заявление с учетом причины отклонения изменения до окончания указанного срока.</w:t>
      </w:r>
    </w:p>
    <w:bookmarkEnd w:id="6837"/>
    <w:bookmarkStart w:name="z12404" w:id="6838"/>
    <w:p>
      <w:pPr>
        <w:spacing w:after="0"/>
        <w:ind w:left="0"/>
        <w:jc w:val="both"/>
      </w:pPr>
      <w:r>
        <w:rPr>
          <w:rFonts w:ascii="Times New Roman"/>
          <w:b w:val="false"/>
          <w:i w:val="false"/>
          <w:color w:val="000000"/>
          <w:sz w:val="28"/>
        </w:rPr>
        <w:t>
      При наличии среди указанных изменений измененной в уведомительном порядке информации о лекарственном препарате одновременно с принятием решения об одобрении изменений уполномоченный орган (экспертная организация) референтного государства размещает измененную в уведомительном порядке информацию о лекарственном препарате и сведения о внесении изменений в едином реестре в соответствии с порядком формирования и ведения единого реестра.</w:t>
      </w:r>
    </w:p>
    <w:bookmarkEnd w:id="6838"/>
    <w:bookmarkStart w:name="z12405" w:id="6839"/>
    <w:p>
      <w:pPr>
        <w:spacing w:after="0"/>
        <w:ind w:left="0"/>
        <w:jc w:val="both"/>
      </w:pPr>
      <w:r>
        <w:rPr>
          <w:rFonts w:ascii="Times New Roman"/>
          <w:b w:val="false"/>
          <w:i w:val="false"/>
          <w:color w:val="000000"/>
          <w:sz w:val="28"/>
        </w:rPr>
        <w:t>
      При внесении изменений уведомительного характера по результатам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в срок, не превышающий 20 рабочих дней, принимает решение и информирует в электронном виде заявителя и посредством интегрированной системы соответствующие органы государств признания о возможности приобщения соответствующих версий (последовательностей) регистрационного досье к электронному регистрационному досье или об отказе во внесении незначимых изменений уведомительного характера. В случае одобрения изменения уполномоченный орган (экспертная организация) референтного государства размещает сведения в едином реестре, а также включает информацию об изменениях в соответствующие разделы экспертного отчета об оценке безопасности, эффективности и качества по форме согласно приложению № 16 к Правилам регистрации и экспертизы (далее – экспертный отчет об оценке) (при этом указанную информацию допускается включать в экспертный отчет по оценке при его очередной актуализации).</w:t>
      </w:r>
    </w:p>
    <w:bookmarkEnd w:id="6839"/>
    <w:bookmarkStart w:name="z12406" w:id="6840"/>
    <w:p>
      <w:pPr>
        <w:spacing w:after="0"/>
        <w:ind w:left="0"/>
        <w:jc w:val="both"/>
      </w:pPr>
      <w:r>
        <w:rPr>
          <w:rFonts w:ascii="Times New Roman"/>
          <w:b w:val="false"/>
          <w:i w:val="false"/>
          <w:color w:val="000000"/>
          <w:sz w:val="28"/>
        </w:rPr>
        <w:t>
      После одобрения незначимого изменения уведомительного характера (изменений IA и IA</w:t>
      </w:r>
      <w:r>
        <w:rPr>
          <w:rFonts w:ascii="Times New Roman"/>
          <w:b w:val="false"/>
          <w:i w:val="false"/>
          <w:color w:val="000000"/>
          <w:vertAlign w:val="subscript"/>
        </w:rPr>
        <w:t>НУ</w:t>
      </w:r>
      <w:r>
        <w:rPr>
          <w:rFonts w:ascii="Times New Roman"/>
          <w:b w:val="false"/>
          <w:i w:val="false"/>
          <w:color w:val="000000"/>
          <w:sz w:val="28"/>
        </w:rPr>
        <w:t xml:space="preserve"> типов, не приводящих к пересмотру информации о лекарственном препарате в соответствии с пунктом 1.6.1 настоящих Правил) или изменения, не влияющего на информацию, содержащуюся в едином реестре, уполномоченным органом (экспертной организацией) референтного государства заявитель представляет в течение 20 рабочих дней с даты такого одобрения в уполномоченный орган (экспертную организацию) государства признания заявление, документы, подтверждающие оплату сбора (пошлины) за внесение изменений в случаях и порядке, установленных законодательством государств-членов, поправки к соответствующим разделам и документам 1 модуля регистрационного досье (обновленные документы) в соответствии с дополнением V к настоящим Правилам.</w:t>
      </w:r>
    </w:p>
    <w:bookmarkEnd w:id="6840"/>
    <w:bookmarkStart w:name="z12407" w:id="6841"/>
    <w:p>
      <w:pPr>
        <w:spacing w:after="0"/>
        <w:ind w:left="0"/>
        <w:jc w:val="both"/>
      </w:pPr>
      <w:r>
        <w:rPr>
          <w:rFonts w:ascii="Times New Roman"/>
          <w:b w:val="false"/>
          <w:i w:val="false"/>
          <w:color w:val="000000"/>
          <w:sz w:val="28"/>
        </w:rPr>
        <w:t>
      Уполномоченный орган (экспертная организация) государства признания приобщает соответствующую версию (последовательность) регистрационного досье к электронному регистрационному досье и обновляет информацию в едином реестре.</w:t>
      </w:r>
    </w:p>
    <w:bookmarkEnd w:id="6841"/>
    <w:bookmarkStart w:name="z12408" w:id="6842"/>
    <w:p>
      <w:pPr>
        <w:spacing w:after="0"/>
        <w:ind w:left="0"/>
        <w:jc w:val="both"/>
      </w:pPr>
      <w:r>
        <w:rPr>
          <w:rFonts w:ascii="Times New Roman"/>
          <w:b w:val="false"/>
          <w:i w:val="false"/>
          <w:color w:val="000000"/>
          <w:sz w:val="28"/>
        </w:rPr>
        <w:t>
      2.1.3. При внесении незначимых изменений IA типа и (или) IA</w:t>
      </w:r>
      <w:r>
        <w:rPr>
          <w:rFonts w:ascii="Times New Roman"/>
          <w:b w:val="false"/>
          <w:i w:val="false"/>
          <w:color w:val="000000"/>
          <w:vertAlign w:val="subscript"/>
        </w:rPr>
        <w:t xml:space="preserve">НУ </w:t>
      </w:r>
      <w:r>
        <w:rPr>
          <w:rFonts w:ascii="Times New Roman"/>
          <w:b w:val="false"/>
          <w:i w:val="false"/>
          <w:color w:val="000000"/>
          <w:sz w:val="28"/>
        </w:rPr>
        <w:t>типа, в том числе в случае, если заявленные изменения приводят к пересмотру информации о лекарственном препарате или влияют на информацию, содержащуюся в едином реестре, заявитель одновременно представляет во все уполномоченные органы (экспертные организации) государств-членов, в которых зарегистрирован лекарственный препарат,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в котором осуществляется подача такого заявления по форме согласно приложению № 2 к Правилам регистрации и экспертизы, и документы, подтверждающие оплату сбора (пошлины) за внесение изменений, в случаях и порядке, установленных законодательством государств-членов.</w:t>
      </w:r>
    </w:p>
    <w:bookmarkEnd w:id="6842"/>
    <w:bookmarkStart w:name="z12409" w:id="6843"/>
    <w:p>
      <w:pPr>
        <w:spacing w:after="0"/>
        <w:ind w:left="0"/>
        <w:jc w:val="both"/>
      </w:pPr>
      <w:r>
        <w:rPr>
          <w:rFonts w:ascii="Times New Roman"/>
          <w:b w:val="false"/>
          <w:i w:val="false"/>
          <w:color w:val="000000"/>
          <w:sz w:val="28"/>
        </w:rPr>
        <w:t>
      В уполномоченный орган (экспертную организацию) референтного государства одновременно с указанными в абзаце первом настоящего пункта документами представляются соответствующие документы регистрационного досье, обосновывающие внесение изменения и подтверждающие соблюдение условий в соответствии с дополнением V к настоящим Правилам, поправки к соответствующим разделам и документам регистрационного досье (обновленные документы) и (при необходимости) документ, подтверждающий валидность предоставляемой версии (последовательности) электронного регистрационного досье. В уполномоченные органы (экспертные организации) государств признания заявитель (при необходимости) дополнительно представляет документы модуля 1, специфичные для государства признания, относящиеся к вносимым изменениям, и (или) документ, подтверждающий валидность представляемой версии (последовательности) электронного регистрационного досье, содержащей документы, специфичные для государства признания.</w:t>
      </w:r>
    </w:p>
    <w:bookmarkEnd w:id="6843"/>
    <w:bookmarkStart w:name="z12410" w:id="6844"/>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после получения документов, указанных в абзаце втором настоящего пункта, проводит оценку полноты, комплектности и правильности оформления таких документов.</w:t>
      </w:r>
    </w:p>
    <w:bookmarkEnd w:id="6844"/>
    <w:bookmarkStart w:name="z12411" w:id="6845"/>
    <w:p>
      <w:pPr>
        <w:spacing w:after="0"/>
        <w:ind w:left="0"/>
        <w:jc w:val="both"/>
      </w:pPr>
      <w:r>
        <w:rPr>
          <w:rFonts w:ascii="Times New Roman"/>
          <w:b w:val="false"/>
          <w:i w:val="false"/>
          <w:color w:val="000000"/>
          <w:sz w:val="28"/>
        </w:rPr>
        <w:t>
      2.1.4. Уполномоченный орган (экспертная организация) референтного государства не позднее 5 рабочих дней с даты принятия решения, указанного в пункте 2.1.2 настоящих Правил, обеспечивает соответствующим органам государств признания доступ к досье на изменение посредством интегрированной системы.</w:t>
      </w:r>
    </w:p>
    <w:bookmarkEnd w:id="6845"/>
    <w:bookmarkStart w:name="z12412" w:id="6846"/>
    <w:p>
      <w:pPr>
        <w:spacing w:after="0"/>
        <w:ind w:left="0"/>
        <w:jc w:val="both"/>
      </w:pPr>
      <w:r>
        <w:rPr>
          <w:rFonts w:ascii="Times New Roman"/>
          <w:b w:val="false"/>
          <w:i w:val="false"/>
          <w:color w:val="000000"/>
          <w:sz w:val="28"/>
        </w:rPr>
        <w:t xml:space="preserve">
      По результатам оценки заявления и документов регистрационного досье на изменение уполномоченный орган (экспертная организация) референтного государства в срок не позднее 20 рабочих дней с даты получения документов, указанных в абзацах первом и втором пункта 2.1.2 настоящих Правил, принимает решение об одобрении или об отклонении заявления о внесении изменений и информирует о принятом решении государства признания посредством интегрированной системы, а также включает информацию об изменениях в соответствующие разделы экспертного отчета по оценке (при этом указанную информацию допускается включать в отчет при его очередной актуализации). </w:t>
      </w:r>
    </w:p>
    <w:bookmarkEnd w:id="6846"/>
    <w:bookmarkStart w:name="z12413" w:id="6847"/>
    <w:p>
      <w:pPr>
        <w:spacing w:after="0"/>
        <w:ind w:left="0"/>
        <w:jc w:val="both"/>
      </w:pPr>
      <w:r>
        <w:rPr>
          <w:rFonts w:ascii="Times New Roman"/>
          <w:b w:val="false"/>
          <w:i w:val="false"/>
          <w:color w:val="000000"/>
          <w:sz w:val="28"/>
        </w:rPr>
        <w:t>
      Государство признания в срок, не превышающий 15 рабочих дней с даты получения заявления о внесении изменений и документов от заявителя, указанных в абзаце восьмом пункта 2.1.2 настоящих Правил, а также доступа к материалам регистрационного досье, принимает решение об одобрении или отклонении заявления и информирует об этом заявителя в электронном виде.</w:t>
      </w:r>
    </w:p>
    <w:bookmarkEnd w:id="6847"/>
    <w:bookmarkStart w:name="z12414" w:id="6848"/>
    <w:p>
      <w:pPr>
        <w:spacing w:after="0"/>
        <w:ind w:left="0"/>
        <w:jc w:val="both"/>
      </w:pPr>
      <w:r>
        <w:rPr>
          <w:rFonts w:ascii="Times New Roman"/>
          <w:b w:val="false"/>
          <w:i w:val="false"/>
          <w:color w:val="000000"/>
          <w:sz w:val="28"/>
        </w:rPr>
        <w:t xml:space="preserve">
      Государства признания вправе отказать во внесении изменений в специфичные для них документы модуля 1 регистрационного досье в срок, не превышающий 15 рабочих дней с даты получения заявления и доступа к материалам регистрационного досье, и обязаны в указанный срок информировать заявителя об отказе в рассмотрении заявления с обоснованием его причин. </w:t>
      </w:r>
    </w:p>
    <w:bookmarkEnd w:id="6848"/>
    <w:bookmarkStart w:name="z12415" w:id="6849"/>
    <w:p>
      <w:pPr>
        <w:spacing w:after="0"/>
        <w:ind w:left="0"/>
        <w:jc w:val="both"/>
      </w:pPr>
      <w:r>
        <w:rPr>
          <w:rFonts w:ascii="Times New Roman"/>
          <w:b w:val="false"/>
          <w:i w:val="false"/>
          <w:color w:val="000000"/>
          <w:sz w:val="28"/>
        </w:rPr>
        <w:t>
      В случае принятия положительного решения в срок, не превышающий 5 рабочих дней с даты его принятия, уполномоченные органы (экспертные организации) государств признания размещают соответствующую информацию в едином реестре, при необходимости с приложением измененных утвержденных общей характеристики лекарственного препарата, инструкции по медицинскому применению, макетов упаковок, нормативного документа по качеству, в соответствии с порядком формирования и ведения единого реестра, а также выдают заявителю измененные общую характеристику лекарственного препарата, инструкцию по медицинскому применению, макеты упаковок, нормативный документ по качеству и (при необходимости) регистрационное удостоверение.</w:t>
      </w:r>
    </w:p>
    <w:bookmarkEnd w:id="6849"/>
    <w:bookmarkStart w:name="z12416" w:id="6850"/>
    <w:p>
      <w:pPr>
        <w:spacing w:after="0"/>
        <w:ind w:left="0"/>
        <w:jc w:val="both"/>
      </w:pPr>
      <w:r>
        <w:rPr>
          <w:rFonts w:ascii="Times New Roman"/>
          <w:b w:val="false"/>
          <w:i w:val="false"/>
          <w:color w:val="000000"/>
          <w:sz w:val="28"/>
        </w:rPr>
        <w:t>
      2.1.5. При необходимости внесения одобренных государством признания изменений, в том числе одинаковых множественных изменений уведомительного характера в специфичные для государства признания документы модуля 1 регистрационного досье, не влияющих на изменения, одобренные референтным государством, заявитель должен предоставить в государства признания соответствующие заявления на внесение изменений (для одинаковых множественных изменений уведомительного характера допускается использование сопроводительного письма о внесении изменений уведомительного характера I типа по форме согласно дополнению VII к настоящим Правилам), документы, подтверждающие оплату сбора (пошлины) за внесение изменений в случаях и порядке, установленных законодательством государств-членов, и документы модуля 1 регистрационного досье, специфичные для государства признания, относящиеся к вносимым изменениям.</w:t>
      </w:r>
    </w:p>
    <w:bookmarkEnd w:id="6850"/>
    <w:bookmarkStart w:name="z12417" w:id="6851"/>
    <w:p>
      <w:pPr>
        <w:spacing w:after="0"/>
        <w:ind w:left="0"/>
        <w:jc w:val="both"/>
      </w:pPr>
      <w:r>
        <w:rPr>
          <w:rFonts w:ascii="Times New Roman"/>
          <w:b w:val="false"/>
          <w:i w:val="false"/>
          <w:color w:val="000000"/>
          <w:sz w:val="28"/>
        </w:rPr>
        <w:t>
      Срок рассмотрения указанных изменений не должен превышать 20 рабочих дней. В случае принятия решения об одобрении изменений в срок, не превышающий 5 рабочих дней с даты принятия такого решения, указанные документы подлежат размещению в едином реестре.</w:t>
      </w:r>
    </w:p>
    <w:bookmarkEnd w:id="6851"/>
    <w:bookmarkStart w:name="z12418" w:id="6852"/>
    <w:p>
      <w:pPr>
        <w:spacing w:after="0"/>
        <w:ind w:left="0"/>
        <w:jc w:val="left"/>
      </w:pPr>
      <w:r>
        <w:rPr>
          <w:rFonts w:ascii="Times New Roman"/>
          <w:b/>
          <w:i w:val="false"/>
          <w:color w:val="000000"/>
        </w:rPr>
        <w:t xml:space="preserve"> 2.2. Процедура внесения незначимых изменений IB типа</w:t>
      </w:r>
    </w:p>
    <w:bookmarkEnd w:id="6852"/>
    <w:bookmarkStart w:name="z12419" w:id="6853"/>
    <w:p>
      <w:pPr>
        <w:spacing w:after="0"/>
        <w:ind w:left="0"/>
        <w:jc w:val="both"/>
      </w:pPr>
      <w:r>
        <w:rPr>
          <w:rFonts w:ascii="Times New Roman"/>
          <w:b w:val="false"/>
          <w:i w:val="false"/>
          <w:color w:val="000000"/>
          <w:sz w:val="28"/>
        </w:rPr>
        <w:t>
      2.2.1. В случае если регистрационное досье содержит одно или несколько изменений только IВ типа или группу изменений IА типа и (или) IА</w:t>
      </w:r>
      <w:r>
        <w:rPr>
          <w:rFonts w:ascii="Times New Roman"/>
          <w:b w:val="false"/>
          <w:i w:val="false"/>
          <w:color w:val="000000"/>
          <w:vertAlign w:val="subscript"/>
        </w:rPr>
        <w:t>НУ</w:t>
      </w:r>
      <w:r>
        <w:rPr>
          <w:rFonts w:ascii="Times New Roman"/>
          <w:b w:val="false"/>
          <w:i w:val="false"/>
          <w:color w:val="000000"/>
          <w:sz w:val="28"/>
        </w:rPr>
        <w:t xml:space="preserve"> типа и как минимум одно изменение IВ типа,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по форме согласно приложению № 2 к Правилам регистрации и экспертизы,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 документы регистрационного досье, обосновывающие внесение каждого изменения, а также поправки к соответствующим разделам и документам регистрационного досье (обновленные документы)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w:t>
      </w:r>
    </w:p>
    <w:bookmarkEnd w:id="6853"/>
    <w:bookmarkStart w:name="z12420" w:id="6854"/>
    <w:p>
      <w:pPr>
        <w:spacing w:after="0"/>
        <w:ind w:left="0"/>
        <w:jc w:val="both"/>
      </w:pPr>
      <w:r>
        <w:rPr>
          <w:rFonts w:ascii="Times New Roman"/>
          <w:b w:val="false"/>
          <w:i w:val="false"/>
          <w:color w:val="000000"/>
          <w:sz w:val="28"/>
        </w:rPr>
        <w:t>
      В уполномоченные органы (экспертные организации) государств признания в срок, не превышающий 10 рабочих дней с даты подачи заявления в референтное государство, заявитель представляет заявление о внесении изменений по форме согласно приложению № 2 к Правилам регистрации и экспертизы на бумажном и (или) электронном носителе и документы, подтверждающие оплату сбора (пошлины) за внесение изменений в случаях и порядке, установленных законодательством государств-членов, а также (при необходимости) специфичные для государства признания документы модуля 1 регистрационного досье, относящиеся к вносимым изменениям, и (или) документ, подтверждающий валидность представленной версии (последовательности) электронного регистрационного досье, содержащей специфичные для государства признания документы.</w:t>
      </w:r>
    </w:p>
    <w:bookmarkEnd w:id="6854"/>
    <w:bookmarkStart w:name="z12421" w:id="6855"/>
    <w:p>
      <w:pPr>
        <w:spacing w:after="0"/>
        <w:ind w:left="0"/>
        <w:jc w:val="both"/>
      </w:pPr>
      <w:r>
        <w:rPr>
          <w:rFonts w:ascii="Times New Roman"/>
          <w:b w:val="false"/>
          <w:i w:val="false"/>
          <w:color w:val="000000"/>
          <w:sz w:val="28"/>
        </w:rPr>
        <w:t>
      2.2.2. Уполномоченный орган (экспертная организация) референтного государства в срок, не превышающий 5 рабочих дней с даты подачи заявления о внесении изменений после получения документов, указанных в абзаце первом пункта 2.2.1 настоящих Правил, проводит оценку полноты, комплектности и правильности оформления таких документов и принимает решение о возможности проведения экспертизы регистрационного досье, а также открывает для соответствующих органов государств признания доступ к версии (последовательности) электронного регистрационного досье в рамках рассмотрения заявления о внесении изменений с использованием средств интегрированной системы или по запросу соответствующих органов государств признания в срок, не превышающий 5 рабочих дней с даты получения указанного запроса.</w:t>
      </w:r>
    </w:p>
    <w:bookmarkEnd w:id="6855"/>
    <w:bookmarkStart w:name="z12422" w:id="6856"/>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вправе направить запрос заявителю об уточнении представленных сведений и (или) о необходимости представления дополнительных материалов.</w:t>
      </w:r>
    </w:p>
    <w:bookmarkEnd w:id="6856"/>
    <w:bookmarkStart w:name="z12423" w:id="6857"/>
    <w:p>
      <w:pPr>
        <w:spacing w:after="0"/>
        <w:ind w:left="0"/>
        <w:jc w:val="both"/>
      </w:pPr>
      <w:r>
        <w:rPr>
          <w:rFonts w:ascii="Times New Roman"/>
          <w:b w:val="false"/>
          <w:i w:val="false"/>
          <w:color w:val="000000"/>
          <w:sz w:val="28"/>
        </w:rPr>
        <w:t>
      Заявителю предоставляется не более 90 рабочих дней, не входящих в сроки проведения экспертизы регистрационного досье и проведения процедуры внесения изменений, на представление недостающих материалов регистрационного досье по замечаниям уполномоченного органа (экспертной организации) референтного государства. Срок оценки уполномоченным органом (экспертной организацией) референтного государства ответа на указанный запрос не должен превышать 5 рабочих дней.</w:t>
      </w:r>
    </w:p>
    <w:bookmarkEnd w:id="6857"/>
    <w:bookmarkStart w:name="z12424" w:id="6858"/>
    <w:p>
      <w:pPr>
        <w:spacing w:after="0"/>
        <w:ind w:left="0"/>
        <w:jc w:val="both"/>
      </w:pPr>
      <w:r>
        <w:rPr>
          <w:rFonts w:ascii="Times New Roman"/>
          <w:b w:val="false"/>
          <w:i w:val="false"/>
          <w:color w:val="000000"/>
          <w:sz w:val="28"/>
        </w:rPr>
        <w:t>
      Если регистрационное досье на изменение соответствует пункту 2.2.1 настоящих Правил,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направляет регистрационное досье на внесение изменений для проведения экспертизы.</w:t>
      </w:r>
    </w:p>
    <w:bookmarkEnd w:id="6858"/>
    <w:bookmarkStart w:name="z12425" w:id="6859"/>
    <w:p>
      <w:pPr>
        <w:spacing w:after="0"/>
        <w:ind w:left="0"/>
        <w:jc w:val="both"/>
      </w:pPr>
      <w:r>
        <w:rPr>
          <w:rFonts w:ascii="Times New Roman"/>
          <w:b w:val="false"/>
          <w:i w:val="false"/>
          <w:color w:val="000000"/>
          <w:sz w:val="28"/>
        </w:rPr>
        <w:t xml:space="preserve">
      2.2.3. Экспертиза регистрационного досье проводится экспертной организацией после оценки полноты, комплектности и правильности оформления представленных документов в срок, не превышающий 30 рабочих дней с даты получения соответствующего задания или решения уполномоченного органа (экспертной организации). С учетом положений абзацев третьего и пятого пункта 1.7.1 настоящих Правил срок проведения экспертизы может быть продлен экспертной организацией до 60 рабочих дней. </w:t>
      </w:r>
    </w:p>
    <w:bookmarkEnd w:id="6859"/>
    <w:bookmarkStart w:name="z12426" w:id="6860"/>
    <w:p>
      <w:pPr>
        <w:spacing w:after="0"/>
        <w:ind w:left="0"/>
        <w:jc w:val="both"/>
      </w:pPr>
      <w:r>
        <w:rPr>
          <w:rFonts w:ascii="Times New Roman"/>
          <w:b w:val="false"/>
          <w:i w:val="false"/>
          <w:color w:val="000000"/>
          <w:sz w:val="28"/>
        </w:rPr>
        <w:t>
      В течение срока проведения экспертизы экспертная организация референтного государства вправе направить заявителю на бумажном носителе и (или) в электронном виде запрос о предоставлении недостающей дополнительной информации, необходимых разъяснений по представленным документам и данным регистрационного досье (в том числе предложений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нормативную документацию по качеству или иные документы регистрационного досье). Срок представления в государства признания заявителем ответа на указанный запрос не должен превышать 90 рабочих дней, включая подачу документов, специфичных для этих государств признания (при необходимости). Срок представления заявителем документов по запросу экспертной организации не входит в сроки проведения экспертизы. В случае непредставления заявителем в установленный срок ответа на запрос экспертиза прекращается, заключение о невозможности внесения изменений в регистрационное досье в течение 14 рабочих дней с даты прекращения экспертизы направляется в уполномоченный орган (экспертную организацию) референтного государства, заявителю и в государства признания.</w:t>
      </w:r>
    </w:p>
    <w:bookmarkEnd w:id="6860"/>
    <w:bookmarkStart w:name="z12427" w:id="6861"/>
    <w:p>
      <w:pPr>
        <w:spacing w:after="0"/>
        <w:ind w:left="0"/>
        <w:jc w:val="both"/>
      </w:pPr>
      <w:r>
        <w:rPr>
          <w:rFonts w:ascii="Times New Roman"/>
          <w:b w:val="false"/>
          <w:i w:val="false"/>
          <w:color w:val="000000"/>
          <w:sz w:val="28"/>
        </w:rPr>
        <w:t>
      По результатам экспертизы актуализируется экспертный отчет по оценке. В тексте заключения о возможности внесения изменений приводится информация о соответствующей заявлению версии (последовательности) электронного регистрационного досье.</w:t>
      </w:r>
    </w:p>
    <w:bookmarkEnd w:id="6861"/>
    <w:bookmarkStart w:name="z12428" w:id="6862"/>
    <w:p>
      <w:pPr>
        <w:spacing w:after="0"/>
        <w:ind w:left="0"/>
        <w:jc w:val="both"/>
      </w:pPr>
      <w:r>
        <w:rPr>
          <w:rFonts w:ascii="Times New Roman"/>
          <w:b w:val="false"/>
          <w:i w:val="false"/>
          <w:color w:val="000000"/>
          <w:sz w:val="28"/>
        </w:rPr>
        <w:t xml:space="preserve">
      Актуализированный экспертный отчет по оценке посредством интегрированной системы или прямого взаимодействия по телекоммуникационным каналам связи направляется в экспертные организации государств-членов, в которых зарегистрирован лекарственный препарат. В случае невозможности признания экспертного отчета по оценке уполномоченный орган (экспертная организация) государства признания вправе обратиться с соответствующим запросом в уполномоченный орган (экспертную организацию) референтного государства. </w:t>
      </w:r>
    </w:p>
    <w:bookmarkEnd w:id="6862"/>
    <w:bookmarkStart w:name="z12429" w:id="6863"/>
    <w:p>
      <w:pPr>
        <w:spacing w:after="0"/>
        <w:ind w:left="0"/>
        <w:jc w:val="both"/>
      </w:pPr>
      <w:r>
        <w:rPr>
          <w:rFonts w:ascii="Times New Roman"/>
          <w:b w:val="false"/>
          <w:i w:val="false"/>
          <w:color w:val="000000"/>
          <w:sz w:val="28"/>
        </w:rPr>
        <w:t>
      Консультации между уполномоченными органами (экспертными организациями) референтного государства и государств признания осуществляются (при необходимости) с использованием средств интегрированной системы или посредством прямого взаимодействия по телекоммуникационным каналам связи.</w:t>
      </w:r>
    </w:p>
    <w:bookmarkEnd w:id="6863"/>
    <w:bookmarkStart w:name="z12430" w:id="6864"/>
    <w:p>
      <w:pPr>
        <w:spacing w:after="0"/>
        <w:ind w:left="0"/>
        <w:jc w:val="both"/>
      </w:pPr>
      <w:r>
        <w:rPr>
          <w:rFonts w:ascii="Times New Roman"/>
          <w:b w:val="false"/>
          <w:i w:val="false"/>
          <w:color w:val="000000"/>
          <w:sz w:val="28"/>
        </w:rPr>
        <w:t>
      В случае если государство признания в течение 15 рабочих дней с даты получения заключения о возможности внесения изменений не направляет в референтное государство мотивированную позицию с указанием причин несогласия, заключение считается одобренным.</w:t>
      </w:r>
    </w:p>
    <w:bookmarkEnd w:id="6864"/>
    <w:bookmarkStart w:name="z12431" w:id="6865"/>
    <w:p>
      <w:pPr>
        <w:spacing w:after="0"/>
        <w:ind w:left="0"/>
        <w:jc w:val="both"/>
      </w:pPr>
      <w:r>
        <w:rPr>
          <w:rFonts w:ascii="Times New Roman"/>
          <w:b w:val="false"/>
          <w:i w:val="false"/>
          <w:color w:val="000000"/>
          <w:sz w:val="28"/>
        </w:rPr>
        <w:t xml:space="preserve">
      Экспертная организация референтного государства в течение 10 рабочих дней с даты получения от последнего из государств признания документов, указанных в абзаце четвертом настоящего пункта, вправе внести изменения в экспертный отчет по оценке и (или) провести консультации с экспертными организациями государств признания с целью согласования заключения. </w:t>
      </w:r>
    </w:p>
    <w:bookmarkEnd w:id="6865"/>
    <w:bookmarkStart w:name="z12432" w:id="6866"/>
    <w:p>
      <w:pPr>
        <w:spacing w:after="0"/>
        <w:ind w:left="0"/>
        <w:jc w:val="both"/>
      </w:pPr>
      <w:r>
        <w:rPr>
          <w:rFonts w:ascii="Times New Roman"/>
          <w:b w:val="false"/>
          <w:i w:val="false"/>
          <w:color w:val="000000"/>
          <w:sz w:val="28"/>
        </w:rPr>
        <w:t xml:space="preserve">
      Сроки, указанные в абзацах шестом и седьмом настоящего пункта, не учитываются при исчислении срока экспертизы в референтном государстве. </w:t>
      </w:r>
    </w:p>
    <w:bookmarkEnd w:id="6866"/>
    <w:bookmarkStart w:name="z12433" w:id="6867"/>
    <w:p>
      <w:pPr>
        <w:spacing w:after="0"/>
        <w:ind w:left="0"/>
        <w:jc w:val="both"/>
      </w:pPr>
      <w:r>
        <w:rPr>
          <w:rFonts w:ascii="Times New Roman"/>
          <w:b w:val="false"/>
          <w:i w:val="false"/>
          <w:color w:val="000000"/>
          <w:sz w:val="28"/>
        </w:rPr>
        <w:t xml:space="preserve">
      При неодобрении любым из государств признания заключения о возможности внесения изменений и невозможности учета замечаний референтным государством, в том числе после проведения консультаций, указанных в абзаце седьмом настоящего пункта, экспертная организация вносит в экспертный отчет по оценке мотивированную позицию государства признания (с указанием соответствующего государства) и завершает экспертизу. Заключение направляется заявителю и в Экспертный комитет. </w:t>
      </w:r>
    </w:p>
    <w:bookmarkEnd w:id="6867"/>
    <w:bookmarkStart w:name="z12434" w:id="6868"/>
    <w:p>
      <w:pPr>
        <w:spacing w:after="0"/>
        <w:ind w:left="0"/>
        <w:jc w:val="both"/>
      </w:pPr>
      <w:r>
        <w:rPr>
          <w:rFonts w:ascii="Times New Roman"/>
          <w:b w:val="false"/>
          <w:i w:val="false"/>
          <w:color w:val="000000"/>
          <w:sz w:val="28"/>
        </w:rPr>
        <w:t xml:space="preserve">
      Срок подготовки и направления в уполномоченный орган (экспертную организацию) референтного государства экспертного отчета по оценке, подготовленного после проведения указанных консультаций с экспертными организациями, не должен превышать общий срок экспертизы, указанный в абзаце первом настоящего пункта. </w:t>
      </w:r>
    </w:p>
    <w:bookmarkEnd w:id="6868"/>
    <w:bookmarkStart w:name="z12435" w:id="6869"/>
    <w:p>
      <w:pPr>
        <w:spacing w:after="0"/>
        <w:ind w:left="0"/>
        <w:jc w:val="both"/>
      </w:pPr>
      <w:r>
        <w:rPr>
          <w:rFonts w:ascii="Times New Roman"/>
          <w:b w:val="false"/>
          <w:i w:val="false"/>
          <w:color w:val="000000"/>
          <w:sz w:val="28"/>
        </w:rPr>
        <w:t>
      В случае направления запросов на этапе оценки полноты, комплектности и правильности оформления представленных документов или на этапе экспертизы досье на изменение экспертной организацией референтного государства информация о них и представленные заявителем ответы направляются в адрес государств признания.</w:t>
      </w:r>
    </w:p>
    <w:bookmarkEnd w:id="6869"/>
    <w:bookmarkStart w:name="z12436" w:id="6870"/>
    <w:p>
      <w:pPr>
        <w:spacing w:after="0"/>
        <w:ind w:left="0"/>
        <w:jc w:val="both"/>
      </w:pPr>
      <w:r>
        <w:rPr>
          <w:rFonts w:ascii="Times New Roman"/>
          <w:b w:val="false"/>
          <w:i w:val="false"/>
          <w:color w:val="000000"/>
          <w:sz w:val="28"/>
        </w:rPr>
        <w:t xml:space="preserve">
      2.2.4. По результатам проведенной экспертизы уполномоченный орган (экспертная организация) референтного государства в срок, не превышающий 5 рабочих дней с даты получения информации от последнего из государств признания с учетом положений абзаца шестого пункта 2.2.3 настоящих Правил, принимает решение об одобрении или отклонении изменения. </w:t>
      </w:r>
    </w:p>
    <w:bookmarkEnd w:id="6870"/>
    <w:bookmarkStart w:name="z12437" w:id="6871"/>
    <w:p>
      <w:pPr>
        <w:spacing w:after="0"/>
        <w:ind w:left="0"/>
        <w:jc w:val="both"/>
      </w:pPr>
      <w:r>
        <w:rPr>
          <w:rFonts w:ascii="Times New Roman"/>
          <w:b w:val="false"/>
          <w:i w:val="false"/>
          <w:color w:val="000000"/>
          <w:sz w:val="28"/>
        </w:rPr>
        <w:t>
      При отклонении изменения уполномоченный орган (экспертная организация) референтного государства уведомляет заявителя и соответствующие органы государств признания об основаниях такого решения в срок, не превышающий 10 рабочих дней с даты его принятия.</w:t>
      </w:r>
    </w:p>
    <w:bookmarkEnd w:id="6871"/>
    <w:bookmarkStart w:name="z12438" w:id="6872"/>
    <w:p>
      <w:pPr>
        <w:spacing w:after="0"/>
        <w:ind w:left="0"/>
        <w:jc w:val="both"/>
      </w:pPr>
      <w:r>
        <w:rPr>
          <w:rFonts w:ascii="Times New Roman"/>
          <w:b w:val="false"/>
          <w:i w:val="false"/>
          <w:color w:val="000000"/>
          <w:sz w:val="28"/>
        </w:rPr>
        <w:t>
      При одобрении изменения уполномоченный орган (экспертная организация) референтного государства размещает сведения о внесении изменений в едином реестре в соответствии с порядком формирования и ведения единого реестра.</w:t>
      </w:r>
    </w:p>
    <w:bookmarkEnd w:id="6872"/>
    <w:bookmarkStart w:name="z12439" w:id="6873"/>
    <w:p>
      <w:pPr>
        <w:spacing w:after="0"/>
        <w:ind w:left="0"/>
        <w:jc w:val="both"/>
      </w:pPr>
      <w:r>
        <w:rPr>
          <w:rFonts w:ascii="Times New Roman"/>
          <w:b w:val="false"/>
          <w:i w:val="false"/>
          <w:color w:val="000000"/>
          <w:sz w:val="28"/>
        </w:rPr>
        <w:t>
      2.2.5. В случае если в результате внесения изменения требуется пересмотр информации о лекарственном препарате согласно пункту 1.6.1 настоящих Правил уполномоченный орган (экспертная организация) референтного государства в срок, не превышающий 10 рабочих дней с даты принятия решения об одобрении изменения, указанного в абзаце первом пункта 2.2.4 настоящих Правил, размещает сведения о внесении изменения в едином реестре с приложением измененных утвержденных общей характеристики лекарственного препарата, инструкции по медицинскому применению (листка-вкладыша), макетов упаковок, нормативного документа по качеству в соответствии с порядком формирования и ведения единого реестра, а также выдает заявителю измененные общую характеристику лекарственного препарата, инструкцию по медицинскому применению (листок-вкладыш), макеты упаковок, нормативный документ по качеству и (при необходимости) регистрационное удостоверение.</w:t>
      </w:r>
    </w:p>
    <w:bookmarkEnd w:id="6873"/>
    <w:bookmarkStart w:name="z12440" w:id="6874"/>
    <w:p>
      <w:pPr>
        <w:spacing w:after="0"/>
        <w:ind w:left="0"/>
        <w:jc w:val="both"/>
      </w:pPr>
      <w:r>
        <w:rPr>
          <w:rFonts w:ascii="Times New Roman"/>
          <w:b w:val="false"/>
          <w:i w:val="false"/>
          <w:color w:val="000000"/>
          <w:sz w:val="28"/>
        </w:rPr>
        <w:t>
      2.2.6. В срок, не превышающий 10 рабочих дней с даты получения сведений о положительном решении уполномоченного органа (экспертной организации) референтного государства, указанном в абзаце третьем пункта 2.2.3 настоящих Правил, уполномоченный орган (экспертная организация) государства-признания принимает решение о внесении изменений, согласует (при необходимости) утвержденные референтным государством измененные документы, затрагивающие информацию о лекарственном препарате, а также размещает сведения о внесении изменений в едином реестре. В случае если изменение приводит к пересмотру информации о лекарственном препарате согласно пункту 1.6.1 настоящих Правил уполномоченный орган (экспертная организация) выдает заявителю измененные специфичные для государства признания документы и (при необходимости) обновленное регистрационное удостоверение.</w:t>
      </w:r>
    </w:p>
    <w:bookmarkEnd w:id="6874"/>
    <w:bookmarkStart w:name="z12441" w:id="6875"/>
    <w:p>
      <w:pPr>
        <w:spacing w:after="0"/>
        <w:ind w:left="0"/>
        <w:jc w:val="left"/>
      </w:pPr>
      <w:r>
        <w:rPr>
          <w:rFonts w:ascii="Times New Roman"/>
          <w:b/>
          <w:i w:val="false"/>
          <w:color w:val="000000"/>
        </w:rPr>
        <w:t xml:space="preserve"> 2.3. Процедура внесения значимых изменений II типа</w:t>
      </w:r>
    </w:p>
    <w:bookmarkEnd w:id="6875"/>
    <w:bookmarkStart w:name="z12442" w:id="6876"/>
    <w:p>
      <w:pPr>
        <w:spacing w:after="0"/>
        <w:ind w:left="0"/>
        <w:jc w:val="both"/>
      </w:pPr>
      <w:r>
        <w:rPr>
          <w:rFonts w:ascii="Times New Roman"/>
          <w:b w:val="false"/>
          <w:i w:val="false"/>
          <w:color w:val="000000"/>
          <w:sz w:val="28"/>
        </w:rPr>
        <w:t>
      2.3.1. В случае если заявление содержит одно или несколько изменений только II типа или группу изменений IА типа, и (или) IА</w:t>
      </w:r>
      <w:r>
        <w:rPr>
          <w:rFonts w:ascii="Times New Roman"/>
          <w:b w:val="false"/>
          <w:i w:val="false"/>
          <w:color w:val="000000"/>
          <w:vertAlign w:val="subscript"/>
        </w:rPr>
        <w:t>НУ</w:t>
      </w:r>
      <w:r>
        <w:rPr>
          <w:rFonts w:ascii="Times New Roman"/>
          <w:b w:val="false"/>
          <w:i w:val="false"/>
          <w:color w:val="000000"/>
          <w:sz w:val="28"/>
        </w:rPr>
        <w:t xml:space="preserve"> типа, и (или) IВ типа и как минимум одно изменение II типа, заявитель предоставляет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по форме согласно приложению № 2 к Правилам регистрации и экспертизы на бумажном и (или) электронном носителе,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 соответствующие документы регистрационного досье, обосновывающие внесение каждого изменения, а также поправки к соответствующим разделам и документам регистрационного досье (обновленные документы)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 </w:t>
      </w:r>
    </w:p>
    <w:bookmarkEnd w:id="6876"/>
    <w:bookmarkStart w:name="z12443" w:id="6877"/>
    <w:p>
      <w:pPr>
        <w:spacing w:after="0"/>
        <w:ind w:left="0"/>
        <w:jc w:val="both"/>
      </w:pPr>
      <w:r>
        <w:rPr>
          <w:rFonts w:ascii="Times New Roman"/>
          <w:b w:val="false"/>
          <w:i w:val="false"/>
          <w:color w:val="000000"/>
          <w:sz w:val="28"/>
        </w:rPr>
        <w:t>
      В уполномоченные органы (экспертные организации) государств признания в срок, не превышающий 10 рабочих дней с даты подачи заявления о внесении изменений в референтное государство, заявитель предоставляет такое заявление по форме согласно приложению № 2 к Правилам регистрации и экспертизы на бумажном и (или) электронном носителе и документы, подтверждающие оплату сбора (пошлины) за внесение изменений в случаях и порядке, установленных законодательством государств-членов, а также (при необходимости) документы модуля 1 регистрационного досье, специфичные для государства признания, относящиеся к вносимым изменениям, и (или) документ, подтверждающий валидность представленной версии (последовательности) электронного регистрационного досье, содержащей специфичные для государства признания документы модуля 1 регистрационного досье.</w:t>
      </w:r>
    </w:p>
    <w:bookmarkEnd w:id="6877"/>
    <w:bookmarkStart w:name="z12444" w:id="6878"/>
    <w:p>
      <w:pPr>
        <w:spacing w:after="0"/>
        <w:ind w:left="0"/>
        <w:jc w:val="both"/>
      </w:pPr>
      <w:r>
        <w:rPr>
          <w:rFonts w:ascii="Times New Roman"/>
          <w:b w:val="false"/>
          <w:i w:val="false"/>
          <w:color w:val="000000"/>
          <w:sz w:val="28"/>
        </w:rPr>
        <w:t>
      2.3.2. Уполномоченный орган (экспертная организация) референтного государства в срок, не превышающий 5 рабочих дней с даты представления документов, указанных в абзаце первом пункта 2.3.1 настоящих Правил, проводит оценку полноты, комплектности и правильности оформления представленных документов и принимает решение о возможности проведения экспертизы. Уполномоченный орган (экспертная организация) референтного государства открывает для соответствующих органов государств признания доступ к версии (последовательности) электронного регистрационного досье, представленной вместе с заявлением о внесении изменений, с использованием средств интегрированной системы или по запросу соответствующих органов государств признания в срок, не превышающий 5 рабочих дней с даты получения указанного запроса.</w:t>
      </w:r>
    </w:p>
    <w:bookmarkEnd w:id="6878"/>
    <w:bookmarkStart w:name="z12445" w:id="6879"/>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вправе направить запрос заявителю об уточнении представленных сведений и (или) о необходимости представления дополнительных материалов.</w:t>
      </w:r>
    </w:p>
    <w:bookmarkEnd w:id="6879"/>
    <w:bookmarkStart w:name="z12446" w:id="6880"/>
    <w:p>
      <w:pPr>
        <w:spacing w:after="0"/>
        <w:ind w:left="0"/>
        <w:jc w:val="both"/>
      </w:pPr>
      <w:r>
        <w:rPr>
          <w:rFonts w:ascii="Times New Roman"/>
          <w:b w:val="false"/>
          <w:i w:val="false"/>
          <w:color w:val="000000"/>
          <w:sz w:val="28"/>
        </w:rPr>
        <w:t>
      Заявителю предоставляется не более 90 рабочих дней, не входящих в срок проведения экспертизы регистрационного досье и процедуры внесения изменений, на представление недостающих материалов регистрационного досье по замечаниям уполномоченного органа (экспертной организации) референтного государства. Срок оценки уполномоченным органом (экспертной организацией) референтного государства ответа на указанный запрос не должен превышать 5 рабочих дней с даты получения ответа от заявителя.</w:t>
      </w:r>
    </w:p>
    <w:bookmarkEnd w:id="6880"/>
    <w:bookmarkStart w:name="z12447" w:id="6881"/>
    <w:p>
      <w:pPr>
        <w:spacing w:after="0"/>
        <w:ind w:left="0"/>
        <w:jc w:val="both"/>
      </w:pPr>
      <w:r>
        <w:rPr>
          <w:rFonts w:ascii="Times New Roman"/>
          <w:b w:val="false"/>
          <w:i w:val="false"/>
          <w:color w:val="000000"/>
          <w:sz w:val="28"/>
        </w:rPr>
        <w:t xml:space="preserve">
      Если регистрационное досье на изменение удовлетворяет требованиям, установленным пунктом 2.3.1 настоящих Правил,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направляет регистрационное досье на изменение для проведения экспертизы. </w:t>
      </w:r>
    </w:p>
    <w:bookmarkEnd w:id="6881"/>
    <w:bookmarkStart w:name="z12448" w:id="6882"/>
    <w:p>
      <w:pPr>
        <w:spacing w:after="0"/>
        <w:ind w:left="0"/>
        <w:jc w:val="both"/>
      </w:pPr>
      <w:r>
        <w:rPr>
          <w:rFonts w:ascii="Times New Roman"/>
          <w:b w:val="false"/>
          <w:i w:val="false"/>
          <w:color w:val="000000"/>
          <w:sz w:val="28"/>
        </w:rPr>
        <w:t xml:space="preserve">
      В случае непредставления заявителем в указанный в абзаце третьем настоящего пункта срок ответа на запрос уполномоченного органа (экспертной организации) референтного государства процедура внесения изменений прекращается, о чем в течение 10 рабочих дней уведомляются заявитель и уполномоченные органы (экспертные организации) государств признания посредством интегрированной системы или путем прямого взаимодействия по телекоммуникационным каналам связи. </w:t>
      </w:r>
    </w:p>
    <w:bookmarkEnd w:id="6882"/>
    <w:bookmarkStart w:name="z12449" w:id="6883"/>
    <w:p>
      <w:pPr>
        <w:spacing w:after="0"/>
        <w:ind w:left="0"/>
        <w:jc w:val="both"/>
      </w:pPr>
      <w:r>
        <w:rPr>
          <w:rFonts w:ascii="Times New Roman"/>
          <w:b w:val="false"/>
          <w:i w:val="false"/>
          <w:color w:val="000000"/>
          <w:sz w:val="28"/>
        </w:rPr>
        <w:t xml:space="preserve">
      При необходимости письменные консультации между уполномоченными органами (экспертными организациями) референтного государства и государств признания осуществляются с использованием средств интегрированной системы или путем прямого взаимодействия по телекоммуникационным каналам связи. </w:t>
      </w:r>
    </w:p>
    <w:bookmarkEnd w:id="6883"/>
    <w:bookmarkStart w:name="z12450" w:id="6884"/>
    <w:p>
      <w:pPr>
        <w:spacing w:after="0"/>
        <w:ind w:left="0"/>
        <w:jc w:val="both"/>
      </w:pPr>
      <w:r>
        <w:rPr>
          <w:rFonts w:ascii="Times New Roman"/>
          <w:b w:val="false"/>
          <w:i w:val="false"/>
          <w:color w:val="000000"/>
          <w:sz w:val="28"/>
        </w:rPr>
        <w:t>
      2.3.3. В течение срока проведения экспертизы экспертная организация референтного государства вправе направить заявителю запрос в письменном и (или) электронном виде о недостающей (дополнительной) информации, необходимых разъяснениях или уточнениях представленных документов и данных регистрационного досье (в том числе предложения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нормативную документацию по качеству или иные документы регистрационного досье). Срок представления заявителем ответа на указанный запрос не должен превышать 90 рабочих дней, включая подачу в государства признания документов, специфичных для этих государств признания (при необходимости). Срок представления заявителем документов по запросу экспертной организации референтного государства не входит в сроки проведения экспертизы. В случае непредставления заявителем в указанный срок ответа на запрос экспертной организации референтного государства экспертиза прекращается, заключение о невозможности внесения изменений направляется в течение 10 рабочих дней заявителю и государствам признания.</w:t>
      </w:r>
    </w:p>
    <w:bookmarkEnd w:id="6884"/>
    <w:bookmarkStart w:name="z12451" w:id="6885"/>
    <w:p>
      <w:pPr>
        <w:spacing w:after="0"/>
        <w:ind w:left="0"/>
        <w:jc w:val="both"/>
      </w:pPr>
      <w:r>
        <w:rPr>
          <w:rFonts w:ascii="Times New Roman"/>
          <w:b w:val="false"/>
          <w:i w:val="false"/>
          <w:color w:val="000000"/>
          <w:sz w:val="28"/>
        </w:rPr>
        <w:t>
      2.3.4. При необходимости и по согласованию с экспертной организацией референтного государства заявитель представляет в уполномоченный орган (экспертную организацию) референтного государства:</w:t>
      </w:r>
    </w:p>
    <w:bookmarkEnd w:id="6885"/>
    <w:bookmarkStart w:name="z12452" w:id="6886"/>
    <w:p>
      <w:pPr>
        <w:spacing w:after="0"/>
        <w:ind w:left="0"/>
        <w:jc w:val="both"/>
      </w:pPr>
      <w:r>
        <w:rPr>
          <w:rFonts w:ascii="Times New Roman"/>
          <w:b w:val="false"/>
          <w:i w:val="false"/>
          <w:color w:val="000000"/>
          <w:sz w:val="28"/>
        </w:rPr>
        <w:t>
      образцы лекарственных препаратов;</w:t>
      </w:r>
    </w:p>
    <w:bookmarkEnd w:id="6886"/>
    <w:bookmarkStart w:name="z12453" w:id="6887"/>
    <w:p>
      <w:pPr>
        <w:spacing w:after="0"/>
        <w:ind w:left="0"/>
        <w:jc w:val="both"/>
      </w:pPr>
      <w:r>
        <w:rPr>
          <w:rFonts w:ascii="Times New Roman"/>
          <w:b w:val="false"/>
          <w:i w:val="false"/>
          <w:color w:val="000000"/>
          <w:sz w:val="28"/>
        </w:rPr>
        <w:t>
      стандартные образцы активных фармацевтических субстанций и родственных примесей (далее – стандартные образцы);</w:t>
      </w:r>
    </w:p>
    <w:bookmarkEnd w:id="6887"/>
    <w:bookmarkStart w:name="z12454" w:id="6888"/>
    <w:p>
      <w:pPr>
        <w:spacing w:after="0"/>
        <w:ind w:left="0"/>
        <w:jc w:val="both"/>
      </w:pPr>
      <w:r>
        <w:rPr>
          <w:rFonts w:ascii="Times New Roman"/>
          <w:b w:val="false"/>
          <w:i w:val="false"/>
          <w:color w:val="000000"/>
          <w:sz w:val="28"/>
        </w:rPr>
        <w:t>
      специфические реагенты;</w:t>
      </w:r>
    </w:p>
    <w:bookmarkEnd w:id="6888"/>
    <w:bookmarkStart w:name="z12455" w:id="6889"/>
    <w:p>
      <w:pPr>
        <w:spacing w:after="0"/>
        <w:ind w:left="0"/>
        <w:jc w:val="both"/>
      </w:pPr>
      <w:r>
        <w:rPr>
          <w:rFonts w:ascii="Times New Roman"/>
          <w:b w:val="false"/>
          <w:i w:val="false"/>
          <w:color w:val="000000"/>
          <w:sz w:val="28"/>
        </w:rPr>
        <w:t xml:space="preserve">
      другие материалы, необходимые для проведения лабораторных испытаний. </w:t>
      </w:r>
    </w:p>
    <w:bookmarkEnd w:id="6889"/>
    <w:bookmarkStart w:name="z12456" w:id="6890"/>
    <w:p>
      <w:pPr>
        <w:spacing w:after="0"/>
        <w:ind w:left="0"/>
        <w:jc w:val="both"/>
      </w:pPr>
      <w:r>
        <w:rPr>
          <w:rFonts w:ascii="Times New Roman"/>
          <w:b w:val="false"/>
          <w:i w:val="false"/>
          <w:color w:val="000000"/>
          <w:sz w:val="28"/>
        </w:rPr>
        <w:t>
      Не требуется представление образцов лекарственных препаратов, стандартных образцов, специфических реагентов и других материалов при невозможности проведения лабораторных испытаний в экспертной организации референтного государства вследствие:</w:t>
      </w:r>
    </w:p>
    <w:bookmarkEnd w:id="6890"/>
    <w:bookmarkStart w:name="z12457" w:id="6891"/>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категориям орфанных, высокотехнологичных,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6891"/>
    <w:bookmarkStart w:name="z12458" w:id="6892"/>
    <w:p>
      <w:pPr>
        <w:spacing w:after="0"/>
        <w:ind w:left="0"/>
        <w:jc w:val="both"/>
      </w:pPr>
      <w:r>
        <w:rPr>
          <w:rFonts w:ascii="Times New Roman"/>
          <w:b w:val="false"/>
          <w:i w:val="false"/>
          <w:color w:val="000000"/>
          <w:sz w:val="28"/>
        </w:rPr>
        <w:t>
      невозможности соблюдения условий транспортировки образцов лекарственных препаратов, стандартных образцов, специфических реагентов и других материалов на территорию государства-члена и (или) их хранения;</w:t>
      </w:r>
    </w:p>
    <w:bookmarkEnd w:id="6892"/>
    <w:bookmarkStart w:name="z12459" w:id="6893"/>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6893"/>
    <w:bookmarkStart w:name="z12460" w:id="6894"/>
    <w:p>
      <w:pPr>
        <w:spacing w:after="0"/>
        <w:ind w:left="0"/>
        <w:jc w:val="both"/>
      </w:pPr>
      <w:r>
        <w:rPr>
          <w:rFonts w:ascii="Times New Roman"/>
          <w:b w:val="false"/>
          <w:i w:val="false"/>
          <w:color w:val="000000"/>
          <w:sz w:val="28"/>
        </w:rPr>
        <w:t>
      других причин по решению уполномоченного органа (экспертной организации) референтного государства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6894"/>
    <w:bookmarkStart w:name="z12461" w:id="6895"/>
    <w:p>
      <w:pPr>
        <w:spacing w:after="0"/>
        <w:ind w:left="0"/>
        <w:jc w:val="both"/>
      </w:pPr>
      <w:r>
        <w:rPr>
          <w:rFonts w:ascii="Times New Roman"/>
          <w:b w:val="false"/>
          <w:i w:val="false"/>
          <w:color w:val="000000"/>
          <w:sz w:val="28"/>
        </w:rPr>
        <w:t>
      В указанных случаях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6895"/>
    <w:bookmarkStart w:name="z12462" w:id="6896"/>
    <w:p>
      <w:pPr>
        <w:spacing w:after="0"/>
        <w:ind w:left="0"/>
        <w:jc w:val="both"/>
      </w:pPr>
      <w:r>
        <w:rPr>
          <w:rFonts w:ascii="Times New Roman"/>
          <w:b w:val="false"/>
          <w:i w:val="false"/>
          <w:color w:val="000000"/>
          <w:sz w:val="28"/>
        </w:rPr>
        <w:t>
      В случае невозможности проведения лабораторных испытаний в лабораториях контроля качества производителя лекарственных препаратов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указанных категорий), по согласованию с уполномоченным органом (экспертной организацией) референтного государства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6896"/>
    <w:bookmarkStart w:name="z12463" w:id="6897"/>
    <w:p>
      <w:pPr>
        <w:spacing w:after="0"/>
        <w:ind w:left="0"/>
        <w:jc w:val="both"/>
      </w:pPr>
      <w:r>
        <w:rPr>
          <w:rFonts w:ascii="Times New Roman"/>
          <w:b w:val="false"/>
          <w:i w:val="false"/>
          <w:color w:val="000000"/>
          <w:sz w:val="28"/>
        </w:rPr>
        <w:t>
      Срок представления образцов лекарственных препаратов, стандартных образцов, специфических реагентов и других материалов по согласованию с экспертной организацией референтного государства (при необходимости) не учитывается при исчислении срока экспертизы в референтном государстве.</w:t>
      </w:r>
    </w:p>
    <w:bookmarkEnd w:id="6897"/>
    <w:bookmarkStart w:name="z12464" w:id="6898"/>
    <w:p>
      <w:pPr>
        <w:spacing w:after="0"/>
        <w:ind w:left="0"/>
        <w:jc w:val="both"/>
      </w:pPr>
      <w:r>
        <w:rPr>
          <w:rFonts w:ascii="Times New Roman"/>
          <w:b w:val="false"/>
          <w:i w:val="false"/>
          <w:color w:val="000000"/>
          <w:sz w:val="28"/>
        </w:rPr>
        <w:t>
      2.3.5. В течение 60 рабочих дней или 80 рабочих дней (в случае группировки разных типов изменений в рамках одного заявления о внесении изменений) с даты принятия решения о проведении экспертизы или со дня получения соответствующего задания уполномоченного органа экспертная организация референтного государства должна актуализировать экспертный отчет по оценке или подготовить мотивированную позицию о невозможности внесения заявленных изменений. В тексте экспертного отчета по оценке приводится информация о соответствующей заявлению версии (последовательности) электронного регистрационного досье. Указанный актуализированный экспертный отчет по оценке направляется в экспертные организации государств-членов, в которых зарегистрирован лекарственный препарат, посредством интегрированной системы или путем прямого взаимодействия по телекоммуникационным каналам связи.</w:t>
      </w:r>
    </w:p>
    <w:bookmarkEnd w:id="6898"/>
    <w:bookmarkStart w:name="z12465" w:id="6899"/>
    <w:p>
      <w:pPr>
        <w:spacing w:after="0"/>
        <w:ind w:left="0"/>
        <w:jc w:val="both"/>
      </w:pPr>
      <w:r>
        <w:rPr>
          <w:rFonts w:ascii="Times New Roman"/>
          <w:b w:val="false"/>
          <w:i w:val="false"/>
          <w:color w:val="000000"/>
          <w:sz w:val="28"/>
        </w:rPr>
        <w:t>
      В случае если государство признания в течение 20 рабочих дней с даты получения экспертного отчета по оценке не направляет в референтное государство мотивированную позицию с указанием причин несогласия, отчет считается одобренным.</w:t>
      </w:r>
    </w:p>
    <w:bookmarkEnd w:id="6899"/>
    <w:bookmarkStart w:name="z12466" w:id="6900"/>
    <w:p>
      <w:pPr>
        <w:spacing w:after="0"/>
        <w:ind w:left="0"/>
        <w:jc w:val="both"/>
      </w:pPr>
      <w:r>
        <w:rPr>
          <w:rFonts w:ascii="Times New Roman"/>
          <w:b w:val="false"/>
          <w:i w:val="false"/>
          <w:color w:val="000000"/>
          <w:sz w:val="28"/>
        </w:rPr>
        <w:t>
      Экспертная организация референтного государства в течение 15 рабочих дней с даты получения от последнего из государств признания мотивированной позиции вправе внести изменения в актуализированный экспертный отчет по оценке или провести консультации с экспертными организациями государств признания с целью его согласования.</w:t>
      </w:r>
    </w:p>
    <w:bookmarkEnd w:id="6900"/>
    <w:bookmarkStart w:name="z12467" w:id="6901"/>
    <w:p>
      <w:pPr>
        <w:spacing w:after="0"/>
        <w:ind w:left="0"/>
        <w:jc w:val="both"/>
      </w:pPr>
      <w:r>
        <w:rPr>
          <w:rFonts w:ascii="Times New Roman"/>
          <w:b w:val="false"/>
          <w:i w:val="false"/>
          <w:color w:val="000000"/>
          <w:sz w:val="28"/>
        </w:rPr>
        <w:t>
      Срок со дня направления экспертного отчета по оценке до дня получения указанной мотивированной позиции государств признания, а также срок представления образцов лекарственных препаратов, стандартных образцов, специфических реагентов и других материалов по согласованию с экспертной организацией референтного государства (при необходимости) не учитываются при исчислении срока экспертизы в референтном государстве.</w:t>
      </w:r>
    </w:p>
    <w:bookmarkEnd w:id="6901"/>
    <w:bookmarkStart w:name="z12468" w:id="6902"/>
    <w:p>
      <w:pPr>
        <w:spacing w:after="0"/>
        <w:ind w:left="0"/>
        <w:jc w:val="both"/>
      </w:pPr>
      <w:r>
        <w:rPr>
          <w:rFonts w:ascii="Times New Roman"/>
          <w:b w:val="false"/>
          <w:i w:val="false"/>
          <w:color w:val="000000"/>
          <w:sz w:val="28"/>
        </w:rPr>
        <w:t>
      При неодобрении любым из государств признания экспертного отчета по оценке и невозможности учета замечаний референтным государством, в том числе после проведения консультаций, указанных в абзаце третьем настоящего пункта, экспертная организация референтного государства завершает экспертизу и направляет в уполномоченный орган государства-члена, заявителю и в Экспертный комитет соответствующую мотивированную позицию с указанием государства признания, несогласного с указанным отчетом.</w:t>
      </w:r>
    </w:p>
    <w:bookmarkEnd w:id="6902"/>
    <w:bookmarkStart w:name="z12469" w:id="6903"/>
    <w:p>
      <w:pPr>
        <w:spacing w:after="0"/>
        <w:ind w:left="0"/>
        <w:jc w:val="both"/>
      </w:pPr>
      <w:r>
        <w:rPr>
          <w:rFonts w:ascii="Times New Roman"/>
          <w:b w:val="false"/>
          <w:i w:val="false"/>
          <w:color w:val="000000"/>
          <w:sz w:val="28"/>
        </w:rPr>
        <w:t>
      Срок подготовки и направления в уполномоченный орган (экспертную организацию) референтного государства актуализированного экспертного отчета по оценке или мотивированной позиции о невозможности внесения заявленных изменений после проведения согласования (при необходимости) с экспертной организацией референтного государства, указанного в абзаце четвертом настоящего пункта, не должен превышать 60 рабочих дней, за исключением случаев, указанных в пункте 2.3.7 настоящих Правил.</w:t>
      </w:r>
    </w:p>
    <w:bookmarkEnd w:id="6903"/>
    <w:bookmarkStart w:name="z12470" w:id="6904"/>
    <w:p>
      <w:pPr>
        <w:spacing w:after="0"/>
        <w:ind w:left="0"/>
        <w:jc w:val="both"/>
      </w:pPr>
      <w:r>
        <w:rPr>
          <w:rFonts w:ascii="Times New Roman"/>
          <w:b w:val="false"/>
          <w:i w:val="false"/>
          <w:color w:val="000000"/>
          <w:sz w:val="28"/>
        </w:rPr>
        <w:t>
      2.3.6. В срок, не превышающий 10 рабочих дней с даты получения актуализированного экспертного отчета по оценке или получения мотивированной позиции о невозможности внесения заявленных изменений в регистрационное досье, уполномоченный орган (экспертная организация) референтного государства принимает решение об одобрении или отклонении изменений.</w:t>
      </w:r>
    </w:p>
    <w:bookmarkEnd w:id="6904"/>
    <w:bookmarkStart w:name="z12471" w:id="6905"/>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при отклонении изменений уведомляет заявителя и соответствующие органы государств признания об основаниях такого решения в течение 10 рабочих дней с даты его принятия.</w:t>
      </w:r>
    </w:p>
    <w:bookmarkEnd w:id="6905"/>
    <w:bookmarkStart w:name="z12472" w:id="6906"/>
    <w:p>
      <w:pPr>
        <w:spacing w:after="0"/>
        <w:ind w:left="0"/>
        <w:jc w:val="both"/>
      </w:pPr>
      <w:r>
        <w:rPr>
          <w:rFonts w:ascii="Times New Roman"/>
          <w:b w:val="false"/>
          <w:i w:val="false"/>
          <w:color w:val="000000"/>
          <w:sz w:val="28"/>
        </w:rPr>
        <w:t>
      В случае если изменения приводят к пересмотру информации о лекарственном препарате согласно пункту 1.6.1 настоящих Правил, уполномоченный орган (экспертная организация) референтного государства в течение 5 рабочих дней с даты принятия положительного решения, указанного в абзаце первом настоящего пункта, размещает сведения о внесении изменений в едином реестре с приложением актуализированного экспертного отчета по оценке, утвержденных измененных общей характеристики лекарственного препарата, инструкции по медицинскому применению (листка-вкладыша), макетов упаковок, нормативного документа по качеству в соответствии с порядком формирования и ведения единого реестра, а также выдает заявителю утвержденные измененные общую характеристику лекарственного препарата, инструкцию по медицинскому применению (листок-вкладыш), макеты упаковок, нормативный документ по качеству и (при необходимости) регистрационное удостоверение.</w:t>
      </w:r>
    </w:p>
    <w:bookmarkEnd w:id="6906"/>
    <w:bookmarkStart w:name="z12473" w:id="6907"/>
    <w:p>
      <w:pPr>
        <w:spacing w:after="0"/>
        <w:ind w:left="0"/>
        <w:jc w:val="both"/>
      </w:pPr>
      <w:r>
        <w:rPr>
          <w:rFonts w:ascii="Times New Roman"/>
          <w:b w:val="false"/>
          <w:i w:val="false"/>
          <w:color w:val="000000"/>
          <w:sz w:val="28"/>
        </w:rPr>
        <w:t>
      2.3.7. Уполномоченный орган (экспертная организация) референтного государства вправе сократить срок, указанный в абзаце первом пункта 2.3.5 настоящих Правил, в случае срочности (безотлагательности) внесения изменений или продлить его до 80 рабочих дней в отношении изменений, заключающихся в изменении одобренных показаний к применению или включении новых показаний к применению, а также с учетом положений абзацев третьего и пятого пункта 1.7.1 настоящих Правил.</w:t>
      </w:r>
    </w:p>
    <w:bookmarkEnd w:id="6907"/>
    <w:bookmarkStart w:name="z12474" w:id="6908"/>
    <w:p>
      <w:pPr>
        <w:spacing w:after="0"/>
        <w:ind w:left="0"/>
        <w:jc w:val="both"/>
      </w:pPr>
      <w:r>
        <w:rPr>
          <w:rFonts w:ascii="Times New Roman"/>
          <w:b w:val="false"/>
          <w:i w:val="false"/>
          <w:color w:val="000000"/>
          <w:sz w:val="28"/>
        </w:rPr>
        <w:t>
      2.3.8. В срок, не превышающий 10 рабочих дней с даты получения положительного решения, указанного в абзаце первом пункта 2.3.6 настоящих Правил, уполномоченные органы (экспертные организации) государств признания принимают решение о признании экспертного отчета по оценке, подготовленного экспертной организацией референтного государства, и в срок, не превышающий 10 рабочих дней с даты его принятия, принимают решение о внесении изменений, при необходимости согласуют утвержденные референтным государством измененные документы, касающиеся информации о лекарственном препарате, размещают сведения о внесении изменений в едином реестре в соответствии с порядком его формирования и ведения и выдают заявителю утвержденные специфичные для государств признания документы и (или) при необходимости обновленное регистрационное удостоверение лекарственного препарата.</w:t>
      </w:r>
    </w:p>
    <w:bookmarkEnd w:id="6908"/>
    <w:bookmarkStart w:name="z12475" w:id="6909"/>
    <w:p>
      <w:pPr>
        <w:spacing w:after="0"/>
        <w:ind w:left="0"/>
        <w:jc w:val="both"/>
      </w:pPr>
      <w:r>
        <w:rPr>
          <w:rFonts w:ascii="Times New Roman"/>
          <w:b w:val="false"/>
          <w:i w:val="false"/>
          <w:color w:val="000000"/>
          <w:sz w:val="28"/>
        </w:rPr>
        <w:t xml:space="preserve">
      2.3.9. В случае формирования на этапе оценки полноты, комплектности и правильности оформления представленных документов или на этапе экспертизы досье на изменение экспертной организацией референтного государства запросов информация о них, как и представленные заявителем ответы, направляются в государства признания. </w:t>
      </w:r>
    </w:p>
    <w:bookmarkEnd w:id="6909"/>
    <w:bookmarkStart w:name="z12476" w:id="6910"/>
    <w:p>
      <w:pPr>
        <w:spacing w:after="0"/>
        <w:ind w:left="0"/>
        <w:jc w:val="both"/>
      </w:pPr>
      <w:r>
        <w:rPr>
          <w:rFonts w:ascii="Times New Roman"/>
          <w:b w:val="false"/>
          <w:i w:val="false"/>
          <w:color w:val="000000"/>
          <w:sz w:val="28"/>
        </w:rPr>
        <w:t>
      2.3.10. Настоящий раздел не применяется, если запрос на изменение II типа подан в составе группы изменений, включающей расширение регистрации. В этом случае применяется процедура, предусмотренная пунктом 4.1.1 настоящих Правил.</w:t>
      </w:r>
    </w:p>
    <w:bookmarkEnd w:id="6910"/>
    <w:bookmarkStart w:name="z12477" w:id="6911"/>
    <w:p>
      <w:pPr>
        <w:spacing w:after="0"/>
        <w:ind w:left="0"/>
        <w:jc w:val="both"/>
      </w:pPr>
      <w:r>
        <w:rPr>
          <w:rFonts w:ascii="Times New Roman"/>
          <w:b w:val="false"/>
          <w:i w:val="false"/>
          <w:color w:val="000000"/>
          <w:sz w:val="28"/>
        </w:rPr>
        <w:t>
      2.4. Рассмотрение в Экспертном комитете</w:t>
      </w:r>
    </w:p>
    <w:bookmarkEnd w:id="6911"/>
    <w:bookmarkStart w:name="z12478" w:id="6912"/>
    <w:p>
      <w:pPr>
        <w:spacing w:after="0"/>
        <w:ind w:left="0"/>
        <w:jc w:val="both"/>
      </w:pPr>
      <w:r>
        <w:rPr>
          <w:rFonts w:ascii="Times New Roman"/>
          <w:b w:val="false"/>
          <w:i w:val="false"/>
          <w:color w:val="000000"/>
          <w:sz w:val="28"/>
        </w:rPr>
        <w:t>
      2.4.1. Если уполномоченными органами одного или нескольких государств признания направлено заключение о невозможности признания экспертного отчета по оценке, подготовленного экспертной организацией референтного государства в соответствии с пунктами 2.2.3 и 2.3.5 настоящих Правил, Экспертным комитетом в срок, не превышающий 60 календарных дней с даты направления уполномоченными органами государств признания такого заключения, осуществляется процедура урегулирования разногласий в соответствии с порядком, установленным Положением об Экспертном комитете по лекарственным средствам, утвержденным Решением Совета Евразийской экономической комиссии от 3 ноября 2016 г. № 75.</w:t>
      </w:r>
    </w:p>
    <w:bookmarkEnd w:id="6912"/>
    <w:bookmarkStart w:name="z12479" w:id="6913"/>
    <w:p>
      <w:pPr>
        <w:spacing w:after="0"/>
        <w:ind w:left="0"/>
        <w:jc w:val="left"/>
      </w:pPr>
      <w:r>
        <w:rPr>
          <w:rFonts w:ascii="Times New Roman"/>
          <w:b/>
          <w:i w:val="false"/>
          <w:color w:val="000000"/>
        </w:rPr>
        <w:t xml:space="preserve"> III. Внесение изменений в регистрационное досье лекарственных препаратов, зарегистрированных в одном (референтном) государстве (национальная процедура)</w:t>
      </w:r>
    </w:p>
    <w:bookmarkEnd w:id="6913"/>
    <w:bookmarkStart w:name="z12480" w:id="6914"/>
    <w:p>
      <w:pPr>
        <w:spacing w:after="0"/>
        <w:ind w:left="0"/>
        <w:jc w:val="left"/>
      </w:pPr>
      <w:r>
        <w:rPr>
          <w:rFonts w:ascii="Times New Roman"/>
          <w:b/>
          <w:i w:val="false"/>
          <w:color w:val="000000"/>
        </w:rPr>
        <w:t xml:space="preserve"> 3.1. Процедура внесения незначимых изменений IA типа и (или) IA</w:t>
      </w:r>
      <w:r>
        <w:rPr>
          <w:rFonts w:ascii="Times New Roman"/>
          <w:b/>
          <w:i w:val="false"/>
          <w:color w:val="000000"/>
          <w:vertAlign w:val="subscript"/>
        </w:rPr>
        <w:t>НУ</w:t>
      </w:r>
      <w:r>
        <w:rPr>
          <w:rFonts w:ascii="Times New Roman"/>
          <w:b/>
          <w:i w:val="false"/>
          <w:color w:val="000000"/>
        </w:rPr>
        <w:t xml:space="preserve"> типа</w:t>
      </w:r>
    </w:p>
    <w:bookmarkEnd w:id="6914"/>
    <w:bookmarkStart w:name="z12481" w:id="6915"/>
    <w:p>
      <w:pPr>
        <w:spacing w:after="0"/>
        <w:ind w:left="0"/>
        <w:jc w:val="both"/>
      </w:pPr>
      <w:r>
        <w:rPr>
          <w:rFonts w:ascii="Times New Roman"/>
          <w:b w:val="false"/>
          <w:i w:val="false"/>
          <w:color w:val="000000"/>
          <w:sz w:val="28"/>
        </w:rPr>
        <w:t>
      3.1.1. В уведомительном порядке (без экспертизы) могут быть заявлены только изменения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Если заявление о внесении изменений содержит дополнительные изменения, не относящиеся к указанным типам, такое заявление подвергается экспертизе в порядке, установленном настоящими Правилами для соответствующего типа изменения. </w:t>
      </w:r>
    </w:p>
    <w:bookmarkEnd w:id="6915"/>
    <w:bookmarkStart w:name="z12482" w:id="6916"/>
    <w:p>
      <w:pPr>
        <w:spacing w:after="0"/>
        <w:ind w:left="0"/>
        <w:jc w:val="both"/>
      </w:pPr>
      <w:r>
        <w:rPr>
          <w:rFonts w:ascii="Times New Roman"/>
          <w:b w:val="false"/>
          <w:i w:val="false"/>
          <w:color w:val="000000"/>
          <w:sz w:val="28"/>
        </w:rPr>
        <w:t>
      Дополнение V к настоящим Правилам содержит классификацию изменений, которые следует рассматривать в качестве незначимых изменений IA типа. Держатель должен подать заявление о внесении таких изменений в течение 365 календарных дней с даты их реализации (процедура "сделай и расскажи"). Однако в целях обеспечения непрерывного надзора за лекарственным препаратом некоторые незначимые изменения IA типа требуют немедленного уведомления уполномоченных органов (экспертных организаций) государств-членов (не позднее 20 рабочих дней) после реализации (IA</w:t>
      </w:r>
      <w:r>
        <w:rPr>
          <w:rFonts w:ascii="Times New Roman"/>
          <w:b w:val="false"/>
          <w:i w:val="false"/>
          <w:color w:val="000000"/>
          <w:vertAlign w:val="subscript"/>
        </w:rPr>
        <w:t>НУ</w:t>
      </w:r>
      <w:r>
        <w:rPr>
          <w:rFonts w:ascii="Times New Roman"/>
          <w:b w:val="false"/>
          <w:i w:val="false"/>
          <w:color w:val="000000"/>
          <w:sz w:val="28"/>
        </w:rPr>
        <w:t>). При этом для незначимых изменений IA типа, приводящих к пересмотру информации о лекарственном препарате согласно пункту 1.6.1 настоящих Правил или влияющих на информацию, содержащуюся в едином реестре, заявление о внесении изменений необходимо представить до реализации изменений. Реализация таких изменений возможна только после внесения уполномоченным органом (экспертной организацией) референтного государства соответствующих сведений в единый реестр.</w:t>
      </w:r>
    </w:p>
    <w:bookmarkEnd w:id="6916"/>
    <w:bookmarkStart w:name="z12483" w:id="6917"/>
    <w:p>
      <w:pPr>
        <w:spacing w:after="0"/>
        <w:ind w:left="0"/>
        <w:jc w:val="both"/>
      </w:pPr>
      <w:r>
        <w:rPr>
          <w:rFonts w:ascii="Times New Roman"/>
          <w:b w:val="false"/>
          <w:i w:val="false"/>
          <w:color w:val="000000"/>
          <w:sz w:val="28"/>
        </w:rPr>
        <w:t xml:space="preserve">
      Если заявление о внесении изменений содержит дополнительные изменения, не относящиеся к изменениям уведомительного характера, уполномоченный орган (экспертная организация) референтного государства отклоняет такое заявление в срок, не превышающий 20 рабочих дней с даты его получения, и информирует в электронном виде заявителя об отказе во внесении таких изменений. </w:t>
      </w:r>
    </w:p>
    <w:bookmarkEnd w:id="6917"/>
    <w:bookmarkStart w:name="z12484" w:id="6918"/>
    <w:p>
      <w:pPr>
        <w:spacing w:after="0"/>
        <w:ind w:left="0"/>
        <w:jc w:val="both"/>
      </w:pPr>
      <w:r>
        <w:rPr>
          <w:rFonts w:ascii="Times New Roman"/>
          <w:b w:val="false"/>
          <w:i w:val="false"/>
          <w:color w:val="000000"/>
          <w:sz w:val="28"/>
        </w:rPr>
        <w:t xml:space="preserve">
      Непредставление всей необходимой документации, прилагаемой к заявлению о внесении изменений, документов, подтверждающих оплату сбора (пошлины) за внесение изменений в случаях и порядке, установленных законодательством государств-членов, а также несоблюдение условий классификации изменений в соответствии с дополнением II к настоящим Правилам являются основанием для отклонения заявления о внесении изменений уведомительного характера в регистрационное досье. При этом уполномоченный орган (экспертная организация) референтного государства вправе направить в течение 5 рабочих дней заявителю запрос о предоставлении необходимой документации. </w:t>
      </w:r>
    </w:p>
    <w:bookmarkEnd w:id="6918"/>
    <w:bookmarkStart w:name="z12485" w:id="6919"/>
    <w:p>
      <w:pPr>
        <w:spacing w:after="0"/>
        <w:ind w:left="0"/>
        <w:jc w:val="both"/>
      </w:pPr>
      <w:r>
        <w:rPr>
          <w:rFonts w:ascii="Times New Roman"/>
          <w:b w:val="false"/>
          <w:i w:val="false"/>
          <w:color w:val="000000"/>
          <w:sz w:val="28"/>
        </w:rPr>
        <w:t>
      3.1.2. При внесении незначимых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не приводящих к пересмотру информации о лекарственном препарате в соответствии с пунктом 1.6.1 настоящих Правил или не влияющих на информацию, содержащуюся в едином реестре,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в котором осуществляется подача такого заявления, по форме согласно приложению № 2 к Правилам регистрации и экспертизы, документы, подтверждающие оплату сбора (пошлины) за внесение изменений в случаях и порядке, установленных законодательством государства-члена, поправки к соответствующим разделам и документам регистрационного досье (обновленные документы), соответствующие документы регистрационного досье, обосновывающие внесение каждого изменения и подтверждающие соблюдение условий в соответствии с дополнением V к настоящим Правилам, и (при необходимости) документ, подтверждающий валидность представляемой версии (последовательности) электронного регистрационного досье.</w:t>
      </w:r>
    </w:p>
    <w:bookmarkEnd w:id="6919"/>
    <w:bookmarkStart w:name="z12486" w:id="6920"/>
    <w:p>
      <w:pPr>
        <w:spacing w:after="0"/>
        <w:ind w:left="0"/>
        <w:jc w:val="both"/>
      </w:pPr>
      <w:r>
        <w:rPr>
          <w:rFonts w:ascii="Times New Roman"/>
          <w:b w:val="false"/>
          <w:i w:val="false"/>
          <w:color w:val="000000"/>
          <w:sz w:val="28"/>
        </w:rPr>
        <w:t>
      При необходимости одновременного внесения одинаковых множественных изменений IA типа и (или) IA</w:t>
      </w:r>
      <w:r>
        <w:rPr>
          <w:rFonts w:ascii="Times New Roman"/>
          <w:b w:val="false"/>
          <w:i w:val="false"/>
          <w:color w:val="000000"/>
          <w:vertAlign w:val="subscript"/>
        </w:rPr>
        <w:t>НУ</w:t>
      </w:r>
      <w:r>
        <w:rPr>
          <w:rFonts w:ascii="Times New Roman"/>
          <w:b w:val="false"/>
          <w:i w:val="false"/>
          <w:color w:val="000000"/>
          <w:sz w:val="28"/>
        </w:rPr>
        <w:t xml:space="preserve"> типа заявитель представляет в уполномоченный орган (экспертную организацию) референтного государства документы, перечисленные в абзацах третьем – пятом пункта 1.7.2 настоящих Правил. Заявитель вправе представить в уполномоченный орган (экспертную организацию) референтного государства документы, указанные в абзаце первом настоящего пункта или в абзацах третьем – пятом пункта 1.7.2 настоящих Правил, в течение 365 календарных дней с даты реализации изменений в случае, если заявленные изменения не приводят к пересмотру информации о лекарственном препарате в соответствии с пунктом 1.6.1 настоящих Правил и не относятся к изменениям IA</w:t>
      </w:r>
      <w:r>
        <w:rPr>
          <w:rFonts w:ascii="Times New Roman"/>
          <w:b w:val="false"/>
          <w:i w:val="false"/>
          <w:color w:val="000000"/>
          <w:vertAlign w:val="subscript"/>
        </w:rPr>
        <w:t>НУ</w:t>
      </w:r>
      <w:r>
        <w:rPr>
          <w:rFonts w:ascii="Times New Roman"/>
          <w:b w:val="false"/>
          <w:i w:val="false"/>
          <w:color w:val="000000"/>
          <w:sz w:val="28"/>
        </w:rPr>
        <w:t xml:space="preserve"> типа. При этом срок подачи первоначального заявления о внесении изменений заявитель рассчитывает самостоятельно с учетом положений абзацев третьего и пятого пункта 1.7.1 настоящих Правил.</w:t>
      </w:r>
    </w:p>
    <w:bookmarkEnd w:id="6920"/>
    <w:bookmarkStart w:name="z12487" w:id="6921"/>
    <w:p>
      <w:pPr>
        <w:spacing w:after="0"/>
        <w:ind w:left="0"/>
        <w:jc w:val="both"/>
      </w:pPr>
      <w:r>
        <w:rPr>
          <w:rFonts w:ascii="Times New Roman"/>
          <w:b w:val="false"/>
          <w:i w:val="false"/>
          <w:color w:val="000000"/>
          <w:sz w:val="28"/>
        </w:rPr>
        <w:t xml:space="preserve">
      Уполномоченный орган (экспертная организация) референтного государства после получения документов, указанных в абзаце втором настоящего пункта, проводит оценку полноты, комплектности и правильности оформления представленных документов. </w:t>
      </w:r>
    </w:p>
    <w:bookmarkEnd w:id="6921"/>
    <w:bookmarkStart w:name="z12488" w:id="6922"/>
    <w:p>
      <w:pPr>
        <w:spacing w:after="0"/>
        <w:ind w:left="0"/>
        <w:jc w:val="both"/>
      </w:pPr>
      <w:r>
        <w:rPr>
          <w:rFonts w:ascii="Times New Roman"/>
          <w:b w:val="false"/>
          <w:i w:val="false"/>
          <w:color w:val="000000"/>
          <w:sz w:val="28"/>
        </w:rPr>
        <w:t>
      Принятие экспертной организацией референтного государства решения о возможности приобщения соответствующей версии (последовательности) регистрационного досье к электронному регистрационному досье при внесении незначимых изменений уведомительного характера, не затрагивающих информацию о лекарственном препарате в соответствии с пунктом 1.6.1 настоящих Правил, и размещение сведений в едином реестре в установленном порядке референтным государством являются основанием для продолжения реализации изменений в референтном государстве.</w:t>
      </w:r>
    </w:p>
    <w:bookmarkEnd w:id="6922"/>
    <w:bookmarkStart w:name="z12489" w:id="6923"/>
    <w:p>
      <w:pPr>
        <w:spacing w:after="0"/>
        <w:ind w:left="0"/>
        <w:jc w:val="both"/>
      </w:pPr>
      <w:r>
        <w:rPr>
          <w:rFonts w:ascii="Times New Roman"/>
          <w:b w:val="false"/>
          <w:i w:val="false"/>
          <w:color w:val="000000"/>
          <w:sz w:val="28"/>
        </w:rPr>
        <w:t>
      При отклонении изменений, указанных в пункте 3.1.1 и абзаце первом пункта 1.7.2 настоящих Правил, реализация таких изменений не прекращается в течение 365 календарных дней с даты начала их реализации. Заявитель обязан представить новое заявление о внесении изменений с учетом причины отклонения до окончания указанного срока.</w:t>
      </w:r>
    </w:p>
    <w:bookmarkEnd w:id="6923"/>
    <w:bookmarkStart w:name="z12490" w:id="6924"/>
    <w:p>
      <w:pPr>
        <w:spacing w:after="0"/>
        <w:ind w:left="0"/>
        <w:jc w:val="both"/>
      </w:pPr>
      <w:r>
        <w:rPr>
          <w:rFonts w:ascii="Times New Roman"/>
          <w:b w:val="false"/>
          <w:i w:val="false"/>
          <w:color w:val="000000"/>
          <w:sz w:val="28"/>
        </w:rPr>
        <w:t>
      При наличии среди указанных изменений информации о лекарственном препарате, измененной в уведомительном порядке, одновременно с принятием указанного в абзаце втором пункта 1.7.3 настоящих Правил положительного решения уполномоченный орган (экспертная организация) референтного государства размещает указанную измененную в уведомительном порядке информацию о лекарственном препарате и сведения о внесении изменений в едином реестре в соответствии с порядком формирования и ведения единого реестра.</w:t>
      </w:r>
    </w:p>
    <w:bookmarkEnd w:id="6924"/>
    <w:bookmarkStart w:name="z12491" w:id="6925"/>
    <w:p>
      <w:pPr>
        <w:spacing w:after="0"/>
        <w:ind w:left="0"/>
        <w:jc w:val="both"/>
      </w:pPr>
      <w:r>
        <w:rPr>
          <w:rFonts w:ascii="Times New Roman"/>
          <w:b w:val="false"/>
          <w:i w:val="false"/>
          <w:color w:val="000000"/>
          <w:sz w:val="28"/>
        </w:rPr>
        <w:t>
      При внесении незначимых изменений уведомительного характера по результатам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не позднее 20 рабочих дней с даты их получения принимает решение о возможности приобщения соответствующих версий (последовательностей) регистрационного досье к электронному регистрационному досье или об отказе во внесении незначимых изменений уведомительного характера и информирует об этом заявителя в электронном виде и соответствующие органы государств признания посредством интегрированной системы. При одобрении незначимых изменений уполномоченный орган (экспертная организация) референтного государства размещает указанные сведения в едином реестре в установленном порядке.</w:t>
      </w:r>
    </w:p>
    <w:bookmarkEnd w:id="6925"/>
    <w:bookmarkStart w:name="z12492" w:id="6926"/>
    <w:p>
      <w:pPr>
        <w:spacing w:after="0"/>
        <w:ind w:left="0"/>
        <w:jc w:val="both"/>
      </w:pPr>
      <w:r>
        <w:rPr>
          <w:rFonts w:ascii="Times New Roman"/>
          <w:b w:val="false"/>
          <w:i w:val="false"/>
          <w:color w:val="000000"/>
          <w:sz w:val="28"/>
        </w:rPr>
        <w:t xml:space="preserve">
      3.1.3. В течение 20 рабочих дней с даты получения уведомления или заявления о внесении изменений уполномоченный орган (экспертная организация) референтного государства принимает решение о возможности приобщения соответствующих версий (последовательностей) регистрационного досье к электронному регистрационному досье или об отказе во внесении незначимых изменений уведомительного характера и информирует об этом заявителя в электронном виде. </w:t>
      </w:r>
    </w:p>
    <w:bookmarkEnd w:id="6926"/>
    <w:bookmarkStart w:name="z12493" w:id="6927"/>
    <w:p>
      <w:pPr>
        <w:spacing w:after="0"/>
        <w:ind w:left="0"/>
        <w:jc w:val="both"/>
      </w:pPr>
      <w:r>
        <w:rPr>
          <w:rFonts w:ascii="Times New Roman"/>
          <w:b w:val="false"/>
          <w:i w:val="false"/>
          <w:color w:val="000000"/>
          <w:sz w:val="28"/>
        </w:rPr>
        <w:t>
      При наличии измененной в уведомительном порядке информации о лекарственном препарате в соответствии с пунктом 1.6.1 настоящих Правил одновременно с принятием положительного решения уполномоченный орган (экспертная организация) референтного государства размещает указанную приобщенную к регистрационному досье в уведомительном порядке информацию и сведения о внесении изменений в едином реестре в соответствии с порядком формирования и ведения единого реестра.</w:t>
      </w:r>
    </w:p>
    <w:bookmarkEnd w:id="6927"/>
    <w:bookmarkStart w:name="z12494" w:id="6928"/>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продлить срок, указанный в абзаце первом настоящего пункта, до 80 рабочих дней в совокупности в случае, если заявителем представлены множественные групповые изменения.</w:t>
      </w:r>
    </w:p>
    <w:bookmarkEnd w:id="6928"/>
    <w:bookmarkStart w:name="z12495" w:id="6929"/>
    <w:p>
      <w:pPr>
        <w:spacing w:after="0"/>
        <w:ind w:left="0"/>
        <w:jc w:val="left"/>
      </w:pPr>
      <w:r>
        <w:rPr>
          <w:rFonts w:ascii="Times New Roman"/>
          <w:b/>
          <w:i w:val="false"/>
          <w:color w:val="000000"/>
        </w:rPr>
        <w:t xml:space="preserve"> 3.2. Процедура внесения незначимых изменений IВ типа</w:t>
      </w:r>
    </w:p>
    <w:bookmarkEnd w:id="6929"/>
    <w:bookmarkStart w:name="z12496" w:id="6930"/>
    <w:p>
      <w:pPr>
        <w:spacing w:after="0"/>
        <w:ind w:left="0"/>
        <w:jc w:val="both"/>
      </w:pPr>
      <w:r>
        <w:rPr>
          <w:rFonts w:ascii="Times New Roman"/>
          <w:b w:val="false"/>
          <w:i w:val="false"/>
          <w:color w:val="000000"/>
          <w:sz w:val="28"/>
        </w:rPr>
        <w:t>
      3.2.1. В случае если заявление о внесении изменений содержит одно изменение IВ типа или группу изменений IА типа и (или) IА</w:t>
      </w:r>
      <w:r>
        <w:rPr>
          <w:rFonts w:ascii="Times New Roman"/>
          <w:b w:val="false"/>
          <w:i w:val="false"/>
          <w:color w:val="000000"/>
          <w:vertAlign w:val="subscript"/>
        </w:rPr>
        <w:t>НУ</w:t>
      </w:r>
      <w:r>
        <w:rPr>
          <w:rFonts w:ascii="Times New Roman"/>
          <w:b w:val="false"/>
          <w:i w:val="false"/>
          <w:color w:val="000000"/>
          <w:sz w:val="28"/>
        </w:rPr>
        <w:t xml:space="preserve"> типа и как минимум одно изменение IВ типа,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по форме согласно приложению № 2 к Правилам регистрации и экспертизы, документы (электронные документы), подтверждающие оплату сбора (пошлины) за внесение изменений в случаях и порядке, установленных законодательством указанного государства-члена, поправки к соответствующим разделам и документам регистрационного досье, соответствующие документы, обосновывающие внесение каждого изменения в соответствии с дополнением V к настоящим Правилам, и (при необходимости) документ, подтверждающий валидность представляемой версии (последовательности) электронного регистрационного досье.</w:t>
      </w:r>
    </w:p>
    <w:bookmarkEnd w:id="6930"/>
    <w:bookmarkStart w:name="z12497" w:id="6931"/>
    <w:p>
      <w:pPr>
        <w:spacing w:after="0"/>
        <w:ind w:left="0"/>
        <w:jc w:val="both"/>
      </w:pPr>
      <w:r>
        <w:rPr>
          <w:rFonts w:ascii="Times New Roman"/>
          <w:b w:val="false"/>
          <w:i w:val="false"/>
          <w:color w:val="000000"/>
          <w:sz w:val="28"/>
        </w:rPr>
        <w:t>
      3.2.2. Уполномоченный орган (экспертная организация) референтного государства не позднее 5 рабочих дней с даты получения заявления о внесении изменений проводит оценку полноты, комплектности и правильности оформления представленных документов в соответствии с пунктом 3.2.1 настоящих Правил.</w:t>
      </w:r>
    </w:p>
    <w:bookmarkEnd w:id="6931"/>
    <w:bookmarkStart w:name="z12498" w:id="6932"/>
    <w:p>
      <w:pPr>
        <w:spacing w:after="0"/>
        <w:ind w:left="0"/>
        <w:jc w:val="both"/>
      </w:pPr>
      <w:r>
        <w:rPr>
          <w:rFonts w:ascii="Times New Roman"/>
          <w:b w:val="false"/>
          <w:i w:val="false"/>
          <w:color w:val="000000"/>
          <w:sz w:val="28"/>
        </w:rPr>
        <w:t xml:space="preserve">
      В течение 5 рабочих дней с даты завершения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вправе направить запрос заявителю об уточнении представленных сведений и (или) о необходимости представления дополнительных материалов. </w:t>
      </w:r>
    </w:p>
    <w:bookmarkEnd w:id="6932"/>
    <w:bookmarkStart w:name="z12499" w:id="6933"/>
    <w:p>
      <w:pPr>
        <w:spacing w:after="0"/>
        <w:ind w:left="0"/>
        <w:jc w:val="both"/>
      </w:pPr>
      <w:r>
        <w:rPr>
          <w:rFonts w:ascii="Times New Roman"/>
          <w:b w:val="false"/>
          <w:i w:val="false"/>
          <w:color w:val="000000"/>
          <w:sz w:val="28"/>
        </w:rPr>
        <w:t>
      Заявителю предоставляется не более 90 рабочих дней, не входящих в срок проведения экспертизы регистрационного досье и процедуры внесения изменений, на представление недостающих материалов в досье на изменение по замечаниям уполномоченного органа (экспертной организации) референтного государства. Срок оценки уполномоченным органом (экспертной организацией) референтного государства ответа на указанный запрос не должен превышать 5 рабочих дней.</w:t>
      </w:r>
    </w:p>
    <w:bookmarkEnd w:id="6933"/>
    <w:bookmarkStart w:name="z12500" w:id="6934"/>
    <w:p>
      <w:pPr>
        <w:spacing w:after="0"/>
        <w:ind w:left="0"/>
        <w:jc w:val="both"/>
      </w:pPr>
      <w:r>
        <w:rPr>
          <w:rFonts w:ascii="Times New Roman"/>
          <w:b w:val="false"/>
          <w:i w:val="false"/>
          <w:color w:val="000000"/>
          <w:sz w:val="28"/>
        </w:rPr>
        <w:t>
      Если досье на изменение удовлетворяет требованиям, установленным пунктом 3.2.1 настоящих Правил,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направляет досье на внесение изменений для проведения экспертизы.</w:t>
      </w:r>
    </w:p>
    <w:bookmarkEnd w:id="6934"/>
    <w:bookmarkStart w:name="z12501" w:id="6935"/>
    <w:p>
      <w:pPr>
        <w:spacing w:after="0"/>
        <w:ind w:left="0"/>
        <w:jc w:val="both"/>
      </w:pPr>
      <w:r>
        <w:rPr>
          <w:rFonts w:ascii="Times New Roman"/>
          <w:b w:val="false"/>
          <w:i w:val="false"/>
          <w:color w:val="000000"/>
          <w:sz w:val="28"/>
        </w:rPr>
        <w:t xml:space="preserve">
      3.2.3. Экспертиза проводится экспертной организацией в срок, не превышающий 30 рабочих дней с даты получения соответствующего задания или решения уполномоченного органа государства-члена. При этом с учетом положений абзацев третьего и пятого пункта 1.7.1 настоящих Правил срок может быть продлен экспертной организацией референтного государства до 60 рабочих дней. </w:t>
      </w:r>
    </w:p>
    <w:bookmarkEnd w:id="6935"/>
    <w:bookmarkStart w:name="z12502" w:id="6936"/>
    <w:p>
      <w:pPr>
        <w:spacing w:after="0"/>
        <w:ind w:left="0"/>
        <w:jc w:val="both"/>
      </w:pPr>
      <w:r>
        <w:rPr>
          <w:rFonts w:ascii="Times New Roman"/>
          <w:b w:val="false"/>
          <w:i w:val="false"/>
          <w:color w:val="000000"/>
          <w:sz w:val="28"/>
        </w:rPr>
        <w:t>
      В течение срока проведения экспертизы экспертная организация референтного государства вправе направить заявителю запрос в письменном и (или) электронном виде о предоставлении недостающей (дополнительной) информации, необходимых разъяснениях или уточнениях представленных документов и данных регистрационного досье (в том числе предложения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нормативную документацию по качеству или иные документы регистрационного досье). Срок представления заявителем ответа на указанный запрос не должен превышать 90 рабочих дней. Время представления заявителем документов по запросу экспертной организации референтного государства не входит в сроки проведения экспертизы. В случае непредставления заявителем в установленный срок ответа на запрос экспертиза прекращается, заключение о невозможности внесения изменений направляется в течение 14 рабочих дней в уполномоченный орган референтного государства.</w:t>
      </w:r>
    </w:p>
    <w:bookmarkEnd w:id="6936"/>
    <w:bookmarkStart w:name="z12503" w:id="6937"/>
    <w:p>
      <w:pPr>
        <w:spacing w:after="0"/>
        <w:ind w:left="0"/>
        <w:jc w:val="both"/>
      </w:pPr>
      <w:r>
        <w:rPr>
          <w:rFonts w:ascii="Times New Roman"/>
          <w:b w:val="false"/>
          <w:i w:val="false"/>
          <w:color w:val="000000"/>
          <w:sz w:val="28"/>
        </w:rPr>
        <w:t xml:space="preserve">
      По результатам экспертизы экспертная организация референтного государства должна актуализировать экспертный отчет по оценке или подготовить мотивированную позицию о невозможности внесения заявленных изменений. В тексте экспертного отчета по оценке приводится информация о соответствующей заявлению о внесении изменений версии (последовательности) электронного регистрационного досье. </w:t>
      </w:r>
    </w:p>
    <w:bookmarkEnd w:id="6937"/>
    <w:bookmarkStart w:name="z12504" w:id="6938"/>
    <w:p>
      <w:pPr>
        <w:spacing w:after="0"/>
        <w:ind w:left="0"/>
        <w:jc w:val="both"/>
      </w:pPr>
      <w:r>
        <w:rPr>
          <w:rFonts w:ascii="Times New Roman"/>
          <w:b w:val="false"/>
          <w:i w:val="false"/>
          <w:color w:val="000000"/>
          <w:sz w:val="28"/>
        </w:rPr>
        <w:t>
      3.2.4. По результатам проведенной экспертизы уполномоченный орган референтного государства в срок, не превышающий 5 рабочих дней с даты получения экспертного отчета по оценке, принимает решение об одобрении или отклонении внесения изменений. При отклонении внесения изменений уполномоченный орган референтного государства уведомляет заявителя об основаниях такого решения в срок не более 10 рабочих дней со дня его принятия.</w:t>
      </w:r>
    </w:p>
    <w:bookmarkEnd w:id="6938"/>
    <w:bookmarkStart w:name="z12505" w:id="6939"/>
    <w:p>
      <w:pPr>
        <w:spacing w:after="0"/>
        <w:ind w:left="0"/>
        <w:jc w:val="both"/>
      </w:pPr>
      <w:r>
        <w:rPr>
          <w:rFonts w:ascii="Times New Roman"/>
          <w:b w:val="false"/>
          <w:i w:val="false"/>
          <w:color w:val="000000"/>
          <w:sz w:val="28"/>
        </w:rPr>
        <w:t>
      В случае если изменения приводят к пересмотру информации о лекарственном препарате согласно пункту 1.6.1 настоящих Правил, уполномоченный орган (экспертная организация) референтного государства в течение 10 рабочих дней с даты принятия решения об одобрении изменений размещает сведения о внесении изменений в едином реестре с приложением утвержденных измененных общей характеристики лекарственного препарата, инструкции по медицинскому применению (листка-вкладыша), макетов упаковок, нормативного документа по качеству в соответствии с порядком формирования и ведения единого реестра, а также выдает заявителю утвержденные измененные общую характеристику лекарственного препарата, инструкцию по медицинскому применению (листок-вкладыш), макеты упаковок, нормативный документ по качеству и при необходимости регистрационное удостоверение.</w:t>
      </w:r>
    </w:p>
    <w:bookmarkEnd w:id="6939"/>
    <w:bookmarkStart w:name="z12506" w:id="6940"/>
    <w:p>
      <w:pPr>
        <w:spacing w:after="0"/>
        <w:ind w:left="0"/>
        <w:jc w:val="both"/>
      </w:pPr>
      <w:r>
        <w:rPr>
          <w:rFonts w:ascii="Times New Roman"/>
          <w:b w:val="false"/>
          <w:i w:val="false"/>
          <w:color w:val="000000"/>
          <w:sz w:val="28"/>
        </w:rPr>
        <w:t>
      3.2.5. Уполномоченный орган (экспертная организация) референтного государства вправе продлить срок, указанный в пунктах 3.2.3 и 3.2.4 настоящих Правил, до 80 рабочих дней в совокупности в случае, если заявителем представлены множественные групповые изменения.</w:t>
      </w:r>
    </w:p>
    <w:bookmarkEnd w:id="6940"/>
    <w:bookmarkStart w:name="z12507" w:id="6941"/>
    <w:p>
      <w:pPr>
        <w:spacing w:after="0"/>
        <w:ind w:left="0"/>
        <w:jc w:val="both"/>
      </w:pPr>
      <w:r>
        <w:rPr>
          <w:rFonts w:ascii="Times New Roman"/>
          <w:b w:val="false"/>
          <w:i w:val="false"/>
          <w:color w:val="000000"/>
          <w:sz w:val="28"/>
        </w:rPr>
        <w:t>
      3.2.6. Настоящий раздел не применяется, если заявление о внесении изменений IB типа подано в составе группы изменений, включающей изменение II типа и не содержащей расширения регистрации. В этом случае применяется процедура, предусмотренная пунктом 3.3 настоящих Правил.</w:t>
      </w:r>
    </w:p>
    <w:bookmarkEnd w:id="6941"/>
    <w:bookmarkStart w:name="z12508" w:id="6942"/>
    <w:p>
      <w:pPr>
        <w:spacing w:after="0"/>
        <w:ind w:left="0"/>
        <w:jc w:val="both"/>
      </w:pPr>
      <w:r>
        <w:rPr>
          <w:rFonts w:ascii="Times New Roman"/>
          <w:b w:val="false"/>
          <w:i w:val="false"/>
          <w:color w:val="000000"/>
          <w:sz w:val="28"/>
        </w:rPr>
        <w:t>
      3.2.7. Настоящий раздел не применяется, если заявление о внесении изменений IB типа подано в составе группы изменений, включающей расширение регистрации. В этом случае применяется процедура, предусмотренная пунктом 4.1.1 настоящих Правил.</w:t>
      </w:r>
    </w:p>
    <w:bookmarkEnd w:id="6942"/>
    <w:bookmarkStart w:name="z12509" w:id="6943"/>
    <w:p>
      <w:pPr>
        <w:spacing w:after="0"/>
        <w:ind w:left="0"/>
        <w:jc w:val="left"/>
      </w:pPr>
      <w:r>
        <w:rPr>
          <w:rFonts w:ascii="Times New Roman"/>
          <w:b/>
          <w:i w:val="false"/>
          <w:color w:val="000000"/>
        </w:rPr>
        <w:t xml:space="preserve"> 3.3. Процедура внесения значимых изменений II типа</w:t>
      </w:r>
    </w:p>
    <w:bookmarkEnd w:id="6943"/>
    <w:bookmarkStart w:name="z12510" w:id="6944"/>
    <w:p>
      <w:pPr>
        <w:spacing w:after="0"/>
        <w:ind w:left="0"/>
        <w:jc w:val="both"/>
      </w:pPr>
      <w:r>
        <w:rPr>
          <w:rFonts w:ascii="Times New Roman"/>
          <w:b w:val="false"/>
          <w:i w:val="false"/>
          <w:color w:val="000000"/>
          <w:sz w:val="28"/>
        </w:rPr>
        <w:t>
      3.3.1. В случае если заявление о внесении изменений содержит одно или несколько изменений только II типа или группу изменений IА типа и (или) IА</w:t>
      </w:r>
      <w:r>
        <w:rPr>
          <w:rFonts w:ascii="Times New Roman"/>
          <w:b w:val="false"/>
          <w:i w:val="false"/>
          <w:color w:val="000000"/>
          <w:vertAlign w:val="subscript"/>
        </w:rPr>
        <w:t>НУ</w:t>
      </w:r>
      <w:r>
        <w:rPr>
          <w:rFonts w:ascii="Times New Roman"/>
          <w:b w:val="false"/>
          <w:i w:val="false"/>
          <w:color w:val="000000"/>
          <w:sz w:val="28"/>
        </w:rPr>
        <w:t xml:space="preserve"> типа, и (или) IВ типа и как минимум одно изменение II типа,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(электронной цифровой подписью) в соответствии с законодательством государства-члена, по форме согласно приложению № 2 к Правилам регистрации и экспертизы, документы (электронные документы), подтверждающие оплату сбора (пошлины) за внесение изменений в случаях и порядке, установленных законодательством государств-членов, поправки к соответствующим разделам и документам регистрационного досье (обновленные документы), соответствующие документы, обосновывающие внесение каждого изменения в соответствии с дополнением V к настоящим Правилам, и (при необходимости) документ, подтверждающий валидность представленной версии (последовательности) электронного регистрационного досье.</w:t>
      </w:r>
    </w:p>
    <w:bookmarkEnd w:id="6944"/>
    <w:p>
      <w:pPr>
        <w:spacing w:after="0"/>
        <w:ind w:left="0"/>
        <w:jc w:val="both"/>
      </w:pPr>
      <w:bookmarkStart w:name="z12511" w:id="6945"/>
      <w:r>
        <w:rPr>
          <w:rFonts w:ascii="Times New Roman"/>
          <w:b w:val="false"/>
          <w:i w:val="false"/>
          <w:color w:val="000000"/>
          <w:sz w:val="28"/>
        </w:rPr>
        <w:t xml:space="preserve">
      3.3.2. Уполномоченный орган (экспертная организация) референтного государства не позднее 5 рабочих дней с даты получения заявления о внесении изменений и документов, указанных </w:t>
      </w:r>
    </w:p>
    <w:bookmarkEnd w:id="6945"/>
    <w:p>
      <w:pPr>
        <w:spacing w:after="0"/>
        <w:ind w:left="0"/>
        <w:jc w:val="both"/>
      </w:pPr>
      <w:r>
        <w:rPr>
          <w:rFonts w:ascii="Times New Roman"/>
          <w:b w:val="false"/>
          <w:i w:val="false"/>
          <w:color w:val="000000"/>
          <w:sz w:val="28"/>
        </w:rPr>
        <w:t>в пункте 3.3.1 настоящих Правил, проводит оценку полноты, комплектности и правильности оформления представленных документов и принимает решение о возможности проведения экспертизы.</w:t>
      </w:r>
    </w:p>
    <w:bookmarkStart w:name="z12512" w:id="6946"/>
    <w:p>
      <w:pPr>
        <w:spacing w:after="0"/>
        <w:ind w:left="0"/>
        <w:jc w:val="both"/>
      </w:pPr>
      <w:r>
        <w:rPr>
          <w:rFonts w:ascii="Times New Roman"/>
          <w:b w:val="false"/>
          <w:i w:val="false"/>
          <w:color w:val="000000"/>
          <w:sz w:val="28"/>
        </w:rPr>
        <w:t>
      В течение 5 рабочих дней с даты завершения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вправе направить запрос заявителю об уточнении представленных сведений и (или) о необходимости представления дополнительных материалов.</w:t>
      </w:r>
    </w:p>
    <w:bookmarkEnd w:id="6946"/>
    <w:bookmarkStart w:name="z12513" w:id="6947"/>
    <w:p>
      <w:pPr>
        <w:spacing w:after="0"/>
        <w:ind w:left="0"/>
        <w:jc w:val="both"/>
      </w:pPr>
      <w:r>
        <w:rPr>
          <w:rFonts w:ascii="Times New Roman"/>
          <w:b w:val="false"/>
          <w:i w:val="false"/>
          <w:color w:val="000000"/>
          <w:sz w:val="28"/>
        </w:rPr>
        <w:t>
      Заявителю предоставляется не более 90 рабочих дней, не входящих в срок проведения экспертизы регистрационного досье и процедуры внесения изменений, на представление недостающих материалов досье на изменение по замечаниям уполномоченного органа (экспертной организации) референтного государства. Срок оценки уполномоченным органом (экспертной организацией) референтного государства ответа на указанный запрос не должен превышать 5 рабочих дней.</w:t>
      </w:r>
    </w:p>
    <w:bookmarkEnd w:id="6947"/>
    <w:bookmarkStart w:name="z12514" w:id="6948"/>
    <w:p>
      <w:pPr>
        <w:spacing w:after="0"/>
        <w:ind w:left="0"/>
        <w:jc w:val="both"/>
      </w:pPr>
      <w:r>
        <w:rPr>
          <w:rFonts w:ascii="Times New Roman"/>
          <w:b w:val="false"/>
          <w:i w:val="false"/>
          <w:color w:val="000000"/>
          <w:sz w:val="28"/>
        </w:rPr>
        <w:t xml:space="preserve">
      В случае непредставления заявителем в указанный срок ответа на запрос уполномоченного органа (экспертной организации) референтного государства процедура внесения изменений прекращается, о чем в течение 10 рабочих дней уведомляются заявитель и уполномоченные органы государств признания с использованием средств интегрированной системы или путем прямого взаимодействия по телекоммуникационным каналам связи. </w:t>
      </w:r>
    </w:p>
    <w:bookmarkEnd w:id="6948"/>
    <w:bookmarkStart w:name="z12515" w:id="6949"/>
    <w:p>
      <w:pPr>
        <w:spacing w:after="0"/>
        <w:ind w:left="0"/>
        <w:jc w:val="both"/>
      </w:pPr>
      <w:r>
        <w:rPr>
          <w:rFonts w:ascii="Times New Roman"/>
          <w:b w:val="false"/>
          <w:i w:val="false"/>
          <w:color w:val="000000"/>
          <w:sz w:val="28"/>
        </w:rPr>
        <w:t>
      Если досье на изменение удовлетворяет требованиям, установленным пунктом 3.3.1 настоящих Правил, уполномоченный орган (экспертная организация) референтного государства в течение 5 рабочих дней с даты завершения оценки полноты, комплектности и правильности оформления представленных документов направляет досье на изменение для проведения экспертизы.</w:t>
      </w:r>
    </w:p>
    <w:bookmarkEnd w:id="6949"/>
    <w:bookmarkStart w:name="z12516" w:id="6950"/>
    <w:p>
      <w:pPr>
        <w:spacing w:after="0"/>
        <w:ind w:left="0"/>
        <w:jc w:val="both"/>
      </w:pPr>
      <w:r>
        <w:rPr>
          <w:rFonts w:ascii="Times New Roman"/>
          <w:b w:val="false"/>
          <w:i w:val="false"/>
          <w:color w:val="000000"/>
          <w:sz w:val="28"/>
        </w:rPr>
        <w:t>
      3.3.3. Экспертиза досье на изменение проводится экспертной организацией в срок, не превышающий 60 рабочих дней с даты получения соответствующего задания или решения уполномоченного органа государства-члена. При этом с учетом положений абзацев третьего и пятого пункта 1.7.1 настоящих Правил срок может быть продлен экспертной организацией референтного государства до 80 рабочих дней.</w:t>
      </w:r>
    </w:p>
    <w:bookmarkEnd w:id="6950"/>
    <w:bookmarkStart w:name="z12517" w:id="6951"/>
    <w:p>
      <w:pPr>
        <w:spacing w:after="0"/>
        <w:ind w:left="0"/>
        <w:jc w:val="both"/>
      </w:pPr>
      <w:r>
        <w:rPr>
          <w:rFonts w:ascii="Times New Roman"/>
          <w:b w:val="false"/>
          <w:i w:val="false"/>
          <w:color w:val="000000"/>
          <w:sz w:val="28"/>
        </w:rPr>
        <w:t>
      В течение срока проведения экспертизы экспертная организация референтного государства вправе направить заявителю запрос в письменном и (или) электронном виде о предоставлении недостающей (дополнительной) информации, необходимых разъяснениях или уточнениях представленных документов и данных регистрационного досье (в том числе предложения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нормативную документацию по качеству или иные документы регистрационного досье). Срок представления заявителем ответа на указанный запрос не должен превышать 90 рабочих дней. Время представления заявителем документов по запросу экспертной организации референтного государства не входит в сроки проведения экспертизы. В случае непредставления заявителем в указанный срок ответа на запрос экспертиза прекращается, заключение о невозможности внесения изменений направляется в течение 14 рабочих дней в уполномоченный орган референтного государства.</w:t>
      </w:r>
    </w:p>
    <w:bookmarkEnd w:id="6951"/>
    <w:bookmarkStart w:name="z12518" w:id="6952"/>
    <w:p>
      <w:pPr>
        <w:spacing w:after="0"/>
        <w:ind w:left="0"/>
        <w:jc w:val="both"/>
      </w:pPr>
      <w:r>
        <w:rPr>
          <w:rFonts w:ascii="Times New Roman"/>
          <w:b w:val="false"/>
          <w:i w:val="false"/>
          <w:color w:val="000000"/>
          <w:sz w:val="28"/>
        </w:rPr>
        <w:t>
      3.3.4. При необходимости и по согласованию с экспертной организацией референтного государства заявитель представляет в уполномоченный орган (экспертную организацию) референтного государства:</w:t>
      </w:r>
    </w:p>
    <w:bookmarkEnd w:id="6952"/>
    <w:bookmarkStart w:name="z12519" w:id="6953"/>
    <w:p>
      <w:pPr>
        <w:spacing w:after="0"/>
        <w:ind w:left="0"/>
        <w:jc w:val="both"/>
      </w:pPr>
      <w:r>
        <w:rPr>
          <w:rFonts w:ascii="Times New Roman"/>
          <w:b w:val="false"/>
          <w:i w:val="false"/>
          <w:color w:val="000000"/>
          <w:sz w:val="28"/>
        </w:rPr>
        <w:t>
      образцы лекарственных препаратов;</w:t>
      </w:r>
    </w:p>
    <w:bookmarkEnd w:id="6953"/>
    <w:bookmarkStart w:name="z12520" w:id="6954"/>
    <w:p>
      <w:pPr>
        <w:spacing w:after="0"/>
        <w:ind w:left="0"/>
        <w:jc w:val="both"/>
      </w:pPr>
      <w:r>
        <w:rPr>
          <w:rFonts w:ascii="Times New Roman"/>
          <w:b w:val="false"/>
          <w:i w:val="false"/>
          <w:color w:val="000000"/>
          <w:sz w:val="28"/>
        </w:rPr>
        <w:t>
      стандартные образцы;</w:t>
      </w:r>
    </w:p>
    <w:bookmarkEnd w:id="6954"/>
    <w:bookmarkStart w:name="z12521" w:id="6955"/>
    <w:p>
      <w:pPr>
        <w:spacing w:after="0"/>
        <w:ind w:left="0"/>
        <w:jc w:val="both"/>
      </w:pPr>
      <w:r>
        <w:rPr>
          <w:rFonts w:ascii="Times New Roman"/>
          <w:b w:val="false"/>
          <w:i w:val="false"/>
          <w:color w:val="000000"/>
          <w:sz w:val="28"/>
        </w:rPr>
        <w:t>
      специфические реагенты;</w:t>
      </w:r>
    </w:p>
    <w:bookmarkEnd w:id="6955"/>
    <w:bookmarkStart w:name="z12522" w:id="6956"/>
    <w:p>
      <w:pPr>
        <w:spacing w:after="0"/>
        <w:ind w:left="0"/>
        <w:jc w:val="both"/>
      </w:pPr>
      <w:r>
        <w:rPr>
          <w:rFonts w:ascii="Times New Roman"/>
          <w:b w:val="false"/>
          <w:i w:val="false"/>
          <w:color w:val="000000"/>
          <w:sz w:val="28"/>
        </w:rPr>
        <w:t>
      другие материалы, необходимые для проведения лабораторных испытаний.</w:t>
      </w:r>
    </w:p>
    <w:bookmarkEnd w:id="6956"/>
    <w:bookmarkStart w:name="z12523" w:id="6957"/>
    <w:p>
      <w:pPr>
        <w:spacing w:after="0"/>
        <w:ind w:left="0"/>
        <w:jc w:val="both"/>
      </w:pPr>
      <w:r>
        <w:rPr>
          <w:rFonts w:ascii="Times New Roman"/>
          <w:b w:val="false"/>
          <w:i w:val="false"/>
          <w:color w:val="000000"/>
          <w:sz w:val="28"/>
        </w:rPr>
        <w:t>
      Не требуется предоставление образцов лекарственных препаратов, стандартных образцов, специфических реагентов и других материалов при невозможности проведения лабораторных испытаний в экспертной организации референтного государства вследствие:</w:t>
      </w:r>
    </w:p>
    <w:bookmarkEnd w:id="6957"/>
    <w:bookmarkStart w:name="z12524" w:id="6958"/>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категориям орфанных, высокотехнологичных,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6958"/>
    <w:bookmarkStart w:name="z12525" w:id="6959"/>
    <w:p>
      <w:pPr>
        <w:spacing w:after="0"/>
        <w:ind w:left="0"/>
        <w:jc w:val="both"/>
      </w:pPr>
      <w:r>
        <w:rPr>
          <w:rFonts w:ascii="Times New Roman"/>
          <w:b w:val="false"/>
          <w:i w:val="false"/>
          <w:color w:val="000000"/>
          <w:sz w:val="28"/>
        </w:rPr>
        <w:t>
      невозможности соблюдения условий транспортировки образцов лекарственных препаратов, стандартных образцов, специфических реагентов и других материалов на территорию государства-члена и (или) их хранения;</w:t>
      </w:r>
    </w:p>
    <w:bookmarkEnd w:id="6959"/>
    <w:bookmarkStart w:name="z12526" w:id="6960"/>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 референтного государства;</w:t>
      </w:r>
    </w:p>
    <w:bookmarkEnd w:id="6960"/>
    <w:bookmarkStart w:name="z12527" w:id="6961"/>
    <w:p>
      <w:pPr>
        <w:spacing w:after="0"/>
        <w:ind w:left="0"/>
        <w:jc w:val="both"/>
      </w:pPr>
      <w:r>
        <w:rPr>
          <w:rFonts w:ascii="Times New Roman"/>
          <w:b w:val="false"/>
          <w:i w:val="false"/>
          <w:color w:val="000000"/>
          <w:sz w:val="28"/>
        </w:rPr>
        <w:t>
      других причин по решению уполномоченного органа (экспертной организации) референтного государства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6961"/>
    <w:bookmarkStart w:name="z12528" w:id="6962"/>
    <w:p>
      <w:pPr>
        <w:spacing w:after="0"/>
        <w:ind w:left="0"/>
        <w:jc w:val="both"/>
      </w:pPr>
      <w:r>
        <w:rPr>
          <w:rFonts w:ascii="Times New Roman"/>
          <w:b w:val="false"/>
          <w:i w:val="false"/>
          <w:color w:val="000000"/>
          <w:sz w:val="28"/>
        </w:rPr>
        <w:t>
      В указанных случаях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6962"/>
    <w:bookmarkStart w:name="z12529" w:id="6963"/>
    <w:p>
      <w:pPr>
        <w:spacing w:after="0"/>
        <w:ind w:left="0"/>
        <w:jc w:val="both"/>
      </w:pPr>
      <w:r>
        <w:rPr>
          <w:rFonts w:ascii="Times New Roman"/>
          <w:b w:val="false"/>
          <w:i w:val="false"/>
          <w:color w:val="000000"/>
          <w:sz w:val="28"/>
        </w:rPr>
        <w:t>
      В случае невозможности проведения лабораторных испытаний в лабораториях контроля качества производителя лекарственного препарата или контрактных лабораториях, используемых производителем (при угрозе возникновения, возникновении чрезвычайной ситуации и ликвидации ее последствий и (или) при угрозе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указанных категорий), по согласованию с уполномоченным органом (экспертной организацией) референтного государства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6963"/>
    <w:bookmarkStart w:name="z12530" w:id="6964"/>
    <w:p>
      <w:pPr>
        <w:spacing w:after="0"/>
        <w:ind w:left="0"/>
        <w:jc w:val="both"/>
      </w:pPr>
      <w:r>
        <w:rPr>
          <w:rFonts w:ascii="Times New Roman"/>
          <w:b w:val="false"/>
          <w:i w:val="false"/>
          <w:color w:val="000000"/>
          <w:sz w:val="28"/>
        </w:rPr>
        <w:t>
      Срок представления образцов лекарственных препаратов, стандартных образцов, специфических реагентов и других материалов по согласованию с экспертной организацией референтного государства (при необходимости) не учитывается при исчислении срока экспертизы в референтном государстве.</w:t>
      </w:r>
    </w:p>
    <w:bookmarkEnd w:id="6964"/>
    <w:bookmarkStart w:name="z12531" w:id="6965"/>
    <w:p>
      <w:pPr>
        <w:spacing w:after="0"/>
        <w:ind w:left="0"/>
        <w:jc w:val="both"/>
      </w:pPr>
      <w:r>
        <w:rPr>
          <w:rFonts w:ascii="Times New Roman"/>
          <w:b w:val="false"/>
          <w:i w:val="false"/>
          <w:color w:val="000000"/>
          <w:sz w:val="28"/>
        </w:rPr>
        <w:t xml:space="preserve">
      3.3.5. В течение 60 рабочих дней или 80 рабочих дней (в случае группировки разных типов изменений в рамках одного заявления о внесении изменений) с даты принятия решения о проведении экспертизы или с даты получения соответствующего задания уполномоченного органа экспертная организация референтного государства актуализирует экспертный отчет по оценке или подготавливает мотивированную позицию о невозможности внесения заявленных изменений и направляет их в уполномоченный орган референтного государства. В тексте экспертного отчета по оценке приводится информация о соответствующей заявлению версии (последовательности) электронного регистрационного досье. </w:t>
      </w:r>
    </w:p>
    <w:bookmarkEnd w:id="6965"/>
    <w:bookmarkStart w:name="z12532" w:id="6966"/>
    <w:p>
      <w:pPr>
        <w:spacing w:after="0"/>
        <w:ind w:left="0"/>
        <w:jc w:val="both"/>
      </w:pPr>
      <w:r>
        <w:rPr>
          <w:rFonts w:ascii="Times New Roman"/>
          <w:b w:val="false"/>
          <w:i w:val="false"/>
          <w:color w:val="000000"/>
          <w:sz w:val="28"/>
        </w:rPr>
        <w:t>
      3.3.6. Уполномоченный орган (экспертная организация) референтного государства вправе сократить срок, указанный в пункте 3.3.5 настоящих Правил, в случае срочности (безотлагательности) внесения изменений или продлить его до 80 рабочих дней в отношении изменений, заключающихся в изменении одобренных показаний к применению или включении новых показаний к применению, а также с учетом положений абзацев третьего и пятого пункта 1.7.1 настоящих Правил.</w:t>
      </w:r>
    </w:p>
    <w:bookmarkEnd w:id="6966"/>
    <w:bookmarkStart w:name="z12533" w:id="6967"/>
    <w:p>
      <w:pPr>
        <w:spacing w:after="0"/>
        <w:ind w:left="0"/>
        <w:jc w:val="both"/>
      </w:pPr>
      <w:r>
        <w:rPr>
          <w:rFonts w:ascii="Times New Roman"/>
          <w:b w:val="false"/>
          <w:i w:val="false"/>
          <w:color w:val="000000"/>
          <w:sz w:val="28"/>
        </w:rPr>
        <w:t>
      3.3.7. В срок, не превышающий 10 рабочих дней с даты получения актуализированного экспертного отчета по оценке или мотивированной позиции о невозможности внесения заявленных изменений в регистрационное досье, уполномоченный орган референтного государства принимает решение об одобрении или отклонении изменений.</w:t>
      </w:r>
    </w:p>
    <w:bookmarkEnd w:id="6967"/>
    <w:bookmarkStart w:name="z12534" w:id="6968"/>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при отклонении изменений уведомляет заявителя об основаниях такого решения в течение 10 рабочих дней с даты его принятия.</w:t>
      </w:r>
    </w:p>
    <w:bookmarkEnd w:id="6968"/>
    <w:bookmarkStart w:name="z12535" w:id="6969"/>
    <w:p>
      <w:pPr>
        <w:spacing w:after="0"/>
        <w:ind w:left="0"/>
        <w:jc w:val="both"/>
      </w:pPr>
      <w:r>
        <w:rPr>
          <w:rFonts w:ascii="Times New Roman"/>
          <w:b w:val="false"/>
          <w:i w:val="false"/>
          <w:color w:val="000000"/>
          <w:sz w:val="28"/>
        </w:rPr>
        <w:t>
      В случае если изменения приводят к пересмотру информации о лекарственном препарате согласно пункту 1.6.1 настоящих Правил, уполномоченный орган (экспертная организация) референтного государства в течение 5 рабочих дней с даты принятия положительного решения, указанного в абзаце первом настоящего пункта, размещает сведения о внесении изменений в едином реестре с приложением актуализированного экспертного отчета по оценке, утвержденных измененных общей характеристики лекарственного препарата, инструкции по медицинскому применению (листка-вкладыша), макетов упаковок, нормативного документа по качеству в соответствии с порядком формирования и ведения единого реестра, а также выдает заявителю утвержденные измененные общую характеристику лекарственного препарата, инструкцию по медицинскому применению (листок-вкладыш), макеты упаковок, нормативный документ по качеству и при необходимости регистрационное удостоверение.</w:t>
      </w:r>
    </w:p>
    <w:bookmarkEnd w:id="6969"/>
    <w:bookmarkStart w:name="z12536" w:id="6970"/>
    <w:p>
      <w:pPr>
        <w:spacing w:after="0"/>
        <w:ind w:left="0"/>
        <w:jc w:val="both"/>
      </w:pPr>
      <w:r>
        <w:rPr>
          <w:rFonts w:ascii="Times New Roman"/>
          <w:b w:val="false"/>
          <w:i w:val="false"/>
          <w:color w:val="000000"/>
          <w:sz w:val="28"/>
        </w:rPr>
        <w:t>
      3.3.8. Настоящий раздел не применяется, если запрос на изменение II типа подан в составе группы изменений, включающей расширение регистрации. В этом случае применяется процедура, предусмотренная пунктом 4.1.1 настоящих Правил.</w:t>
      </w:r>
    </w:p>
    <w:bookmarkEnd w:id="6970"/>
    <w:bookmarkStart w:name="z12537" w:id="6971"/>
    <w:p>
      <w:pPr>
        <w:spacing w:after="0"/>
        <w:ind w:left="0"/>
        <w:jc w:val="left"/>
      </w:pPr>
      <w:r>
        <w:rPr>
          <w:rFonts w:ascii="Times New Roman"/>
          <w:b/>
          <w:i w:val="false"/>
          <w:color w:val="000000"/>
        </w:rPr>
        <w:t xml:space="preserve"> IV. Прочие аспекты</w:t>
      </w:r>
    </w:p>
    <w:bookmarkEnd w:id="6971"/>
    <w:bookmarkStart w:name="z12538" w:id="6972"/>
    <w:p>
      <w:pPr>
        <w:spacing w:after="0"/>
        <w:ind w:left="0"/>
        <w:jc w:val="left"/>
      </w:pPr>
      <w:r>
        <w:rPr>
          <w:rFonts w:ascii="Times New Roman"/>
          <w:b/>
          <w:i w:val="false"/>
          <w:color w:val="000000"/>
        </w:rPr>
        <w:t xml:space="preserve"> 4.1. Специальные процедуры</w:t>
      </w:r>
    </w:p>
    <w:bookmarkEnd w:id="6972"/>
    <w:bookmarkStart w:name="z12539" w:id="6973"/>
    <w:p>
      <w:pPr>
        <w:spacing w:after="0"/>
        <w:ind w:left="0"/>
        <w:jc w:val="both"/>
      </w:pPr>
      <w:r>
        <w:rPr>
          <w:rFonts w:ascii="Times New Roman"/>
          <w:b w:val="false"/>
          <w:i w:val="false"/>
          <w:color w:val="000000"/>
          <w:sz w:val="28"/>
        </w:rPr>
        <w:t>
      4.1.1. Расширение регистрации.</w:t>
      </w:r>
    </w:p>
    <w:bookmarkEnd w:id="6973"/>
    <w:bookmarkStart w:name="z12540" w:id="6974"/>
    <w:p>
      <w:pPr>
        <w:spacing w:after="0"/>
        <w:ind w:left="0"/>
        <w:jc w:val="both"/>
      </w:pPr>
      <w:r>
        <w:rPr>
          <w:rFonts w:ascii="Times New Roman"/>
          <w:b w:val="false"/>
          <w:i w:val="false"/>
          <w:color w:val="000000"/>
          <w:sz w:val="28"/>
        </w:rPr>
        <w:t>
      Заявление о расширении регистрации необходимо подавать в референтное государство и во все заинтересованные государства-члены, в которых зарегистрирован лекарственный препарат (при наличии), одновременно. В случае если лекарственный препарат зарегистрирован в нескольких государствах-членах, допускается расширение регистрации не для всех, а для отдельных государств-членов, выбранных заявителем и указанных в заявлении.</w:t>
      </w:r>
    </w:p>
    <w:bookmarkEnd w:id="6974"/>
    <w:bookmarkStart w:name="z12541" w:id="6975"/>
    <w:p>
      <w:pPr>
        <w:spacing w:after="0"/>
        <w:ind w:left="0"/>
        <w:jc w:val="both"/>
      </w:pPr>
      <w:r>
        <w:rPr>
          <w:rFonts w:ascii="Times New Roman"/>
          <w:b w:val="false"/>
          <w:i w:val="false"/>
          <w:color w:val="000000"/>
          <w:sz w:val="28"/>
        </w:rPr>
        <w:t xml:space="preserve">
      В случае если заявлено изменение активных фармацевтических субстанций согласно пункту 1 дополнения I к настоящим Правилам или если заявлено изменение согласно пункту 2 дополнения I к настоящим Правилам, за исключением добавления новой лекарственной формы, указанного в подпункте "г" пункта 2 дополнения I к настоящим Правилам, заявитель представляет в референтное государство очередную версию (последовательность) регистрационного досье. </w:t>
      </w:r>
    </w:p>
    <w:bookmarkEnd w:id="6975"/>
    <w:bookmarkStart w:name="z12542" w:id="6976"/>
    <w:p>
      <w:pPr>
        <w:spacing w:after="0"/>
        <w:ind w:left="0"/>
        <w:jc w:val="both"/>
      </w:pPr>
      <w:r>
        <w:rPr>
          <w:rFonts w:ascii="Times New Roman"/>
          <w:b w:val="false"/>
          <w:i w:val="false"/>
          <w:color w:val="000000"/>
          <w:sz w:val="28"/>
        </w:rPr>
        <w:t>
      В случае если заявлено добавление новой лекарственной формы, указанное в подпункте "г" пункта 2 дополнения I к настоящим Правилам, заявитель:</w:t>
      </w:r>
    </w:p>
    <w:bookmarkEnd w:id="6976"/>
    <w:bookmarkStart w:name="z12543" w:id="6977"/>
    <w:p>
      <w:pPr>
        <w:spacing w:after="0"/>
        <w:ind w:left="0"/>
        <w:jc w:val="both"/>
      </w:pPr>
      <w:r>
        <w:rPr>
          <w:rFonts w:ascii="Times New Roman"/>
          <w:b w:val="false"/>
          <w:i w:val="false"/>
          <w:color w:val="000000"/>
          <w:sz w:val="28"/>
        </w:rPr>
        <w:t>
      представляет версию (последовательность) регистрационного досье 0000 (при этом заявитель вправе заменить соответствующие разделы ссылками на документы (отчеты, сертификаты и т. п.), которые идентичны документам актуальной версии (последовательности) регистрационного досье, в отношении которого заявлено расширение регистрации);</w:t>
      </w:r>
    </w:p>
    <w:bookmarkEnd w:id="6977"/>
    <w:bookmarkStart w:name="z12544" w:id="6978"/>
    <w:p>
      <w:pPr>
        <w:spacing w:after="0"/>
        <w:ind w:left="0"/>
        <w:jc w:val="both"/>
      </w:pPr>
      <w:r>
        <w:rPr>
          <w:rFonts w:ascii="Times New Roman"/>
          <w:b w:val="false"/>
          <w:i w:val="false"/>
          <w:color w:val="000000"/>
          <w:sz w:val="28"/>
        </w:rPr>
        <w:t>
      вправе выбрать в качестве референтного государства любое из государств-членов, в том числе отличное от ранее выбранного в рамках регистрации лекарственного препарата или приведения в соответствие.</w:t>
      </w:r>
    </w:p>
    <w:bookmarkEnd w:id="6978"/>
    <w:bookmarkStart w:name="z12545" w:id="6979"/>
    <w:p>
      <w:pPr>
        <w:spacing w:after="0"/>
        <w:ind w:left="0"/>
        <w:jc w:val="both"/>
      </w:pPr>
      <w:r>
        <w:rPr>
          <w:rFonts w:ascii="Times New Roman"/>
          <w:b w:val="false"/>
          <w:i w:val="false"/>
          <w:color w:val="000000"/>
          <w:sz w:val="28"/>
        </w:rPr>
        <w:t>
      Не допускается группировка расширения регистрации с другими типами изменений, за исключением случаев, когда все заявленные изменения являются связанными с заявленным расширением регистрации или являются его следствием.</w:t>
      </w:r>
    </w:p>
    <w:bookmarkEnd w:id="6979"/>
    <w:bookmarkStart w:name="z12546" w:id="6980"/>
    <w:p>
      <w:pPr>
        <w:spacing w:after="0"/>
        <w:ind w:left="0"/>
        <w:jc w:val="both"/>
      </w:pPr>
      <w:r>
        <w:rPr>
          <w:rFonts w:ascii="Times New Roman"/>
          <w:b w:val="false"/>
          <w:i w:val="false"/>
          <w:color w:val="000000"/>
          <w:sz w:val="28"/>
        </w:rPr>
        <w:t>
      4.1.2. Пандемическая ситуация по гриппу.</w:t>
      </w:r>
    </w:p>
    <w:bookmarkEnd w:id="6980"/>
    <w:bookmarkStart w:name="z12547" w:id="6981"/>
    <w:p>
      <w:pPr>
        <w:spacing w:after="0"/>
        <w:ind w:left="0"/>
        <w:jc w:val="both"/>
      </w:pPr>
      <w:r>
        <w:rPr>
          <w:rFonts w:ascii="Times New Roman"/>
          <w:b w:val="false"/>
          <w:i w:val="false"/>
          <w:color w:val="000000"/>
          <w:sz w:val="28"/>
        </w:rPr>
        <w:t>
      В порядке исключения из разделов I – III настоящих Правил при признании Всемирной организацией здравоохранения или государствами-членами пандемической ситуации по гриппу уполномоченные органы (экспертные организации) государств-членов вправе временно принять изменение условий регистрации вакцины для профилактики гриппа человека при отсутствии определенных доклинических или клинических данных.</w:t>
      </w:r>
    </w:p>
    <w:bookmarkEnd w:id="6981"/>
    <w:bookmarkStart w:name="z12548" w:id="6982"/>
    <w:p>
      <w:pPr>
        <w:spacing w:after="0"/>
        <w:ind w:left="0"/>
        <w:jc w:val="both"/>
      </w:pPr>
      <w:r>
        <w:rPr>
          <w:rFonts w:ascii="Times New Roman"/>
          <w:b w:val="false"/>
          <w:i w:val="false"/>
          <w:color w:val="000000"/>
          <w:sz w:val="28"/>
        </w:rPr>
        <w:t>
      При одобрении указанных изменений заявитель должен представить недостающие доклинические и клинические данные в предельный срок, установленный соответствующим уполномоченным органом (экспертной организацией) государства-члена.</w:t>
      </w:r>
    </w:p>
    <w:bookmarkEnd w:id="6982"/>
    <w:bookmarkStart w:name="z12549" w:id="6983"/>
    <w:p>
      <w:pPr>
        <w:spacing w:after="0"/>
        <w:ind w:left="0"/>
        <w:jc w:val="both"/>
      </w:pPr>
      <w:r>
        <w:rPr>
          <w:rFonts w:ascii="Times New Roman"/>
          <w:b w:val="false"/>
          <w:i w:val="false"/>
          <w:color w:val="000000"/>
          <w:sz w:val="28"/>
        </w:rPr>
        <w:t>
      4.1.3. Неотложные ограничения в целях безопасности.</w:t>
      </w:r>
    </w:p>
    <w:bookmarkEnd w:id="6983"/>
    <w:bookmarkStart w:name="z12550" w:id="6984"/>
    <w:p>
      <w:pPr>
        <w:spacing w:after="0"/>
        <w:ind w:left="0"/>
        <w:jc w:val="both"/>
      </w:pPr>
      <w:r>
        <w:rPr>
          <w:rFonts w:ascii="Times New Roman"/>
          <w:b w:val="false"/>
          <w:i w:val="false"/>
          <w:color w:val="000000"/>
          <w:sz w:val="28"/>
        </w:rPr>
        <w:t>
      Если при возникновении риска для здоровья населения вследствие применения лекарственных препаратов для медицинского применения держатель по собственной инициативе вводит неотложные ограничения в целях безопасности, он должен незамедлительно уведомить об этом все соответствующие органы.</w:t>
      </w:r>
    </w:p>
    <w:bookmarkEnd w:id="6984"/>
    <w:bookmarkStart w:name="z12551" w:id="6985"/>
    <w:p>
      <w:pPr>
        <w:spacing w:after="0"/>
        <w:ind w:left="0"/>
        <w:jc w:val="both"/>
      </w:pPr>
      <w:r>
        <w:rPr>
          <w:rFonts w:ascii="Times New Roman"/>
          <w:b w:val="false"/>
          <w:i w:val="false"/>
          <w:color w:val="000000"/>
          <w:sz w:val="28"/>
        </w:rPr>
        <w:t>
      Если в течение 24 часов после получения информации о неотложных ограничениях в целях безопасности уполномоченный орган государства-члена не направляет возражение, неотложные ограничения в целях безопасности считаются принятыми.</w:t>
      </w:r>
    </w:p>
    <w:bookmarkEnd w:id="6985"/>
    <w:bookmarkStart w:name="z12552" w:id="6986"/>
    <w:p>
      <w:pPr>
        <w:spacing w:after="0"/>
        <w:ind w:left="0"/>
        <w:jc w:val="both"/>
      </w:pPr>
      <w:r>
        <w:rPr>
          <w:rFonts w:ascii="Times New Roman"/>
          <w:b w:val="false"/>
          <w:i w:val="false"/>
          <w:color w:val="000000"/>
          <w:sz w:val="28"/>
        </w:rPr>
        <w:t>
      При возникновении риска общественному здоровью вследствие применения лекарственных препаратов для медицинского применения соответствующие уполномоченные органы вправе наложить на держателя неотложные ограничения в целях безопасности.</w:t>
      </w:r>
    </w:p>
    <w:bookmarkEnd w:id="6986"/>
    <w:bookmarkStart w:name="z12553" w:id="6987"/>
    <w:p>
      <w:pPr>
        <w:spacing w:after="0"/>
        <w:ind w:left="0"/>
        <w:jc w:val="both"/>
      </w:pPr>
      <w:r>
        <w:rPr>
          <w:rFonts w:ascii="Times New Roman"/>
          <w:b w:val="false"/>
          <w:i w:val="false"/>
          <w:color w:val="000000"/>
          <w:sz w:val="28"/>
        </w:rPr>
        <w:t xml:space="preserve">
      При введении держателем неотложных ограничений в целях безопасности или наложении на держателя таких ограничений соответствующим уполномоченным органом держатель в течение 14 рабочих дней с даты введения такого ограничения должен представить соответствующую позицию (обоснование) или заявление о внесении изменений в уполномоченный орган (экспертную организацию) государства-члена. </w:t>
      </w:r>
    </w:p>
    <w:bookmarkEnd w:id="6987"/>
    <w:bookmarkStart w:name="z12554" w:id="6988"/>
    <w:p>
      <w:pPr>
        <w:spacing w:after="0"/>
        <w:ind w:left="0"/>
        <w:jc w:val="both"/>
      </w:pPr>
      <w:r>
        <w:rPr>
          <w:rFonts w:ascii="Times New Roman"/>
          <w:b w:val="false"/>
          <w:i w:val="false"/>
          <w:color w:val="000000"/>
          <w:sz w:val="28"/>
        </w:rPr>
        <w:t>
      При непредставлении держателем соответствующей позиции (обоснования) или заявления о внесении изменений в установленный срок уполномоченный орган (экспертная организация) государства-члена принимает решение о приостановлении действия регистрационного удостоверения, о чем делается соответствующая отметка в едином реестре.</w:t>
      </w:r>
    </w:p>
    <w:bookmarkEnd w:id="6988"/>
    <w:bookmarkStart w:name="z12555" w:id="6989"/>
    <w:p>
      <w:pPr>
        <w:spacing w:after="0"/>
        <w:ind w:left="0"/>
        <w:jc w:val="left"/>
      </w:pPr>
      <w:r>
        <w:rPr>
          <w:rFonts w:ascii="Times New Roman"/>
          <w:b/>
          <w:i w:val="false"/>
          <w:color w:val="000000"/>
        </w:rPr>
        <w:t xml:space="preserve"> 4.2. Изменение регистрации лекарственного препарата</w:t>
      </w:r>
      <w:r>
        <w:br/>
      </w:r>
      <w:r>
        <w:rPr>
          <w:rFonts w:ascii="Times New Roman"/>
          <w:b/>
          <w:i w:val="false"/>
          <w:color w:val="000000"/>
        </w:rPr>
        <w:t>и реализация изменений</w:t>
      </w:r>
    </w:p>
    <w:bookmarkEnd w:id="6989"/>
    <w:bookmarkStart w:name="z12556" w:id="6990"/>
    <w:p>
      <w:pPr>
        <w:spacing w:after="0"/>
        <w:ind w:left="0"/>
        <w:jc w:val="both"/>
      </w:pPr>
      <w:r>
        <w:rPr>
          <w:rFonts w:ascii="Times New Roman"/>
          <w:b w:val="false"/>
          <w:i w:val="false"/>
          <w:color w:val="000000"/>
          <w:sz w:val="28"/>
        </w:rPr>
        <w:t>
      4.2.1. Реализация изменений.</w:t>
      </w:r>
    </w:p>
    <w:bookmarkEnd w:id="6990"/>
    <w:bookmarkStart w:name="z12557" w:id="6991"/>
    <w:p>
      <w:pPr>
        <w:spacing w:after="0"/>
        <w:ind w:left="0"/>
        <w:jc w:val="both"/>
      </w:pPr>
      <w:r>
        <w:rPr>
          <w:rFonts w:ascii="Times New Roman"/>
          <w:b w:val="false"/>
          <w:i w:val="false"/>
          <w:color w:val="000000"/>
          <w:sz w:val="28"/>
        </w:rPr>
        <w:t>
      Реализацию незначимых изменений IA типа допускается осуществить в любое время до завершения процедуры, предусмотренной пунктами 2.1 и 3.1 настоящих Правил, в случае, если вносимые изменения не затрагивают информацию о лекарственном препарате согласно пункту 1.6.1 настоящих Правил. Реализацию незначимых изменений IB типа и II типа допускается осуществить после принятия уполномоченным органом (экспертной организацией) референтного государства положительного решения по заявлению о внесении изменений.</w:t>
      </w:r>
    </w:p>
    <w:bookmarkEnd w:id="6991"/>
    <w:bookmarkStart w:name="z12558" w:id="6992"/>
    <w:p>
      <w:pPr>
        <w:spacing w:after="0"/>
        <w:ind w:left="0"/>
        <w:jc w:val="both"/>
      </w:pPr>
      <w:r>
        <w:rPr>
          <w:rFonts w:ascii="Times New Roman"/>
          <w:b w:val="false"/>
          <w:i w:val="false"/>
          <w:color w:val="000000"/>
          <w:sz w:val="28"/>
        </w:rPr>
        <w:t>
      Реализацию изменений, приводящих к пересмотру информации о лекарственном препарате согласно пункту 1.6.1 настоящих Правил, допускается осуществить после принятия уполномоченным органом (экспертной организацией) референтного государства положительного решения по заявлению о внесении изменений.</w:t>
      </w:r>
    </w:p>
    <w:bookmarkEnd w:id="6992"/>
    <w:bookmarkStart w:name="z12559" w:id="6993"/>
    <w:p>
      <w:pPr>
        <w:spacing w:after="0"/>
        <w:ind w:left="0"/>
        <w:jc w:val="both"/>
      </w:pPr>
      <w:r>
        <w:rPr>
          <w:rFonts w:ascii="Times New Roman"/>
          <w:b w:val="false"/>
          <w:i w:val="false"/>
          <w:color w:val="000000"/>
          <w:sz w:val="28"/>
        </w:rPr>
        <w:t>
      4.2.2. Реализация расширения регистрации осуществляется исключительно после принятия уполномоченным органом государства-члена решения об изменении регистрации и соответствующем уведомлении об этом заявителя.</w:t>
      </w:r>
    </w:p>
    <w:bookmarkEnd w:id="6993"/>
    <w:bookmarkStart w:name="z12560" w:id="6994"/>
    <w:p>
      <w:pPr>
        <w:spacing w:after="0"/>
        <w:ind w:left="0"/>
        <w:jc w:val="both"/>
      </w:pPr>
      <w:r>
        <w:rPr>
          <w:rFonts w:ascii="Times New Roman"/>
          <w:b w:val="false"/>
          <w:i w:val="false"/>
          <w:color w:val="000000"/>
          <w:sz w:val="28"/>
        </w:rPr>
        <w:t>
      4.2.3. Реализацию неотложных ограничений в целях безопасности и изменений, затрагивающих вопросы безопасности, допускается осуществлять в сроки, согласованные держателем (заявителем) и соответствующим уполномоченным органом государства-члена.</w:t>
      </w:r>
    </w:p>
    <w:bookmarkEnd w:id="6994"/>
    <w:bookmarkStart w:name="z12561" w:id="6995"/>
    <w:p>
      <w:pPr>
        <w:spacing w:after="0"/>
        <w:ind w:left="0"/>
        <w:jc w:val="both"/>
      </w:pPr>
      <w:r>
        <w:rPr>
          <w:rFonts w:ascii="Times New Roman"/>
          <w:b w:val="false"/>
          <w:i w:val="false"/>
          <w:color w:val="000000"/>
          <w:sz w:val="28"/>
        </w:rPr>
        <w:t>
      В порядке исключения реализацию неотложных ограничений в целях безопасности и изменений, затрагивающих вопросы безопасности, допускается осуществлять в сроки, согласованные держателем (заявителем) и уполномоченным органом референтного государства после консультации с остальными соответствующими уполномоченными органами государств-членов.</w:t>
      </w:r>
    </w:p>
    <w:bookmarkEnd w:id="6995"/>
    <w:bookmarkStart w:name="z12562" w:id="6996"/>
    <w:p>
      <w:pPr>
        <w:spacing w:after="0"/>
        <w:ind w:left="0"/>
        <w:jc w:val="left"/>
      </w:pPr>
      <w:r>
        <w:rPr>
          <w:rFonts w:ascii="Times New Roman"/>
          <w:b/>
          <w:i w:val="false"/>
          <w:color w:val="000000"/>
        </w:rPr>
        <w:t xml:space="preserve"> V. Заключительные положения</w:t>
      </w:r>
    </w:p>
    <w:bookmarkEnd w:id="6996"/>
    <w:bookmarkStart w:name="z12563" w:id="6997"/>
    <w:p>
      <w:pPr>
        <w:spacing w:after="0"/>
        <w:ind w:left="0"/>
        <w:jc w:val="left"/>
      </w:pPr>
      <w:r>
        <w:rPr>
          <w:rFonts w:ascii="Times New Roman"/>
          <w:b/>
          <w:i w:val="false"/>
          <w:color w:val="000000"/>
        </w:rPr>
        <w:t xml:space="preserve"> 5.1. Непрерывный мониторинг</w:t>
      </w:r>
    </w:p>
    <w:bookmarkEnd w:id="6997"/>
    <w:bookmarkStart w:name="z12564" w:id="6998"/>
    <w:p>
      <w:pPr>
        <w:spacing w:after="0"/>
        <w:ind w:left="0"/>
        <w:jc w:val="both"/>
      </w:pPr>
      <w:r>
        <w:rPr>
          <w:rFonts w:ascii="Times New Roman"/>
          <w:b w:val="false"/>
          <w:i w:val="false"/>
          <w:color w:val="000000"/>
          <w:sz w:val="28"/>
        </w:rPr>
        <w:t>
      5.1.1. По запросу соответствующего органа заявитель должен немедленно представить все сведения, затрагивающие реализацию определенного изменения.</w:t>
      </w:r>
    </w:p>
    <w:bookmarkEnd w:id="6998"/>
    <w:bookmarkStart w:name="z12565" w:id="6999"/>
    <w:p>
      <w:pPr>
        <w:spacing w:after="0"/>
        <w:ind w:left="0"/>
        <w:jc w:val="left"/>
      </w:pPr>
      <w:r>
        <w:rPr>
          <w:rFonts w:ascii="Times New Roman"/>
          <w:b/>
          <w:i w:val="false"/>
          <w:color w:val="000000"/>
        </w:rPr>
        <w:t xml:space="preserve"> 5.2. Пересмотр Правил</w:t>
      </w:r>
    </w:p>
    <w:bookmarkEnd w:id="6999"/>
    <w:bookmarkStart w:name="z12566" w:id="7000"/>
    <w:p>
      <w:pPr>
        <w:spacing w:after="0"/>
        <w:ind w:left="0"/>
        <w:jc w:val="both"/>
      </w:pPr>
      <w:r>
        <w:rPr>
          <w:rFonts w:ascii="Times New Roman"/>
          <w:b w:val="false"/>
          <w:i w:val="false"/>
          <w:color w:val="000000"/>
          <w:sz w:val="28"/>
        </w:rPr>
        <w:t>
      5.2.1. Уполномоченные органы (экспертные организации) государств-членов на регулярной основе проводят оценку применения настоящих Правил в части классификации изменений в целях направления предложений в Евразийскую экономическую комиссию о необходимых изменениях, направленных на адаптацию дополнений I и II к настоящим Правилам в целях поддержания их в актуальном состоянии с учетом современных научных данных.</w:t>
      </w:r>
    </w:p>
    <w:bookmarkEnd w:id="7000"/>
    <w:bookmarkStart w:name="z7481" w:id="7001"/>
    <w:p>
      <w:pPr>
        <w:spacing w:after="0"/>
        <w:ind w:left="0"/>
        <w:jc w:val="left"/>
      </w:pPr>
      <w:r>
        <w:rPr>
          <w:rFonts w:ascii="Times New Roman"/>
          <w:b/>
          <w:i w:val="false"/>
          <w:color w:val="000000"/>
        </w:rPr>
        <w:t xml:space="preserve"> Дополнение I</w:t>
      </w:r>
    </w:p>
    <w:bookmarkEnd w:id="7001"/>
    <w:bookmarkStart w:name="z7482" w:id="7002"/>
    <w:p>
      <w:pPr>
        <w:spacing w:after="0"/>
        <w:ind w:left="0"/>
        <w:jc w:val="left"/>
      </w:pPr>
      <w:r>
        <w:rPr>
          <w:rFonts w:ascii="Times New Roman"/>
          <w:b/>
          <w:i w:val="false"/>
          <w:color w:val="000000"/>
        </w:rPr>
        <w:t xml:space="preserve"> Расширение регистрации </w:t>
      </w:r>
    </w:p>
    <w:bookmarkEnd w:id="7002"/>
    <w:bookmarkStart w:name="z7483" w:id="7003"/>
    <w:p>
      <w:pPr>
        <w:spacing w:after="0"/>
        <w:ind w:left="0"/>
        <w:jc w:val="both"/>
      </w:pPr>
      <w:r>
        <w:rPr>
          <w:rFonts w:ascii="Times New Roman"/>
          <w:b w:val="false"/>
          <w:i w:val="false"/>
          <w:color w:val="000000"/>
          <w:sz w:val="28"/>
        </w:rPr>
        <w:t>
      1. Изменения активных фармацевтических субстанций:</w:t>
      </w:r>
    </w:p>
    <w:bookmarkEnd w:id="7003"/>
    <w:bookmarkStart w:name="z7484" w:id="7004"/>
    <w:p>
      <w:pPr>
        <w:spacing w:after="0"/>
        <w:ind w:left="0"/>
        <w:jc w:val="both"/>
      </w:pPr>
      <w:r>
        <w:rPr>
          <w:rFonts w:ascii="Times New Roman"/>
          <w:b w:val="false"/>
          <w:i w:val="false"/>
          <w:color w:val="000000"/>
          <w:sz w:val="28"/>
        </w:rPr>
        <w:t>
      а) замена активной фармацевтической субстанции, полученной путем химического синтеза, другой солью (эфиром, комплексом, производным) с той же активной частью молекулы действующего вещества при отсутствии значимых различий в эффективности и (или) безопасности;</w:t>
      </w:r>
    </w:p>
    <w:bookmarkEnd w:id="7004"/>
    <w:bookmarkStart w:name="z7485" w:id="7005"/>
    <w:p>
      <w:pPr>
        <w:spacing w:after="0"/>
        <w:ind w:left="0"/>
        <w:jc w:val="both"/>
      </w:pPr>
      <w:r>
        <w:rPr>
          <w:rFonts w:ascii="Times New Roman"/>
          <w:b w:val="false"/>
          <w:i w:val="false"/>
          <w:color w:val="000000"/>
          <w:sz w:val="28"/>
        </w:rPr>
        <w:t>
      б) замена активной фармацевтической субстанции другим изомером, другой смесью изомеров, смесью отдельных изомеров (например, рацемата на единственный энантиомер) при отсутствии значимых различий в эффективности и (или) безопасности;</w:t>
      </w:r>
    </w:p>
    <w:bookmarkEnd w:id="7005"/>
    <w:bookmarkStart w:name="z7486" w:id="7006"/>
    <w:p>
      <w:pPr>
        <w:spacing w:after="0"/>
        <w:ind w:left="0"/>
        <w:jc w:val="both"/>
      </w:pPr>
      <w:r>
        <w:rPr>
          <w:rFonts w:ascii="Times New Roman"/>
          <w:b w:val="false"/>
          <w:i w:val="false"/>
          <w:color w:val="000000"/>
          <w:sz w:val="28"/>
        </w:rPr>
        <w:t>
      в) замена биологической активной фармацевтической субстанции на другую с несколько измененной молекулярной структурой при отсутствии существенных различий по эффективности и (или) безопасности, за исключением изменений активной фармацевтической субстанции сезонной, препандемической или пандемической вакцины для профилактики гриппа человека;</w:t>
      </w:r>
    </w:p>
    <w:bookmarkEnd w:id="7006"/>
    <w:bookmarkStart w:name="z7487" w:id="7007"/>
    <w:p>
      <w:pPr>
        <w:spacing w:after="0"/>
        <w:ind w:left="0"/>
        <w:jc w:val="both"/>
      </w:pPr>
      <w:r>
        <w:rPr>
          <w:rFonts w:ascii="Times New Roman"/>
          <w:b w:val="false"/>
          <w:i w:val="false"/>
          <w:color w:val="000000"/>
          <w:sz w:val="28"/>
        </w:rPr>
        <w:t>
      г) модификации вектора, используемого для получения антигена или исходного материала, включая новый главный банк клеток из другого источника при отсутствии значимых различий в эффективности и (или) безопасности;</w:t>
      </w:r>
    </w:p>
    <w:bookmarkEnd w:id="7007"/>
    <w:bookmarkStart w:name="z7488" w:id="7008"/>
    <w:p>
      <w:pPr>
        <w:spacing w:after="0"/>
        <w:ind w:left="0"/>
        <w:jc w:val="both"/>
      </w:pPr>
      <w:r>
        <w:rPr>
          <w:rFonts w:ascii="Times New Roman"/>
          <w:b w:val="false"/>
          <w:i w:val="false"/>
          <w:color w:val="000000"/>
          <w:sz w:val="28"/>
        </w:rPr>
        <w:t>
      д) новый лиганд или связывающий механизм радиофармацевтического лекарственного препарата при отсутствии значимых различий в эффективности и (или) безопасности;</w:t>
      </w:r>
    </w:p>
    <w:bookmarkEnd w:id="7008"/>
    <w:bookmarkStart w:name="z7489" w:id="7009"/>
    <w:p>
      <w:pPr>
        <w:spacing w:after="0"/>
        <w:ind w:left="0"/>
        <w:jc w:val="both"/>
      </w:pPr>
      <w:r>
        <w:rPr>
          <w:rFonts w:ascii="Times New Roman"/>
          <w:b w:val="false"/>
          <w:i w:val="false"/>
          <w:color w:val="000000"/>
          <w:sz w:val="28"/>
        </w:rPr>
        <w:t>
      е) изменение экстрагента или соотношения растительного сырья и растительной фармацевтической субстанции при отсутствии значимых различий в эффективности и (или) безопасности.</w:t>
      </w:r>
    </w:p>
    <w:bookmarkEnd w:id="7009"/>
    <w:bookmarkStart w:name="z7490" w:id="7010"/>
    <w:p>
      <w:pPr>
        <w:spacing w:after="0"/>
        <w:ind w:left="0"/>
        <w:jc w:val="both"/>
      </w:pPr>
      <w:r>
        <w:rPr>
          <w:rFonts w:ascii="Times New Roman"/>
          <w:b w:val="false"/>
          <w:i w:val="false"/>
          <w:color w:val="000000"/>
          <w:sz w:val="28"/>
        </w:rPr>
        <w:t>
      2. Изменения дозировки, лекарственной формы или пути введения:</w:t>
      </w:r>
    </w:p>
    <w:bookmarkEnd w:id="7010"/>
    <w:bookmarkStart w:name="z7491" w:id="7011"/>
    <w:p>
      <w:pPr>
        <w:spacing w:after="0"/>
        <w:ind w:left="0"/>
        <w:jc w:val="both"/>
      </w:pPr>
      <w:r>
        <w:rPr>
          <w:rFonts w:ascii="Times New Roman"/>
          <w:b w:val="false"/>
          <w:i w:val="false"/>
          <w:color w:val="000000"/>
          <w:sz w:val="28"/>
        </w:rPr>
        <w:t>
      а) изменение биодоступности;</w:t>
      </w:r>
    </w:p>
    <w:bookmarkEnd w:id="7011"/>
    <w:bookmarkStart w:name="z7492" w:id="7012"/>
    <w:p>
      <w:pPr>
        <w:spacing w:after="0"/>
        <w:ind w:left="0"/>
        <w:jc w:val="both"/>
      </w:pPr>
      <w:r>
        <w:rPr>
          <w:rFonts w:ascii="Times New Roman"/>
          <w:b w:val="false"/>
          <w:i w:val="false"/>
          <w:color w:val="000000"/>
          <w:sz w:val="28"/>
        </w:rPr>
        <w:t>
      б) изменение фармакокинетики, например, скорости высвобождения;</w:t>
      </w:r>
    </w:p>
    <w:bookmarkEnd w:id="7012"/>
    <w:bookmarkStart w:name="z7493" w:id="7013"/>
    <w:p>
      <w:pPr>
        <w:spacing w:after="0"/>
        <w:ind w:left="0"/>
        <w:jc w:val="both"/>
      </w:pPr>
      <w:r>
        <w:rPr>
          <w:rFonts w:ascii="Times New Roman"/>
          <w:b w:val="false"/>
          <w:i w:val="false"/>
          <w:color w:val="000000"/>
          <w:sz w:val="28"/>
        </w:rPr>
        <w:t>
      в) изменение или добавление новой дозировки (активности);</w:t>
      </w:r>
    </w:p>
    <w:bookmarkEnd w:id="7013"/>
    <w:bookmarkStart w:name="z7494" w:id="7014"/>
    <w:p>
      <w:pPr>
        <w:spacing w:after="0"/>
        <w:ind w:left="0"/>
        <w:jc w:val="both"/>
      </w:pPr>
      <w:r>
        <w:rPr>
          <w:rFonts w:ascii="Times New Roman"/>
          <w:b w:val="false"/>
          <w:i w:val="false"/>
          <w:color w:val="000000"/>
          <w:sz w:val="28"/>
        </w:rPr>
        <w:t>
      г) изменение или добавление новой лекарственной формы;</w:t>
      </w:r>
    </w:p>
    <w:bookmarkEnd w:id="7014"/>
    <w:bookmarkStart w:name="z7495" w:id="7015"/>
    <w:p>
      <w:pPr>
        <w:spacing w:after="0"/>
        <w:ind w:left="0"/>
        <w:jc w:val="both"/>
      </w:pPr>
      <w:r>
        <w:rPr>
          <w:rFonts w:ascii="Times New Roman"/>
          <w:b w:val="false"/>
          <w:i w:val="false"/>
          <w:color w:val="000000"/>
          <w:sz w:val="28"/>
        </w:rPr>
        <w:t>
      д) изменение или добавление нового пути введения (при парентеральном введении следует различать внутриартериальный, внутривенный, внутримышечный, подкожный и другие пути введения).</w:t>
      </w:r>
    </w:p>
    <w:bookmarkEnd w:id="7015"/>
    <w:bookmarkStart w:name="z7496" w:id="7016"/>
    <w:p>
      <w:pPr>
        <w:spacing w:after="0"/>
        <w:ind w:left="0"/>
        <w:jc w:val="left"/>
      </w:pPr>
      <w:r>
        <w:rPr>
          <w:rFonts w:ascii="Times New Roman"/>
          <w:b/>
          <w:i w:val="false"/>
          <w:color w:val="000000"/>
        </w:rPr>
        <w:t xml:space="preserve"> Дополнение II</w:t>
      </w:r>
    </w:p>
    <w:bookmarkEnd w:id="7016"/>
    <w:bookmarkStart w:name="z7497" w:id="7017"/>
    <w:p>
      <w:pPr>
        <w:spacing w:after="0"/>
        <w:ind w:left="0"/>
        <w:jc w:val="left"/>
      </w:pPr>
      <w:r>
        <w:rPr>
          <w:rFonts w:ascii="Times New Roman"/>
          <w:b/>
          <w:i w:val="false"/>
          <w:color w:val="000000"/>
        </w:rPr>
        <w:t xml:space="preserve"> Классификация изменений</w:t>
      </w:r>
    </w:p>
    <w:bookmarkEnd w:id="7017"/>
    <w:bookmarkStart w:name="z7498" w:id="7018"/>
    <w:p>
      <w:pPr>
        <w:spacing w:after="0"/>
        <w:ind w:left="0"/>
        <w:jc w:val="both"/>
      </w:pPr>
      <w:r>
        <w:rPr>
          <w:rFonts w:ascii="Times New Roman"/>
          <w:b w:val="false"/>
          <w:i w:val="false"/>
          <w:color w:val="000000"/>
          <w:sz w:val="28"/>
        </w:rPr>
        <w:t>
      1. Следует классифицировать в качестве незначимых изменений типа IA следующие изменения:</w:t>
      </w:r>
    </w:p>
    <w:bookmarkEnd w:id="7018"/>
    <w:bookmarkStart w:name="z7499" w:id="7019"/>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изменения административного характера, относящиеся к наименованию и контактным данным:</w:t>
      </w:r>
    </w:p>
    <w:bookmarkEnd w:id="7019"/>
    <w:p>
      <w:pPr>
        <w:spacing w:after="0"/>
        <w:ind w:left="0"/>
        <w:jc w:val="both"/>
      </w:pPr>
      <w:r>
        <w:rPr>
          <w:rFonts w:ascii="Times New Roman"/>
          <w:b w:val="false"/>
          <w:i w:val="false"/>
          <w:color w:val="000000"/>
          <w:sz w:val="28"/>
        </w:rPr>
        <w:t>
      держателя регистрационного удостоверения, заявителя, представителя держателя регистрационного удостоверения и др.;</w:t>
      </w:r>
    </w:p>
    <w:p>
      <w:pPr>
        <w:spacing w:after="0"/>
        <w:ind w:left="0"/>
        <w:jc w:val="both"/>
      </w:pPr>
      <w:r>
        <w:rPr>
          <w:rFonts w:ascii="Times New Roman"/>
          <w:b w:val="false"/>
          <w:i w:val="false"/>
          <w:color w:val="000000"/>
          <w:sz w:val="28"/>
        </w:rPr>
        <w:t xml:space="preserve">
      производителя или поставщика любого исходного материала, реактива, промежуточного продукта, активной фармацевтической субстанции, используемых в процессе производства лекарственного препарата или содержащихся в лекарственном препарате, производителя лекарственного препарата; </w:t>
      </w:r>
    </w:p>
    <w:p>
      <w:pPr>
        <w:spacing w:after="0"/>
        <w:ind w:left="0"/>
        <w:jc w:val="both"/>
      </w:pPr>
      <w:r>
        <w:rPr>
          <w:rFonts w:ascii="Times New Roman"/>
          <w:b w:val="false"/>
          <w:i w:val="false"/>
          <w:color w:val="000000"/>
          <w:sz w:val="28"/>
        </w:rPr>
        <w:t>
      трансфер регистрационного удостоверения от одного держателя регистрационного удостоверения другому юридическому лицу (изменение держателя регистрационного удостоверения);</w:t>
      </w:r>
    </w:p>
    <w:bookmarkStart w:name="z7502" w:id="7020"/>
    <w:p>
      <w:pPr>
        <w:spacing w:after="0"/>
        <w:ind w:left="0"/>
        <w:jc w:val="both"/>
      </w:pPr>
      <w:r>
        <w:rPr>
          <w:rFonts w:ascii="Times New Roman"/>
          <w:b w:val="false"/>
          <w:i w:val="false"/>
          <w:color w:val="000000"/>
          <w:sz w:val="28"/>
        </w:rPr>
        <w:t>
      б) изменения, заключающиеся в исключении какой-либо производственной площадки, в том числе активной фармацевтической субстанции, промежуточного продукта или лекарственного препарата, упаковщика, производителя, ответственного за выпуск серии, производственной площадки, осуществляющей выпускающий контроль качества;</w:t>
      </w:r>
    </w:p>
    <w:bookmarkEnd w:id="7020"/>
    <w:bookmarkStart w:name="z7503" w:id="7021"/>
    <w:p>
      <w:pPr>
        <w:spacing w:after="0"/>
        <w:ind w:left="0"/>
        <w:jc w:val="both"/>
      </w:pPr>
      <w:r>
        <w:rPr>
          <w:rFonts w:ascii="Times New Roman"/>
          <w:b w:val="false"/>
          <w:i w:val="false"/>
          <w:color w:val="000000"/>
          <w:sz w:val="28"/>
        </w:rPr>
        <w:t>
      в) изменения, заключающиеся в незначимых изменениях одобренных физико-химических аналитических методик, если подтверждено, что обновленная методика по меньшей мере эквивалентна ранее использованной, проведена надлежащая валидация и ее результаты свидетельствуют, что обновленная аналитическая методика по меньшей мере эквивалентна предыдущей (заменяемой);</w:t>
      </w:r>
    </w:p>
    <w:bookmarkEnd w:id="7021"/>
    <w:bookmarkStart w:name="z7504" w:id="7022"/>
    <w:p>
      <w:pPr>
        <w:spacing w:after="0"/>
        <w:ind w:left="0"/>
        <w:jc w:val="both"/>
      </w:pPr>
      <w:r>
        <w:rPr>
          <w:rFonts w:ascii="Times New Roman"/>
          <w:b w:val="false"/>
          <w:i w:val="false"/>
          <w:color w:val="000000"/>
          <w:sz w:val="28"/>
        </w:rPr>
        <w:t>
      г) изменения, заключающиеся в изменении спецификаций активной фармацевтической субстанции или вспомогательного вещества либо нормативного документа по качеству лекарственного препарата, осуществленные в целях обеспечения соответствия обновленной соответствующей статье Фармакопеи Союза или фармакопеи государства-члена, если изменение осуществлено исключительно в целях обеспечения соответствия требованиям фармакопеи, а параметры спецификации (нормативного документа по качеству) на продукт (специфичные свойства) не изменяются;</w:t>
      </w:r>
    </w:p>
    <w:bookmarkEnd w:id="7022"/>
    <w:bookmarkStart w:name="z7505" w:id="7023"/>
    <w:p>
      <w:pPr>
        <w:spacing w:after="0"/>
        <w:ind w:left="0"/>
        <w:jc w:val="both"/>
      </w:pPr>
      <w:r>
        <w:rPr>
          <w:rFonts w:ascii="Times New Roman"/>
          <w:b w:val="false"/>
          <w:i w:val="false"/>
          <w:color w:val="000000"/>
          <w:sz w:val="28"/>
        </w:rPr>
        <w:t>
      д) изменения, заключающиеся в смене упаковочного материала, не соприкасающегося с лекарственным препаратом, не влияющие на доставку, применение, безопасность или стабильность лекарственного препарата;</w:t>
      </w:r>
    </w:p>
    <w:bookmarkEnd w:id="7023"/>
    <w:bookmarkStart w:name="z7506" w:id="7024"/>
    <w:p>
      <w:pPr>
        <w:spacing w:after="0"/>
        <w:ind w:left="0"/>
        <w:jc w:val="both"/>
      </w:pPr>
      <w:r>
        <w:rPr>
          <w:rFonts w:ascii="Times New Roman"/>
          <w:b w:val="false"/>
          <w:i w:val="false"/>
          <w:color w:val="000000"/>
          <w:sz w:val="28"/>
        </w:rPr>
        <w:t>
      е) изменения, заключающиеся в ужесточении критериев приемлемости спецификации или нормативного документа по качеству, если такие изменения не являются следствием какого-либо обязательства, принятого по результатам ранее проведенных экспертиз с целью анализа критериев приемлемости спецификации (нормативного документа по качеству), или неожиданных ситуаций, возникших в ходе производства.</w:t>
      </w:r>
    </w:p>
    <w:bookmarkEnd w:id="7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17.03.2022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507" w:id="7025"/>
    <w:p>
      <w:pPr>
        <w:spacing w:after="0"/>
        <w:ind w:left="0"/>
        <w:jc w:val="both"/>
      </w:pPr>
      <w:r>
        <w:rPr>
          <w:rFonts w:ascii="Times New Roman"/>
          <w:b w:val="false"/>
          <w:i w:val="false"/>
          <w:color w:val="000000"/>
          <w:sz w:val="28"/>
        </w:rPr>
        <w:t>
      2. Следующие изменения следует классифицировать в качестве значимых изменений II типа:</w:t>
      </w:r>
    </w:p>
    <w:bookmarkEnd w:id="7025"/>
    <w:bookmarkStart w:name="z7508" w:id="7026"/>
    <w:p>
      <w:pPr>
        <w:spacing w:after="0"/>
        <w:ind w:left="0"/>
        <w:jc w:val="both"/>
      </w:pPr>
      <w:r>
        <w:rPr>
          <w:rFonts w:ascii="Times New Roman"/>
          <w:b w:val="false"/>
          <w:i w:val="false"/>
          <w:color w:val="000000"/>
          <w:sz w:val="28"/>
        </w:rPr>
        <w:t>
      а) изменения, заключающиеся в добавлении нового показания к применению или модификации существующего;</w:t>
      </w:r>
    </w:p>
    <w:bookmarkEnd w:id="7026"/>
    <w:bookmarkStart w:name="z7509" w:id="7027"/>
    <w:p>
      <w:pPr>
        <w:spacing w:after="0"/>
        <w:ind w:left="0"/>
        <w:jc w:val="both"/>
      </w:pPr>
      <w:r>
        <w:rPr>
          <w:rFonts w:ascii="Times New Roman"/>
          <w:b w:val="false"/>
          <w:i w:val="false"/>
          <w:color w:val="000000"/>
          <w:sz w:val="28"/>
        </w:rPr>
        <w:t>
      б) изменения, заключающиеся в значимых модификациях общей характеристики лекарственного препарата, особенно в силу новых данных о качестве, результатов доклинических или клинических исследований, данных фармаконадзора;</w:t>
      </w:r>
    </w:p>
    <w:bookmarkEnd w:id="7027"/>
    <w:bookmarkStart w:name="z7510" w:id="7028"/>
    <w:p>
      <w:pPr>
        <w:spacing w:after="0"/>
        <w:ind w:left="0"/>
        <w:jc w:val="both"/>
      </w:pPr>
      <w:r>
        <w:rPr>
          <w:rFonts w:ascii="Times New Roman"/>
          <w:b w:val="false"/>
          <w:i w:val="false"/>
          <w:color w:val="000000"/>
          <w:sz w:val="28"/>
        </w:rPr>
        <w:t>
      в) изменения, заключающиеся в изменениях, превышающих диапазон, пределы или критерии приемлемости одобренных спецификаций (нормативного документа по качеству);</w:t>
      </w:r>
    </w:p>
    <w:bookmarkEnd w:id="7028"/>
    <w:bookmarkStart w:name="z7511" w:id="7029"/>
    <w:p>
      <w:pPr>
        <w:spacing w:after="0"/>
        <w:ind w:left="0"/>
        <w:jc w:val="both"/>
      </w:pPr>
      <w:r>
        <w:rPr>
          <w:rFonts w:ascii="Times New Roman"/>
          <w:b w:val="false"/>
          <w:i w:val="false"/>
          <w:color w:val="000000"/>
          <w:sz w:val="28"/>
        </w:rPr>
        <w:t>
      г) изменения, заключающиеся в значительных изменениях процесса производства, состава, спецификаций (нормативного документа по качеству) или профиля примесей активной фармацевтической субстанции или лекарственного препарата, которые могут значимым образом повлиять на качество, безопасность или эффективность лекарственного препарата;</w:t>
      </w:r>
    </w:p>
    <w:bookmarkEnd w:id="7029"/>
    <w:bookmarkStart w:name="z7512" w:id="7030"/>
    <w:p>
      <w:pPr>
        <w:spacing w:after="0"/>
        <w:ind w:left="0"/>
        <w:jc w:val="both"/>
      </w:pPr>
      <w:r>
        <w:rPr>
          <w:rFonts w:ascii="Times New Roman"/>
          <w:b w:val="false"/>
          <w:i w:val="false"/>
          <w:color w:val="000000"/>
          <w:sz w:val="28"/>
        </w:rPr>
        <w:t>
      д) изменения, заключающиеся в модификациях процесса производства или производственных площадок активной фармацевтической субстанции биологического лекарственного препарата;</w:t>
      </w:r>
    </w:p>
    <w:bookmarkEnd w:id="7030"/>
    <w:bookmarkStart w:name="z7513" w:id="7031"/>
    <w:p>
      <w:pPr>
        <w:spacing w:after="0"/>
        <w:ind w:left="0"/>
        <w:jc w:val="both"/>
      </w:pPr>
      <w:r>
        <w:rPr>
          <w:rFonts w:ascii="Times New Roman"/>
          <w:b w:val="false"/>
          <w:i w:val="false"/>
          <w:color w:val="000000"/>
          <w:sz w:val="28"/>
        </w:rPr>
        <w:t>
      е) изменения, заключающиеся во внедрении нового проектного поля или расширении ранее одобренного, если проектное поле разработано на основании соответствующих руководств Союза или международных научных руководств;</w:t>
      </w:r>
    </w:p>
    <w:bookmarkEnd w:id="7031"/>
    <w:bookmarkStart w:name="z7514" w:id="7032"/>
    <w:p>
      <w:pPr>
        <w:spacing w:after="0"/>
        <w:ind w:left="0"/>
        <w:jc w:val="both"/>
      </w:pPr>
      <w:r>
        <w:rPr>
          <w:rFonts w:ascii="Times New Roman"/>
          <w:b w:val="false"/>
          <w:i w:val="false"/>
          <w:color w:val="000000"/>
          <w:sz w:val="28"/>
        </w:rPr>
        <w:t>
      ж) изменения, заключающиеся в изменении активной фармацевтической субстанции сезонной, препандемической или пандемической вакцины для профилактики гриппа человека.</w:t>
      </w:r>
    </w:p>
    <w:bookmarkEnd w:id="7032"/>
    <w:bookmarkStart w:name="z7515" w:id="7033"/>
    <w:p>
      <w:pPr>
        <w:spacing w:after="0"/>
        <w:ind w:left="0"/>
        <w:jc w:val="left"/>
      </w:pPr>
      <w:r>
        <w:rPr>
          <w:rFonts w:ascii="Times New Roman"/>
          <w:b/>
          <w:i w:val="false"/>
          <w:color w:val="000000"/>
        </w:rPr>
        <w:t xml:space="preserve"> Дополнение III</w:t>
      </w:r>
    </w:p>
    <w:bookmarkEnd w:id="7033"/>
    <w:bookmarkStart w:name="z7516" w:id="7034"/>
    <w:p>
      <w:pPr>
        <w:spacing w:after="0"/>
        <w:ind w:left="0"/>
        <w:jc w:val="left"/>
      </w:pPr>
      <w:r>
        <w:rPr>
          <w:rFonts w:ascii="Times New Roman"/>
          <w:b/>
          <w:i w:val="false"/>
          <w:color w:val="000000"/>
        </w:rPr>
        <w:t xml:space="preserve"> Примеры группировки изменений, описанных в абзаце первом пункта 1.7.2 настоящих Правил</w:t>
      </w:r>
    </w:p>
    <w:bookmarkEnd w:id="7034"/>
    <w:bookmarkStart w:name="z7517" w:id="7035"/>
    <w:p>
      <w:pPr>
        <w:spacing w:after="0"/>
        <w:ind w:left="0"/>
        <w:jc w:val="both"/>
      </w:pPr>
      <w:r>
        <w:rPr>
          <w:rFonts w:ascii="Times New Roman"/>
          <w:b w:val="false"/>
          <w:i w:val="false"/>
          <w:color w:val="000000"/>
          <w:sz w:val="28"/>
        </w:rPr>
        <w:t>
      1. Одним из изменений в группе является расширение регистрации.</w:t>
      </w:r>
    </w:p>
    <w:bookmarkEnd w:id="7035"/>
    <w:bookmarkStart w:name="z7518" w:id="7036"/>
    <w:p>
      <w:pPr>
        <w:spacing w:after="0"/>
        <w:ind w:left="0"/>
        <w:jc w:val="both"/>
      </w:pPr>
      <w:r>
        <w:rPr>
          <w:rFonts w:ascii="Times New Roman"/>
          <w:b w:val="false"/>
          <w:i w:val="false"/>
          <w:color w:val="000000"/>
          <w:sz w:val="28"/>
        </w:rPr>
        <w:t>
      2. Одним из изменений в группе является значимое изменение II типа, остальные изменения в группе являются следствием такого значимого изменения II типа.</w:t>
      </w:r>
    </w:p>
    <w:bookmarkEnd w:id="7036"/>
    <w:bookmarkStart w:name="z7519" w:id="7037"/>
    <w:p>
      <w:pPr>
        <w:spacing w:after="0"/>
        <w:ind w:left="0"/>
        <w:jc w:val="both"/>
      </w:pPr>
      <w:r>
        <w:rPr>
          <w:rFonts w:ascii="Times New Roman"/>
          <w:b w:val="false"/>
          <w:i w:val="false"/>
          <w:color w:val="000000"/>
          <w:sz w:val="28"/>
        </w:rPr>
        <w:t>
      3. Одним из изменений в группе является незначимое изменение типа IB, остальные изменения в группе являются следствием такого незначимого изменения типа IB.</w:t>
      </w:r>
    </w:p>
    <w:bookmarkEnd w:id="7037"/>
    <w:bookmarkStart w:name="z7520" w:id="7038"/>
    <w:p>
      <w:pPr>
        <w:spacing w:after="0"/>
        <w:ind w:left="0"/>
        <w:jc w:val="both"/>
      </w:pPr>
      <w:r>
        <w:rPr>
          <w:rFonts w:ascii="Times New Roman"/>
          <w:b w:val="false"/>
          <w:i w:val="false"/>
          <w:color w:val="000000"/>
          <w:sz w:val="28"/>
        </w:rPr>
        <w:t>
      4. Все изменения в группе являются исключительно изменениями административного характера общей характеристики лекарственного препарата, листка-вкладыша или макетов упаковок.</w:t>
      </w:r>
    </w:p>
    <w:bookmarkEnd w:id="7038"/>
    <w:bookmarkStart w:name="z7521" w:id="7039"/>
    <w:p>
      <w:pPr>
        <w:spacing w:after="0"/>
        <w:ind w:left="0"/>
        <w:jc w:val="both"/>
      </w:pPr>
      <w:r>
        <w:rPr>
          <w:rFonts w:ascii="Times New Roman"/>
          <w:b w:val="false"/>
          <w:i w:val="false"/>
          <w:color w:val="000000"/>
          <w:sz w:val="28"/>
        </w:rPr>
        <w:t>
      5. Все изменения в группе являются изменениями мастер-файла активной фармацевтической субстанции, мастер-файла вакцинного антигена или мастер-файла плазмы.</w:t>
      </w:r>
    </w:p>
    <w:bookmarkEnd w:id="7039"/>
    <w:bookmarkStart w:name="z7522" w:id="7040"/>
    <w:p>
      <w:pPr>
        <w:spacing w:after="0"/>
        <w:ind w:left="0"/>
        <w:jc w:val="both"/>
      </w:pPr>
      <w:r>
        <w:rPr>
          <w:rFonts w:ascii="Times New Roman"/>
          <w:b w:val="false"/>
          <w:i w:val="false"/>
          <w:color w:val="000000"/>
          <w:sz w:val="28"/>
        </w:rPr>
        <w:t>
      6. Все изменения в группе являются частью программы, направленной на улучшение процесса производства и качества рассматриваемого лекарственного препарата или его активных фармацевтических субстанций.</w:t>
      </w:r>
    </w:p>
    <w:bookmarkEnd w:id="7040"/>
    <w:bookmarkStart w:name="z7523" w:id="7041"/>
    <w:p>
      <w:pPr>
        <w:spacing w:after="0"/>
        <w:ind w:left="0"/>
        <w:jc w:val="both"/>
      </w:pPr>
      <w:r>
        <w:rPr>
          <w:rFonts w:ascii="Times New Roman"/>
          <w:b w:val="false"/>
          <w:i w:val="false"/>
          <w:color w:val="000000"/>
          <w:sz w:val="28"/>
        </w:rPr>
        <w:t>
      7. Все изменения в группе являются изменениями, влияющими на качество вакцины для профилактики пандемического гриппа человека.</w:t>
      </w:r>
    </w:p>
    <w:bookmarkEnd w:id="7041"/>
    <w:bookmarkStart w:name="z7524" w:id="7042"/>
    <w:p>
      <w:pPr>
        <w:spacing w:after="0"/>
        <w:ind w:left="0"/>
        <w:jc w:val="both"/>
      </w:pPr>
      <w:r>
        <w:rPr>
          <w:rFonts w:ascii="Times New Roman"/>
          <w:b w:val="false"/>
          <w:i w:val="false"/>
          <w:color w:val="000000"/>
          <w:sz w:val="28"/>
        </w:rPr>
        <w:t>
      8. Все изменения в группе являются изменениями в системе фармаконадзора.</w:t>
      </w:r>
    </w:p>
    <w:bookmarkEnd w:id="7042"/>
    <w:bookmarkStart w:name="z7525" w:id="7043"/>
    <w:p>
      <w:pPr>
        <w:spacing w:after="0"/>
        <w:ind w:left="0"/>
        <w:jc w:val="both"/>
      </w:pPr>
      <w:r>
        <w:rPr>
          <w:rFonts w:ascii="Times New Roman"/>
          <w:b w:val="false"/>
          <w:i w:val="false"/>
          <w:color w:val="000000"/>
          <w:sz w:val="28"/>
        </w:rPr>
        <w:t>
      9. Все изменения в группе являются следствием определенного неотложного ограничения по безопасности и поданы в соответствии с пунктом 4.1.3 настоящего документа.</w:t>
      </w:r>
    </w:p>
    <w:bookmarkEnd w:id="7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26" w:id="7044"/>
    <w:p>
      <w:pPr>
        <w:spacing w:after="0"/>
        <w:ind w:left="0"/>
        <w:jc w:val="both"/>
      </w:pPr>
      <w:r>
        <w:rPr>
          <w:rFonts w:ascii="Times New Roman"/>
          <w:b w:val="false"/>
          <w:i w:val="false"/>
          <w:color w:val="000000"/>
          <w:sz w:val="28"/>
        </w:rPr>
        <w:t>
      10. Все изменения в группе относятся к исправлению сведений определенного класса в общей характеристике лекарственного препарата, макетах упаковок или листке-вкладыше (например, добавление класс-специфичного предупреждения).</w:t>
      </w:r>
    </w:p>
    <w:bookmarkEnd w:id="7044"/>
    <w:bookmarkStart w:name="z7527" w:id="7045"/>
    <w:p>
      <w:pPr>
        <w:spacing w:after="0"/>
        <w:ind w:left="0"/>
        <w:jc w:val="both"/>
      </w:pPr>
      <w:r>
        <w:rPr>
          <w:rFonts w:ascii="Times New Roman"/>
          <w:b w:val="false"/>
          <w:i w:val="false"/>
          <w:color w:val="000000"/>
          <w:sz w:val="28"/>
        </w:rPr>
        <w:t>
      11. Все изменения в группе являются следствием экспертизы определенного периодического отчета по безопасности.</w:t>
      </w:r>
    </w:p>
    <w:bookmarkEnd w:id="7045"/>
    <w:bookmarkStart w:name="z7528" w:id="7046"/>
    <w:p>
      <w:pPr>
        <w:spacing w:after="0"/>
        <w:ind w:left="0"/>
        <w:jc w:val="both"/>
      </w:pPr>
      <w:r>
        <w:rPr>
          <w:rFonts w:ascii="Times New Roman"/>
          <w:b w:val="false"/>
          <w:i w:val="false"/>
          <w:color w:val="000000"/>
          <w:sz w:val="28"/>
        </w:rPr>
        <w:t>
      12. Все изменения в группе являются следствием пострегистрационного исследования, проведенного под надзором держателя.</w:t>
      </w:r>
    </w:p>
    <w:bookmarkEnd w:id="7046"/>
    <w:bookmarkStart w:name="z7529" w:id="7047"/>
    <w:p>
      <w:pPr>
        <w:spacing w:after="0"/>
        <w:ind w:left="0"/>
        <w:jc w:val="both"/>
      </w:pPr>
      <w:r>
        <w:rPr>
          <w:rFonts w:ascii="Times New Roman"/>
          <w:b w:val="false"/>
          <w:i w:val="false"/>
          <w:color w:val="000000"/>
          <w:sz w:val="28"/>
        </w:rPr>
        <w:t>
      13. Все изменения в группе являются следствием обязательства, наложенного уполномоченным органом государства-члена при регистрации.</w:t>
      </w:r>
    </w:p>
    <w:bookmarkEnd w:id="7047"/>
    <w:bookmarkStart w:name="z7530" w:id="7048"/>
    <w:p>
      <w:pPr>
        <w:spacing w:after="0"/>
        <w:ind w:left="0"/>
        <w:jc w:val="both"/>
      </w:pPr>
      <w:r>
        <w:rPr>
          <w:rFonts w:ascii="Times New Roman"/>
          <w:b w:val="false"/>
          <w:i w:val="false"/>
          <w:color w:val="000000"/>
          <w:sz w:val="28"/>
        </w:rPr>
        <w:t>
      14. Все изменения в группе являются следствием регистрации на условиях.</w:t>
      </w:r>
    </w:p>
    <w:bookmarkEnd w:id="7048"/>
    <w:bookmarkStart w:name="z7531" w:id="7049"/>
    <w:p>
      <w:pPr>
        <w:spacing w:after="0"/>
        <w:ind w:left="0"/>
        <w:jc w:val="left"/>
      </w:pPr>
      <w:r>
        <w:rPr>
          <w:rFonts w:ascii="Times New Roman"/>
          <w:b/>
          <w:i w:val="false"/>
          <w:color w:val="000000"/>
        </w:rPr>
        <w:t xml:space="preserve"> Дополнение IV</w:t>
      </w:r>
    </w:p>
    <w:bookmarkEnd w:id="7049"/>
    <w:bookmarkStart w:name="z7532" w:id="7050"/>
    <w:p>
      <w:pPr>
        <w:spacing w:after="0"/>
        <w:ind w:left="0"/>
        <w:jc w:val="left"/>
      </w:pPr>
      <w:r>
        <w:rPr>
          <w:rFonts w:ascii="Times New Roman"/>
          <w:b/>
          <w:i w:val="false"/>
          <w:color w:val="000000"/>
        </w:rPr>
        <w:t xml:space="preserve"> Документы, представляемые заявителем в целях внесения изменений в регистрационное досье лекарственного препарата (досье на изменение) </w:t>
      </w:r>
    </w:p>
    <w:bookmarkEnd w:id="7050"/>
    <w:bookmarkStart w:name="z7533" w:id="7051"/>
    <w:p>
      <w:pPr>
        <w:spacing w:after="0"/>
        <w:ind w:left="0"/>
        <w:jc w:val="both"/>
      </w:pPr>
      <w:r>
        <w:rPr>
          <w:rFonts w:ascii="Times New Roman"/>
          <w:b w:val="false"/>
          <w:i w:val="false"/>
          <w:color w:val="000000"/>
          <w:sz w:val="28"/>
        </w:rPr>
        <w:t>
      1. Перечень необходимых документов приведен в разделах II и III настоящих Правил относительно каждого типа вносимых изменений.</w:t>
      </w:r>
    </w:p>
    <w:bookmarkEnd w:id="7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34" w:id="7052"/>
    <w:p>
      <w:pPr>
        <w:spacing w:after="0"/>
        <w:ind w:left="0"/>
        <w:jc w:val="both"/>
      </w:pPr>
      <w:r>
        <w:rPr>
          <w:rFonts w:ascii="Times New Roman"/>
          <w:b w:val="false"/>
          <w:i w:val="false"/>
          <w:color w:val="000000"/>
          <w:sz w:val="28"/>
        </w:rPr>
        <w:t>
      2. В сопроводительном письме заявителю необходимо привести подробное описание всех поданных изменений, включая:</w:t>
      </w:r>
    </w:p>
    <w:bookmarkEnd w:id="7052"/>
    <w:bookmarkStart w:name="z7535" w:id="7053"/>
    <w:p>
      <w:pPr>
        <w:spacing w:after="0"/>
        <w:ind w:left="0"/>
        <w:jc w:val="both"/>
      </w:pPr>
      <w:r>
        <w:rPr>
          <w:rFonts w:ascii="Times New Roman"/>
          <w:b w:val="false"/>
          <w:i w:val="false"/>
          <w:color w:val="000000"/>
          <w:sz w:val="28"/>
        </w:rPr>
        <w:t>
      при незначимых изменениях типа IA - дату реализации каждого описанного изменения;</w:t>
      </w:r>
    </w:p>
    <w:bookmarkEnd w:id="7053"/>
    <w:bookmarkStart w:name="z7536" w:id="7054"/>
    <w:p>
      <w:pPr>
        <w:spacing w:after="0"/>
        <w:ind w:left="0"/>
        <w:jc w:val="both"/>
      </w:pPr>
      <w:r>
        <w:rPr>
          <w:rFonts w:ascii="Times New Roman"/>
          <w:b w:val="false"/>
          <w:i w:val="false"/>
          <w:color w:val="000000"/>
          <w:sz w:val="28"/>
        </w:rPr>
        <w:t>
      при незначимых изменениях типа IA, не требующих немедленного уведомления, описание всех незначимых изменений типа IA, реализованных за последние 365 календарных дней (12 месяцев), уведомления о которых ранее не подавались.</w:t>
      </w:r>
    </w:p>
    <w:bookmarkEnd w:id="7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37" w:id="7055"/>
    <w:p>
      <w:pPr>
        <w:spacing w:after="0"/>
        <w:ind w:left="0"/>
        <w:jc w:val="both"/>
      </w:pPr>
      <w:r>
        <w:rPr>
          <w:rFonts w:ascii="Times New Roman"/>
          <w:b w:val="false"/>
          <w:i w:val="false"/>
          <w:color w:val="000000"/>
          <w:sz w:val="28"/>
        </w:rPr>
        <w:t>
      3. Все необходимые документы, указанные в Дополнении V к настоящему документу, в отношении соответствующего изменения. В случае если данные документы предоставляются на языке, отличном от русского, предоставляется их аутентичный перевод на русский язык.</w:t>
      </w:r>
    </w:p>
    <w:bookmarkEnd w:id="7055"/>
    <w:bookmarkStart w:name="z7538" w:id="7056"/>
    <w:p>
      <w:pPr>
        <w:spacing w:after="0"/>
        <w:ind w:left="0"/>
        <w:jc w:val="both"/>
      </w:pPr>
      <w:r>
        <w:rPr>
          <w:rFonts w:ascii="Times New Roman"/>
          <w:b w:val="false"/>
          <w:i w:val="false"/>
          <w:color w:val="000000"/>
          <w:sz w:val="28"/>
        </w:rPr>
        <w:t>
      4. Описание взаимосвязи между изменениями, если изменение приводит к изменению или является следствием иных изменений условий той же регистрации лекарственного препарата.</w:t>
      </w:r>
    </w:p>
    <w:bookmarkEnd w:id="7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решением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Совета Евразийской экономической комиссии от 29.05.2024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41" w:id="7057"/>
    <w:p>
      <w:pPr>
        <w:spacing w:after="0"/>
        <w:ind w:left="0"/>
        <w:jc w:val="left"/>
      </w:pPr>
      <w:r>
        <w:rPr>
          <w:rFonts w:ascii="Times New Roman"/>
          <w:b/>
          <w:i w:val="false"/>
          <w:color w:val="000000"/>
        </w:rPr>
        <w:t xml:space="preserve"> Дополнение V</w:t>
      </w:r>
    </w:p>
    <w:bookmarkEnd w:id="7057"/>
    <w:p>
      <w:pPr>
        <w:spacing w:after="0"/>
        <w:ind w:left="0"/>
        <w:jc w:val="both"/>
      </w:pPr>
      <w:r>
        <w:rPr>
          <w:rFonts w:ascii="Times New Roman"/>
          <w:b w:val="false"/>
          <w:i w:val="false"/>
          <w:color w:val="ff0000"/>
          <w:sz w:val="28"/>
        </w:rPr>
        <w:t xml:space="preserve">
      Сноска. Дополнение V с изменениями, внесенными решениями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29.05.2024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568" w:id="7058"/>
    <w:p>
      <w:pPr>
        <w:spacing w:after="0"/>
        <w:ind w:left="0"/>
        <w:jc w:val="left"/>
      </w:pPr>
      <w:r>
        <w:rPr>
          <w:rFonts w:ascii="Times New Roman"/>
          <w:b/>
          <w:i w:val="false"/>
          <w:color w:val="000000"/>
        </w:rPr>
        <w:t xml:space="preserve"> Классификация изменений в регистрационное досье лекарственного препарата</w:t>
      </w:r>
    </w:p>
    <w:bookmarkEnd w:id="7058"/>
    <w:p>
      <w:pPr>
        <w:spacing w:after="0"/>
        <w:ind w:left="0"/>
        <w:jc w:val="both"/>
      </w:pPr>
      <w:r>
        <w:rPr>
          <w:rFonts w:ascii="Times New Roman"/>
          <w:b w:val="false"/>
          <w:i w:val="false"/>
          <w:color w:val="000000"/>
          <w:sz w:val="28"/>
        </w:rPr>
        <w:t>
      Изменения в регистрационное досье лекарственных препаратов классифицируются в соответствии с настоящим дополнением на изменения, обусловленные:</w:t>
      </w:r>
    </w:p>
    <w:p>
      <w:pPr>
        <w:spacing w:after="0"/>
        <w:ind w:left="0"/>
        <w:jc w:val="both"/>
      </w:pPr>
      <w:r>
        <w:rPr>
          <w:rFonts w:ascii="Times New Roman"/>
          <w:b w:val="false"/>
          <w:i w:val="false"/>
          <w:color w:val="000000"/>
          <w:sz w:val="28"/>
        </w:rPr>
        <w:t>
      административными изменениями;</w:t>
      </w:r>
    </w:p>
    <w:p>
      <w:pPr>
        <w:spacing w:after="0"/>
        <w:ind w:left="0"/>
        <w:jc w:val="both"/>
      </w:pPr>
      <w:r>
        <w:rPr>
          <w:rFonts w:ascii="Times New Roman"/>
          <w:b w:val="false"/>
          <w:i w:val="false"/>
          <w:color w:val="000000"/>
          <w:sz w:val="28"/>
        </w:rPr>
        <w:t>
      изменениями качества;</w:t>
      </w:r>
    </w:p>
    <w:p>
      <w:pPr>
        <w:spacing w:after="0"/>
        <w:ind w:left="0"/>
        <w:jc w:val="both"/>
      </w:pPr>
      <w:r>
        <w:rPr>
          <w:rFonts w:ascii="Times New Roman"/>
          <w:b w:val="false"/>
          <w:i w:val="false"/>
          <w:color w:val="000000"/>
          <w:sz w:val="28"/>
        </w:rPr>
        <w:t>
      изменениями безопасности, эффективности и фармаконадзора;</w:t>
      </w:r>
    </w:p>
    <w:p>
      <w:pPr>
        <w:spacing w:after="0"/>
        <w:ind w:left="0"/>
        <w:jc w:val="both"/>
      </w:pPr>
      <w:r>
        <w:rPr>
          <w:rFonts w:ascii="Times New Roman"/>
          <w:b w:val="false"/>
          <w:i w:val="false"/>
          <w:color w:val="000000"/>
          <w:sz w:val="28"/>
        </w:rPr>
        <w:t>
      определенными изменениями мастер-файлов плазмы (МФП) и мастер-файлов вакцинного антигена (МФВА).</w:t>
      </w:r>
    </w:p>
    <w:p>
      <w:pPr>
        <w:spacing w:after="0"/>
        <w:ind w:left="0"/>
        <w:jc w:val="both"/>
      </w:pPr>
      <w:r>
        <w:rPr>
          <w:rFonts w:ascii="Times New Roman"/>
          <w:b w:val="false"/>
          <w:i w:val="false"/>
          <w:color w:val="000000"/>
          <w:sz w:val="28"/>
        </w:rPr>
        <w:t>
      При классификации отдельных изменений настоящего дополнения рассматриваемое изменение следует кодировать, используя следующую структуру:</w:t>
      </w:r>
    </w:p>
    <w:p>
      <w:pPr>
        <w:spacing w:after="0"/>
        <w:ind w:left="0"/>
        <w:jc w:val="both"/>
      </w:pPr>
      <w:r>
        <w:rPr>
          <w:rFonts w:ascii="Times New Roman"/>
          <w:b w:val="false"/>
          <w:i w:val="false"/>
          <w:color w:val="000000"/>
          <w:sz w:val="28"/>
        </w:rPr>
        <w:t>
      X.N.x.n ("код изменения"),</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 указывает на заглавную букву раздела дополнения, в котором содержится изменение (например, "А", "Б", "В" или "Г")</w:t>
      </w:r>
    </w:p>
    <w:p>
      <w:pPr>
        <w:spacing w:after="0"/>
        <w:ind w:left="0"/>
        <w:jc w:val="both"/>
      </w:pPr>
      <w:r>
        <w:rPr>
          <w:rFonts w:ascii="Times New Roman"/>
          <w:b w:val="false"/>
          <w:i w:val="false"/>
          <w:color w:val="000000"/>
          <w:sz w:val="28"/>
        </w:rPr>
        <w:t>
      N указывает на римскую цифру подраздела того раздела, в котором содержится изменение (например, I, II, III и т. д.)</w:t>
      </w:r>
    </w:p>
    <w:p>
      <w:pPr>
        <w:spacing w:after="0"/>
        <w:ind w:left="0"/>
        <w:jc w:val="both"/>
      </w:pPr>
      <w:r>
        <w:rPr>
          <w:rFonts w:ascii="Times New Roman"/>
          <w:b w:val="false"/>
          <w:i w:val="false"/>
          <w:color w:val="000000"/>
          <w:sz w:val="28"/>
        </w:rPr>
        <w:t>
      x указывает на букву в пункте подраздела, в котором содержится изменение (например, "а", "б", "в" и т. д.)</w:t>
      </w:r>
    </w:p>
    <w:p>
      <w:pPr>
        <w:spacing w:after="0"/>
        <w:ind w:left="0"/>
        <w:jc w:val="both"/>
      </w:pPr>
      <w:r>
        <w:rPr>
          <w:rFonts w:ascii="Times New Roman"/>
          <w:b w:val="false"/>
          <w:i w:val="false"/>
          <w:color w:val="000000"/>
          <w:sz w:val="28"/>
        </w:rPr>
        <w:t>
      n указывает на цифру подпункта, присвоенную в дополнении отдельному изменению (например, 1, 2, 3 и т. д.).</w:t>
      </w:r>
    </w:p>
    <w:p>
      <w:pPr>
        <w:spacing w:after="0"/>
        <w:ind w:left="0"/>
        <w:jc w:val="both"/>
      </w:pPr>
      <w:r>
        <w:rPr>
          <w:rFonts w:ascii="Times New Roman"/>
          <w:b w:val="false"/>
          <w:i w:val="false"/>
          <w:color w:val="000000"/>
          <w:sz w:val="28"/>
        </w:rPr>
        <w:t>
      В каждом разделе настоящего дополнения содержится:</w:t>
      </w:r>
    </w:p>
    <w:p>
      <w:pPr>
        <w:spacing w:after="0"/>
        <w:ind w:left="0"/>
        <w:jc w:val="both"/>
      </w:pPr>
      <w:r>
        <w:rPr>
          <w:rFonts w:ascii="Times New Roman"/>
          <w:b w:val="false"/>
          <w:i w:val="false"/>
          <w:color w:val="000000"/>
          <w:sz w:val="28"/>
        </w:rPr>
        <w:t>
      перечень изменений, классифицируемых в качестве незначимых изменений IA типа и значимых изменений II типа в соответствии с определениями пункта 1.2 настоящего приложения и дополнения II к настоящему приложению. В нем также указано, какие из изменений IA типа требуют согласно пунктам 2.1.1 и 3.1.1 настоящего приложения немедленного уведомления;</w:t>
      </w:r>
    </w:p>
    <w:p>
      <w:pPr>
        <w:spacing w:after="0"/>
        <w:ind w:left="0"/>
        <w:jc w:val="both"/>
      </w:pPr>
      <w:r>
        <w:rPr>
          <w:rFonts w:ascii="Times New Roman"/>
          <w:b w:val="false"/>
          <w:i w:val="false"/>
          <w:color w:val="000000"/>
          <w:sz w:val="28"/>
        </w:rPr>
        <w:t>
      перечень примеров, которые следует рассматривать в качестве незначимых изменений IB типа. Согласно пункту 1.3 настоящего приложения, эта категория присваивается по умолчанию. В этой связи настоящее дополнение не предназначено для установления исчерпывающего перечня такой категории изменений.</w:t>
      </w:r>
    </w:p>
    <w:p>
      <w:pPr>
        <w:spacing w:after="0"/>
        <w:ind w:left="0"/>
        <w:jc w:val="both"/>
      </w:pPr>
      <w:r>
        <w:rPr>
          <w:rFonts w:ascii="Times New Roman"/>
          <w:b w:val="false"/>
          <w:i w:val="false"/>
          <w:color w:val="000000"/>
          <w:sz w:val="28"/>
        </w:rPr>
        <w:t>
      В настоящем дополнении не рассматриваются расширения регистраций, поскольку они должным образом описаны в дополнении I к настоящему приложению. Все изменения, описанные в дополнении I к настоящему приложению, следует рассматривать в качестве расширений регистраций. Все иные изменения не должны рассматриваться в качестве расширения регистрации.</w:t>
      </w:r>
    </w:p>
    <w:p>
      <w:pPr>
        <w:spacing w:after="0"/>
        <w:ind w:left="0"/>
        <w:jc w:val="both"/>
      </w:pPr>
      <w:r>
        <w:rPr>
          <w:rFonts w:ascii="Times New Roman"/>
          <w:b w:val="false"/>
          <w:i w:val="false"/>
          <w:color w:val="000000"/>
          <w:sz w:val="28"/>
        </w:rPr>
        <w:t>
      Если одно или несколько условий, установленных в настоящем дополнении в отношении незначимых изменений IA типа, не выполняются, такое изменение допускается представить в качестве изменения IB типа ("изменение IB типа по умолчанию"), если такое изменение в настоящем дополнении или рекомендации, составленной в соответствии с пунктом 1.5 настоящего приложения, не трактуется в качестве изменения II типа, или если заявитель не сочтет, что изменения могут оказать значительное влияние на качество, безопасность и эффективность лекарственного препарата.</w:t>
      </w:r>
    </w:p>
    <w:p>
      <w:pPr>
        <w:spacing w:after="0"/>
        <w:ind w:left="0"/>
        <w:jc w:val="both"/>
      </w:pPr>
      <w:r>
        <w:rPr>
          <w:rFonts w:ascii="Times New Roman"/>
          <w:b w:val="false"/>
          <w:i w:val="false"/>
          <w:color w:val="000000"/>
          <w:sz w:val="28"/>
        </w:rPr>
        <w:t>
      Если уполномоченный орган при рассмотрении заявления на внесение изменений сочтет, что изменение, поданное в качестве изменения IB типа по умолчанию, способно оказать значительное влияние на безопасность, эффективность или качество, лекарственного препарата, он вправе отнести данное изменение к изменению II типа и направить запрос заявителю с требованием об изменении вида заявления о внесении изменений и представлении документов, необходимых для данного изменения. Последующее рассмотрение измененного заявления выполняется в сроки, установленные для изменения II типа с даты получения ответа на запрос.</w:t>
      </w:r>
    </w:p>
    <w:p>
      <w:pPr>
        <w:spacing w:after="0"/>
        <w:ind w:left="0"/>
        <w:jc w:val="both"/>
      </w:pPr>
      <w:r>
        <w:rPr>
          <w:rFonts w:ascii="Times New Roman"/>
          <w:b w:val="false"/>
          <w:i w:val="false"/>
          <w:color w:val="000000"/>
          <w:sz w:val="28"/>
        </w:rPr>
        <w:t>
      Понятие "процедура испытания" (test procedure) имеет то же значение, что и "аналитическая методика" (analytical procedure), понятие "пределы" (limits) – имеет тоже значение, что и "критерии приемлемости" (acceptance criteria). Под "параметром спецификации" понимается показатель качества, в отношении которого устанавливаются аналитическая методика и критерии приемлемости, например, количественное определение, подлинность и содержание воды. Таким образом, добавление или исключение параметра спецификации включает соответствующую аналитическую методику и критерии приемлемости.</w:t>
      </w:r>
    </w:p>
    <w:p>
      <w:pPr>
        <w:spacing w:after="0"/>
        <w:ind w:left="0"/>
        <w:jc w:val="both"/>
      </w:pPr>
      <w:r>
        <w:rPr>
          <w:rFonts w:ascii="Times New Roman"/>
          <w:b w:val="false"/>
          <w:i w:val="false"/>
          <w:color w:val="000000"/>
          <w:sz w:val="28"/>
        </w:rPr>
        <w:t>
      Под понятием "информация о лекарственном препарате" понимается общая характеристика лекарственного препарата, инструкция по медицинскому применению (листок-вкладыш), макеты упаковок лекарственного препарата и его нормативный документ по качеству.</w:t>
      </w:r>
    </w:p>
    <w:p>
      <w:pPr>
        <w:spacing w:after="0"/>
        <w:ind w:left="0"/>
        <w:jc w:val="both"/>
      </w:pPr>
      <w:r>
        <w:rPr>
          <w:rFonts w:ascii="Times New Roman"/>
          <w:b w:val="false"/>
          <w:i w:val="false"/>
          <w:color w:val="000000"/>
          <w:sz w:val="28"/>
        </w:rPr>
        <w:t xml:space="preserve">
      Под понятием "лицензия на производство" понимается собственно лицензия или иное разрешение на производство, выданное в порядке, установленном законодательством страны в которой находится производство. </w:t>
      </w:r>
    </w:p>
    <w:p>
      <w:pPr>
        <w:spacing w:after="0"/>
        <w:ind w:left="0"/>
        <w:jc w:val="both"/>
      </w:pPr>
      <w:r>
        <w:rPr>
          <w:rFonts w:ascii="Times New Roman"/>
          <w:b w:val="false"/>
          <w:i w:val="false"/>
          <w:color w:val="000000"/>
          <w:sz w:val="28"/>
        </w:rPr>
        <w:t>
      Документы, обосновывающие внесение изменений IB и II типов, зависят от характера таких изменений.</w:t>
      </w:r>
    </w:p>
    <w:p>
      <w:pPr>
        <w:spacing w:after="0"/>
        <w:ind w:left="0"/>
        <w:jc w:val="both"/>
      </w:pPr>
      <w:r>
        <w:rPr>
          <w:rFonts w:ascii="Times New Roman"/>
          <w:b w:val="false"/>
          <w:i w:val="false"/>
          <w:color w:val="000000"/>
          <w:sz w:val="28"/>
        </w:rPr>
        <w:t>
      Уведомлять уполномоченные органы государств-членов об обновленной статье Фармакопеи Союза или фармакопеи государства-члена не требуется, если в регистрационном досье зарегистрированного лекарственного препарата указана ссылка на актуальную редакцию. Заявителям следует помнить, что соответствие обновленной статье должно быть реализовано в течение 180 календарных дней с даты ее опубликования.</w:t>
      </w:r>
    </w:p>
    <w:p>
      <w:pPr>
        <w:spacing w:after="0"/>
        <w:ind w:left="0"/>
        <w:jc w:val="both"/>
      </w:pPr>
      <w:r>
        <w:rPr>
          <w:rFonts w:ascii="Times New Roman"/>
          <w:b w:val="false"/>
          <w:i w:val="false"/>
          <w:color w:val="000000"/>
          <w:sz w:val="28"/>
        </w:rPr>
        <w:t>
      В разделе Г настоящего дополнения представлен перечень изменений, характерных для МФП и МФВА. После экспертизы таких изменений любое регистрационное досье, содержащее ссылки на эти МФП и МФВА подлежит обновлению в соответствии с подразделом Б.V настоящего дополнения. Если документация о плазме человека, использованной в качестве исходного материала лекарственного препарата, полученного из плазмы, не подана в качестве МФП, изменения такого исходного материала, описанного в регистрационном досье, также должны проходит экспертизу в соответствии с настоящим дополнением.</w:t>
      </w:r>
    </w:p>
    <w:p>
      <w:pPr>
        <w:spacing w:after="0"/>
        <w:ind w:left="0"/>
        <w:jc w:val="both"/>
      </w:pPr>
      <w:r>
        <w:rPr>
          <w:rFonts w:ascii="Times New Roman"/>
          <w:b w:val="false"/>
          <w:i w:val="false"/>
          <w:color w:val="000000"/>
          <w:sz w:val="28"/>
        </w:rPr>
        <w:t>
      При отсутствии специальных указаний ссылки в настоящем дополнении на изменения регистрационного досье лекарственного препарата подразумевают добавление, замену или исключение. Если поправки к регистрационному досье являются исключительно редакционными изменениями (исправление технических ошибок и опечаток), такие изменения рассматриваются уполномоченными органами (экспертными организациями) в качестве редакционных при наличии подробных пояснений в Сопроводительном письме к заявлению (раздел 1.0 ОТД), в противном случае – как незаявленные изменения и, следовательно, недостоверные сведения</w:t>
      </w:r>
    </w:p>
    <w:p>
      <w:pPr>
        <w:spacing w:after="0"/>
        <w:ind w:left="0"/>
        <w:jc w:val="both"/>
      </w:pPr>
      <w:r>
        <w:rPr>
          <w:rFonts w:ascii="Times New Roman"/>
          <w:b w:val="false"/>
          <w:i w:val="false"/>
          <w:color w:val="000000"/>
          <w:sz w:val="28"/>
        </w:rPr>
        <w:t>
      В таких случаях в форме заявления необходимо четко указать такие изменения, как редакционные правки, и представить гарантии в Сопроводительном письме к заявлению (раздел 1.0 ОТД), подтверждающие, что представленные редакционные правки не влияют на изменение типа классификации поданного изменения. Представляемые заявителем редакционные правки допускают исключение устаревшего или избыточного текста, но не исключение параметров спецификации и описаний производства.</w:t>
      </w:r>
    </w:p>
    <w:bookmarkStart w:name="z7569" w:id="7059"/>
    <w:p>
      <w:pPr>
        <w:spacing w:after="0"/>
        <w:ind w:left="0"/>
        <w:jc w:val="both"/>
      </w:pPr>
      <w:r>
        <w:rPr>
          <w:rFonts w:ascii="Times New Roman"/>
          <w:b w:val="false"/>
          <w:i w:val="false"/>
          <w:color w:val="000000"/>
          <w:sz w:val="28"/>
        </w:rPr>
        <w:t>
      А. Административные изменения</w:t>
      </w:r>
    </w:p>
    <w:bookmarkEnd w:id="7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7060"/>
          <w:p>
            <w:pPr>
              <w:spacing w:after="20"/>
              <w:ind w:left="20"/>
              <w:jc w:val="both"/>
            </w:pPr>
          </w:p>
          <w:bookmarkEnd w:id="7060"/>
          <w:p>
            <w:pPr>
              <w:spacing w:after="20"/>
              <w:ind w:left="20"/>
              <w:jc w:val="both"/>
            </w:pPr>
            <w:r>
              <w:rPr>
                <w:rFonts w:ascii="Times New Roman"/>
                <w:b w:val="false"/>
                <w:i w:val="false"/>
                <w:color w:val="000000"/>
                <w:sz w:val="20"/>
              </w:rPr>
              <w:t>А.1. Изменение держателя регистрационного удостоверения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названия и (или) адреса держателя регистрационного удостоверения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трансфер регистрационного удостоверения от одного держателя регистрационного удостоверения другому юридическому лицу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Держатель регистрационного удостоверения должен оставаться тем же юридическим лицом.</w:t>
            </w:r>
          </w:p>
          <w:p>
            <w:pPr>
              <w:spacing w:after="20"/>
              <w:ind w:left="20"/>
              <w:jc w:val="both"/>
            </w:pPr>
            <w:r>
              <w:rPr>
                <w:rFonts w:ascii="Times New Roman"/>
                <w:b w:val="false"/>
                <w:i w:val="false"/>
                <w:color w:val="000000"/>
                <w:sz w:val="20"/>
              </w:rPr>
              <w:t>
2. Держатель регистрационного удостоверения является другим юридическим лицом.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документа, выданного соответствующим уполномоченным органом страны регистрации юридического лица держателя регистрационного удостоверения (например, налогового органа), в котором указано наименование и адрес юридического лица нового держателя регистрационного удостоверения или новое название и (или) адрес держателя регистрационного удостоверения.</w:t>
            </w:r>
          </w:p>
          <w:p>
            <w:pPr>
              <w:spacing w:after="20"/>
              <w:ind w:left="20"/>
              <w:jc w:val="both"/>
            </w:pPr>
            <w:r>
              <w:rPr>
                <w:rFonts w:ascii="Times New Roman"/>
                <w:b w:val="false"/>
                <w:i w:val="false"/>
                <w:color w:val="000000"/>
                <w:sz w:val="20"/>
              </w:rPr>
              <w:t>
2. Документы, обосновывающие трансфер регистрационного удостоверения (удостоверений) и подтверждающие возможность нового держателя регистрационного удостоверения обеспечивать надлежащее выполнение всех обязанностей держателя регистрационного удостоверения;</w:t>
            </w:r>
          </w:p>
          <w:p>
            <w:pPr>
              <w:spacing w:after="20"/>
              <w:ind w:left="20"/>
              <w:jc w:val="both"/>
            </w:pPr>
            <w:r>
              <w:rPr>
                <w:rFonts w:ascii="Times New Roman"/>
                <w:b w:val="false"/>
                <w:i w:val="false"/>
                <w:color w:val="000000"/>
                <w:sz w:val="20"/>
              </w:rPr>
              <w:t>
копия документа, подтверждающего трансфер регистрационного удостоверения от одного юридического лица другому юридическому лицу;</w:t>
            </w:r>
          </w:p>
          <w:p>
            <w:pPr>
              <w:spacing w:after="20"/>
              <w:ind w:left="20"/>
              <w:jc w:val="both"/>
            </w:pPr>
            <w:r>
              <w:rPr>
                <w:rFonts w:ascii="Times New Roman"/>
                <w:b w:val="false"/>
                <w:i w:val="false"/>
                <w:color w:val="000000"/>
                <w:sz w:val="20"/>
              </w:rPr>
              <w:t>
пересмотренная краткая характеристика системы фармаконадзора или пересмотренный мастер-файл системы фармаконадзора, если он включен в регистрационное досье;</w:t>
            </w:r>
          </w:p>
          <w:p>
            <w:pPr>
              <w:spacing w:after="20"/>
              <w:ind w:left="20"/>
              <w:jc w:val="both"/>
            </w:pPr>
            <w:r>
              <w:rPr>
                <w:rFonts w:ascii="Times New Roman"/>
                <w:b w:val="false"/>
                <w:i w:val="false"/>
                <w:color w:val="000000"/>
                <w:sz w:val="20"/>
              </w:rPr>
              <w:t>
сведения об организации, ответственной за работу с рекламациями в Евразийском экономическом союзе.</w:t>
            </w:r>
          </w:p>
          <w:p>
            <w:pPr>
              <w:spacing w:after="20"/>
              <w:ind w:left="20"/>
              <w:jc w:val="both"/>
            </w:pPr>
            <w:r>
              <w:rPr>
                <w:rFonts w:ascii="Times New Roman"/>
                <w:b w:val="false"/>
                <w:i w:val="false"/>
                <w:color w:val="000000"/>
                <w:sz w:val="20"/>
              </w:rPr>
              <w:t>
3. Пересмотренная в соответствующих разделах информация о лекарственном препарате.</w:t>
            </w:r>
          </w:p>
          <w:p>
            <w:pPr>
              <w:spacing w:after="20"/>
              <w:ind w:left="20"/>
              <w:jc w:val="both"/>
            </w:pPr>
            <w:r>
              <w:rPr>
                <w:rFonts w:ascii="Times New Roman"/>
                <w:b w:val="false"/>
                <w:i w:val="false"/>
                <w:color w:val="000000"/>
                <w:sz w:val="20"/>
              </w:rPr>
              <w:t>
4. Документ (документы), представленные юридическим лицом, которому передаются полномочия держателя регистрационного удостоверения, подтверждающий отсутствие изменений в информации о лекарственном препарате, не относящихся к трансферу регистрационного удостоверения.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Изменение (торгового) наименования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лекарственные препараты, зарегистрированные в соответствии с Правилами регистрации и экспертизы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лекарственные препараты, зарегистрированные только в референтном государстве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Подтверждение уполномоченного органа (экспертной организации) референтного государства приемлемости нового (торгового) наименования.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заявителя приемлемости нового (торгового) наименования.</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Изменение наименования активной фармацевтической субстанции или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Активная фармацевтическая субстанция (вспомогательное вещество) </w:t>
            </w:r>
          </w:p>
          <w:p>
            <w:pPr>
              <w:spacing w:after="20"/>
              <w:ind w:left="20"/>
              <w:jc w:val="both"/>
            </w:pPr>
            <w:r>
              <w:rPr>
                <w:rFonts w:ascii="Times New Roman"/>
                <w:b w:val="false"/>
                <w:i w:val="false"/>
                <w:color w:val="000000"/>
                <w:sz w:val="20"/>
              </w:rPr>
              <w:t>не изменяется.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изменения наименования активной фармацевтической субстанции ВОЗ. Для вспомогательного вещества – обоснование изменения справочника (классификатора) вспомогательных веществ Союза. Подтверждение того, что изменение соответствует Фармакопее Союза (если применимо), а при отсутствии в ней – фармакопее государства-члена. Декларация, что наименование лекарственных растительных препаратов соответствует актам органов Союза в сфере обращения лекарственных средств.</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Изменение названия и (или) адреса: производителя (включая, если применимо, площадки по контролю качества), или держателя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регистрационном досье), если в регистрационном досье отсутствуют сертификаты соответствия Европейской фармакопее, или производителя нового вспомогательного вещества (если указано в регистрационном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2. Поправка к соответствующему разделу регистрационного досье.</w:t>
            </w:r>
          </w:p>
          <w:p>
            <w:pPr>
              <w:spacing w:after="20"/>
              <w:ind w:left="20"/>
              <w:jc w:val="both"/>
            </w:pPr>
            <w:r>
              <w:rPr>
                <w:rFonts w:ascii="Times New Roman"/>
                <w:b w:val="false"/>
                <w:i w:val="false"/>
                <w:color w:val="000000"/>
                <w:sz w:val="20"/>
              </w:rPr>
              <w:t>
3. При изменении названия держателя мастер-файла активной фармацевтической субстанции (МФАФС) – обновленное "разрешение на доступ".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Изменение названия и (или) адреса производителя лекарственного препарата, включая выпускающие площадки и площадки по контролю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действия, за которые отвечает производитель (импортер), включают выпуск серий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Производственная площадка, название и (или) адрес которой изменяются, и ни один из процессов производства не изменяются.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Копия лицензии на производство (при наличии) или официальный документ от соответствующего уполномоченного органа (например, налогового органа), </w:t>
            </w:r>
          </w:p>
          <w:p>
            <w:pPr>
              <w:spacing w:after="20"/>
              <w:ind w:left="20"/>
              <w:jc w:val="both"/>
            </w:pPr>
            <w:r>
              <w:rPr>
                <w:rFonts w:ascii="Times New Roman"/>
                <w:b w:val="false"/>
                <w:i w:val="false"/>
                <w:color w:val="000000"/>
                <w:sz w:val="20"/>
              </w:rPr>
              <w:t>в котором указано новое название и (или) адрес.</w:t>
            </w:r>
          </w:p>
          <w:p>
            <w:pPr>
              <w:spacing w:after="20"/>
              <w:ind w:left="20"/>
              <w:jc w:val="both"/>
            </w:pPr>
            <w:r>
              <w:rPr>
                <w:rFonts w:ascii="Times New Roman"/>
                <w:b w:val="false"/>
                <w:i w:val="false"/>
                <w:color w:val="000000"/>
                <w:sz w:val="20"/>
              </w:rPr>
              <w:t>
2. Если применимо, поправка к соответствующему разделу регистрационного досье, включая пересмотренную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Изменение кода АТХ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вследствие утверждения или изменения ВОЗ кода АТХ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изменение по инициативе заявителя кода, не являющегося кодом, присвоенным ВОЗ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А.7. Исключение производственной площадки </w:t>
            </w:r>
          </w:p>
          <w:p>
            <w:pPr>
              <w:spacing w:after="20"/>
              <w:ind w:left="20"/>
              <w:jc w:val="both"/>
            </w:pPr>
            <w:r>
              <w:rPr>
                <w:rFonts w:ascii="Times New Roman"/>
                <w:b w:val="false"/>
                <w:i w:val="false"/>
                <w:color w:val="000000"/>
                <w:sz w:val="20"/>
              </w:rPr>
              <w:t>(в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регистрационном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Должно остаться не менее 1 ранее одобренной производственной площадки (производителя), осуществляющей те же функции, что и подлежащие исключению. </w:t>
            </w:r>
          </w:p>
          <w:p>
            <w:pPr>
              <w:spacing w:after="20"/>
              <w:ind w:left="20"/>
              <w:jc w:val="both"/>
            </w:pPr>
            <w:r>
              <w:rPr>
                <w:rFonts w:ascii="Times New Roman"/>
                <w:b w:val="false"/>
                <w:i w:val="false"/>
                <w:color w:val="000000"/>
                <w:sz w:val="20"/>
              </w:rPr>
              <w:t>
2. Исключение не должно быть следствием критических недостатков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В пункте о вносимых изменениях заявления о внесении изменений необходимо четко указать ранее одобренных и предлагаемых к удалению производителей, как указано в разделе 2 формы заявления.</w:t>
            </w:r>
          </w:p>
          <w:p>
            <w:pPr>
              <w:spacing w:after="20"/>
              <w:ind w:left="20"/>
              <w:jc w:val="both"/>
            </w:pPr>
            <w:r>
              <w:rPr>
                <w:rFonts w:ascii="Times New Roman"/>
                <w:b w:val="false"/>
                <w:i w:val="false"/>
                <w:color w:val="000000"/>
                <w:sz w:val="20"/>
              </w:rPr>
              <w:t>
2. Поправка к соответствующему разделу (разделам) регистрационного досье, включая пересмотренную информацию о лекарственном препарате.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7061"/>
          <w:p>
            <w:pPr>
              <w:spacing w:after="20"/>
              <w:ind w:left="20"/>
              <w:jc w:val="both"/>
            </w:pPr>
            <w:r>
              <w:rPr>
                <w:rFonts w:ascii="Times New Roman"/>
                <w:b w:val="false"/>
                <w:i w:val="false"/>
                <w:color w:val="ff0000"/>
                <w:sz w:val="20"/>
              </w:rPr>
              <w:t xml:space="preserve">
А.8. Утратил силу решением Совета Евразийской экономической комиссии от 26.11.2025 </w:t>
            </w:r>
            <w:r>
              <w:rPr>
                <w:rFonts w:ascii="Times New Roman"/>
                <w:b w:val="false"/>
                <w:i w:val="false"/>
                <w:color w:val="ff0000"/>
                <w:sz w:val="20"/>
              </w:rPr>
              <w:t>№ 93</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bookmarkEnd w:id="706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5" w:id="7062"/>
          <w:p>
            <w:pPr>
              <w:spacing w:after="20"/>
              <w:ind w:left="20"/>
              <w:jc w:val="both"/>
            </w:pPr>
            <w:r>
              <w:rPr>
                <w:rFonts w:ascii="Times New Roman"/>
                <w:b w:val="false"/>
                <w:i w:val="false"/>
                <w:color w:val="000000"/>
                <w:sz w:val="20"/>
              </w:rPr>
              <w:t>
А.9. Изменения с целью исправления допущенных опечаток и ошибок в документах регистрационного досье</w:t>
            </w:r>
          </w:p>
          <w:bookmarkEnd w:id="70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затрагивающие информацию о лекарственном препарате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не затрагивающие информацию о лекарственном препарате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Ошибки или опечатки носят технический характер и не оказывают влияния на качество и безопасность и (или) эффективность лекарственного препарата.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пересмотренную информацию о лекарственном препарате (если применимо), а также изменения в режиме редактирования.</w:t>
            </w:r>
          </w:p>
          <w:p>
            <w:pPr>
              <w:spacing w:after="20"/>
              <w:ind w:left="20"/>
              <w:jc w:val="both"/>
            </w:pPr>
            <w:r>
              <w:rPr>
                <w:rFonts w:ascii="Times New Roman"/>
                <w:b w:val="false"/>
                <w:i w:val="false"/>
                <w:color w:val="000000"/>
                <w:sz w:val="20"/>
              </w:rPr>
              <w:t>
2. Обоснование технического характера выявленной ошибки или опечатки.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 Изменение наименования, организационно-правовой формы или адреса уполномоченного органа или организации, осуществляющей экспертизу и регистрацию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Документация </w:t>
            </w:r>
          </w:p>
          <w:p>
            <w:pPr>
              <w:spacing w:after="20"/>
              <w:ind w:left="20"/>
              <w:jc w:val="both"/>
            </w:pPr>
            <w:r>
              <w:rPr>
                <w:rFonts w:ascii="Times New Roman"/>
                <w:b w:val="false"/>
                <w:i w:val="false"/>
                <w:color w:val="000000"/>
                <w:sz w:val="20"/>
              </w:rPr>
              <w:t>
1.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 Изменение названия материала первичной упаковки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Материал системы упаковки (укупорки) не изменился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Документация </w:t>
            </w:r>
          </w:p>
          <w:p>
            <w:pPr>
              <w:spacing w:after="20"/>
              <w:ind w:left="20"/>
              <w:jc w:val="both"/>
            </w:pPr>
            <w:r>
              <w:rPr>
                <w:rFonts w:ascii="Times New Roman"/>
                <w:b w:val="false"/>
                <w:i w:val="false"/>
                <w:color w:val="000000"/>
                <w:sz w:val="20"/>
              </w:rPr>
              <w:t xml:space="preserve">
1. Копия или ссылка на нормативный документ об утверждении или изменении материалов. Если применимо, подтверждение того, что изменение соответствует Фармакопее Союза, а при отсутствии в ней – Фармакопее государства-члена. </w:t>
            </w:r>
          </w:p>
          <w:p>
            <w:pPr>
              <w:spacing w:after="20"/>
              <w:ind w:left="20"/>
              <w:jc w:val="both"/>
            </w:pPr>
            <w:r>
              <w:rPr>
                <w:rFonts w:ascii="Times New Roman"/>
                <w:b w:val="false"/>
                <w:i w:val="false"/>
                <w:color w:val="000000"/>
                <w:sz w:val="20"/>
              </w:rPr>
              <w:t>
2. Декларация, что наименование материала соответствует актам органов Союза в сфере обращения лекарственных средств.</w:t>
            </w:r>
          </w:p>
          <w:p>
            <w:pPr>
              <w:spacing w:after="20"/>
              <w:ind w:left="20"/>
              <w:jc w:val="both"/>
            </w:pPr>
            <w:r>
              <w:rPr>
                <w:rFonts w:ascii="Times New Roman"/>
                <w:b w:val="false"/>
                <w:i w:val="false"/>
                <w:color w:val="000000"/>
                <w:sz w:val="20"/>
              </w:rPr>
              <w:t>
3. Пересмотренная информация о лекарственном препарате.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Изменения качества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Б.I. </w:t>
      </w:r>
      <w:r>
        <w:rPr>
          <w:rFonts w:ascii="Times New Roman"/>
          <w:b w:val="false"/>
          <w:i w:val="false"/>
          <w:color w:val="000000"/>
          <w:sz w:val="28"/>
        </w:rPr>
        <w:t xml:space="preserve"> Активная фармацевтическая субстанция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Б.I.а)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если в регистрационном досье отсутствует сертификат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группе фармацевтических компаний,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5, 6, 7, 9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могут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(включая исходный материал, реактив, промежуточный продукт, использующийся в производстве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обновления раздела 3.2.S регистрационного досье лекарственного препарата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включение альтернативной площадки по стерилизации активной фармацевтической субстанции с использованием метода Фармакопеи Союза, </w:t>
            </w:r>
          </w:p>
          <w:p>
            <w:pPr>
              <w:spacing w:after="20"/>
              <w:ind w:left="20"/>
              <w:jc w:val="both"/>
            </w:pPr>
            <w:r>
              <w:rPr>
                <w:rFonts w:ascii="Times New Roman"/>
                <w:b w:val="false"/>
                <w:i w:val="false"/>
                <w:color w:val="000000"/>
                <w:sz w:val="20"/>
              </w:rPr>
              <w:t xml:space="preserve">а при отсутствии в ней – </w:t>
            </w:r>
          </w:p>
          <w:p>
            <w:pPr>
              <w:spacing w:after="20"/>
              <w:ind w:left="20"/>
              <w:jc w:val="both"/>
            </w:pPr>
            <w:r>
              <w:rPr>
                <w:rFonts w:ascii="Times New Roman"/>
                <w:b w:val="false"/>
                <w:i w:val="false"/>
                <w:color w:val="000000"/>
                <w:sz w:val="20"/>
              </w:rPr>
              <w:t xml:space="preserve">с использованием методов других фармакопей в соответствии с Концепцией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w:t>
            </w:r>
          </w:p>
          <w:p>
            <w:pPr>
              <w:spacing w:after="20"/>
              <w:ind w:left="20"/>
              <w:jc w:val="both"/>
            </w:pPr>
            <w:r>
              <w:rPr>
                <w:rFonts w:ascii="Times New Roman"/>
                <w:b w:val="false"/>
                <w:i w:val="false"/>
                <w:color w:val="000000"/>
                <w:sz w:val="20"/>
              </w:rPr>
              <w:t>2015 г. № 119 (далее – Концепция гармонизации)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порядка контроля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рабочего банка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2. Активная фармацевтическая субстанция не является биологической или стерильной.</w:t>
            </w:r>
          </w:p>
          <w:p>
            <w:pPr>
              <w:spacing w:after="20"/>
              <w:ind w:left="20"/>
              <w:jc w:val="both"/>
            </w:pPr>
            <w:r>
              <w:rPr>
                <w:rFonts w:ascii="Times New Roman"/>
                <w:b w:val="false"/>
                <w:i w:val="false"/>
                <w:color w:val="000000"/>
                <w:sz w:val="20"/>
              </w:rPr>
              <w:t>
3. Если в процессе производства используются материалы человеческого или животного происхождения и производитель активной фармацевтической субстанции:</w:t>
            </w:r>
          </w:p>
          <w:p>
            <w:pPr>
              <w:spacing w:after="20"/>
              <w:ind w:left="20"/>
              <w:jc w:val="both"/>
            </w:pPr>
            <w:r>
              <w:rPr>
                <w:rFonts w:ascii="Times New Roman"/>
                <w:b w:val="false"/>
                <w:i w:val="false"/>
                <w:color w:val="000000"/>
                <w:sz w:val="20"/>
              </w:rPr>
              <w:t xml:space="preserve">
не использует нового поставщика, в отношении которого требуется оценка вирусной безопасности и оценка соответствия Фармакопее Союза или другим фармакопеям в соответствии с Концепцией гармонизации фармакопей и </w:t>
            </w:r>
          </w:p>
          <w:p>
            <w:pPr>
              <w:spacing w:after="20"/>
              <w:ind w:left="20"/>
              <w:jc w:val="both"/>
            </w:pPr>
            <w:r>
              <w:rPr>
                <w:rFonts w:ascii="Times New Roman"/>
                <w:b w:val="false"/>
                <w:i w:val="false"/>
                <w:color w:val="000000"/>
                <w:sz w:val="20"/>
              </w:rPr>
              <w:t>главе 24 Правил проведения исследований биологических лекарственных средств,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использует нового поставщика в отношении которого такая оценка проведена.</w:t>
            </w:r>
          </w:p>
          <w:p>
            <w:pPr>
              <w:spacing w:after="20"/>
              <w:ind w:left="20"/>
              <w:jc w:val="both"/>
            </w:pPr>
            <w:r>
              <w:rPr>
                <w:rFonts w:ascii="Times New Roman"/>
                <w:b w:val="false"/>
                <w:i w:val="false"/>
                <w:color w:val="000000"/>
                <w:sz w:val="20"/>
              </w:rPr>
              <w:t>
4. Трансфер метода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размера частиц активной фармацевтической субстанции и соответствующий аналитический метод не изменяются.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Если применимо,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Подтверждение держателя регистрационного удостоверения или держателя МФАФС соответственно, что процедуры контроля качества, способа синтеза (или для лекарственных растительных препаратов – метода приготовления, географического источника происхождения растительной фармацевтической субстанции и процесса ее производства (соответственно))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3. Сертификат соответствия Европейской Фармакопее по ГЭ для любого нового источника материала, либо (если применимо) документальное подтверждение того, что источник материала, подверженный риску ГЭ, ранее исследовался уполномоченным органом и было подтверждено его соответствие Фармакопее Союза или другим фармакопеям в соответствии с Концепцией гармонизации фармакопей и главе 24 Правил проведения исследований биологических лекарственных средств по минимизации риска передачи агентов губчатой энцефалопатии животных посредством лекарственных препаратов для медицинского применения. При этом, такое документальное подтверждение должно включать в себя в том числе следующие сведения: название производителя, вид животного и его ткани, из которых получен материал; страна происхождения материала, использование данного материала в прошлом и его приемлемость.</w:t>
            </w:r>
          </w:p>
          <w:p>
            <w:pPr>
              <w:spacing w:after="20"/>
              <w:ind w:left="20"/>
              <w:jc w:val="both"/>
            </w:pPr>
            <w:r>
              <w:rPr>
                <w:rFonts w:ascii="Times New Roman"/>
                <w:b w:val="false"/>
                <w:i w:val="false"/>
                <w:color w:val="000000"/>
                <w:sz w:val="20"/>
              </w:rPr>
              <w:t>
4. Данные анализа серий (в форме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5. В заявлении о внесении изменений и в сопроводительном письме необходимо четко указать ранее одобренных и предлагаемых производителей.</w:t>
            </w:r>
          </w:p>
          <w:p>
            <w:pPr>
              <w:spacing w:after="20"/>
              <w:ind w:left="20"/>
              <w:jc w:val="both"/>
            </w:pPr>
            <w:r>
              <w:rPr>
                <w:rFonts w:ascii="Times New Roman"/>
                <w:b w:val="false"/>
                <w:i w:val="false"/>
                <w:color w:val="000000"/>
                <w:sz w:val="20"/>
              </w:rPr>
              <w:t>
6. Если активная фармацевтическая субстанция используется в качестве исходного материала, декларация уполномоченного лица каждого держателя лицензии на производство лекарственного препарата, указанного в заявлении, или уполномоченного лица каждого держателя лицензии на производство, указанного в заявлении как осуществляющего стадию проведения выпускающего контроля качества лекарственного препарата. В декларациях необходимо указать, что производитель активной фармацевтической субстанции, указанный в заявлении, осуществляет свою деятельность в соответствии с Правилами надлежащей производственной практики. При определенных обстоятельствах допускается представлять 1 декларацию (см. примечание к изменению Б.II.б.1).</w:t>
            </w:r>
          </w:p>
          <w:p>
            <w:pPr>
              <w:spacing w:after="20"/>
              <w:ind w:left="20"/>
              <w:jc w:val="both"/>
            </w:pPr>
            <w:r>
              <w:rPr>
                <w:rFonts w:ascii="Times New Roman"/>
                <w:b w:val="false"/>
                <w:i w:val="false"/>
                <w:color w:val="000000"/>
                <w:sz w:val="20"/>
              </w:rPr>
              <w:t>
7. Обязательство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что предлагаемая площадка должным образом лицензирована в отношении рассматриваемой производственной операции.</w:t>
            </w:r>
          </w:p>
          <w:p>
            <w:pPr>
              <w:spacing w:after="20"/>
              <w:ind w:left="20"/>
              <w:jc w:val="both"/>
            </w:pPr>
            <w:r>
              <w:rPr>
                <w:rFonts w:ascii="Times New Roman"/>
                <w:b w:val="false"/>
                <w:i w:val="false"/>
                <w:color w:val="000000"/>
                <w:sz w:val="20"/>
              </w:rPr>
              <w:t>
9. Документы, подтверждающие принадлежность производителя активной фармацевтической субстанции к одной группе фармацевтических компаний (например, письмо подтверждение).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0"/>
              </w:rPr>
              <w:t>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применимых случаях представляется также тест сравнительной кинетики растворения на лекарственный препарат с активной фармацевтической субстанцией, произведенной на прежней площадке, и 2 сериями лекарственного препарата, произведенного с активной фармацевтической субстанцией, произведенной на новой производственной площадке.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субстанцию или использование другого вещества, полученного путем химического синтеза, при производстве биологического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 управления пострегистрационными изменениями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лекарственный растительный препарат, а именно географический источник происхождения лекарственного растительного сырья, способ производства или приготовления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происхождения лекарственного растительного сырья, приготовление лекарственного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5. Активная фармацевтическая субстанция не является биологической субстанцией.</w:t>
            </w:r>
          </w:p>
          <w:p>
            <w:pPr>
              <w:spacing w:after="20"/>
              <w:ind w:left="20"/>
              <w:jc w:val="both"/>
            </w:pPr>
            <w:r>
              <w:rPr>
                <w:rFonts w:ascii="Times New Roman"/>
                <w:b w:val="false"/>
                <w:i w:val="false"/>
                <w:color w:val="000000"/>
                <w:sz w:val="20"/>
              </w:rPr>
              <w:t>
6. Изменение не затрагивает географический источник происхождения лекарственного растительного сырья,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закрытую часть МФАФС.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прямое сравнение текущего и нового процессов.</w:t>
            </w:r>
          </w:p>
          <w:p>
            <w:pPr>
              <w:spacing w:after="20"/>
              <w:ind w:left="20"/>
              <w:jc w:val="both"/>
            </w:pPr>
            <w:r>
              <w:rPr>
                <w:rFonts w:ascii="Times New Roman"/>
                <w:b w:val="false"/>
                <w:i w:val="false"/>
                <w:color w:val="000000"/>
                <w:sz w:val="20"/>
              </w:rPr>
              <w:t xml:space="preserve">
2.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2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3. Копии утвержденных спецификаций активной фармацевтической субстанции (в виде ссылки на соответствующий документ в последовательности регистрационного досье или приложения к сопроводительному письму).</w:t>
            </w:r>
          </w:p>
          <w:p>
            <w:pPr>
              <w:spacing w:after="20"/>
              <w:ind w:left="20"/>
              <w:jc w:val="both"/>
            </w:pPr>
            <w:r>
              <w:rPr>
                <w:rFonts w:ascii="Times New Roman"/>
                <w:b w:val="false"/>
                <w:i w:val="false"/>
                <w:color w:val="000000"/>
                <w:sz w:val="20"/>
              </w:rPr>
              <w:t>
4. Подтверждение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до 10 раз по сравнению с зарегистрированным размером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5, 6, 7, 8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уменьшение размера серии до 10 раз по сравнению с зарегистрированным размером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чем в 10 раз по сравнению с зарегистрированным размером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активной фармацевтической субстанции без изменения процесса производства (например, дублирование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Все изменения методов производства затрагивают лишь необходимые процессы для увеличения или уменьшения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2. Необходимо представить результаты испытаний согласно спецификациям не менее 2 серий предлагаемого размера серии.</w:t>
            </w:r>
          </w:p>
          <w:p>
            <w:pPr>
              <w:spacing w:after="20"/>
              <w:ind w:left="20"/>
              <w:jc w:val="both"/>
            </w:pPr>
            <w:r>
              <w:rPr>
                <w:rFonts w:ascii="Times New Roman"/>
                <w:b w:val="false"/>
                <w:i w:val="false"/>
                <w:color w:val="000000"/>
                <w:sz w:val="20"/>
              </w:rPr>
              <w:t>
3. Рассматриваемый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5. Изменение не должно быть следствием непредвиденных ситуаций, возникших в ходе производства, или нарушения стабильности.</w:t>
            </w:r>
          </w:p>
          <w:p>
            <w:pPr>
              <w:spacing w:after="20"/>
              <w:ind w:left="20"/>
              <w:jc w:val="both"/>
            </w:pPr>
            <w:r>
              <w:rPr>
                <w:rFonts w:ascii="Times New Roman"/>
                <w:b w:val="false"/>
                <w:i w:val="false"/>
                <w:color w:val="000000"/>
                <w:sz w:val="20"/>
              </w:rPr>
              <w:t>
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размера серии, не являвшегося изменением IA типа.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xml:space="preserve">
3.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1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2 полным промышленным сериям. Держатель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xml:space="preserve">
4. Копии одобренных спецификаций активной фармацевтической субстанции </w:t>
            </w:r>
          </w:p>
          <w:p>
            <w:pPr>
              <w:spacing w:after="20"/>
              <w:ind w:left="20"/>
              <w:jc w:val="both"/>
            </w:pPr>
            <w:r>
              <w:rPr>
                <w:rFonts w:ascii="Times New Roman"/>
                <w:b w:val="false"/>
                <w:i w:val="false"/>
                <w:color w:val="000000"/>
                <w:sz w:val="20"/>
              </w:rPr>
              <w:t>(и промежуточных продуктов, если применимо)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5. Подтверждение держателя регистрационного удостоверения или держателя МФАФС соответственно, что все изменения методов производства затрагивают лишь необходимые процессы для увеличения или уменьшения размера серии (например, использование оборудования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могут существенно повлиять на совокупное качество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незначительное изменение аналитической методики внутрипроизводственного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8, 9, 10, 11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должно укладываться в диапазон действующих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любое изменение частоты испытаний.</w:t>
            </w:r>
          </w:p>
          <w:p>
            <w:pPr>
              <w:spacing w:after="20"/>
              <w:ind w:left="20"/>
              <w:jc w:val="both"/>
            </w:pPr>
            <w:r>
              <w:rPr>
                <w:rFonts w:ascii="Times New Roman"/>
                <w:b w:val="false"/>
                <w:i w:val="false"/>
                <w:color w:val="000000"/>
                <w:sz w:val="20"/>
              </w:rPr>
              <w:t>
8.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9.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10. Метод анализа не изменился, а методика анализа изменилась незначительно (например, изменение длины колонки или температуры, но не другой вид колонки).</w:t>
            </w:r>
          </w:p>
          <w:p>
            <w:pPr>
              <w:spacing w:after="20"/>
              <w:ind w:left="20"/>
              <w:jc w:val="both"/>
            </w:pPr>
            <w:r>
              <w:rPr>
                <w:rFonts w:ascii="Times New Roman"/>
                <w:b w:val="false"/>
                <w:i w:val="false"/>
                <w:color w:val="000000"/>
                <w:sz w:val="20"/>
              </w:rPr>
              <w:t xml:space="preserve">
11.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3. Подробное описание новой нефармакопейной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xml:space="preserve">
4. Данные анализа двух промышленных серий (для биологических активных фармацевтических субстанций, в отсутствие должных обоснований, – </w:t>
            </w:r>
          </w:p>
          <w:p>
            <w:pPr>
              <w:spacing w:after="20"/>
              <w:ind w:left="20"/>
              <w:jc w:val="both"/>
            </w:pPr>
            <w:r>
              <w:rPr>
                <w:rFonts w:ascii="Times New Roman"/>
                <w:b w:val="false"/>
                <w:i w:val="false"/>
                <w:color w:val="000000"/>
                <w:sz w:val="20"/>
              </w:rPr>
              <w:t>3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p>
            <w:pPr>
              <w:spacing w:after="20"/>
              <w:ind w:left="20"/>
              <w:jc w:val="both"/>
            </w:pPr>
            <w:r>
              <w:rPr>
                <w:rFonts w:ascii="Times New Roman"/>
                <w:b w:val="false"/>
                <w:i w:val="false"/>
                <w:color w:val="000000"/>
                <w:sz w:val="20"/>
              </w:rPr>
              <w:t>
7. Сравнительная таблица изменений аналитической методики.</w:t>
            </w:r>
          </w:p>
          <w:p>
            <w:pPr>
              <w:spacing w:after="20"/>
              <w:ind w:left="20"/>
              <w:jc w:val="both"/>
            </w:pPr>
            <w:r>
              <w:rPr>
                <w:rFonts w:ascii="Times New Roman"/>
                <w:b w:val="false"/>
                <w:i w:val="false"/>
                <w:color w:val="000000"/>
                <w:sz w:val="20"/>
              </w:rPr>
              <w:t>
8. Подробное описание новой нефармакопейной аналитической методики и данные по валидации (в соответствующих случаях) подтверждающие, что обновленная аналитическая методика по меньшей мере эквивалентна предыдущей.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 (штаммов) сезонной, препандемической или пандемической вакцины для профилактики гриппа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Б.I.б) Контроль качества активной фармацевтической субстанции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ужесточение критериев приемлемости спецификации биологического лекарственного препарата (в состав которого входит активная фармацевтическая субстанция), подлежащего выпуску серий официальным контрольным органом государства-члена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могут существенно повлиять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субстанцию) параметра спецификации и соответствующего ему метода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если на активную фармацевтическую субстанцию отсутствует статья Фармакопеи Союза или иной фармакопеи согласно Концепции гармонизации, изменение собственной спецификации производителя на статью фармакопеи третьей страны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добавление или замена в спецификации нового показателя и соответствующего ему метода испытания для биологической (иммунологической) активной фармацевтической субстанции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Новый метод испытания основан на общих методах анализа, описанных в Фармакопее союза, а при отсутствии в ней – на основании методов, описанных в иных фармакопеях в соответствии с Концепцией гармонизации (например, ВЭЖХ, спектрофотометрия, титриметрия и др.).</w:t>
            </w:r>
          </w:p>
          <w:p>
            <w:pPr>
              <w:spacing w:after="20"/>
              <w:ind w:left="20"/>
              <w:jc w:val="both"/>
            </w:pPr>
            <w:r>
              <w:rPr>
                <w:rFonts w:ascii="Times New Roman"/>
                <w:b w:val="false"/>
                <w:i w:val="false"/>
                <w:color w:val="000000"/>
                <w:sz w:val="20"/>
              </w:rPr>
              <w:t xml:space="preserve">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xml:space="preserve">
7. Изменение любого материала не затрагивает генотоксичную примесь. Если изменение затрагивает активную фармацевтическую субстанцию </w:t>
            </w:r>
          </w:p>
          <w:p>
            <w:pPr>
              <w:spacing w:after="20"/>
              <w:ind w:left="20"/>
              <w:jc w:val="both"/>
            </w:pPr>
            <w:r>
              <w:rPr>
                <w:rFonts w:ascii="Times New Roman"/>
                <w:b w:val="false"/>
                <w:i w:val="false"/>
                <w:color w:val="000000"/>
                <w:sz w:val="20"/>
              </w:rPr>
              <w:t>(за исключением остаточных растворителей, которые должны соответствовать пределам, указанным в соответствующей статье Фармакопеи Союза), контроль любой новой примеси должен соответствовать Фармакопее Союза, а при отсутствии в ней – иной фармакопее в соответствии с Концепцией гармонизации.</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пропуск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4. Данные анализа 2 промышленных серий (в отсутствие обоснования обратного для биологических активной фармацевтических субстанций – 3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xml:space="preserve">
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w:t>
            </w:r>
          </w:p>
          <w:p>
            <w:pPr>
              <w:spacing w:after="20"/>
              <w:ind w:left="20"/>
              <w:jc w:val="both"/>
            </w:pPr>
            <w:r>
              <w:rPr>
                <w:rFonts w:ascii="Times New Roman"/>
                <w:b w:val="false"/>
                <w:i w:val="false"/>
                <w:color w:val="000000"/>
                <w:sz w:val="20"/>
              </w:rPr>
              <w:t>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Новый метод испытания основан на общих методах анализа, описанных в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(например, ВЭЖХ, спектрофотометрия, титриметрия и др.).</w:t>
            </w:r>
          </w:p>
          <w:p>
            <w:pPr>
              <w:spacing w:after="20"/>
              <w:ind w:left="20"/>
              <w:jc w:val="both"/>
            </w:pPr>
            <w:r>
              <w:rPr>
                <w:rFonts w:ascii="Times New Roman"/>
                <w:b w:val="false"/>
                <w:i w:val="false"/>
                <w:color w:val="000000"/>
                <w:sz w:val="20"/>
              </w:rPr>
              <w:t>
6. Активная фармацевтическая субстанция не является биологической.</w:t>
            </w:r>
          </w:p>
          <w:p>
            <w:pPr>
              <w:spacing w:after="20"/>
              <w:ind w:left="20"/>
              <w:jc w:val="both"/>
            </w:pPr>
            <w:r>
              <w:rPr>
                <w:rFonts w:ascii="Times New Roman"/>
                <w:b w:val="false"/>
                <w:i w:val="false"/>
                <w:color w:val="000000"/>
                <w:sz w:val="20"/>
              </w:rPr>
              <w:t>
7. Альтернативная аналитическая методика для показателя спецификации уже одобрена.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Б.I.в)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 (изменение состава материала упаковки, изменение материала упаковки или стандарта качества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(изменение состава материала упаковки, изменение материала упаковки или стандарта качества материала) для стерильных или незамороженных биологических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качественный и (или) количественный состав (изменение состава материала упаковки, изменение материала упаковки или стандарта качества материала) для жидких активных фармацевтических субстанций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 соответствующим свойствам предлагаемый упаковочный материал по меньшей мере должен быть эквивалентным одобренному.</w:t>
            </w:r>
          </w:p>
          <w:p>
            <w:pPr>
              <w:spacing w:after="20"/>
              <w:ind w:left="20"/>
              <w:jc w:val="both"/>
            </w:pPr>
            <w:r>
              <w:rPr>
                <w:rFonts w:ascii="Times New Roman"/>
                <w:b w:val="false"/>
                <w:i w:val="false"/>
                <w:color w:val="000000"/>
                <w:sz w:val="20"/>
              </w:rPr>
              <w:t xml:space="preserve">
2. Начаты соответствующие исследования стабильности в соответствии </w:t>
            </w:r>
          </w:p>
          <w:p>
            <w:pPr>
              <w:spacing w:after="20"/>
              <w:ind w:left="20"/>
              <w:jc w:val="both"/>
            </w:pPr>
            <w:r>
              <w:rPr>
                <w:rFonts w:ascii="Times New Roman"/>
                <w:b w:val="false"/>
                <w:i w:val="false"/>
                <w:color w:val="000000"/>
                <w:sz w:val="20"/>
              </w:rPr>
              <w:t xml:space="preserve">с актами органов Союза в сфере обращения лекарственных средств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w:t>
            </w:r>
          </w:p>
          <w:p>
            <w:pPr>
              <w:spacing w:after="20"/>
              <w:ind w:left="20"/>
              <w:jc w:val="both"/>
            </w:pPr>
            <w:r>
              <w:rPr>
                <w:rFonts w:ascii="Times New Roman"/>
                <w:b w:val="false"/>
                <w:i w:val="false"/>
                <w:color w:val="000000"/>
                <w:sz w:val="20"/>
              </w:rPr>
              <w:t xml:space="preserve">3-месячного изучения стабильности. В случае если предлагаемая упаковка более устойчива по сравнению с зарегистрированной, </w:t>
            </w:r>
          </w:p>
          <w:p>
            <w:pPr>
              <w:spacing w:after="20"/>
              <w:ind w:left="20"/>
              <w:jc w:val="both"/>
            </w:pPr>
            <w:r>
              <w:rPr>
                <w:rFonts w:ascii="Times New Roman"/>
                <w:b w:val="false"/>
                <w:i w:val="false"/>
                <w:color w:val="000000"/>
                <w:sz w:val="20"/>
              </w:rPr>
              <w:t>3-месячные данные по стабильности не требуются. По завершении таких исследований, если результаты не укладываются в спецификации или потенциально могут не уложиться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др.), включая подтверждение того, что материал соответствует фармакопейным требованиям или актам органов Союза о безопасности материалов контактирующих с пищевой продукцией, а при отсутствии в них – законодательству государств-членов в части, не урегулированной актами органов Союза.</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активной фармацевтической субстанции не переходят в упаковку), включая подтверждение, что материал соответствует соответствующим фармакопейным требованиям или актам органов Союза о безопасности материалов контактирующих с пищевой продукцией, а при отсутствии в них – законодательству государств-членов в части, не урегулированной актами органов Союза.</w:t>
            </w:r>
          </w:p>
          <w:p>
            <w:pPr>
              <w:spacing w:after="20"/>
              <w:ind w:left="20"/>
              <w:jc w:val="both"/>
            </w:pPr>
            <w:r>
              <w:rPr>
                <w:rFonts w:ascii="Times New Roman"/>
                <w:b w:val="false"/>
                <w:i w:val="false"/>
                <w:color w:val="000000"/>
                <w:sz w:val="20"/>
              </w:rPr>
              <w:t>
4. Подтверждение держателя регистрационного удостоверения или держателя МФАФС, что требуемые исследования стабильности начаты в соответствии с актами органов Союза в сфере обращения лекарственных средств (с указанием номеров серий); и что (в соответствующих случаях) на момент реализации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xml:space="preserve">
5. Результаты исследований стабильности, проведенных в соответствии с актами органов Союза в сфере обращения лекарственных средств, по значимым параметрам стабильности не менее чем на 2 опытно-промышленных или промышленных сериях, охватывающих не менее </w:t>
            </w:r>
          </w:p>
          <w:p>
            <w:pPr>
              <w:spacing w:after="20"/>
              <w:ind w:left="20"/>
              <w:jc w:val="both"/>
            </w:pPr>
            <w:r>
              <w:rPr>
                <w:rFonts w:ascii="Times New Roman"/>
                <w:b w:val="false"/>
                <w:i w:val="false"/>
                <w:color w:val="000000"/>
                <w:sz w:val="20"/>
              </w:rPr>
              <w:t>3 месяцев, и подтверждение, что указанные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вместе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Новый метод испытания основан на общих методах анализа, описанных в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(например, ВЭЖХ, спектрофотометрия, титриметрия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4. Данные анализа 2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актам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методологии, резюме данных по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Б.I.в.4. Изменение компонента вторичной упаковки активной фармацевтической субстанции (включая замену или добавление), если указано в регистрационном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Вторичная упаковка не является функциональной для обеспечения стабильности активной фармацевтической субстанции, или по своим защитным свойствам по меньшей мере эквивалентна одобренной.</w:t>
            </w:r>
          </w:p>
          <w:p>
            <w:pPr>
              <w:spacing w:after="20"/>
              <w:ind w:left="20"/>
              <w:jc w:val="both"/>
            </w:pPr>
            <w:r>
              <w:rPr>
                <w:rFonts w:ascii="Times New Roman"/>
                <w:b w:val="false"/>
                <w:i w:val="false"/>
                <w:color w:val="000000"/>
                <w:sz w:val="20"/>
              </w:rPr>
              <w:t>
2. Заменяемый компонент упаковки должен быть приемлем для хранения активной фармацевтической субстанции при одобренных условиях хранения.</w:t>
            </w:r>
          </w:p>
          <w:p>
            <w:pPr>
              <w:spacing w:after="20"/>
              <w:ind w:left="20"/>
              <w:jc w:val="both"/>
            </w:pPr>
            <w:r>
              <w:rPr>
                <w:rFonts w:ascii="Times New Roman"/>
                <w:b w:val="false"/>
                <w:i w:val="false"/>
                <w:color w:val="000000"/>
                <w:sz w:val="20"/>
              </w:rPr>
              <w:t>
3. Замена не должна быть связана с критическими недостатками компонента упаковки.</w:t>
            </w:r>
          </w:p>
          <w:p>
            <w:pPr>
              <w:spacing w:after="20"/>
              <w:ind w:left="20"/>
              <w:jc w:val="both"/>
            </w:pPr>
            <w:r>
              <w:rPr>
                <w:rFonts w:ascii="Times New Roman"/>
                <w:b w:val="false"/>
                <w:i w:val="false"/>
                <w:color w:val="000000"/>
                <w:sz w:val="20"/>
              </w:rPr>
              <w:t>
4. Изменение не является результатом каких-либо непредвиденных обстоятельств, возникших в процессе производства или хранения активной фармацевтической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Б.I.г)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Изменение периода до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Фармакопее, охватывающий период повторного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периода до повторного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до повторного испытания путем экстраполяции данных по стабильности, не в соответствии с актами органов Союза в сфере обращения лекарственных средств</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активной фармацевтической субстанции, не предусмотренное одобренной программой изучения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2 (для биологических лекарственных препаратов – 3)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xml:space="preserve">
3. Копии утвержденных спецификаций на активную фармацевтическую субстанцию или ссылка на соответствующий документ регистрационного досье. </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val="false"/>
                <w:color w:val="000000"/>
                <w:vertAlign w:val="superscript"/>
              </w:rPr>
              <w:t xml:space="preserve"> </w:t>
            </w:r>
            <w:r>
              <w:rPr>
                <w:rFonts w:ascii="Times New Roman"/>
                <w:b w:val="false"/>
                <w:i w:val="false"/>
                <w:color w:val="000000"/>
                <w:sz w:val="20"/>
              </w:rPr>
              <w:t>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активным фармацевтическим субстанциям.</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Б.I.д)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внутрипроизводственный контроль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Проектное поле разработано на основании актов органов Союза в сфере обращения лекарственных средств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что достигнуто целостное механистическое понимание показателей качества материалов, параметров процесса и критических показателей качества активной фармацевтической субстанции.</w:t>
            </w:r>
          </w:p>
          <w:p>
            <w:pPr>
              <w:spacing w:after="20"/>
              <w:ind w:left="20"/>
              <w:jc w:val="both"/>
            </w:pPr>
            <w:r>
              <w:rPr>
                <w:rFonts w:ascii="Times New Roman"/>
                <w:b w:val="false"/>
                <w:i w:val="false"/>
                <w:color w:val="000000"/>
                <w:sz w:val="20"/>
              </w:rPr>
              <w:t>
2. Описание проектного поля в форме таблицы,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соответствующим разделам регистрационного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соответствующим разделам регистрационного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соответствующим разделам регистрационного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уполномоченного лица производителя,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2.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3. Поправка к соответствующему разделу регистрационного досье.</w:t>
            </w:r>
          </w:p>
          <w:p>
            <w:pPr>
              <w:spacing w:after="20"/>
              <w:ind w:left="20"/>
              <w:jc w:val="both"/>
            </w:pPr>
            <w:r>
              <w:rPr>
                <w:rFonts w:ascii="Times New Roman"/>
                <w:b w:val="false"/>
                <w:i w:val="false"/>
                <w:color w:val="000000"/>
                <w:sz w:val="20"/>
              </w:rPr>
              <w:t>
4. Копия утвержденных спецификаций на активную фармацевтическую субстанцию или ссылка на соответствующий раздел регистрационного досье.</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 Лекарственный препарат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Б.II.а) Внешний вид и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Изменение или добавление надпечатки, оттисков, гравировки или иных знаков, включая замену или добавление чернил, используемых для нанесения таких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надпечатки,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2. Все чернила должны соответствовать действующему фармацевтическому законодательству.</w:t>
            </w:r>
          </w:p>
          <w:p>
            <w:pPr>
              <w:spacing w:after="20"/>
              <w:ind w:left="20"/>
              <w:jc w:val="both"/>
            </w:pPr>
            <w:r>
              <w:rPr>
                <w:rFonts w:ascii="Times New Roman"/>
                <w:b w:val="false"/>
                <w:i w:val="false"/>
                <w:color w:val="000000"/>
                <w:sz w:val="20"/>
              </w:rPr>
              <w:t>
3. Риски (линии разлома) не предназначены для разделения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По согласованию с экспертной организацией образцы лекарственного препарата и (или) их визуальное изображение для возможности оценки внешнего вида.</w:t>
            </w:r>
          </w:p>
          <w:p>
            <w:pPr>
              <w:spacing w:after="20"/>
              <w:ind w:left="20"/>
              <w:jc w:val="both"/>
            </w:pPr>
            <w:r>
              <w:rPr>
                <w:rFonts w:ascii="Times New Roman"/>
                <w:b w:val="false"/>
                <w:i w:val="false"/>
                <w:color w:val="000000"/>
                <w:sz w:val="20"/>
              </w:rPr>
              <w:t>
3. Результаты соответствующих испытаний по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лекарственного препарата с новыми лекарственной формой или ее размерами сопоставим с профилем растворения лекарственного препарата со старыми лекарственной формой или ее размерами, если применимо. Для лекарственных растительных препаратов при невозможности проведения испытания ТСКР время распадаемости измененного лекарственного препарата сопоставимо с временем распадаемости неизменного лекарственного препарата.</w:t>
            </w:r>
          </w:p>
          <w:p>
            <w:pPr>
              <w:spacing w:after="20"/>
              <w:ind w:left="20"/>
              <w:jc w:val="both"/>
            </w:pPr>
            <w:r>
              <w:rPr>
                <w:rFonts w:ascii="Times New Roman"/>
                <w:b w:val="false"/>
                <w:i w:val="false"/>
                <w:color w:val="000000"/>
                <w:sz w:val="20"/>
              </w:rPr>
              <w:t>
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подробное графическое изображение зарегистрированной и предлагаемой лекарственной формы,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Сравнительные данные растворения как минимум 1 опытно-промышленной серии с текущими и предлагаемыми размерами (отсутствие значительных различий с точки зрения сопоставимости в соответствии с Правилами проведения исследований биоэквивалентности). В отношении лекарственных растительных препаратов могут быть приемлемы данные сравнительной распадаемости.</w:t>
            </w:r>
          </w:p>
          <w:p>
            <w:pPr>
              <w:spacing w:after="20"/>
              <w:ind w:left="20"/>
              <w:jc w:val="both"/>
            </w:pPr>
            <w:r>
              <w:rPr>
                <w:rFonts w:ascii="Times New Roman"/>
                <w:b w:val="false"/>
                <w:i w:val="false"/>
                <w:color w:val="000000"/>
                <w:sz w:val="20"/>
              </w:rPr>
              <w:t>
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xml:space="preserve">
4. Образцы лекарственного препарата и (или) его визуальное изображение при необходимости по согласованию с экспертной организацией. </w:t>
            </w:r>
          </w:p>
          <w:p>
            <w:pPr>
              <w:spacing w:after="20"/>
              <w:ind w:left="20"/>
              <w:jc w:val="both"/>
            </w:pPr>
            <w:r>
              <w:rPr>
                <w:rFonts w:ascii="Times New Roman"/>
                <w:b w:val="false"/>
                <w:i w:val="false"/>
                <w:color w:val="000000"/>
                <w:sz w:val="20"/>
              </w:rPr>
              <w:t>
5. Результаты соответствующих испытаний по Фармакопее Союза, а при отсутствии в ней – результаты испытаний по Фармакопее государства-члена или при отсутствии в указанных фармакопеях – иной фармакопее согласно Концепции гармонизации, подтверждающие эквивалентность свойств (правильность дозирования).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val="false"/>
                <w:color w:val="000000"/>
                <w:vertAlign w:val="superscript"/>
              </w:rPr>
              <w:t xml:space="preserve"> </w:t>
            </w:r>
            <w:r>
              <w:rPr>
                <w:rFonts w:ascii="Times New Roman"/>
                <w:b w:val="false"/>
                <w:i w:val="false"/>
                <w:color w:val="000000"/>
                <w:sz w:val="20"/>
              </w:rPr>
              <w:t>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Б.II.а.2.в любое изменение дозировки лекарственного препарата требует подачи заявления о расширении регистрации, за исключением приведения регистрационного досье в соответствие с требованиями Союза, в случае, если новая дозировка зарегистрирована в соответствии с законодательством государства-члена только в одном из заявленных в рамках приведения в соответствие государств-членов.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Изменение состава (вспомогательных веществ)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1, 2, 3, 4, 5, 6, 7, </w:t>
            </w:r>
          </w:p>
          <w:p>
            <w:pPr>
              <w:spacing w:after="20"/>
              <w:ind w:left="20"/>
              <w:jc w:val="both"/>
            </w:pPr>
            <w:r>
              <w:rPr>
                <w:rFonts w:ascii="Times New Roman"/>
                <w:b w:val="false"/>
                <w:i w:val="false"/>
                <w:color w:val="000000"/>
                <w:sz w:val="20"/>
              </w:rPr>
              <w:t>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которые могут существенно повлиять на качество, безопасность или эффективность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ГЭ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2.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готовой лекарственной формы.</w:t>
            </w:r>
          </w:p>
          <w:p>
            <w:pPr>
              <w:spacing w:after="20"/>
              <w:ind w:left="20"/>
              <w:jc w:val="both"/>
            </w:pPr>
            <w:r>
              <w:rPr>
                <w:rFonts w:ascii="Times New Roman"/>
                <w:b w:val="false"/>
                <w:i w:val="false"/>
                <w:color w:val="000000"/>
                <w:sz w:val="20"/>
              </w:rPr>
              <w:t>
3. Спецификация лекарственного препарата обновлена в части описания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xml:space="preserve">
4. Начаты соответствующие исследования стабильности (с указанием номеров серий); проанализированы соответствующие параметры стабильности не менее чем на 2 опытно-промышленных или промышленных сериях; </w:t>
            </w:r>
          </w:p>
          <w:p>
            <w:pPr>
              <w:spacing w:after="20"/>
              <w:ind w:left="20"/>
              <w:jc w:val="both"/>
            </w:pPr>
            <w:r>
              <w:rPr>
                <w:rFonts w:ascii="Times New Roman"/>
                <w:b w:val="false"/>
                <w:i w:val="false"/>
                <w:color w:val="000000"/>
                <w:sz w:val="20"/>
              </w:rPr>
              <w:t>в распоряжении заявителя находятся удовлетворительные результаты по меньшей мере 3-месячного изучения стабильности (на момент реализации изменений IA типа и момент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если результаты на конец срока годности не будут укладываться в спецификации или могут потенциально не уложиться в спецификации, держатель регистрационного удостоверения обязан сообщить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5. Все новые компоненты должны удовлетворять требованиям нормативных актов Союза,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Фармакопеи Союза и (или) других фармакопей согласно Концепции гармонизации по минимизации риска передачи агентов губчатой энцефалопатии животных посредством лекарственных препаратов для медицинского применения.</w:t>
            </w:r>
          </w:p>
          <w:p>
            <w:pPr>
              <w:spacing w:after="20"/>
              <w:ind w:left="20"/>
              <w:jc w:val="both"/>
            </w:pPr>
            <w:r>
              <w:rPr>
                <w:rFonts w:ascii="Times New Roman"/>
                <w:b w:val="false"/>
                <w:i w:val="false"/>
                <w:color w:val="000000"/>
                <w:sz w:val="20"/>
              </w:rPr>
              <w:t>
7. В соответствующих случаях изменения не влияют на возможность различения дозировок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8. Профиль растворения не менее чем 2 опытно-промышленных серий лекарственного препарата с новым и старым составом сопоставим, если применимо (отсутствуют значительные различия с точки зрения сопоставимости профиля растворения в соответствии с Правилами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измененного лекарственного растительного препарата сопоставимо с неизмененным лекарственным растительным препаратом.</w:t>
            </w:r>
          </w:p>
          <w:p>
            <w:pPr>
              <w:spacing w:after="20"/>
              <w:ind w:left="20"/>
              <w:jc w:val="both"/>
            </w:pPr>
            <w:r>
              <w:rPr>
                <w:rFonts w:ascii="Times New Roman"/>
                <w:b w:val="false"/>
                <w:i w:val="false"/>
                <w:color w:val="000000"/>
                <w:sz w:val="20"/>
              </w:rPr>
              <w:t>
9. Изменение не является следствием нарушения стабильности и (или) не должно сказываться на безопасности (возможности различения дозировок).</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лекарственным препаратом.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xml:space="preserve">
2. Подтверждение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 xml:space="preserve">(в соответствующих случаях) на момент реализации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что исследования будут завершены, и, если результаты не будут укладываться в спецификации или потенциально могут не уложиться </w:t>
            </w:r>
          </w:p>
          <w:p>
            <w:pPr>
              <w:spacing w:after="20"/>
              <w:ind w:left="20"/>
              <w:jc w:val="both"/>
            </w:pPr>
            <w:r>
              <w:rPr>
                <w:rFonts w:ascii="Times New Roman"/>
                <w:b w:val="false"/>
                <w:i w:val="false"/>
                <w:color w:val="000000"/>
                <w:sz w:val="20"/>
              </w:rPr>
              <w:t xml:space="preserve">в спецификации на конец срока годности, держатель регистрационного удостоверения обязан сообщить уполномоченному органу наряду </w:t>
            </w:r>
          </w:p>
          <w:p>
            <w:pPr>
              <w:spacing w:after="20"/>
              <w:ind w:left="20"/>
              <w:jc w:val="both"/>
            </w:pPr>
            <w:r>
              <w:rPr>
                <w:rFonts w:ascii="Times New Roman"/>
                <w:b w:val="false"/>
                <w:i w:val="false"/>
                <w:color w:val="000000"/>
                <w:sz w:val="20"/>
              </w:rPr>
              <w:t>с предлагаемым планом действий.</w:t>
            </w:r>
          </w:p>
          <w:p>
            <w:pPr>
              <w:spacing w:after="20"/>
              <w:ind w:left="20"/>
              <w:jc w:val="both"/>
            </w:pPr>
            <w:r>
              <w:rPr>
                <w:rFonts w:ascii="Times New Roman"/>
                <w:b w:val="false"/>
                <w:i w:val="false"/>
                <w:color w:val="000000"/>
                <w:sz w:val="20"/>
              </w:rPr>
              <w:t xml:space="preserve">
3. Результаты исследований стабильности, по значимым параметрам стабильности не менее чем на 2 опытно-промышленных или промышленных сериях, охватывающих не менее 3 месяцев, и подтверждение, что указанные исследования будут завершены и если результаты не будут укладываться </w:t>
            </w:r>
          </w:p>
          <w:p>
            <w:pPr>
              <w:spacing w:after="20"/>
              <w:ind w:left="20"/>
              <w:jc w:val="both"/>
            </w:pPr>
            <w:r>
              <w:rPr>
                <w:rFonts w:ascii="Times New Roman"/>
                <w:b w:val="false"/>
                <w:i w:val="false"/>
                <w:color w:val="000000"/>
                <w:sz w:val="20"/>
              </w:rPr>
              <w:t>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Образцы лекарственного препарата и (или) его визуальное изображение при необходимости по согласованию с экспертной организацией.</w:t>
            </w:r>
          </w:p>
          <w:p>
            <w:pPr>
              <w:spacing w:after="20"/>
              <w:ind w:left="20"/>
              <w:jc w:val="both"/>
            </w:pPr>
            <w:r>
              <w:rPr>
                <w:rFonts w:ascii="Times New Roman"/>
                <w:b w:val="false"/>
                <w:i w:val="false"/>
                <w:color w:val="000000"/>
                <w:sz w:val="20"/>
              </w:rPr>
              <w:t>
5. Либо сертификат соответствия Европейской Фармакопеи по ГЭ на любой новый источник материала, либо (если применимо) документальное подтверждение того, что источник материала, подверженный риску ГЭ, ранее проверен уполномоченным органом; и было подтверждено его соответствие действующей статье Фармакопеи Союза или других фармакопей согласно Концепции гармонизации по минимизации риска передачи агентов губчатой энцефалопатии животных посредством лекарственных препаратов для медицинского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6. В соответствующих случаях данные, подтверждающие то, что новое вспомогательное вещество не влияет на аналитические методики спецификации лекарственного препарата.</w:t>
            </w:r>
          </w:p>
          <w:p>
            <w:pPr>
              <w:spacing w:after="20"/>
              <w:ind w:left="20"/>
              <w:jc w:val="both"/>
            </w:pPr>
            <w:r>
              <w:rPr>
                <w:rFonts w:ascii="Times New Roman"/>
                <w:b w:val="false"/>
                <w:i w:val="false"/>
                <w:color w:val="000000"/>
                <w:sz w:val="20"/>
              </w:rPr>
              <w:t>
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 и т.д.</w:t>
            </w:r>
          </w:p>
          <w:p>
            <w:pPr>
              <w:spacing w:after="20"/>
              <w:ind w:left="20"/>
              <w:jc w:val="both"/>
            </w:pPr>
            <w:r>
              <w:rPr>
                <w:rFonts w:ascii="Times New Roman"/>
                <w:b w:val="false"/>
                <w:i w:val="false"/>
                <w:color w:val="000000"/>
                <w:sz w:val="20"/>
              </w:rPr>
              <w:t>
8. Сравнительные данные профиля растворения твердых лекарственных форм не менее чем на 2 опытно-промышленных сериях лекарственного препарата нового и старого составов.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Изменение массы оболочки лекарственных форм для приема внутрь или изменение массы оболочки капсулы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не менее чем 2 опытно-промышленных серий измененного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измененного лекарственного препарата в сравнении со старым.</w:t>
            </w:r>
          </w:p>
          <w:p>
            <w:pPr>
              <w:spacing w:after="20"/>
              <w:ind w:left="20"/>
              <w:jc w:val="both"/>
            </w:pPr>
            <w:r>
              <w:rPr>
                <w:rFonts w:ascii="Times New Roman"/>
                <w:b w:val="false"/>
                <w:i w:val="false"/>
                <w:color w:val="000000"/>
                <w:sz w:val="20"/>
              </w:rPr>
              <w:t>
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xml:space="preserve">
4. Начаты соответствующие исследования стабильности не менее чем </w:t>
            </w:r>
          </w:p>
          <w:p>
            <w:pPr>
              <w:spacing w:after="20"/>
              <w:ind w:left="20"/>
              <w:jc w:val="both"/>
            </w:pPr>
            <w:r>
              <w:rPr>
                <w:rFonts w:ascii="Times New Roman"/>
                <w:b w:val="false"/>
                <w:i w:val="false"/>
                <w:color w:val="000000"/>
                <w:sz w:val="20"/>
              </w:rPr>
              <w:t>на 2 опытно-промышленных или промышленных сериях; в распоряжении заявителя на момент реализации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 xml:space="preserve">(в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w:t>
            </w:r>
          </w:p>
          <w:p>
            <w:pPr>
              <w:spacing w:after="20"/>
              <w:ind w:left="20"/>
              <w:jc w:val="both"/>
            </w:pPr>
            <w:r>
              <w:rPr>
                <w:rFonts w:ascii="Times New Roman"/>
                <w:b w:val="false"/>
                <w:i w:val="false"/>
                <w:color w:val="000000"/>
                <w:sz w:val="20"/>
              </w:rPr>
              <w:t>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вместе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(то есть изменение дозировки)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Исключение контейнера с растворителем (разбавителем) из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Б.II.б)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или добавление новой производственной площадки для части или всех процессов производства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продуктспецифичной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p>
          <w:p>
            <w:pPr>
              <w:spacing w:after="20"/>
              <w:ind w:left="20"/>
              <w:jc w:val="both"/>
            </w:pPr>
            <w:r>
              <w:rPr>
                <w:rFonts w:ascii="Times New Roman"/>
                <w:b w:val="false"/>
                <w:i w:val="false"/>
                <w:color w:val="000000"/>
                <w:sz w:val="20"/>
              </w:rPr>
              <w:t>6, 7, 8, 9, 10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лекарственные препараты),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Удовлетворительная инспекция в течение последних 3 лет инспектирующими органами государств-членов, или страной, с которой заключено действующее соглашение о взаимном признании сертификатов соответствия правилам надлежащей производственной практики.</w:t>
            </w:r>
          </w:p>
          <w:p>
            <w:pPr>
              <w:spacing w:after="20"/>
              <w:ind w:left="20"/>
              <w:jc w:val="both"/>
            </w:pPr>
            <w:r>
              <w:rPr>
                <w:rFonts w:ascii="Times New Roman"/>
                <w:b w:val="false"/>
                <w:i w:val="false"/>
                <w:color w:val="000000"/>
                <w:sz w:val="20"/>
              </w:rPr>
              <w:t>
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4. В соответствующих случаях, например, в отношении суспензий или эмульсий, имеется план валидации процесса производства или в соответствии с текущим протоколом успешно проведена валидация производства на новой площадке с не менее чем 3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лекарственным препаратом.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того, что предлагаемая площадка лицензирована уполномоченным органом страны местонахождения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2. В соответствующих случаях необходимо указать номера серий, соответствующие размер серии и дату производства серий (</w:t>
            </w:r>
          </w:p>
          <w:p>
            <w:pPr>
              <w:spacing w:after="20"/>
              <w:ind w:left="20"/>
              <w:jc w:val="both"/>
            </w:pPr>
            <w:r>
              <w:t>[MISSING IMAGE: ,  ]</w:t>
            </w:r>
          </w:p>
          <w:p>
            <w:pPr>
              <w:spacing w:after="0"/>
              <w:ind w:left="0"/>
              <w:jc w:val="both"/>
            </w:pPr>
            <w:r>
              <w:rPr>
                <w:rFonts w:ascii="Times New Roman"/>
                <w:b w:val="false"/>
                <w:i w:val="false"/>
                <w:color w:val="000000"/>
                <w:sz w:val="20"/>
              </w:rPr>
              <w:t>3), использованные в валидационном исследовании, и представить данные по валидации или протокол (схему) валидации, подлежащий подаче.</w:t>
            </w:r>
          </w:p>
          <w:p>
            <w:pPr>
              <w:spacing w:after="20"/>
              <w:ind w:left="20"/>
              <w:jc w:val="both"/>
            </w:pPr>
          </w:p>
          <w:p>
            <w:pPr>
              <w:spacing w:after="20"/>
              <w:ind w:left="20"/>
              <w:jc w:val="both"/>
            </w:pPr>
            <w:r>
              <w:rPr>
                <w:rFonts w:ascii="Times New Roman"/>
                <w:b w:val="false"/>
                <w:i w:val="false"/>
                <w:color w:val="000000"/>
                <w:sz w:val="20"/>
              </w:rPr>
              <w:t xml:space="preserve">
3. В заявлении о внесении изменений необходимо четко указать ранее одобренных и предлагаемых производителей. </w:t>
            </w:r>
          </w:p>
          <w:p>
            <w:pPr>
              <w:spacing w:after="20"/>
              <w:ind w:left="20"/>
              <w:jc w:val="both"/>
            </w:pPr>
            <w:r>
              <w:rPr>
                <w:rFonts w:ascii="Times New Roman"/>
                <w:b w:val="false"/>
                <w:i w:val="false"/>
                <w:color w:val="000000"/>
                <w:sz w:val="20"/>
              </w:rPr>
              <w:t>
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5. Данные анализа 1 промышленной серии и 2 опытно-промышленных серий, имитирующих процесс производства (или 2 промышленные серии) и сравнительные данные (в том числе тест сравнительной кинетики растворения в применимых случаях) с 3 сериями, произведенными на предыдущей производственной площадке. По запросу необходимо представить данные по следующим 2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6. Соответствующие данные по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для исходных материалов.</w:t>
            </w:r>
          </w:p>
          <w:p>
            <w:pPr>
              <w:spacing w:after="20"/>
              <w:ind w:left="20"/>
              <w:jc w:val="both"/>
            </w:pPr>
            <w:r>
              <w:rPr>
                <w:rFonts w:ascii="Times New Roman"/>
                <w:b w:val="false"/>
                <w:i w:val="false"/>
                <w:color w:val="000000"/>
                <w:sz w:val="20"/>
              </w:rPr>
              <w:t>
8.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Действующий документ, подтверждающий соответствие требованиям надлежащей производственной практики Союза, производственной площадки (производственных площадок), осуществляющей производство готовой лекарственной формы.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Декларации уполномоченного лица, затрагивающие активную фармацевтическую субстанцию</w:t>
            </w:r>
          </w:p>
          <w:p>
            <w:pPr>
              <w:spacing w:after="20"/>
              <w:ind w:left="20"/>
              <w:jc w:val="both"/>
            </w:pPr>
            <w:r>
              <w:rPr>
                <w:rFonts w:ascii="Times New Roman"/>
                <w:b w:val="false"/>
                <w:i w:val="false"/>
                <w:color w:val="000000"/>
                <w:sz w:val="20"/>
              </w:rPr>
              <w:t>
Владельцы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Правилами надлежащей производственной практики, поэтому каждый владелец лицензии на производство лекарственной формы обязан продекларировать, что он в качестве исходного материала использует активную фармацевтическую субстанцию, произведенную в соответствии с Правилами надлежащей производственной практики. Кроме того, поскольку уполномоченное лицо, ответственное за выпуск серии, берет на себя общую ответственность за каждую серию, если площадка, выпускающая серию, отличается от производителя лекарственной формы, уполномоченное лицо, ответственное за сертификацию серии, должно представить дополнительную декларацию.</w:t>
            </w:r>
          </w:p>
          <w:p>
            <w:pPr>
              <w:spacing w:after="20"/>
              <w:ind w:left="20"/>
              <w:jc w:val="both"/>
            </w:pPr>
            <w:r>
              <w:rPr>
                <w:rFonts w:ascii="Times New Roman"/>
                <w:b w:val="false"/>
                <w:i w:val="false"/>
                <w:color w:val="000000"/>
                <w:sz w:val="20"/>
              </w:rPr>
              <w:t>
Во многих случаях вовлечен лишь один владелец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в декларации четко указано, что она подписана от лица всех вовлеченных уполномоченных лиц;</w:t>
            </w:r>
          </w:p>
          <w:p>
            <w:pPr>
              <w:spacing w:after="20"/>
              <w:ind w:left="20"/>
              <w:jc w:val="both"/>
            </w:pPr>
            <w:r>
              <w:rPr>
                <w:rFonts w:ascii="Times New Roman"/>
                <w:b w:val="false"/>
                <w:i w:val="false"/>
                <w:color w:val="000000"/>
                <w:sz w:val="20"/>
              </w:rPr>
              <w:t>
договоренности скреплены техническим соглашением, описанным в главе 7 Правил надлежащей производственной практики, и уполномоченное лицо, подающее декларацию, указано в таком соглашении как берущее на себя обязательство по соответствию производителя (производителей) активной фармацевтической субстанции Правилам надлежащей производственной практики. Примечание: указанные соглашения являются предметом инспекции уполномоченных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производителя по контролю качества лекарственного препарата и выпуску серий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площадки, на которой осуществляется контроль качества (испытание) серий биологического лекарственного препарата и любых методов испытаний, осуществляемых на площадке, являющихся биологическим (иммунологическим, иммунохимическим)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(испытания)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Площадка лицензирована в установленном порядке уполномоченным органом страны производства.</w:t>
            </w:r>
          </w:p>
          <w:p>
            <w:pPr>
              <w:spacing w:after="20"/>
              <w:ind w:left="20"/>
              <w:jc w:val="both"/>
            </w:pPr>
            <w:r>
              <w:rPr>
                <w:rFonts w:ascii="Times New Roman"/>
                <w:b w:val="false"/>
                <w:i w:val="false"/>
                <w:color w:val="000000"/>
                <w:sz w:val="20"/>
              </w:rPr>
              <w:t>
2.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3. Трансфер аналитических методик на новую испытательную лабораторию произведен успешно.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В сопроводительном письме и в форме заявления о внесении изменений необходимо четко указать ранее одобренных и предлагаемых производителей.</w:t>
            </w:r>
          </w:p>
          <w:p>
            <w:pPr>
              <w:spacing w:after="20"/>
              <w:ind w:left="20"/>
              <w:jc w:val="both"/>
            </w:pPr>
            <w:r>
              <w:rPr>
                <w:rFonts w:ascii="Times New Roman"/>
                <w:b w:val="false"/>
                <w:i w:val="false"/>
                <w:color w:val="000000"/>
                <w:sz w:val="20"/>
              </w:rPr>
              <w:t>
2. Декларация уполномоченного лица, ответственного за выпуск серии, в которой указывается, что производитель (производители) активной фармацевтической субстанции, указанной в регистрационном досье, работает в соответствии с Правилами надлежащей производственной практики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3. Поправка к соответствующему разделу (разделам) регистрационного досье, включая информацию о лекарственном препарате и, при необходимости, данные по валидации (верификации) аналитических методик, перенесенных со старой на новую площадку, согласно актам органов Союза в сфере трансфера технологий и аналитических методик.</w:t>
            </w:r>
          </w:p>
          <w:p>
            <w:pPr>
              <w:spacing w:after="20"/>
              <w:ind w:left="20"/>
              <w:jc w:val="both"/>
            </w:pPr>
            <w:r>
              <w:rPr>
                <w:rFonts w:ascii="Times New Roman"/>
                <w:b w:val="false"/>
                <w:i w:val="false"/>
                <w:color w:val="000000"/>
                <w:sz w:val="20"/>
              </w:rPr>
              <w:t>
4. Действующий документ, подтверждающий соответствие требованиям Правил надлежащей производственной практики, производственной площадки (площадок), осуществляющей производство готовой лекарственной формы и выпускающий контроль качества лекарственного 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которые могут оказать существенное влияние на качество, безопасность и эффективность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лекарственным препаратом, и изменение требует оценки сопоставимости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метода финишной стерилизации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 и других специализированных лекарственных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изменение процесса производства лекарственного препарата: перемещение этапа стерилизующей фильтрации из зоны A/B в зону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изменение материала вторичной упаковки нерасфасованного лекарственного препарата, непосредственно не соприкасающегося с лекарственным препаратом (включая замену или добавление)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2. Изменение касается:</w:t>
            </w:r>
          </w:p>
          <w:p>
            <w:pPr>
              <w:spacing w:after="20"/>
              <w:ind w:left="20"/>
              <w:jc w:val="both"/>
            </w:pPr>
            <w:r>
              <w:rPr>
                <w:rFonts w:ascii="Times New Roman"/>
                <w:b w:val="false"/>
                <w:i w:val="false"/>
                <w:color w:val="000000"/>
                <w:sz w:val="20"/>
              </w:rPr>
              <w:t>
твердой лекарственной формы с немедленным высвобождением для приема внутрь или наружного применения;</w:t>
            </w:r>
          </w:p>
          <w:p>
            <w:pPr>
              <w:spacing w:after="20"/>
              <w:ind w:left="20"/>
              <w:jc w:val="both"/>
            </w:pPr>
            <w:r>
              <w:rPr>
                <w:rFonts w:ascii="Times New Roman"/>
                <w:b w:val="false"/>
                <w:i w:val="false"/>
                <w:color w:val="000000"/>
                <w:sz w:val="20"/>
              </w:rPr>
              <w:t>
жидких лекарственных форм в виде раствора, мягких лекарственных форм, суппозиториев, которые не относятся к специализированным лекарственным формам, производимым нестандартными процессами в соответствии с актами органов Союза в сфере обращения лекарственных средств. При этом изменение относится к параметрам процесса производства, которые считаются не влияющими на качество лекарственного препарата (независимо от вида лекарственного препарата и (или) лекарственной формы), и рассматриваемый лекарственный препарат не является биологическим или лекарственным растительным препаратом.</w:t>
            </w:r>
          </w:p>
          <w:p>
            <w:pPr>
              <w:spacing w:after="20"/>
              <w:ind w:left="20"/>
              <w:jc w:val="both"/>
            </w:pPr>
            <w:r>
              <w:rPr>
                <w:rFonts w:ascii="Times New Roman"/>
                <w:b w:val="false"/>
                <w:i w:val="false"/>
                <w:color w:val="000000"/>
                <w:sz w:val="20"/>
              </w:rPr>
              <w:t>
3. Принцип производства, включая отдельные его этапы, не изменяется,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4. Зарегистрированный в настоящее время процесс производства подвергается процессам внутрипроизводственного контроля и изменение процессов такого контроля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6. По результатам нового процесса должен образовываться идентичный лекарственный препарат с точки зрения всех аспектов качества, безопасности и эффективности.</w:t>
            </w:r>
          </w:p>
          <w:p>
            <w:pPr>
              <w:spacing w:after="20"/>
              <w:ind w:left="20"/>
              <w:jc w:val="both"/>
            </w:pPr>
            <w:r>
              <w:rPr>
                <w:rFonts w:ascii="Times New Roman"/>
                <w:b w:val="false"/>
                <w:i w:val="false"/>
                <w:color w:val="000000"/>
                <w:sz w:val="20"/>
              </w:rPr>
              <w:t>
7. Согласно соответствующим документам Союза начаты соответствующие исследования стабильности не менее чем на 1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8. Вторичная упаковка не является функциональной для обеспечения стабильности, или по значимым свойствам по меньшей мере эквивалентна одобренной.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xml:space="preserve">
3. В отношении твердых лекарственных форм: данные профиля растворения </w:t>
            </w:r>
          </w:p>
          <w:p>
            <w:pPr>
              <w:spacing w:after="20"/>
              <w:ind w:left="20"/>
              <w:jc w:val="both"/>
            </w:pPr>
            <w:r>
              <w:rPr>
                <w:rFonts w:ascii="Times New Roman"/>
                <w:b w:val="false"/>
                <w:i w:val="false"/>
                <w:color w:val="000000"/>
                <w:sz w:val="20"/>
              </w:rPr>
              <w:t>1 репрезентативной промышленной серии и сравнительные данные 3 последних серий, произведенных с помощью предыдущего процесса. По запросу необходимо представить данные по следующим 2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Союза.</w:t>
            </w:r>
          </w:p>
          <w:p>
            <w:pPr>
              <w:spacing w:after="20"/>
              <w:ind w:left="20"/>
              <w:jc w:val="both"/>
            </w:pPr>
            <w:r>
              <w:rPr>
                <w:rFonts w:ascii="Times New Roman"/>
                <w:b w:val="false"/>
                <w:i w:val="false"/>
                <w:color w:val="000000"/>
                <w:sz w:val="20"/>
              </w:rPr>
              <w:t>
5. При изменении параметра (параметров)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6. Копии спецификаций на выпуск и конец срока годности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xml:space="preserve">
7.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1 серии, произведенной с помощью одобренного и предлагаемого процесса. По запросу необходимо представить данные по следующим 2 полным промышленным сериям; следует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xml:space="preserve">
8. Подтверждение держателя регистрационного удостоверения, что начаты соответствующие исследования стабильности (с указанием номеров серий) и изучены необходимые параметры стабильности по меньшей мере на 1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если результаты не будут укладываться в спецификации или могут потенциально не уложиться </w:t>
            </w:r>
          </w:p>
          <w:p>
            <w:pPr>
              <w:spacing w:after="20"/>
              <w:ind w:left="20"/>
              <w:jc w:val="both"/>
            </w:pPr>
            <w:r>
              <w:rPr>
                <w:rFonts w:ascii="Times New Roman"/>
                <w:b w:val="false"/>
                <w:i w:val="false"/>
                <w:color w:val="000000"/>
                <w:sz w:val="20"/>
              </w:rPr>
              <w:t xml:space="preserve">в спецификации на конец срока годности, держатель регистрационного удостоверения обязан сообщить уполномоченному органу наряду </w:t>
            </w:r>
          </w:p>
          <w:p>
            <w:pPr>
              <w:spacing w:after="20"/>
              <w:ind w:left="20"/>
              <w:jc w:val="both"/>
            </w:pPr>
            <w:r>
              <w:rPr>
                <w:rFonts w:ascii="Times New Roman"/>
                <w:b w:val="false"/>
                <w:i w:val="false"/>
                <w:color w:val="000000"/>
                <w:sz w:val="20"/>
              </w:rPr>
              <w:t>с предлагаемым планом действий.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вплоть до 10 раз по сравнению с одобренным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уменьшение размера серии до 10 раз по сравнению с зарегистрированным размером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лекарственного препарата или изменение размера серии требует нового исследования биоэквивалентности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более 10 раз по сравнению с одобренным размером серии лекарственных форм с немедленным высвобождением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лекарственного препарата увеличился (уменьшился) без изменения процесса производства (например, дублирование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3. Любые изменения методов производства и (или) методов внутрипроизводственных контролей необходимы лишь для изменения размера серии, например, использование оборудования другого размера.</w:t>
            </w:r>
          </w:p>
          <w:p>
            <w:pPr>
              <w:spacing w:after="20"/>
              <w:ind w:left="20"/>
              <w:jc w:val="both"/>
            </w:pPr>
            <w:r>
              <w:rPr>
                <w:rFonts w:ascii="Times New Roman"/>
                <w:b w:val="false"/>
                <w:i w:val="false"/>
                <w:color w:val="000000"/>
                <w:sz w:val="20"/>
              </w:rPr>
              <w:t>
4. Имеется схема валидации или в соответствии с текущим протоколом успешно проведена валидация производства не менее чем на 3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6.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Данные анализа серий (в форме сравнительной таблицы) по меньшей мере 1 промышленной серии, произведенной в зарегистрированном и предлагаемом размерах (в том числе тест сравнительной кинетики растворения в применимых случаях). По запросу необходимо представить данные по следующим 2 полным промышленным сериям; держатель регистрационного удостоверения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3. Копии одобренных спецификаций на выпуск и конец срока годности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4. В соответствующих случаях необходимо указать номера серий с новым размером серии с датой их производства (</w:t>
            </w:r>
          </w:p>
          <w:p>
            <w:pPr>
              <w:spacing w:after="20"/>
              <w:ind w:left="20"/>
              <w:jc w:val="both"/>
            </w:pPr>
            <w:r>
              <w:t>[MISSING IMAGE: ,  ]</w:t>
            </w:r>
          </w:p>
          <w:p>
            <w:pPr>
              <w:spacing w:after="0"/>
              <w:ind w:left="0"/>
              <w:jc w:val="both"/>
            </w:pPr>
            <w:r>
              <w:rPr>
                <w:rFonts w:ascii="Times New Roman"/>
                <w:b w:val="false"/>
                <w:i w:val="false"/>
                <w:color w:val="000000"/>
                <w:sz w:val="20"/>
              </w:rPr>
              <w:t xml:space="preserve"> 3), использованных в валидационном исследовании, или представить протокол (схему) валидации.</w:t>
            </w:r>
          </w:p>
          <w:p>
            <w:pPr>
              <w:spacing w:after="20"/>
              <w:ind w:left="20"/>
              <w:jc w:val="both"/>
            </w:pPr>
          </w:p>
          <w:p>
            <w:pPr>
              <w:spacing w:after="20"/>
              <w:ind w:left="20"/>
              <w:jc w:val="both"/>
            </w:pPr>
            <w:r>
              <w:rPr>
                <w:rFonts w:ascii="Times New Roman"/>
                <w:b w:val="false"/>
                <w:i w:val="false"/>
                <w:color w:val="000000"/>
                <w:sz w:val="20"/>
              </w:rPr>
              <w:t>
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по значимым параметрам стабильности по меньшей мере на 1 опытной или промышленной серии, охватывающей по меньшей мере 3 месяца; подтверждение того, что такие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 В отношении биологических лекарственных средств: декларация, что оценка сопоставимости не требуется.</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Изменение внутрипроизводственных испытаний или критериев приемлемости, использующихся при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может существенно повлиять на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могут существенно повлиять на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незначительное изменение аналитической методики внутрипроизводственного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xml:space="preserve">
4. Метод анализа не изменился, а методика анализа не изменилась или изменилась незначительно (например, изменение длины колонки или температуры, но не другой вид колонки). </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xml:space="preserve">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w:t>
            </w:r>
          </w:p>
          <w:p>
            <w:pPr>
              <w:spacing w:after="20"/>
              <w:ind w:left="20"/>
              <w:jc w:val="both"/>
            </w:pPr>
            <w:r>
              <w:rPr>
                <w:rFonts w:ascii="Times New Roman"/>
                <w:b w:val="false"/>
                <w:i w:val="false"/>
                <w:color w:val="000000"/>
                <w:sz w:val="20"/>
              </w:rPr>
              <w:t>
количественное определение;</w:t>
            </w:r>
          </w:p>
          <w:p>
            <w:pPr>
              <w:spacing w:after="20"/>
              <w:ind w:left="20"/>
              <w:jc w:val="both"/>
            </w:pPr>
            <w:r>
              <w:rPr>
                <w:rFonts w:ascii="Times New Roman"/>
                <w:b w:val="false"/>
                <w:i w:val="false"/>
                <w:color w:val="000000"/>
                <w:sz w:val="20"/>
              </w:rPr>
              <w:t>
примеси (если только определенный растворитель однозначно не используется в производстве);</w:t>
            </w:r>
          </w:p>
          <w:p>
            <w:pPr>
              <w:spacing w:after="20"/>
              <w:ind w:left="20"/>
              <w:jc w:val="both"/>
            </w:pPr>
            <w:r>
              <w:rPr>
                <w:rFonts w:ascii="Times New Roman"/>
                <w:b w:val="false"/>
                <w:i w:val="false"/>
                <w:color w:val="000000"/>
                <w:sz w:val="20"/>
              </w:rPr>
              <w:t>
любую критическую физическую характеристику (размер частиц, насыпную плотностью до и после уплотнения и т. д.);</w:t>
            </w:r>
          </w:p>
          <w:p>
            <w:pPr>
              <w:spacing w:after="20"/>
              <w:ind w:left="20"/>
              <w:jc w:val="both"/>
            </w:pPr>
            <w:r>
              <w:rPr>
                <w:rFonts w:ascii="Times New Roman"/>
                <w:b w:val="false"/>
                <w:i w:val="false"/>
                <w:color w:val="000000"/>
                <w:sz w:val="20"/>
              </w:rPr>
              <w:t>
испытание на подлинность (в отсутствие подходящего альтернативного контроля);</w:t>
            </w:r>
          </w:p>
          <w:p>
            <w:pPr>
              <w:spacing w:after="20"/>
              <w:ind w:left="20"/>
              <w:jc w:val="both"/>
            </w:pP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p>
            <w:pPr>
              <w:spacing w:after="20"/>
              <w:ind w:left="20"/>
              <w:jc w:val="both"/>
            </w:pPr>
            <w:r>
              <w:rPr>
                <w:rFonts w:ascii="Times New Roman"/>
                <w:b w:val="false"/>
                <w:i w:val="false"/>
                <w:color w:val="000000"/>
                <w:sz w:val="20"/>
              </w:rPr>
              <w:t>
8.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9. Пределы содержания суммы примесей не изменились, новые неквалифицированные примеси не обнаружены.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 критериев приемлемости или сравнительная таблица изменений аналитической методики.</w:t>
            </w:r>
          </w:p>
          <w:p>
            <w:pPr>
              <w:spacing w:after="20"/>
              <w:ind w:left="20"/>
              <w:jc w:val="both"/>
            </w:pPr>
            <w:r>
              <w:rPr>
                <w:rFonts w:ascii="Times New Roman"/>
                <w:b w:val="false"/>
                <w:i w:val="false"/>
                <w:color w:val="000000"/>
                <w:sz w:val="20"/>
              </w:rPr>
              <w:t xml:space="preserve">
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 с подтверждением (если применимо)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3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сравнительные данные профиля растворения лекарственного препарата не менее чем на 1 опытно-промышленной серии, произведенной с использованием текущих и новых внутрипроизводственных испытаний.</w:t>
            </w:r>
          </w:p>
          <w:p>
            <w:pPr>
              <w:spacing w:after="20"/>
              <w:ind w:left="20"/>
              <w:jc w:val="both"/>
            </w:pPr>
            <w:r>
              <w:rPr>
                <w:rFonts w:ascii="Times New Roman"/>
                <w:b w:val="false"/>
                <w:i w:val="false"/>
                <w:color w:val="000000"/>
                <w:sz w:val="20"/>
              </w:rPr>
              <w:t>
6.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7.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8. Обоснование нового внутрипроизводственного испытания и критериев приемлемости.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Б.II.в) Контроль качества вспомогательных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лекарственный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Фармакопеи Союза или статьи фармакопеи государства-члена, изменение собственных данных спецификации на спецификацию фармакопеи согласно Концепции гармонизации, а при отсутствии в ней – на спецификацию фармакопеи, не входящей в Концепцию гармонизации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xml:space="preserve">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p>
            <w:pPr>
              <w:spacing w:after="20"/>
              <w:ind w:left="20"/>
              <w:jc w:val="both"/>
            </w:pPr>
            <w:r>
              <w:rPr>
                <w:rFonts w:ascii="Times New Roman"/>
                <w:b w:val="false"/>
                <w:i w:val="false"/>
                <w:color w:val="000000"/>
                <w:sz w:val="20"/>
              </w:rPr>
              <w:t>
8. Параметр спецификации не затрагивает контроль критического параметра, например:</w:t>
            </w:r>
          </w:p>
          <w:p>
            <w:pPr>
              <w:spacing w:after="20"/>
              <w:ind w:left="20"/>
              <w:jc w:val="both"/>
            </w:pPr>
            <w:r>
              <w:rPr>
                <w:rFonts w:ascii="Times New Roman"/>
                <w:b w:val="false"/>
                <w:i w:val="false"/>
                <w:color w:val="000000"/>
                <w:sz w:val="20"/>
              </w:rPr>
              <w:t>
примеси (если только определенный растворитель однозначно не используется в производстве);</w:t>
            </w:r>
          </w:p>
          <w:p>
            <w:pPr>
              <w:spacing w:after="20"/>
              <w:ind w:left="20"/>
              <w:jc w:val="both"/>
            </w:pPr>
            <w:r>
              <w:rPr>
                <w:rFonts w:ascii="Times New Roman"/>
                <w:b w:val="false"/>
                <w:i w:val="false"/>
                <w:color w:val="000000"/>
                <w:sz w:val="20"/>
              </w:rPr>
              <w:t>
любую критическую физическую характеристику (размер частиц, насыпную плотностью до и после уплотнения и др.);</w:t>
            </w:r>
          </w:p>
          <w:p>
            <w:pPr>
              <w:spacing w:after="20"/>
              <w:ind w:left="20"/>
              <w:jc w:val="both"/>
            </w:pPr>
            <w:r>
              <w:rPr>
                <w:rFonts w:ascii="Times New Roman"/>
                <w:b w:val="false"/>
                <w:i w:val="false"/>
                <w:color w:val="000000"/>
                <w:sz w:val="20"/>
              </w:rPr>
              <w:t xml:space="preserve">
испытание на подлинность (в отсутствие подходящего альтернативного контроля); </w:t>
            </w:r>
          </w:p>
          <w:p>
            <w:pPr>
              <w:spacing w:after="20"/>
              <w:ind w:left="20"/>
              <w:jc w:val="both"/>
            </w:pP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xml:space="preserve">
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w:t>
            </w:r>
          </w:p>
          <w:p>
            <w:pPr>
              <w:spacing w:after="20"/>
              <w:ind w:left="20"/>
              <w:jc w:val="both"/>
            </w:pPr>
            <w:r>
              <w:rPr>
                <w:rFonts w:ascii="Times New Roman"/>
                <w:b w:val="false"/>
                <w:i w:val="false"/>
                <w:color w:val="000000"/>
                <w:sz w:val="20"/>
              </w:rPr>
              <w:t>
4. Данные анализа 2 промышленных серий (в отсутствие должных обоснований для биологических активных фармацевтических субстанций – 3 серий) вспомогательного вещества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1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p>
            <w:pPr>
              <w:spacing w:after="20"/>
              <w:ind w:left="20"/>
              <w:jc w:val="both"/>
            </w:pPr>
            <w:r>
              <w:rPr>
                <w:rFonts w:ascii="Times New Roman"/>
                <w:b w:val="false"/>
                <w:i w:val="false"/>
                <w:color w:val="000000"/>
                <w:sz w:val="20"/>
              </w:rPr>
              <w:t>
7. Обоснование (оценка рисков) подтверждающее,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Изменение источника получения вспомогательного вещества или реактива с риском 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активной фармацевтической субстанции или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активной фармацевтической субстанции или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ГЭ или замена материала с риском ГЭ на другой материал с риском ГЭ, не имеющий сертификат соответствия по 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источника получения вспомогательного вещества с низким риском контаминации 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p>
            <w:pPr>
              <w:spacing w:after="20"/>
              <w:ind w:left="20"/>
              <w:jc w:val="both"/>
            </w:pPr>
            <w:r>
              <w:rPr>
                <w:rFonts w:ascii="Times New Roman"/>
                <w:b w:val="false"/>
                <w:i w:val="false"/>
                <w:color w:val="000000"/>
                <w:sz w:val="20"/>
              </w:rPr>
              <w:t xml:space="preserve">
2. Необходимо обеспечить соблюдение условий по минимизации риска контаминации ГЭ, указанных в актах органов Союза в сфере обращения лекарственных средств.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производителя или держателя разрешительного документа на используемый материал, что он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могут повлиять на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удаление одного процесса производства нефармакопейного вспомогательного вещества (если он описан в регистрационном досье лекарственного препарата)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актах органов Союза в сфере обращения лекарственных средств) или физико-химических свойств.</w:t>
            </w:r>
          </w:p>
          <w:p>
            <w:pPr>
              <w:spacing w:after="20"/>
              <w:ind w:left="20"/>
              <w:jc w:val="both"/>
            </w:pPr>
            <w:r>
              <w:rPr>
                <w:rFonts w:ascii="Times New Roman"/>
                <w:b w:val="false"/>
                <w:i w:val="false"/>
                <w:color w:val="000000"/>
                <w:sz w:val="20"/>
              </w:rPr>
              <w:t>
2. Вспомогательное вещество не является адъювантом.</w:t>
            </w:r>
          </w:p>
          <w:p>
            <w:pPr>
              <w:spacing w:after="20"/>
              <w:ind w:left="20"/>
              <w:jc w:val="both"/>
            </w:pPr>
            <w:r>
              <w:rPr>
                <w:rFonts w:ascii="Times New Roman"/>
                <w:b w:val="false"/>
                <w:i w:val="false"/>
                <w:color w:val="000000"/>
                <w:sz w:val="20"/>
              </w:rPr>
              <w:t>
3. Должен остаться как минимум один производственный процесс, одобренный ранее.</w:t>
            </w:r>
          </w:p>
          <w:p>
            <w:pPr>
              <w:spacing w:after="20"/>
              <w:ind w:left="20"/>
              <w:jc w:val="both"/>
            </w:pPr>
            <w:r>
              <w:rPr>
                <w:rFonts w:ascii="Times New Roman"/>
                <w:b w:val="false"/>
                <w:i w:val="false"/>
                <w:color w:val="000000"/>
                <w:sz w:val="20"/>
              </w:rPr>
              <w:t>
4. Исключение не должно быть связано с критическими недостатками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2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3. В соответствующих случаях данные теста сравнительной кинетики растворения лекарственного препарата по меньшей мере 2 серий (по меньшей мере опытно-промышленных).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p>
            <w:pPr>
              <w:spacing w:after="20"/>
              <w:ind w:left="20"/>
              <w:jc w:val="both"/>
            </w:pPr>
            <w:r>
              <w:rPr>
                <w:rFonts w:ascii="Times New Roman"/>
                <w:b w:val="false"/>
                <w:i w:val="false"/>
                <w:color w:val="000000"/>
                <w:sz w:val="20"/>
              </w:rPr>
              <w:t>
5. Подтверждение заявителя, что исключение не связано с критическими недостатками производства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Б.II.г) Контроль качества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Изменение параметров спецификации и (или) критериев приемлемости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иммунологического лекарственного препарата или препаратов, полученных из плазмы человека, серии которых подлежат выпуску в обращение официальным контрольным органом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добавление в спецификацию нового параметра и соответствующего ему метода и (или) методики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может существенно повлиять на совокупное качество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добавление или замена параметра спецификации и соответствующего ему метода испытаний из соображений безопасности или качества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обновление досье, в том числе нормативного документа по качеству, с целью соответствия положениям обновленной общей статьи Фармакопеи Союза или </w:t>
            </w:r>
          </w:p>
          <w:p>
            <w:pPr>
              <w:spacing w:after="20"/>
              <w:ind w:left="20"/>
              <w:jc w:val="both"/>
            </w:pPr>
            <w:r>
              <w:rPr>
                <w:rFonts w:ascii="Times New Roman"/>
                <w:b w:val="false"/>
                <w:i w:val="false"/>
                <w:color w:val="000000"/>
                <w:sz w:val="20"/>
              </w:rPr>
              <w:t xml:space="preserve">(в случае регистрации лекарственного препарата </w:t>
            </w:r>
          </w:p>
          <w:p>
            <w:pPr>
              <w:spacing w:after="20"/>
              <w:ind w:left="20"/>
              <w:jc w:val="both"/>
            </w:pPr>
            <w:r>
              <w:rPr>
                <w:rFonts w:ascii="Times New Roman"/>
                <w:b w:val="false"/>
                <w:i w:val="false"/>
                <w:color w:val="000000"/>
                <w:sz w:val="20"/>
              </w:rPr>
              <w:t>в одном государстве-члене) фармакопеи государства-члена (включая актуализацию ссылок) на лекарственный препарат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введение испытания согласно статье Фармакопеи Союза 2.1.9.14 "Однородность дозированных единиц" вместо ранее одобренного зарегистрированного метода или испытания согласно статье 2.1.9.5 "Однородность массы единицы дозированного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сокращение частоты рутинных испытаний вплоть до исключения испытания или периодических испытаний (например, микробиологические испытания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изменение показателей и (или) пределов спецификации лекарственного препарата для более точного описания внешнего вида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w:t>
            </w:r>
          </w:p>
          <w:p>
            <w:pPr>
              <w:spacing w:after="20"/>
              <w:ind w:left="20"/>
              <w:jc w:val="both"/>
            </w:pPr>
            <w:r>
              <w:rPr>
                <w:rFonts w:ascii="Times New Roman"/>
                <w:b w:val="false"/>
                <w:i w:val="false"/>
                <w:color w:val="000000"/>
                <w:sz w:val="20"/>
              </w:rPr>
              <w:t xml:space="preserve">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 или испытаний лекарственного препарата. </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Методика остается без изменений или изменения являются незначительными.</w:t>
            </w:r>
          </w:p>
          <w:p>
            <w:pPr>
              <w:spacing w:after="20"/>
              <w:ind w:left="20"/>
              <w:jc w:val="both"/>
            </w:pPr>
            <w:r>
              <w:rPr>
                <w:rFonts w:ascii="Times New Roman"/>
                <w:b w:val="false"/>
                <w:i w:val="false"/>
                <w:color w:val="000000"/>
                <w:sz w:val="20"/>
              </w:rPr>
              <w:t>
5.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xml:space="preserve">
6. Изменение затрагивает обновление критериев приемлемости микробиологических контролей в целях соответствия действующей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а текущие зарегистрированные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w:t>
            </w:r>
          </w:p>
          <w:p>
            <w:pPr>
              <w:spacing w:after="20"/>
              <w:ind w:left="20"/>
              <w:jc w:val="both"/>
            </w:pPr>
            <w:r>
              <w:rPr>
                <w:rFonts w:ascii="Times New Roman"/>
                <w:b w:val="false"/>
                <w:i w:val="false"/>
                <w:color w:val="000000"/>
                <w:sz w:val="20"/>
              </w:rPr>
              <w:t xml:space="preserve">
количественное определение; </w:t>
            </w:r>
          </w:p>
          <w:p>
            <w:pPr>
              <w:spacing w:after="20"/>
              <w:ind w:left="20"/>
              <w:jc w:val="both"/>
            </w:pPr>
            <w:r>
              <w:rPr>
                <w:rFonts w:ascii="Times New Roman"/>
                <w:b w:val="false"/>
                <w:i w:val="false"/>
                <w:color w:val="000000"/>
                <w:sz w:val="20"/>
              </w:rPr>
              <w:t>
примеси (если только определенный растворитель однозначно не используется в производстве лекарственного препарата);</w:t>
            </w:r>
          </w:p>
          <w:p>
            <w:pPr>
              <w:spacing w:after="20"/>
              <w:ind w:left="20"/>
              <w:jc w:val="both"/>
            </w:pPr>
            <w:r>
              <w:rPr>
                <w:rFonts w:ascii="Times New Roman"/>
                <w:b w:val="false"/>
                <w:i w:val="false"/>
                <w:color w:val="000000"/>
                <w:sz w:val="20"/>
              </w:rPr>
              <w:t xml:space="preserve">
любую критическую физическую характеристику (устойчивость таблеток к раздавливанию и истираемость таблеток, не покрытых оболочкой, размеры, </w:t>
            </w:r>
          </w:p>
          <w:p>
            <w:pPr>
              <w:spacing w:after="20"/>
              <w:ind w:left="20"/>
              <w:jc w:val="both"/>
            </w:pPr>
            <w:r>
              <w:rPr>
                <w:rFonts w:ascii="Times New Roman"/>
                <w:b w:val="false"/>
                <w:i w:val="false"/>
                <w:color w:val="000000"/>
                <w:sz w:val="20"/>
              </w:rPr>
              <w:t>и др.);</w:t>
            </w:r>
          </w:p>
          <w:p>
            <w:pPr>
              <w:spacing w:after="20"/>
              <w:ind w:left="20"/>
              <w:jc w:val="both"/>
            </w:pPr>
            <w:r>
              <w:rPr>
                <w:rFonts w:ascii="Times New Roman"/>
                <w:b w:val="false"/>
                <w:i w:val="false"/>
                <w:color w:val="000000"/>
                <w:sz w:val="20"/>
              </w:rPr>
              <w:t>
любой запрос на пропуск испытания.</w:t>
            </w:r>
          </w:p>
          <w:p>
            <w:pPr>
              <w:spacing w:after="20"/>
              <w:ind w:left="20"/>
              <w:jc w:val="both"/>
            </w:pPr>
            <w:r>
              <w:rPr>
                <w:rFonts w:ascii="Times New Roman"/>
                <w:b w:val="false"/>
                <w:i w:val="false"/>
                <w:color w:val="000000"/>
                <w:sz w:val="20"/>
              </w:rPr>
              <w:t>
8. Предлагаемый контроль полностью соответствует таблице 2.1.9.14.-1 статьи Фармакопеи Союза "Однородность дозированных единиц" и не включает в себя альтернативные предложения испытаний однородности с использованием расчетно-массового способа вместо способа прямого определения, если последний указан в вышеуказанной таблице.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Данные анализа 2 промышленных серий (при отсутствии должных обоснований для биологических активных фармацевтических субстанций – 3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4. Обоснование (оценка рисков), подтверждающее, что параметр является незначимым.</w:t>
            </w:r>
          </w:p>
          <w:p>
            <w:pPr>
              <w:spacing w:after="20"/>
              <w:ind w:left="20"/>
              <w:jc w:val="both"/>
            </w:pPr>
            <w:r>
              <w:rPr>
                <w:rFonts w:ascii="Times New Roman"/>
                <w:b w:val="false"/>
                <w:i w:val="false"/>
                <w:color w:val="000000"/>
                <w:sz w:val="20"/>
              </w:rPr>
              <w:t>
5. Обоснование (оценка рисков), подтверждающее, что частота испытаний по параметру может быть изменена.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регистрационном досье и (или) нормативном документе по качеству зарегистрированного лекарственного препарата упоминается "текущее издание (действующее издание в соответствии с законодательством государства-члена)" отсутствует необходимость в уведомлении уполномоченных органов об обновленной статье Фармакопеи Союза или фармакопеи государства-члена (в случае регистрации лекарственного препарата в одном государстве-члене). В связи с этим такое изменение применяется при отсутствии упоминания обновленной фармакопейной статьи в регистрационном досье и (или) нормативном документе по качеству, а изменение осуществляется в целях включения упоминания обновленной версии.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незначительные изменения утвержденной аналитической методики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прочие изменения аналитической методики (включая добавление или замену)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статьей Фармакопеи Союза или фармакопей государства-члена (при регистрации лекарственного препарата в одном государстве-члене)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Фармакопеи Союза или фармакопеи государства-члена (при регистрации лекарственного препарата в одном государстве-члене) и исключения упоминания устаревшей собственной аналитической методики и ее номера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2. Отсутствуют существенные изменения, влияющие на воспроизводимость аналитической методики.</w:t>
            </w:r>
          </w:p>
          <w:p>
            <w:pPr>
              <w:spacing w:after="20"/>
              <w:ind w:left="20"/>
              <w:jc w:val="both"/>
            </w:pPr>
            <w:r>
              <w:rPr>
                <w:rFonts w:ascii="Times New Roman"/>
                <w:b w:val="false"/>
                <w:i w:val="false"/>
                <w:color w:val="000000"/>
                <w:sz w:val="20"/>
              </w:rPr>
              <w:t>
3.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Зарегистрированная аналитическая методика уже ссылается на общую статью Фармакопеи Союза или фармакопеи государства-члена (при регистрации лекарственного препарата в одном государстве-члене), а любые изменения являются незначимыми и требуют технического обновления регистрационного досье.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методики, пересмотренные спецификации на примеси (если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(действующее издание в соответствии с законодательством государства-члена)", необходимость в уведомлении уполномоченных органов об обновленной статье Фармакопеи Союза или фармакопеи государства-члена отсутствует.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Б.II.д) Система упаковки (укупорки)</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качественный и (или) количественный состав материала системы упаковки (укупорки) первичной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первичной упаковки или добавление нового вида первичной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вида первичной упаковки, которое не приводит к полному исключению дозировки или лекарственной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затрагивает только один и тот же вид упаковки (например, блистер на блистер).</w:t>
            </w:r>
          </w:p>
          <w:p>
            <w:pPr>
              <w:spacing w:after="20"/>
              <w:ind w:left="20"/>
              <w:jc w:val="both"/>
            </w:pPr>
            <w:r>
              <w:rPr>
                <w:rFonts w:ascii="Times New Roman"/>
                <w:b w:val="false"/>
                <w:i w:val="false"/>
                <w:color w:val="000000"/>
                <w:sz w:val="20"/>
              </w:rPr>
              <w:t>
2. По значимым свойствам предлагаемый упаковочный материал должен быть по меньшей мере эквивалентным одобренному.</w:t>
            </w:r>
          </w:p>
          <w:p>
            <w:pPr>
              <w:spacing w:after="20"/>
              <w:ind w:left="20"/>
              <w:jc w:val="both"/>
            </w:pPr>
            <w:r>
              <w:rPr>
                <w:rFonts w:ascii="Times New Roman"/>
                <w:b w:val="false"/>
                <w:i w:val="false"/>
                <w:color w:val="000000"/>
                <w:sz w:val="20"/>
              </w:rPr>
              <w:t>
3. Начаты соответствующие исследования стабильности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3-месячные данные по стабильности не требуются. Исследования должны быть завершены, если их результаты не укладываются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форма (формы) выпуска лекарственного препарата должна быть достаточна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т.д.).</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w:t>
            </w:r>
          </w:p>
          <w:p>
            <w:pPr>
              <w:spacing w:after="20"/>
              <w:ind w:left="20"/>
              <w:jc w:val="both"/>
            </w:pPr>
            <w:r>
              <w:rPr>
                <w:rFonts w:ascii="Times New Roman"/>
                <w:b w:val="false"/>
                <w:i w:val="false"/>
                <w:color w:val="000000"/>
                <w:sz w:val="20"/>
              </w:rPr>
              <w:t xml:space="preserve">в его содержимое, компоненты лекарственного препарата не переходят </w:t>
            </w:r>
          </w:p>
          <w:p>
            <w:pPr>
              <w:spacing w:after="20"/>
              <w:ind w:left="20"/>
              <w:jc w:val="both"/>
            </w:pPr>
            <w:r>
              <w:rPr>
                <w:rFonts w:ascii="Times New Roman"/>
                <w:b w:val="false"/>
                <w:i w:val="false"/>
                <w:color w:val="000000"/>
                <w:sz w:val="20"/>
              </w:rPr>
              <w:t xml:space="preserve">в упаковку), включая подтверждение того, что материал соответствует соответствующим фармакопейным требованиям или актам органов Союза </w:t>
            </w:r>
          </w:p>
          <w:p>
            <w:pPr>
              <w:spacing w:after="20"/>
              <w:ind w:left="20"/>
              <w:jc w:val="both"/>
            </w:pPr>
            <w:r>
              <w:rPr>
                <w:rFonts w:ascii="Times New Roman"/>
                <w:b w:val="false"/>
                <w:i w:val="false"/>
                <w:color w:val="000000"/>
                <w:sz w:val="20"/>
              </w:rPr>
              <w:t xml:space="preserve">о безопасности материалов контактирующих с пищевой продукцией. </w:t>
            </w:r>
          </w:p>
          <w:p>
            <w:pPr>
              <w:spacing w:after="20"/>
              <w:ind w:left="20"/>
              <w:jc w:val="both"/>
            </w:pPr>
            <w:r>
              <w:rPr>
                <w:rFonts w:ascii="Times New Roman"/>
                <w:b w:val="false"/>
                <w:i w:val="false"/>
                <w:color w:val="000000"/>
                <w:sz w:val="20"/>
              </w:rPr>
              <w:t xml:space="preserve">
4.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xml:space="preserve">
5. Результаты исследований стабильности по значимым параметрам стабильности не менее чем на 2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w:t>
            </w:r>
          </w:p>
          <w:p>
            <w:pPr>
              <w:spacing w:after="20"/>
              <w:ind w:left="20"/>
              <w:jc w:val="both"/>
            </w:pPr>
            <w:r>
              <w:rPr>
                <w:rFonts w:ascii="Times New Roman"/>
                <w:b w:val="false"/>
                <w:i w:val="false"/>
                <w:color w:val="000000"/>
                <w:sz w:val="20"/>
              </w:rPr>
              <w:t>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7. При необходимости фото и (или) схематический рисунок новой системы упаковки (укупорки).</w:t>
            </w:r>
          </w:p>
          <w:p>
            <w:pPr>
              <w:spacing w:after="20"/>
              <w:ind w:left="20"/>
              <w:jc w:val="both"/>
            </w:pPr>
            <w:r>
              <w:rPr>
                <w:rFonts w:ascii="Times New Roman"/>
                <w:b w:val="false"/>
                <w:i w:val="false"/>
                <w:color w:val="000000"/>
                <w:sz w:val="20"/>
              </w:rPr>
              <w:t>
8. Декларация держателя регистрационного удостоверения, что оставшийся размер (размеры) упаковки соответствует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такое изменение требует подачи заявления о расширении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критериев приемлемости для параметра "общая толщина" блистерной фольги (покрывной алюминиевой фольги) первичной упаковки твердых лекарственных форм, вызванное разницей в количестве наносимого материала грунтовки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xml:space="preserve">
5. Новая методика испытания основана на общих методах анализа, описанных </w:t>
            </w:r>
          </w:p>
          <w:p>
            <w:pPr>
              <w:spacing w:after="20"/>
              <w:ind w:left="20"/>
              <w:jc w:val="both"/>
            </w:pPr>
            <w:r>
              <w:rPr>
                <w:rFonts w:ascii="Times New Roman"/>
                <w:b w:val="false"/>
                <w:i w:val="false"/>
                <w:color w:val="000000"/>
                <w:sz w:val="20"/>
              </w:rPr>
              <w:t>в Фармакопее Союза или Фармакопее государства-члена (в случае регистрации лекарственного препарата в одном государстве-члене) (например, ВЭЖХ, спектрофотометрия, титриметрия и пр.).</w:t>
            </w:r>
          </w:p>
          <w:p>
            <w:pPr>
              <w:spacing w:after="20"/>
              <w:ind w:left="20"/>
              <w:jc w:val="both"/>
            </w:pPr>
            <w:r>
              <w:rPr>
                <w:rFonts w:ascii="Times New Roman"/>
                <w:b w:val="false"/>
                <w:i w:val="false"/>
                <w:color w:val="000000"/>
                <w:sz w:val="20"/>
              </w:rPr>
              <w:t>
6. Материал грунтовки не изменяется.</w:t>
            </w:r>
          </w:p>
          <w:p>
            <w:pPr>
              <w:spacing w:after="20"/>
              <w:ind w:left="20"/>
              <w:jc w:val="both"/>
            </w:pPr>
            <w:r>
              <w:rPr>
                <w:rFonts w:ascii="Times New Roman"/>
                <w:b w:val="false"/>
                <w:i w:val="false"/>
                <w:color w:val="000000"/>
                <w:sz w:val="20"/>
              </w:rPr>
              <w:t>
7. Начаты соответствующие исследования стабильности в соответствии с актами органов Союза в сфере обращения лекарственных средств не менее чем 2 опытно-промышленных или промышленных серий. Эти исследования должны быть завершены, а данные немедленно представлены уполномоченным органам, если они выходят за пределы спецификаций или потенциально выйдут за пределы спецификаций в конце одобренного срока годности.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xml:space="preserve">
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w:t>
            </w:r>
          </w:p>
          <w:p>
            <w:pPr>
              <w:spacing w:after="20"/>
              <w:ind w:left="20"/>
              <w:jc w:val="both"/>
            </w:pPr>
            <w:r>
              <w:rPr>
                <w:rFonts w:ascii="Times New Roman"/>
                <w:b w:val="false"/>
                <w:i w:val="false"/>
                <w:color w:val="000000"/>
                <w:sz w:val="20"/>
              </w:rPr>
              <w:t>
4. Данные анализа 2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p>
            <w:pPr>
              <w:spacing w:after="20"/>
              <w:ind w:left="20"/>
              <w:jc w:val="both"/>
            </w:pPr>
            <w:r>
              <w:rPr>
                <w:rFonts w:ascii="Times New Roman"/>
                <w:b w:val="false"/>
                <w:i w:val="false"/>
                <w:color w:val="000000"/>
                <w:sz w:val="20"/>
              </w:rPr>
              <w:t xml:space="preserve">
7. Подтверждение начала соответствующих исследований стабильности </w:t>
            </w:r>
          </w:p>
          <w:p>
            <w:pPr>
              <w:spacing w:after="20"/>
              <w:ind w:left="20"/>
              <w:jc w:val="both"/>
            </w:pPr>
            <w:r>
              <w:rPr>
                <w:rFonts w:ascii="Times New Roman"/>
                <w:b w:val="false"/>
                <w:i w:val="false"/>
                <w:color w:val="000000"/>
                <w:sz w:val="20"/>
              </w:rPr>
              <w:t>в соответствии с актами органов Союза в сфере обращения лекарственных средств не менее чем 2 опытно-промышленных или промышленных серий.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актам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3. Ни один новый метод испытания не основан на новой нестандартной методике или стандартной методике, используемой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Б.II.д.4. Изменение формы или размеров системы упаковки (укупорки) первичной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могут существенно повлиять на доставку, применение, безопасность или стабильность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Качественный и количественный состав материала первичной упаковки не изменился.</w:t>
            </w:r>
          </w:p>
          <w:p>
            <w:pPr>
              <w:spacing w:after="20"/>
              <w:ind w:left="20"/>
              <w:jc w:val="both"/>
            </w:pPr>
            <w:r>
              <w:rPr>
                <w:rFonts w:ascii="Times New Roman"/>
                <w:b w:val="false"/>
                <w:i w:val="false"/>
                <w:color w:val="000000"/>
                <w:sz w:val="20"/>
              </w:rPr>
              <w:t>
2. Изменение не затрагивает ключевые показатели качества упаковочного материала, которые могут повлиять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xml:space="preserve">
3. При изменении свободного пространства или изменении отношения поверхности к объему начаты соответствующие исследования стабильности; проанализированы соответствующие параметры стабильности не менее чем </w:t>
            </w:r>
          </w:p>
          <w:p>
            <w:pPr>
              <w:spacing w:after="20"/>
              <w:ind w:left="20"/>
              <w:jc w:val="both"/>
            </w:pPr>
            <w:r>
              <w:rPr>
                <w:rFonts w:ascii="Times New Roman"/>
                <w:b w:val="false"/>
                <w:i w:val="false"/>
                <w:color w:val="000000"/>
                <w:sz w:val="20"/>
              </w:rPr>
              <w:t xml:space="preserve">на 2 опытно-промышленных (для биологических лекарственных препаратов – </w:t>
            </w:r>
          </w:p>
          <w:p>
            <w:pPr>
              <w:spacing w:after="20"/>
              <w:ind w:left="20"/>
              <w:jc w:val="both"/>
            </w:pPr>
            <w:r>
              <w:rPr>
                <w:rFonts w:ascii="Times New Roman"/>
                <w:b w:val="false"/>
                <w:i w:val="false"/>
                <w:color w:val="000000"/>
                <w:sz w:val="20"/>
              </w:rPr>
              <w:t>3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лекарственных препаратов – 6-месячного).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подробный чертеж и состав материала первичной упаковки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2. При необходимости фото и (или) схематический рисунок новой упаковки (укупорки)</w:t>
            </w:r>
          </w:p>
          <w:p>
            <w:pPr>
              <w:spacing w:after="20"/>
              <w:ind w:left="20"/>
              <w:jc w:val="both"/>
            </w:pPr>
            <w:r>
              <w:rPr>
                <w:rFonts w:ascii="Times New Roman"/>
                <w:b w:val="false"/>
                <w:i w:val="false"/>
                <w:color w:val="000000"/>
                <w:sz w:val="20"/>
              </w:rPr>
              <w:t>
3. Проведены повторные валидационные исследования стерильных препаратов, подвергающихся финишной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xml:space="preserve">
4. При изменении свободного пространства или отношения поверхности к объему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Б.II.д.5. Изменение формы выпуска лекарственного препарата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изменение количества единиц лекарственной формы (например, таблеток, ампул </w:t>
            </w:r>
          </w:p>
          <w:p>
            <w:pPr>
              <w:spacing w:after="20"/>
              <w:ind w:left="20"/>
              <w:jc w:val="both"/>
            </w:pPr>
            <w:r>
              <w:rPr>
                <w:rFonts w:ascii="Times New Roman"/>
                <w:b w:val="false"/>
                <w:i w:val="false"/>
                <w:color w:val="000000"/>
                <w:sz w:val="20"/>
              </w:rPr>
              <w:t>и т. д.)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количества лекарственной формы (числа доз)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количества лекарственной формы (числа доз)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исключение форм выпуска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многодозных парентеральных лекарственных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Документация </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2. Обоснование, что новые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актам органов Союза в сфере обращения лекарственных средств будут начаты исследования стабильности. Данные необходимо представить (с предлагаемым планом действий), в случае если они не укладываются в спецификации.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Б.II.д.5.г – если изменение приводит к изменению дозировки лекарственного препарата, такое изменение требует подачи заявления о расширении.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Изменение какой-либо составляющей упаковки (упаковочного материала),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 изменение дизайна (цвета) макетов промежуточной или вторичной упаковки, нанесение штрих кода (2D, 3D), нанесение шрифта Брайля)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изменение, затрагивающее информацию о лекарственном препарате, указанную </w:t>
            </w:r>
          </w:p>
          <w:p>
            <w:pPr>
              <w:spacing w:after="20"/>
              <w:ind w:left="20"/>
              <w:jc w:val="both"/>
            </w:pPr>
            <w:r>
              <w:rPr>
                <w:rFonts w:ascii="Times New Roman"/>
                <w:b w:val="false"/>
                <w:i w:val="false"/>
                <w:color w:val="000000"/>
                <w:sz w:val="20"/>
              </w:rPr>
              <w:t xml:space="preserve">в пункте 1.6.1 приложения № 19 </w:t>
            </w:r>
          </w:p>
          <w:p>
            <w:pPr>
              <w:spacing w:after="20"/>
              <w:ind w:left="20"/>
              <w:jc w:val="both"/>
            </w:pPr>
            <w:r>
              <w:rPr>
                <w:rFonts w:ascii="Times New Roman"/>
                <w:b w:val="false"/>
                <w:i w:val="false"/>
                <w:color w:val="000000"/>
                <w:sz w:val="20"/>
              </w:rPr>
              <w:t>к Правилам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изменение, не затрагивающее информацию о лекарственном препарате, указанную </w:t>
            </w:r>
          </w:p>
          <w:p>
            <w:pPr>
              <w:spacing w:after="20"/>
              <w:ind w:left="20"/>
              <w:jc w:val="both"/>
            </w:pPr>
            <w:r>
              <w:rPr>
                <w:rFonts w:ascii="Times New Roman"/>
                <w:b w:val="false"/>
                <w:i w:val="false"/>
                <w:color w:val="000000"/>
                <w:sz w:val="20"/>
              </w:rPr>
              <w:t>в пункте 1.6.1 приложения № 19</w:t>
            </w:r>
          </w:p>
          <w:p>
            <w:pPr>
              <w:spacing w:after="20"/>
              <w:ind w:left="20"/>
              <w:jc w:val="both"/>
            </w:pPr>
            <w:r>
              <w:rPr>
                <w:rFonts w:ascii="Times New Roman"/>
                <w:b w:val="false"/>
                <w:i w:val="false"/>
                <w:color w:val="000000"/>
                <w:sz w:val="20"/>
              </w:rPr>
              <w:t>к Правилам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затрагивает части упаковочного материала, которые могут повлиять на доставку, применение, безопасность или стабильность лекарственного препарата.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пересмотр информации о лекарственном препарате.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Б.II.д.7. Изменение производителя компонентов системы упаковки (укупорки) первичной упаковки или дополнительной продукции </w:t>
            </w:r>
          </w:p>
          <w:p>
            <w:pPr>
              <w:spacing w:after="20"/>
              <w:ind w:left="20"/>
              <w:jc w:val="both"/>
            </w:pPr>
            <w:r>
              <w:rPr>
                <w:rFonts w:ascii="Times New Roman"/>
                <w:b w:val="false"/>
                <w:i w:val="false"/>
                <w:color w:val="000000"/>
                <w:sz w:val="20"/>
              </w:rPr>
              <w:t xml:space="preserve">(в том числе устройства, комплектующего средства), </w:t>
            </w:r>
          </w:p>
          <w:p>
            <w:pPr>
              <w:spacing w:after="20"/>
              <w:ind w:left="20"/>
              <w:jc w:val="both"/>
            </w:pPr>
            <w:r>
              <w:rPr>
                <w:rFonts w:ascii="Times New Roman"/>
                <w:b w:val="false"/>
                <w:i w:val="false"/>
                <w:color w:val="000000"/>
                <w:sz w:val="20"/>
              </w:rPr>
              <w:t>(если указано в регистрационном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производителя спейсеров дозированных ингаляторов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наименования производителя компонента системы упаковки (укупорки) первичной упаковки</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компонента упаковки или изделия не происходит.</w:t>
            </w:r>
          </w:p>
          <w:p>
            <w:pPr>
              <w:spacing w:after="20"/>
              <w:ind w:left="20"/>
              <w:jc w:val="both"/>
            </w:pPr>
            <w:r>
              <w:rPr>
                <w:rFonts w:ascii="Times New Roman"/>
                <w:b w:val="false"/>
                <w:i w:val="false"/>
                <w:color w:val="000000"/>
                <w:sz w:val="20"/>
              </w:rPr>
              <w:t xml:space="preserve">
2. Качественный и (или) количественный состав материалов компонентов системы упаковки (укупорки) первичной упаковки или дополнительной продукции </w:t>
            </w:r>
          </w:p>
          <w:p>
            <w:pPr>
              <w:spacing w:after="20"/>
              <w:ind w:left="20"/>
              <w:jc w:val="both"/>
            </w:pPr>
            <w:r>
              <w:rPr>
                <w:rFonts w:ascii="Times New Roman"/>
                <w:b w:val="false"/>
                <w:i w:val="false"/>
                <w:color w:val="000000"/>
                <w:sz w:val="20"/>
              </w:rPr>
              <w:t xml:space="preserve">(в том числе устройства, комплектующего средства) и спецификации эскиза </w:t>
            </w:r>
          </w:p>
          <w:p>
            <w:pPr>
              <w:spacing w:after="20"/>
              <w:ind w:left="20"/>
              <w:jc w:val="both"/>
            </w:pPr>
            <w:r>
              <w:rPr>
                <w:rFonts w:ascii="Times New Roman"/>
                <w:b w:val="false"/>
                <w:i w:val="false"/>
                <w:color w:val="000000"/>
                <w:sz w:val="20"/>
              </w:rPr>
              <w:t>не изменяются.</w:t>
            </w:r>
          </w:p>
          <w:p>
            <w:pPr>
              <w:spacing w:after="20"/>
              <w:ind w:left="20"/>
              <w:jc w:val="both"/>
            </w:pPr>
            <w:r>
              <w:rPr>
                <w:rFonts w:ascii="Times New Roman"/>
                <w:b w:val="false"/>
                <w:i w:val="false"/>
                <w:color w:val="000000"/>
                <w:sz w:val="20"/>
              </w:rPr>
              <w:t>
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p>
            <w:pPr>
              <w:spacing w:after="20"/>
              <w:ind w:left="20"/>
              <w:jc w:val="both"/>
            </w:pPr>
            <w:r>
              <w:rPr>
                <w:rFonts w:ascii="Times New Roman"/>
                <w:b w:val="false"/>
                <w:i w:val="false"/>
                <w:color w:val="000000"/>
                <w:sz w:val="20"/>
              </w:rPr>
              <w:t xml:space="preserve">
5. Изменение производителя компонента системы упаковки (укупорки) первичной упаковки или дополнительной продукции (в том числе устройства, комплектующего средства) не происходит.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Документы и сведения о медицинском изделии, прилагаемые к лекарственному препарату, в соответствии с пунктом 187 Правил регистрации. </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данная информация подлежит удалению из регистрационного досье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Добавление или изменение календарной упаковки для уже зарегистрированной формы выпуска лекарственного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Материал первичной упаковки остается прежним, функциональные характеристики (защитные свойства) материала остаются прежними.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Необходимые данные о новой упаковке. </w:t>
            </w:r>
          </w:p>
          <w:p>
            <w:pPr>
              <w:spacing w:after="20"/>
              <w:ind w:left="20"/>
              <w:jc w:val="both"/>
            </w:pPr>
            <w:r>
              <w:rPr>
                <w:rFonts w:ascii="Times New Roman"/>
                <w:b w:val="false"/>
                <w:i w:val="false"/>
                <w:color w:val="000000"/>
                <w:sz w:val="20"/>
              </w:rPr>
              <w:t>
3.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4. В соответствующих случаях изображения нового контейнера (укупорки).</w:t>
            </w:r>
          </w:p>
          <w:p>
            <w:pPr>
              <w:spacing w:after="20"/>
              <w:ind w:left="20"/>
              <w:jc w:val="both"/>
            </w:pPr>
            <w:r>
              <w:rPr>
                <w:rFonts w:ascii="Times New Roman"/>
                <w:b w:val="false"/>
                <w:i w:val="false"/>
                <w:color w:val="000000"/>
                <w:sz w:val="20"/>
              </w:rPr>
              <w:t>
5. Подтверждение, что форма выпуска соответствует режиму дозирования и продолжительности лечения и подходит для выполнения рекомендаций по дозированию, приведенных в общей характеристике лекарственного препарата.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Б.II.е)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Изменение срока годности или условий хранения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во вторичную упаковку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во вторичную упаковку (подтвержденное данными в реальном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в соответствии с актами органов Союза в сфере обращения лекарственных средств</w:t>
            </w:r>
            <w:r>
              <w:rPr>
                <w:rFonts w:ascii="Times New Roman"/>
                <w:b w:val="false"/>
                <w:i w:val="false"/>
                <w:color w:val="000000"/>
                <w:vertAlign w:val="superscript"/>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срока хранения биологического лекарственного препарата в соответствии с одобренной программой изучения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лекарственных препаратов, если исследования стабильности проведены не в соответствии с одобренной программой изучения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одобренной программы изучения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Она должна содержать результаты соответствующих исследований стабильности в реальном времени (охватывающих весь срок годности), проведенных в соответствии с актами органов Союза в сфере обращения лекарственных средств по меньшей мере на 2 опытно-промышленных сериях</w:t>
            </w:r>
            <w:r>
              <w:rPr>
                <w:rFonts w:ascii="Times New Roman"/>
                <w:b w:val="false"/>
                <w:i w:val="false"/>
                <w:color w:val="000000"/>
                <w:vertAlign w:val="superscript"/>
              </w:rPr>
              <w:t>1</w:t>
            </w:r>
            <w:r>
              <w:rPr>
                <w:rFonts w:ascii="Times New Roman"/>
                <w:b w:val="false"/>
                <w:i w:val="false"/>
                <w:color w:val="000000"/>
                <w:sz w:val="20"/>
              </w:rPr>
              <w:t xml:space="preserve">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w:t>
            </w:r>
          </w:p>
          <w:p>
            <w:pPr>
              <w:spacing w:after="20"/>
              <w:ind w:left="20"/>
              <w:jc w:val="both"/>
            </w:pPr>
            <w:r>
              <w:rPr>
                <w:rFonts w:ascii="Times New Roman"/>
                <w:b w:val="false"/>
                <w:i w:val="false"/>
                <w:color w:val="000000"/>
                <w:sz w:val="20"/>
              </w:rPr>
              <w:t>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Копии утвержденных спецификаций на конец срока годности и, если применимо, спецификации после разведения (восстановления) или после первого вскрытия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лекарственного препарата экстраполяция неприменима.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Б.II.ж)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соответствующий внутрипроизводственный контроль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и критических параметров качества лекарственного препарата.</w:t>
            </w:r>
          </w:p>
          <w:p>
            <w:pPr>
              <w:spacing w:after="20"/>
              <w:ind w:left="20"/>
              <w:jc w:val="both"/>
            </w:pP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разделу (разделам) регистрационного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 разделу (разделам) регистрационного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xml:space="preserve">
2. Поправка к соответствующему разделу (разделам) регистрационного досье.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держателя регистрационного удостоверения, что любое изменение должно укладываться в диапазон действующих утвержденных критериев приемлемости. Помимо этого, подтверждение, что в отношении биологических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Подтверждение держателя регистрационного удостоверения,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подтверждение того, что в отношении биологических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xml:space="preserve">
3. Результаты исследований, проведенных в соответствии с утвержденным протоколом управления изменениями. </w:t>
            </w:r>
          </w:p>
          <w:p>
            <w:pPr>
              <w:spacing w:after="20"/>
              <w:ind w:left="20"/>
              <w:jc w:val="both"/>
            </w:pPr>
            <w:r>
              <w:rPr>
                <w:rFonts w:ascii="Times New Roman"/>
                <w:b w:val="false"/>
                <w:i w:val="false"/>
                <w:color w:val="000000"/>
                <w:sz w:val="20"/>
              </w:rPr>
              <w:t>
4.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 (в виде ссылки на соответствующий документ в последовательности досье или приложения к сопроводительному письму).</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Б.II.з) Безопасность в отношении посторонних агентов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Обновление информации "Оценка безопасности лекарственных препаратов относительно наличия посторонних агентов" </w:t>
            </w:r>
          </w:p>
          <w:p>
            <w:pPr>
              <w:spacing w:after="20"/>
              <w:ind w:left="20"/>
              <w:jc w:val="both"/>
            </w:pPr>
            <w:r>
              <w:rPr>
                <w:rFonts w:ascii="Times New Roman"/>
                <w:b w:val="false"/>
                <w:i w:val="false"/>
                <w:color w:val="000000"/>
                <w:sz w:val="20"/>
              </w:rPr>
              <w:t>(раздел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регистрационное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Б.III. Сертификат соответствия Европейской Фармакопее (CEP) (при наличии), и (или) ГЭ, и (или) изменения активной фармацевтической субстанции и вспомогательных веществ в целях соответствия Фармакопее Союза, фармакопее государства-члена или другим фармакопеям согласно Концепции гармонизации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Б.III.1. Подача нового или обновленного сертификата соответствия Европейской Фармакопее или исключение сертификата соответствия Европейской Фармакопее на: </w:t>
            </w:r>
          </w:p>
          <w:p>
            <w:pPr>
              <w:spacing w:after="20"/>
              <w:ind w:left="20"/>
              <w:jc w:val="both"/>
            </w:pPr>
            <w:r>
              <w:rPr>
                <w:rFonts w:ascii="Times New Roman"/>
                <w:b w:val="false"/>
                <w:i w:val="false"/>
                <w:color w:val="000000"/>
                <w:sz w:val="20"/>
              </w:rPr>
              <w:t>
фармацевтическую субстанцию;</w:t>
            </w:r>
          </w:p>
          <w:p>
            <w:pPr>
              <w:spacing w:after="20"/>
              <w:ind w:left="20"/>
              <w:jc w:val="both"/>
            </w:pPr>
            <w:r>
              <w:rPr>
                <w:rFonts w:ascii="Times New Roman"/>
                <w:b w:val="false"/>
                <w:i w:val="false"/>
                <w:color w:val="000000"/>
                <w:sz w:val="20"/>
              </w:rPr>
              <w:t>
исходный материал (реактив, промежуточный продукт), используемый в процесс производства фармацевтической субстанции;</w:t>
            </w:r>
          </w:p>
          <w:p>
            <w:pPr>
              <w:spacing w:after="20"/>
              <w:ind w:left="20"/>
              <w:jc w:val="both"/>
            </w:pPr>
            <w:r>
              <w:rPr>
                <w:rFonts w:ascii="Times New Roman"/>
                <w:b w:val="false"/>
                <w:i w:val="false"/>
                <w:color w:val="000000"/>
                <w:sz w:val="20"/>
              </w:rPr>
              <w:t>
вспомогательное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сертификат соответствия Европейской Фармакопее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ГЭ на активную фармацевтическую субстанцию (исходный материал (реактив, промежуточный продукт), вспомогательное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2. Неизмененные (исключая ужесточение) дополнительные (к Европейской Фармакопее) спецификации на примеси (исключая остаточные растворители, при условии их соответствия требованиям руководств Международного совета по гармонизации технических требований к регистрации лекарственных препаратов для медицинского применения)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xml:space="preserve">
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w:t>
            </w:r>
          </w:p>
          <w:p>
            <w:pPr>
              <w:spacing w:after="20"/>
              <w:ind w:left="20"/>
              <w:jc w:val="both"/>
            </w:pPr>
            <w:r>
              <w:rPr>
                <w:rFonts w:ascii="Times New Roman"/>
                <w:b w:val="false"/>
                <w:i w:val="false"/>
                <w:color w:val="000000"/>
                <w:sz w:val="20"/>
              </w:rPr>
              <w:t>в досье.</w:t>
            </w:r>
          </w:p>
          <w:p>
            <w:pPr>
              <w:spacing w:after="20"/>
              <w:ind w:left="20"/>
              <w:jc w:val="both"/>
            </w:pPr>
            <w:r>
              <w:rPr>
                <w:rFonts w:ascii="Times New Roman"/>
                <w:b w:val="false"/>
                <w:i w:val="false"/>
                <w:color w:val="000000"/>
                <w:sz w:val="20"/>
              </w:rPr>
              <w:t>
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7. Если в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страны производителя.</w:t>
            </w:r>
          </w:p>
          <w:p>
            <w:pPr>
              <w:spacing w:after="20"/>
              <w:ind w:left="20"/>
              <w:jc w:val="both"/>
            </w:pPr>
            <w:r>
              <w:rPr>
                <w:rFonts w:ascii="Times New Roman"/>
                <w:b w:val="false"/>
                <w:i w:val="false"/>
                <w:color w:val="000000"/>
                <w:sz w:val="20"/>
              </w:rPr>
              <w:t>
8. В регистрационном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xml:space="preserve">
9. Если активная фармацевтическая субстанция нестерильна, но будет использоваться в составе стерильного лекарственного препарата, тогда, </w:t>
            </w:r>
          </w:p>
          <w:p>
            <w:pPr>
              <w:spacing w:after="20"/>
              <w:ind w:left="20"/>
              <w:jc w:val="both"/>
            </w:pPr>
            <w:r>
              <w:rPr>
                <w:rFonts w:ascii="Times New Roman"/>
                <w:b w:val="false"/>
                <w:i w:val="false"/>
                <w:color w:val="000000"/>
                <w:sz w:val="20"/>
              </w:rPr>
              <w:t>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2. При добавлении производственной площадки – в заявлении о внесении изменений, а также дополнительно в сопроводительном письме, необходимо четко указать текущих и предлагаемых производителей.</w:t>
            </w:r>
          </w:p>
          <w:p>
            <w:pPr>
              <w:spacing w:after="20"/>
              <w:ind w:left="20"/>
              <w:jc w:val="both"/>
            </w:pPr>
            <w:r>
              <w:rPr>
                <w:rFonts w:ascii="Times New Roman"/>
                <w:b w:val="false"/>
                <w:i w:val="false"/>
                <w:color w:val="000000"/>
                <w:sz w:val="20"/>
              </w:rPr>
              <w:t>
3.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4. Если применимо, документ, содержащий сведения о всех материалах, входящих в сферу применения статьи Фармакопеи Союза или Европейской Фармакопеи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 активной фармацевтической субстанции, указанный в заявлении, осуществляет свою деятельность в соответствии с Правилами производственной практики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только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p>
            <w:pPr>
              <w:spacing w:after="20"/>
              <w:ind w:left="20"/>
              <w:jc w:val="both"/>
            </w:pPr>
            <w:r>
              <w:rPr>
                <w:rFonts w:ascii="Times New Roman"/>
                <w:b w:val="false"/>
                <w:i w:val="false"/>
                <w:color w:val="000000"/>
                <w:sz w:val="20"/>
              </w:rPr>
              <w:t>
6. Надлежащее подтверждение, свидетельствующее о соответствии воды, используемой на последнем этапе синтеза активной фармацевтической субстанции, соответствующим требованиям качества для воды для фармацевтического применения.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активной фармацевтической субстанции и вспомогательного вещества в целях соответствия Фармакопее Союза, фармакопее государства-члена или другим фармакопеям согласно Концепции гармонизации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Фармакопее Союза или фармакопее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исходного материала для вспомогательного вещества или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изменения в целях соответствия обновленной соответствующей статье Фармакопеи Союза, фармакопее государства-члена или других фармакопей согласно Концепции гармонизации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фармакопеи государства-члена на Фармакопею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с целью замены методики испытаний производителя на методики Фармакопеи Союза, фармакопеи государства-члена и (или) других фармакопей согласно Концепции гармонизации в отношении активной фармацевтической субстанции, вспомогательного вещества, исходного материала и (или) материала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классификации вспомогательного вещества с "нового вспомогательного вещества" (3.2.P.4.6) на "вспомогательное вещество согласно Фармакопее Союза и (или) других фармакопей согласно Концепции гармонизации" (3.2.P.4.1)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6. Вспомогательное вещество полностью соответствуют требованиям монографии соответствующей фармакопеи, и все испытания соответствуют фармакопейным стандартам</w:t>
            </w:r>
          </w:p>
          <w:p>
            <w:pPr>
              <w:spacing w:after="20"/>
              <w:ind w:left="20"/>
              <w:jc w:val="both"/>
            </w:pPr>
            <w:r>
              <w:rPr>
                <w:rFonts w:ascii="Times New Roman"/>
                <w:b w:val="false"/>
                <w:i w:val="false"/>
                <w:color w:val="000000"/>
                <w:sz w:val="20"/>
              </w:rPr>
              <w:t>
7. Дополнительные параметры спецификации, касающиеся специфических свойств, не изменяются (например, распределение частиц по размерам, полиморфная форма или, например, количественное определение биологическим методом, агрегаты)</w:t>
            </w:r>
          </w:p>
          <w:p>
            <w:pPr>
              <w:spacing w:after="20"/>
              <w:ind w:left="20"/>
              <w:jc w:val="both"/>
            </w:pPr>
            <w:r>
              <w:rPr>
                <w:rFonts w:ascii="Times New Roman"/>
                <w:b w:val="false"/>
                <w:i w:val="false"/>
                <w:color w:val="000000"/>
                <w:sz w:val="20"/>
              </w:rPr>
              <w:t xml:space="preserve">
8. Вспомогательное вещество должно оставаться неизменным </w:t>
            </w:r>
          </w:p>
          <w:p>
            <w:pPr>
              <w:spacing w:after="20"/>
              <w:ind w:left="20"/>
              <w:jc w:val="both"/>
            </w:pPr>
            <w:r>
              <w:rPr>
                <w:rFonts w:ascii="Times New Roman"/>
                <w:b w:val="false"/>
                <w:i w:val="false"/>
                <w:color w:val="000000"/>
                <w:sz w:val="20"/>
              </w:rPr>
              <w:t>
9. Дополнительная валидация нового или измененного фармакопейного метода не требуется</w:t>
            </w:r>
          </w:p>
          <w:p>
            <w:pPr>
              <w:spacing w:after="20"/>
              <w:ind w:left="20"/>
              <w:jc w:val="both"/>
            </w:pPr>
            <w:r>
              <w:rPr>
                <w:rFonts w:ascii="Times New Roman"/>
                <w:b w:val="false"/>
                <w:i w:val="false"/>
                <w:color w:val="000000"/>
                <w:sz w:val="20"/>
              </w:rPr>
              <w:t>
10. Вспомогательное вещество уже было одобрено уполномоченным органом для применения в лекарственном препарате с конкретным путем введения.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xml:space="preserve">
3.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 xml:space="preserve">2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w:t>
            </w:r>
          </w:p>
          <w:p>
            <w:pPr>
              <w:spacing w:after="20"/>
              <w:ind w:left="20"/>
              <w:jc w:val="both"/>
            </w:pPr>
            <w:r>
              <w:rPr>
                <w:rFonts w:ascii="Times New Roman"/>
                <w:b w:val="false"/>
                <w:i w:val="false"/>
                <w:color w:val="000000"/>
                <w:sz w:val="20"/>
              </w:rPr>
              <w:t>1 опытно-промышленной серии лекарственного препарата.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иными специфицированными и определяемыми примесями в АФС, исходном материале или вспомогательном веществе.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уведомлять уполномоченные органы об обновлении статьи Фармакопеи Союза или фармакопеи государства-члена в случае внедрения спецификации соответствующей обновленной статье в течение 6 месяцев после ее опубликования и наличии ссылки на "текущее издание (действующее издание в соответствии с законодательством государства-члена)" в регистрационном досье зарегистрированного лекарственного препарата.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Б.IV. Медицинские изделия или иная продукция (устройство, комплектующее средство), входящая в комплект упаковки лекарственного препарата</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Б.IV.1. Изменение комплектующего средства для дозирования включая медицинское изделие для введения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устройства, комплектующего средства, включая медицинское изделие, не являющегося частью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Медицинские изделия, зарегистрированные в соответствии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w:t>
            </w:r>
          </w:p>
          <w:p>
            <w:pPr>
              <w:spacing w:after="20"/>
              <w:ind w:left="20"/>
              <w:jc w:val="both"/>
            </w:pPr>
            <w:r>
              <w:rPr>
                <w:rFonts w:ascii="Times New Roman"/>
                <w:b w:val="false"/>
                <w:i w:val="false"/>
                <w:color w:val="000000"/>
                <w:sz w:val="20"/>
              </w:rPr>
              <w:t xml:space="preserve">от 12 февраля 2016 г. № 46 </w:t>
            </w:r>
          </w:p>
          <w:p>
            <w:pPr>
              <w:spacing w:after="20"/>
              <w:ind w:left="20"/>
              <w:jc w:val="both"/>
            </w:pPr>
            <w:r>
              <w:rPr>
                <w:rFonts w:ascii="Times New Roman"/>
                <w:b w:val="false"/>
                <w:i w:val="false"/>
                <w:color w:val="000000"/>
                <w:sz w:val="20"/>
              </w:rPr>
              <w:t>или в соответствии с законодательством государства-члена или разрешенные к обращению в третьих странах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Медицинские изделия или иная продукция (устройство, комплектующее средство), которые могут оказать существенное влияние на доставку действующего вещества лекарственного препарата (например, спейсеры дозирующих ингаляторов,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исключение или замена медицинского изделия или иной продукции (устройства, комплектующего средства), входящих в комплект упаковки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устройства или комплектующего средства, являющихся частью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Предлагаемое изделие с измеряющей функцией (устройство для дозирования) должно точно отмеривать необходимую дозу рассматриваемого лекарственного препарата согласно одобренному способу применения. Результаты таких исследований имеются в наличии.</w:t>
            </w:r>
          </w:p>
          <w:p>
            <w:pPr>
              <w:spacing w:after="20"/>
              <w:ind w:left="20"/>
              <w:jc w:val="both"/>
            </w:pPr>
            <w:r>
              <w:rPr>
                <w:rFonts w:ascii="Times New Roman"/>
                <w:b w:val="false"/>
                <w:i w:val="false"/>
                <w:color w:val="000000"/>
                <w:sz w:val="20"/>
              </w:rPr>
              <w:t>
2. Новое изделие с измеряющей функцией (устройство для дозирования) совместимо с лекарственным препаратом.</w:t>
            </w:r>
          </w:p>
          <w:p>
            <w:pPr>
              <w:spacing w:after="20"/>
              <w:ind w:left="20"/>
              <w:jc w:val="both"/>
            </w:pPr>
            <w:r>
              <w:rPr>
                <w:rFonts w:ascii="Times New Roman"/>
                <w:b w:val="false"/>
                <w:i w:val="false"/>
                <w:color w:val="000000"/>
                <w:sz w:val="20"/>
              </w:rPr>
              <w:t>
3. Изменение не должно приводить к значимому изменению информации о лекарственном препарате.</w:t>
            </w:r>
          </w:p>
          <w:p>
            <w:pPr>
              <w:spacing w:after="20"/>
              <w:ind w:left="20"/>
              <w:jc w:val="both"/>
            </w:pPr>
            <w:r>
              <w:rPr>
                <w:rFonts w:ascii="Times New Roman"/>
                <w:b w:val="false"/>
                <w:i w:val="false"/>
                <w:color w:val="000000"/>
                <w:sz w:val="20"/>
              </w:rPr>
              <w:t>
4. Лекарственный препарат можно продолжать точно дозировать.</w:t>
            </w:r>
          </w:p>
          <w:p>
            <w:pPr>
              <w:spacing w:after="20"/>
              <w:ind w:left="20"/>
              <w:jc w:val="both"/>
            </w:pPr>
            <w:r>
              <w:rPr>
                <w:rFonts w:ascii="Times New Roman"/>
                <w:b w:val="false"/>
                <w:i w:val="false"/>
                <w:color w:val="000000"/>
                <w:sz w:val="20"/>
              </w:rPr>
              <w:t>
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функция точного дозирования, информация о ней должна быть включена в регистрационное досье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схему комплектующего средства или медицинского изделия, а также состав их материалов, информацию о производителе,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xml:space="preserve">
2. Документ, подтверждающий регистрацию медицинского изделия в Союзе или в соответствии с законодательством государства-члена или разрешение к обращению в третьих странах (если применимо) </w:t>
            </w:r>
          </w:p>
          <w:p>
            <w:pPr>
              <w:spacing w:after="20"/>
              <w:ind w:left="20"/>
              <w:jc w:val="both"/>
            </w:pPr>
            <w:r>
              <w:rPr>
                <w:rFonts w:ascii="Times New Roman"/>
                <w:b w:val="false"/>
                <w:i w:val="false"/>
                <w:color w:val="000000"/>
                <w:sz w:val="20"/>
              </w:rPr>
              <w:t>
3. Документы и сведения, подтверждающие точность дозирования и совместимость комплектующего средства или медицинского изделия с лекарственным препаратом.</w:t>
            </w:r>
          </w:p>
          <w:p>
            <w:pPr>
              <w:spacing w:after="20"/>
              <w:ind w:left="20"/>
              <w:jc w:val="both"/>
            </w:pPr>
            <w:r>
              <w:rPr>
                <w:rFonts w:ascii="Times New Roman"/>
                <w:b w:val="false"/>
                <w:i w:val="false"/>
                <w:color w:val="000000"/>
                <w:sz w:val="20"/>
              </w:rPr>
              <w:t xml:space="preserve">
4. Обоснование исключения или замены медицинского изделия или иной продукции (устройства, комплектующего средства).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такое изменение требует подачи заявления о расширении регистрации.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 Внесения изменений в регистрационное досье, обусловленные иными регуляторными процедурами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Б.V.а) МФП (МФВА)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 обновленный или измененный МФП выдано заключение (сертификат, свидетельство) Союза на МФП, в соответствии с приложением № 1 к Правилам регистрации.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Подтверждение, что заключение (сертификат, свидетельство) Союза на МФП и экспертный отчет полностью применимы к зарегистрированному лекарственному препарату. Держатель МФП представил держателю регистрационного удостоверения (если держатель регистрационного удостоверения и держатель МФП не являются одним и тем же лицом) заключение (сертификат, свидетельство) Союза на МФП, экспертный отчет </w:t>
            </w:r>
          </w:p>
          <w:p>
            <w:pPr>
              <w:spacing w:after="20"/>
              <w:ind w:left="20"/>
              <w:jc w:val="both"/>
            </w:pPr>
            <w:r>
              <w:rPr>
                <w:rFonts w:ascii="Times New Roman"/>
                <w:b w:val="false"/>
                <w:i w:val="false"/>
                <w:color w:val="000000"/>
                <w:sz w:val="20"/>
              </w:rPr>
              <w:t>и досье на МФП. Заключение (сертификат, свидетельство) Союза на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2. Заключение (сертификат, свидетельство) Союза на МФП и экспертный отчет.</w:t>
            </w:r>
          </w:p>
          <w:p>
            <w:pPr>
              <w:spacing w:after="20"/>
              <w:ind w:left="20"/>
              <w:jc w:val="both"/>
            </w:pPr>
            <w:r>
              <w:rPr>
                <w:rFonts w:ascii="Times New Roman"/>
                <w:b w:val="false"/>
                <w:i w:val="false"/>
                <w:color w:val="000000"/>
                <w:sz w:val="20"/>
              </w:rPr>
              <w:t>
3. Декларация уполномоченного лица,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действующее и предлагаемое заключение (сертификат, свидетельство) Союза на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содержатся ссылки в регистрационном досье лекарственного препарата, даже если эти МФП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 Включение нового, обновленного или исправленного мастер-файла вакцинного антигена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На обновленный или измененный МФВА выдано заключение (сертификат, свидетельство) Союза на МФВА в соответствии с приложением № 1 к Правилам регистрации.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Декларация, что заключение (сертификат, свидетельство) Союза на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заключение (сертификат, свидетельство) Союза на МФВА, экспертный отчет </w:t>
            </w:r>
          </w:p>
          <w:p>
            <w:pPr>
              <w:spacing w:after="20"/>
              <w:ind w:left="20"/>
              <w:jc w:val="both"/>
            </w:pPr>
            <w:r>
              <w:rPr>
                <w:rFonts w:ascii="Times New Roman"/>
                <w:b w:val="false"/>
                <w:i w:val="false"/>
                <w:color w:val="000000"/>
                <w:sz w:val="20"/>
              </w:rPr>
              <w:t xml:space="preserve">и досье на МФВА. Заключение (сертификат, свидетельство) Союза на МФВА </w:t>
            </w:r>
          </w:p>
          <w:p>
            <w:pPr>
              <w:spacing w:after="20"/>
              <w:ind w:left="20"/>
              <w:jc w:val="both"/>
            </w:pPr>
            <w:r>
              <w:rPr>
                <w:rFonts w:ascii="Times New Roman"/>
                <w:b w:val="false"/>
                <w:i w:val="false"/>
                <w:color w:val="000000"/>
                <w:sz w:val="20"/>
              </w:rPr>
              <w:t>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2. Заключение (сертификат, свидетельство) Союза на МФВА и экспертный отчет.</w:t>
            </w:r>
          </w:p>
          <w:p>
            <w:pPr>
              <w:spacing w:after="20"/>
              <w:ind w:left="20"/>
              <w:jc w:val="both"/>
            </w:pPr>
            <w:r>
              <w:rPr>
                <w:rFonts w:ascii="Times New Roman"/>
                <w:b w:val="false"/>
                <w:i w:val="false"/>
                <w:color w:val="000000"/>
                <w:sz w:val="20"/>
              </w:rPr>
              <w:t>
3. Декларация уполномоченного лица,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действующее и предлагаемое заключение (сертификат, свидетельство) Союза на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содержатся ссылки в регистрационном досье лекарственного препарата, даже если эти МФВА не являются предметом заявления.</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Б.V.б) Обновления в результате запросов уполномоченных органов (экспертных организаций), в том числе по итогам рассмотрения вопросов Экспертным комитетом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 Обновление досье по качеству, направленное на реализацию заключения запроса уполномоченного органа (экспертной организации) (рекомендации Экспертного 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реализует заключение или запрос уполномоченного органа (экспертной организации) (рекомендации Экспертного 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гармонизация досье по качеству не являлась частью заключения или запроса уполномоченного органа (экспертной организации) (рекомендации Экспертного комитета), и обновление направлено на его гармонизацию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Результат не требует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рассматриваемое заключение или на запрос уполномоченного органа (экспертной организации) (рекомендацию Экспертного комитета).</w:t>
            </w:r>
          </w:p>
          <w:p>
            <w:pPr>
              <w:spacing w:after="20"/>
              <w:ind w:left="20"/>
              <w:jc w:val="both"/>
            </w:pPr>
            <w:r>
              <w:rPr>
                <w:rFonts w:ascii="Times New Roman"/>
                <w:b w:val="false"/>
                <w:i w:val="false"/>
                <w:color w:val="000000"/>
                <w:sz w:val="20"/>
              </w:rPr>
              <w:t>
2. В досье необходимо четко указать изменения, внесенные в ходе процедуры обращения в уполномоченный орган (экспертную организацию).</w:t>
            </w:r>
          </w:p>
        </w:tc>
      </w:tr>
    </w:tbl>
    <w:p>
      <w:pPr>
        <w:spacing w:after="0"/>
        <w:ind w:left="0"/>
        <w:jc w:val="left"/>
      </w:pPr>
      <w:r>
        <w:br/>
      </w:r>
      <w:r>
        <w:rPr>
          <w:rFonts w:ascii="Times New Roman"/>
          <w:b w:val="false"/>
          <w:i w:val="false"/>
          <w:color w:val="000000"/>
          <w:sz w:val="28"/>
        </w:rPr>
        <w:t>
</w:t>
      </w:r>
    </w:p>
    <w:bookmarkStart w:name="z8254" w:id="7063"/>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7063"/>
    <w:bookmarkStart w:name="z8256" w:id="7064"/>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7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макетов упаковок или инструкции по медицинскому применению (листка-вкладыша), направленные на реализацию требований, указанных в заключении или запросе уполномоченного органа (экспертной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регистрационное досье лекарственного препарата проходит экспертизу в уполномоченном органе (экспертной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регистрационное досье лекарственного препарата не подавалось на экспертизу в уполномоченный орган (экспертную организацию), но изменения реализуют требования, указанные в заключении или запросе уполномоченного органа (экспертной организации), новые дополнительные данные держателем регистрационного удостоверения не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изменения реализуют требования, указанные в заключении или запросе уполномоченного органа (экспертной организации), держатель регистрационного удостоверения представил новые дополнительные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Заявление о внесении изменений: ссылка на заключение или запрос уполномоченного органа (экспертной организации) с приобщенной общей характеристикой лекарственного препарата, макетами упаковок или листком-вкладышем.</w:t>
            </w:r>
          </w:p>
          <w:p>
            <w:pPr>
              <w:spacing w:after="20"/>
              <w:ind w:left="20"/>
              <w:jc w:val="both"/>
            </w:pPr>
            <w:r>
              <w:rPr>
                <w:rFonts w:ascii="Times New Roman"/>
                <w:b w:val="false"/>
                <w:i w:val="false"/>
                <w:color w:val="000000"/>
                <w:sz w:val="20"/>
              </w:rPr>
              <w:t>
2. Декларация, что соответствующие разделы предлагаемых общей характеристики лекарственного препарата, макетов упаковок и инструкции по медицинскому применению (листка-вкладыша) идентичны приобщенным к заключению или запросу уполномоченного органа (экспертной организации).</w:t>
            </w:r>
          </w:p>
          <w:p>
            <w:pPr>
              <w:spacing w:after="20"/>
              <w:ind w:left="20"/>
              <w:jc w:val="both"/>
            </w:pPr>
            <w:r>
              <w:rPr>
                <w:rFonts w:ascii="Times New Roman"/>
                <w:b w:val="false"/>
                <w:i w:val="false"/>
                <w:color w:val="000000"/>
                <w:sz w:val="20"/>
              </w:rPr>
              <w:t>
3. Пересмотренная информация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общей характеристики лекарственного препарата, макетов упаковок или инструкции по медицинскому применению (листка-вкладыша) воспроизведенного, или гибридного, или биоаналогичного лекарственного препарата после оценки того же изменения референтного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(изменений), в отношении которого от держателя регистрационного удостоверения не требуется представлять новые дополнительные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(изменений), требующих представления держателем регистрационного удостоверения новых дополнительных данных, обосновывающих такие изменения (например, сопоставимость)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запрос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В.I.3. Изменение (изменения) общей характеристики лекарственного препарата, макетов упаковок или инструкции по медицинскому применению (листка-вкладыша) лекарственного препарата для медицинского применения, направленное на реализацию результатов пострегистрационного исследования безопасности или заключения и предлагаемых последующих действий периодического обновляемого отчета по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регистрационного удостоверения новых дополнительных данных, обосновывающих такие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направлено на внесение формулировки, согласованной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Ссылка на согласие (оценку) уполномоченного органа в форме приложения к сопроводительному письму заявления о внесении изменений.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Изменения, заключающиеся в значимом изменении общей характеристики лекарственного препарата, макетов упаковок или инструкции по медицинскому применению (листка-вкладыша) вследствие новых данных по качеству, доклиническим, клиническим данным или данным фармаконадзора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В.I.13. В таких случаях изменение общей характеристики лекарственного препарата, макетов упаковок и (или) инструкции по медицинскому применению (листка-вкладыша) классифицируется кодом изменения В.I.13.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Изменение условий отпуска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или гибридных или биоаналогичных лекарственных препаратов после изменения условий отпуска референтного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изменения условий отпуска референтного лекарственного препарата (например, ссылка на соответствующее решение уполномоченного органа государства-члена),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Изменение показания (показаний) к применению и (или) режима дозирования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 (или) режима дозирования или изменение ранее одобренных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 и (или) режима дозирования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воспроизведенного, или гибридного, или биоаналогичного лекарственного препарата добавление или изменение показания к применению и (или) режима дозирования происходит вследствие реализации требований, указанных в заключении или запросе уполномоченного органа (экспертной организации) или изменений информации о лекарственном препарате после экспертизы аналогичных изменений у референтного лекарственного препарата, такие изменения классифицируются кодами В.I.1 и В.I.2 соответственно.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Исключение: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 и (или) формы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оставшаяся лекарственная форма и (или) форма (формы) выпуска достаточна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отменой ее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B.I.8. Введение или изменение краткой характеристики системы фармаконадзора держателя регистрационного удостоверения лекарственного препарата для медицинского применения</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краткой характеристики системы фармаконадзора держателя регистрационного удостоверения лекарственного препарата,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(МФСФ)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Краткая характеристика системы фармаконадзора держателя регистрационного удостоверения лекарственного препарата или обновление значимых элементов (соответственно):</w:t>
            </w:r>
          </w:p>
          <w:p>
            <w:pPr>
              <w:spacing w:after="20"/>
              <w:ind w:left="20"/>
              <w:jc w:val="both"/>
            </w:pPr>
            <w:r>
              <w:rPr>
                <w:rFonts w:ascii="Times New Roman"/>
                <w:b w:val="false"/>
                <w:i w:val="false"/>
                <w:color w:val="000000"/>
                <w:sz w:val="20"/>
              </w:rPr>
              <w:t>
подтверждение того, что заявитель имеет в своем распоряжении уполномоченное лицо, ответственное за фармаконадзор, и утверждение, подписанное заявителем, что уполномоченное лицо, ответственное за фармаконадзор обладает необходимыми способами выполнения задач и обязанностей, перечисленных в Правилах надлежащей практики фармаконадзора;</w:t>
            </w:r>
          </w:p>
          <w:p>
            <w:pPr>
              <w:spacing w:after="20"/>
              <w:ind w:left="20"/>
              <w:jc w:val="both"/>
            </w:pPr>
            <w:r>
              <w:rPr>
                <w:rFonts w:ascii="Times New Roman"/>
                <w:b w:val="false"/>
                <w:i w:val="false"/>
                <w:color w:val="000000"/>
                <w:sz w:val="20"/>
              </w:rPr>
              <w:t>
контактная информация об уполномоченном лице по фармаконадзору, государства-члена, в котором располагается и выполняет свои задачи это уполномоченное лицо;</w:t>
            </w:r>
          </w:p>
          <w:p>
            <w:pPr>
              <w:spacing w:after="20"/>
              <w:ind w:left="20"/>
              <w:jc w:val="both"/>
            </w:pPr>
            <w:r>
              <w:rPr>
                <w:rFonts w:ascii="Times New Roman"/>
                <w:b w:val="false"/>
                <w:i w:val="false"/>
                <w:color w:val="000000"/>
                <w:sz w:val="20"/>
              </w:rPr>
              <w:t>
месторасположение МФСФ.</w:t>
            </w:r>
          </w:p>
          <w:p>
            <w:pPr>
              <w:spacing w:after="20"/>
              <w:ind w:left="20"/>
              <w:jc w:val="both"/>
            </w:pPr>
            <w:r>
              <w:rPr>
                <w:rFonts w:ascii="Times New Roman"/>
                <w:b w:val="false"/>
                <w:i w:val="false"/>
                <w:color w:val="000000"/>
                <w:sz w:val="20"/>
              </w:rPr>
              <w:t>
2. Номер МФСФ (при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7065"/>
          <w:p>
            <w:pPr>
              <w:spacing w:after="20"/>
              <w:ind w:left="20"/>
              <w:jc w:val="both"/>
            </w:pPr>
            <w:r>
              <w:rPr>
                <w:rFonts w:ascii="Times New Roman"/>
                <w:b w:val="false"/>
                <w:i w:val="false"/>
                <w:color w:val="ff0000"/>
                <w:sz w:val="20"/>
              </w:rPr>
              <w:t xml:space="preserve">
В.I.9 Утратил силу решением Совета Евразийской экономической комиссии от 26.11.2025 </w:t>
            </w:r>
            <w:r>
              <w:rPr>
                <w:rFonts w:ascii="Times New Roman"/>
                <w:b w:val="false"/>
                <w:i w:val="false"/>
                <w:color w:val="ff0000"/>
                <w:sz w:val="20"/>
              </w:rPr>
              <w:t>№ 93</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bookmarkEnd w:id="70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6" w:id="7066"/>
          <w:p>
            <w:pPr>
              <w:spacing w:after="20"/>
              <w:ind w:left="20"/>
              <w:jc w:val="both"/>
            </w:pPr>
            <w:r>
              <w:rPr>
                <w:rFonts w:ascii="Times New Roman"/>
                <w:b w:val="false"/>
                <w:i w:val="false"/>
                <w:color w:val="000000"/>
                <w:sz w:val="20"/>
              </w:rPr>
              <w:t xml:space="preserve">
B.I.10. Изменение частоты и (или) даты подачи периодического обновляемого отчета по безопасности (ПООБ) лекарственного препарата </w:t>
            </w:r>
          </w:p>
          <w:bookmarkEnd w:id="70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частоты и (или) даты подачи периодического обновляемого отчета по безопасности согласовано уполномоченным органом государства-члена.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ответ уполномоченного органа, в форме приложения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частота и (или) дата подачи периодического обновляемого отчета по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в случае если частота обновления периодического обновляемого отчета по безопасности указана в регистрационном досье способами, отличными от указания ссылки на перечень отчетных дат в соответствии с актами органов Союза в сфере обращения лекарственных средств, и при необходимости подачи периодического обновляемого отчета по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Введение или изменения обязательств и условий регистрации, включая план управления рисками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регистрационного удостоверения новых дополнительных данных, нуждающихся в экспертизе уполномоченным органом</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Приложенное к сопроводительному письму заявления о внесении изменений: ссылка на соответствующее решение уполномоченного органа.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только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в исключительных случаях и условной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Включение или исключение символа черного треугольника или пояснительных указаний в отношении лекарственных препаратов, подлежащих дополнительному мониторингу в соответствии с рекомендацией Экспертного комитета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Лекарственный препарат подлежит дополнительному мониторингу в соответствии с рекомендацией Экспертного комитета.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рекомендацию Экспертного комитета в форме приложения к сопроводительному письму.</w:t>
            </w:r>
            <w:r>
              <w:rPr>
                <w:rFonts w:ascii="Times New Roman"/>
                <w:b w:val="false"/>
                <w:i w:val="false"/>
                <w:strike/>
                <w:color w:val="000000"/>
                <w:sz w:val="20"/>
              </w:rPr>
              <w:t xml:space="preserve">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относится к ситуации, при которой включение или исключение символа черного треугольника или пояснительных указаний не производится в рамках другой процедуры, связанной с регистрацией (например, процедуры подтверждения регистрации (перерегистрации) или процедуры внесения изменений, затрагивающих информацию о лекарственном препарате).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B.I.13. Прочие изменения, не описанные в других разделах настоящего Дополнения, включающих подачу результатов клинических исследований уполномоченному органу</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макетов упаковок или инструкции по медицинскому применению (листка-вкладыша), данным изменением охватываются соответствующие поправки к общей характеристике лекарственного препарата, макетов упаковок или инструкции по медицинскому применению (листку-вкладышу).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могут быть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B.I.14. Уточнение условий хранения при применении лекарственного препарата в разделе 6.3 общей характеристики лекарственного препарата и разделе 5 инструкции по медицинскому применению (листке-вкладыше) для обеспечения правильного обращения с лекарственным препаратом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Поправка должна содержать результаты соответствующих исследований стабильности в реальном времени (охватывающих весь срок годности, если применимо), проведенных в соответствии с актами органов Союза в сфере обращения лекарственных средств по крайней мере на 1 опытно-промышленной серии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Копии утвержденных спецификаций на конец срока годности и, если применимо, спецификации после разведения (восстановления) или после первого вскрытия (в виде ссылки на соответствующий документ в последовательности досье или приложения к сопроводительному письму).</w:t>
            </w:r>
          </w:p>
        </w:tc>
      </w:tr>
    </w:tbl>
    <w:p>
      <w:pPr>
        <w:spacing w:after="0"/>
        <w:ind w:left="0"/>
        <w:jc w:val="left"/>
      </w:pPr>
      <w:r>
        <w:br/>
      </w:r>
      <w:r>
        <w:rPr>
          <w:rFonts w:ascii="Times New Roman"/>
          <w:b w:val="false"/>
          <w:i w:val="false"/>
          <w:color w:val="000000"/>
          <w:sz w:val="28"/>
        </w:rPr>
        <w:t>
</w:t>
      </w:r>
    </w:p>
    <w:bookmarkStart w:name="z8358" w:id="7067"/>
    <w:p>
      <w:pPr>
        <w:spacing w:after="0"/>
        <w:ind w:left="0"/>
        <w:jc w:val="both"/>
      </w:pPr>
      <w:r>
        <w:rPr>
          <w:rFonts w:ascii="Times New Roman"/>
          <w:b w:val="false"/>
          <w:i w:val="false"/>
          <w:color w:val="000000"/>
          <w:sz w:val="28"/>
        </w:rPr>
        <w:t xml:space="preserve">
      </w:t>
      </w:r>
      <w:r>
        <w:rPr>
          <w:rFonts w:ascii="Times New Roman"/>
          <w:b/>
          <w:i w:val="false"/>
          <w:color w:val="000000"/>
          <w:sz w:val="28"/>
        </w:rPr>
        <w:t>Г. МФП (МФВА)</w:t>
      </w:r>
    </w:p>
    <w:bookmarkEnd w:id="7067"/>
    <w:bookmarkStart w:name="z8359" w:id="7068"/>
    <w:p>
      <w:pPr>
        <w:spacing w:after="0"/>
        <w:ind w:left="0"/>
        <w:jc w:val="both"/>
      </w:pPr>
      <w:r>
        <w:rPr>
          <w:rFonts w:ascii="Times New Roman"/>
          <w:b w:val="false"/>
          <w:i w:val="false"/>
          <w:color w:val="000000"/>
          <w:sz w:val="28"/>
        </w:rPr>
        <w:t>
       </w:t>
      </w:r>
    </w:p>
    <w:bookmarkEnd w:id="7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 Изменение названия и (или) адреса держателя сертификата МФВА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Держатель сертификата МФВА должен оставаться тем же юридическим лицом.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Изменение названия и (или) адреса держателя сертификата МФП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Держатель сертификата МФП должен оставаться тем же юридическим лицом.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Изменение или трансфер сертификата МФП от текущего держателя новому держателю (другому юридическому лицу)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Документ, включая идентификацию (название и адрес) текущего держателя МФП (правоотчуждателя) и идентификацию (название и адрес) лица, принимающего трансфер (правоприобретателя), а также предлагаемую дату сделки, подписанной обеими компаниями.</w:t>
            </w:r>
          </w:p>
          <w:p>
            <w:pPr>
              <w:spacing w:after="20"/>
              <w:ind w:left="20"/>
              <w:jc w:val="both"/>
            </w:pPr>
            <w:r>
              <w:rPr>
                <w:rFonts w:ascii="Times New Roman"/>
                <w:b w:val="false"/>
                <w:i w:val="false"/>
                <w:color w:val="000000"/>
                <w:sz w:val="20"/>
              </w:rPr>
              <w:t>
2. Копия последней страницы заключения (сертификата, свидетельства) Союза на МФП.</w:t>
            </w:r>
          </w:p>
          <w:p>
            <w:pPr>
              <w:spacing w:after="20"/>
              <w:ind w:left="20"/>
              <w:jc w:val="both"/>
            </w:pPr>
            <w:r>
              <w:rPr>
                <w:rFonts w:ascii="Times New Roman"/>
                <w:b w:val="false"/>
                <w:i w:val="false"/>
                <w:color w:val="000000"/>
                <w:sz w:val="20"/>
              </w:rPr>
              <w:t>
3. Подтверждение регистрации нового держателя (выписка из реестра юридических лиц и перевод ее на русский язык), подписанное обеими компаниями.</w:t>
            </w:r>
          </w:p>
          <w:p>
            <w:pPr>
              <w:spacing w:after="20"/>
              <w:ind w:left="20"/>
              <w:jc w:val="both"/>
            </w:pPr>
            <w:r>
              <w:rPr>
                <w:rFonts w:ascii="Times New Roman"/>
                <w:b w:val="false"/>
                <w:i w:val="false"/>
                <w:color w:val="000000"/>
                <w:sz w:val="20"/>
              </w:rPr>
              <w:t>
4. Подтверждение трансфера всей документации МФП с первой сертификации МФП правоприобретателю, подписанное обеими компаниями.</w:t>
            </w:r>
          </w:p>
          <w:p>
            <w:pPr>
              <w:spacing w:after="20"/>
              <w:ind w:left="20"/>
              <w:jc w:val="both"/>
            </w:pPr>
            <w:r>
              <w:rPr>
                <w:rFonts w:ascii="Times New Roman"/>
                <w:b w:val="false"/>
                <w:i w:val="false"/>
                <w:color w:val="000000"/>
                <w:sz w:val="20"/>
              </w:rPr>
              <w:t>
5. Доверенность, включая контактные сведения лица, ответственного за связи между уполномоченным органом и держателем МФП, подписанная правоприобретателем.</w:t>
            </w:r>
          </w:p>
          <w:p>
            <w:pPr>
              <w:spacing w:after="20"/>
              <w:ind w:left="20"/>
              <w:jc w:val="both"/>
            </w:pPr>
            <w:r>
              <w:rPr>
                <w:rFonts w:ascii="Times New Roman"/>
                <w:b w:val="false"/>
                <w:i w:val="false"/>
                <w:color w:val="000000"/>
                <w:sz w:val="20"/>
              </w:rPr>
              <w:t>
6. Письмо-обязательство выполнения всех открытых и оставшихся обязательств (при наличии), подписанное правоприобретателем.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 Изменение названия и (или) адреса учреждений по забору (проверке) крови, включая центры для заготовки крови (плазмы)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Учреждение по забору (проверке) крови должно оставаться тем же юридическим лицом.</w:t>
            </w:r>
          </w:p>
          <w:p>
            <w:pPr>
              <w:spacing w:after="20"/>
              <w:ind w:left="20"/>
              <w:jc w:val="both"/>
            </w:pPr>
            <w:r>
              <w:rPr>
                <w:rFonts w:ascii="Times New Roman"/>
                <w:b w:val="false"/>
                <w:i w:val="false"/>
                <w:color w:val="000000"/>
                <w:sz w:val="20"/>
              </w:rPr>
              <w:t>
2. Изменение должно быть административным (например, слияние, поглощение); изменение названия учреждения по забору (проверке) крови (центра для заготовки крови (плазмы)), при сохранении его организационно-правовой формы собственности и места нахождения.</w:t>
            </w:r>
          </w:p>
        </w:tc>
      </w:tr>
      <w:tr>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Подписанная декларация того, что изменение не включает изменение системы качества учреждения по забору (проверке) крови.</w:t>
            </w:r>
          </w:p>
          <w:p>
            <w:pPr>
              <w:spacing w:after="20"/>
              <w:ind w:left="20"/>
              <w:jc w:val="both"/>
            </w:pPr>
            <w:r>
              <w:rPr>
                <w:rFonts w:ascii="Times New Roman"/>
                <w:b w:val="false"/>
                <w:i w:val="false"/>
                <w:color w:val="000000"/>
                <w:sz w:val="20"/>
              </w:rPr>
              <w:t>
2. Подписанная декларация того, что изменения перечня центров для заготовки крови (плазмы) не происходит.</w:t>
            </w:r>
          </w:p>
          <w:p>
            <w:pPr>
              <w:spacing w:after="20"/>
              <w:ind w:left="20"/>
              <w:jc w:val="both"/>
            </w:pPr>
            <w:r>
              <w:rPr>
                <w:rFonts w:ascii="Times New Roman"/>
                <w:b w:val="false"/>
                <w:i w:val="false"/>
                <w:color w:val="000000"/>
                <w:sz w:val="20"/>
              </w:rPr>
              <w:t>
3. Обновленные соответствующие разделы и дополнения к досье МФП.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 Замена или добавление центра для заготовки крови (плазмы) в рамках учреждения по забору (проверке) крови, включенного в МФП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Эпидемиологические данные о вирусных маркерах, затрагивающие центр для заготовки крови (плазмы), охватывающие 3 года. </w:t>
            </w:r>
          </w:p>
          <w:p>
            <w:pPr>
              <w:spacing w:after="20"/>
              <w:ind w:left="20"/>
              <w:jc w:val="both"/>
            </w:pPr>
            <w:r>
              <w:rPr>
                <w:rFonts w:ascii="Times New Roman"/>
                <w:b w:val="false"/>
                <w:i w:val="false"/>
                <w:color w:val="000000"/>
                <w:sz w:val="20"/>
              </w:rPr>
              <w:t>В отношении вновь открытого центра (центров) для заготовки крови (плазмы) или в случае отсутствия данных, подтверждение того, что эпидемиологические данные будут представлены в очередном ежегодном обновлении.</w:t>
            </w:r>
          </w:p>
          <w:p>
            <w:pPr>
              <w:spacing w:after="20"/>
              <w:ind w:left="20"/>
              <w:jc w:val="both"/>
            </w:pPr>
            <w:r>
              <w:rPr>
                <w:rFonts w:ascii="Times New Roman"/>
                <w:b w:val="false"/>
                <w:i w:val="false"/>
                <w:color w:val="000000"/>
                <w:sz w:val="20"/>
              </w:rPr>
              <w:t>
2. Указание, что центр для заготовки крови (плазмы) функционирует в тех же условиях, что и другие центры, принадлежащие учреждению по забору (проверке) крови, согласно положениям стандартного договора между учреждением по забору (проверке) крови и держателем МФП.</w:t>
            </w:r>
          </w:p>
          <w:p>
            <w:pPr>
              <w:spacing w:after="20"/>
              <w:ind w:left="20"/>
              <w:jc w:val="both"/>
            </w:pPr>
            <w:r>
              <w:rPr>
                <w:rFonts w:ascii="Times New Roman"/>
                <w:b w:val="false"/>
                <w:i w:val="false"/>
                <w:color w:val="000000"/>
                <w:sz w:val="20"/>
              </w:rPr>
              <w:t>
3. Обновленные соответствующие разделы и дополнения к досье МФП.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 Исключение или изменение статуса (функционирующий или нефункционирующий) учреждений по забору (проверке) крови, (центров для заготовки крови (плазмы)), используемых для сбора крови (плазмы) или для испытания крово- и плазмодач и пулов плазмы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Причины исключения или изменения статуса не должны быть обусловлены проблемами, связанными с соблюдением требований Правил производственной практики.</w:t>
            </w:r>
          </w:p>
          <w:p>
            <w:pPr>
              <w:spacing w:after="20"/>
              <w:ind w:left="20"/>
              <w:jc w:val="both"/>
            </w:pPr>
            <w:r>
              <w:rPr>
                <w:rFonts w:ascii="Times New Roman"/>
                <w:b w:val="false"/>
                <w:i w:val="false"/>
                <w:color w:val="000000"/>
                <w:sz w:val="20"/>
              </w:rPr>
              <w:t>
2. Учреждения по забору (проверке) крови (центры для заготовки крови (плазмы)) должны соответствовать актам органов Союза в сфере проведения фармацевтических инспекций и законодательству государства-члена в части, не урегулированной актами органов Союза, при изменении статуса с нефункционирующих на функционирующие.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Г.7. Включение нового учреждения по забору (проверке) крови в целях сбора крови (плазмы), не включенного в МФП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Г.8. Замена или включение нового центра для заготовки крови (плазмы) в целях испытания донаций крови и плазмы и (или) пулов плазмы в рамках учреждения по забору (проверке) крови, включенного в МФП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Указание, что испытания проводятся согласно тем же утвержденным стандартными операционными процедурами и (или) методам испытаний.</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Г.9. Включение нового учреждения по забору (проверке) крови, для испытаний донаций крови и плазмы и (или) пулов плазмы, не включенных в МФП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 Замена или включение нового учреждения по забору (проверке) крови или центра в котором хранится плазма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Указание, что центр хранения плазмы функционирует в соответствии с теми же стандартными операционными процедурами, утвержденными в учреждении по забору (проверке) крови.</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 Исключение учреждения по забору (проверке) крови или центра в котором хранится плазма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p>
            <w:pPr>
              <w:spacing w:after="20"/>
              <w:ind w:left="20"/>
              <w:jc w:val="both"/>
            </w:pPr>
            <w:r>
              <w:rPr>
                <w:rFonts w:ascii="Times New Roman"/>
                <w:b w:val="false"/>
                <w:i w:val="false"/>
                <w:color w:val="000000"/>
                <w:sz w:val="20"/>
              </w:rPr>
              <w:t>
1. Причина исключения не должна быть обусловлена проблемами, связанными с соблюдением требований Правил производственной практики.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 Замена или включение учреждения, принимавшего участие в транспортировке плазмы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все учреждения по забору (проверке) крови, использующие это учреждение, принимающее участие в транспортировке плазмы, резюме действующей системы, обеспечивающей транспортировку в надлежащих условиях (время, температура и соответствие Правилам производственной практики) и подтверждение того, что условия транспортировки валидированы.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Г.13. Исключение учреждения, принимавшего участие в транспортировке плазмы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p>
            <w:pPr>
              <w:spacing w:after="20"/>
              <w:ind w:left="20"/>
              <w:jc w:val="both"/>
            </w:pPr>
            <w:r>
              <w:rPr>
                <w:rFonts w:ascii="Times New Roman"/>
                <w:b w:val="false"/>
                <w:i w:val="false"/>
                <w:color w:val="000000"/>
                <w:sz w:val="20"/>
              </w:rPr>
              <w:t>
1. Причина исключения не должна быть обусловлена проблемами, связанными с соблюдением Правил производственной практики.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Г.14. Включение тест-системы, зарегистрированной в Союзе в качестве медицинского изделия, </w:t>
            </w:r>
          </w:p>
          <w:p>
            <w:pPr>
              <w:spacing w:after="20"/>
              <w:ind w:left="20"/>
              <w:jc w:val="both"/>
            </w:pPr>
            <w:r>
              <w:rPr>
                <w:rFonts w:ascii="Times New Roman"/>
                <w:b w:val="false"/>
                <w:i w:val="false"/>
                <w:color w:val="000000"/>
                <w:sz w:val="20"/>
              </w:rPr>
              <w:t>в целях испытания отдельных донаций крови и плазмы в качестве новой тест-системы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Новая тест-система зарегистрирована в Союзе в качестве медицинского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Перечень испытательных площадок, в которых используется тест-система.</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органов Союза в сфере обращения лекарственных средств.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 Включение тест-системы, не зарегистрированной в Союзе в качестве медицинского изделия, в целях испытания отдельных донаций крови и плазмы в качестве новой тест-системы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новая тест-система ранее не была одобрена в МФП ни для одного центра для заготовки крови (плазмы) в целях испытания донаций крови и плазмы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новая тест-система была одобрена в МФП для других центров для заготовки крови (плазмы) в целях испытания донаций крови и плазмы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Перечень испытательных центров, в которых используется тест-система, и перечень испытательных центров, в которых она будет использоваться.</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органов Союза в сфере обращения лекарственных средств.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Г.16. Изменение тест-системы (метода), используемого для испытания пулов (испытание на антитела, антигены или амплификация нуклеиновых кислот)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Г.17. Введение или расширение процедуры карантинного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p>
            <w:pPr>
              <w:spacing w:after="20"/>
              <w:ind w:left="20"/>
              <w:jc w:val="both"/>
            </w:pPr>
            <w:r>
              <w:rPr>
                <w:rFonts w:ascii="Times New Roman"/>
                <w:b w:val="false"/>
                <w:i w:val="false"/>
                <w:color w:val="000000"/>
                <w:sz w:val="20"/>
              </w:rPr>
              <w:t>
1. Процедура карантинного хранения является более строгой (например, выпуск лишь после повторной проверки доноров).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основания введения или расширения процедуры карантинного хранения, площадки, в которых осуществляется карантинное хранение, и изменения процедуры, дерево решений, включая новые условия.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Г.18. Исключение периода карантинного хранения или сокращение его продолжительности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досье МФП.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 Замена или добавление контейнеров для крови (например, мешков, флаконов)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новые контейнеры для крови зарегистрированы в Союзе в качестве медицинских изделий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новые контейнеры для крови не зарегистрированы в Союзе в качестве медицинских изделий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Контейнер зарегистрирован в Союзе в качестве медицинского изделия.</w:t>
            </w:r>
          </w:p>
          <w:p>
            <w:pPr>
              <w:spacing w:after="20"/>
              <w:ind w:left="20"/>
              <w:jc w:val="both"/>
            </w:pPr>
            <w:r>
              <w:rPr>
                <w:rFonts w:ascii="Times New Roman"/>
                <w:b w:val="false"/>
                <w:i w:val="false"/>
                <w:color w:val="000000"/>
                <w:sz w:val="20"/>
              </w:rPr>
              <w:t>
2. Критерии качества крови, заключенной в контейнер,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наименование контейнера, производителя, спецификацию раствора антикоагулянта, подтверждение регистрации в Союзе или государстве-члене и название учреждения по забору (проверке) крови, в котором используется контейнер.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 Изменение хранения (транспортировки)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условий хранения и (или) транспортировки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максимального срока хранения плазмы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должно ужесточать условия и соответствовать требованиям Фармакопеи Союза, а при отсутствии в ней – требованиям фармакопей государств-членов, предъявляемым к плазме крови человека для фракционирования.</w:t>
            </w:r>
          </w:p>
          <w:p>
            <w:pPr>
              <w:spacing w:after="20"/>
              <w:ind w:left="20"/>
              <w:jc w:val="both"/>
            </w:pPr>
            <w:r>
              <w:rPr>
                <w:rFonts w:ascii="Times New Roman"/>
                <w:b w:val="false"/>
                <w:i w:val="false"/>
                <w:color w:val="000000"/>
                <w:sz w:val="20"/>
              </w:rPr>
              <w:t>
2. Максимальный срок хранения короче предыдущего.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подробное описание новых условий, подтверждение валидации условий хранения (транспортировки) и название учреждения по забору (проверке) крови, в которых происходит изменение (если применимо).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Г.21. Введение испытания на вирусные маркеры, если такое введение окажет значительное влияние на оценку вирусных рисков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Г.22. Изменение приготовления пула плазмы (например, метода производства, размера пула, хранения образцов пула плазмы)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досье МФП.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Г.23. Изменение мер, принимаемых при ретроспективном обнаружении, что донации крови и плазмы подлежат исключению из обработки (процедура ретроспективного анализа)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left"/>
      </w:pPr>
      <w:r>
        <w:br/>
      </w:r>
      <w:r>
        <w:rPr>
          <w:rFonts w:ascii="Times New Roman"/>
          <w:b w:val="false"/>
          <w:i w:val="false"/>
          <w:color w:val="000000"/>
          <w:sz w:val="28"/>
        </w:rPr>
        <w:t>
</w:t>
      </w:r>
    </w:p>
    <w:bookmarkStart w:name="z9409" w:id="7069"/>
    <w:p>
      <w:pPr>
        <w:spacing w:after="0"/>
        <w:ind w:left="0"/>
        <w:jc w:val="left"/>
      </w:pPr>
      <w:r>
        <w:rPr>
          <w:rFonts w:ascii="Times New Roman"/>
          <w:b/>
          <w:i w:val="false"/>
          <w:color w:val="000000"/>
        </w:rPr>
        <w:t xml:space="preserve"> Дополнение VI</w:t>
      </w:r>
      <w:r>
        <w:br/>
      </w:r>
      <w:r>
        <w:rPr>
          <w:rFonts w:ascii="Times New Roman"/>
          <w:b/>
          <w:i w:val="false"/>
          <w:color w:val="000000"/>
        </w:rPr>
        <w:t>Перечень изменений, которые в соответствии с пунктом 172</w:t>
      </w:r>
      <w:r>
        <w:br/>
      </w:r>
      <w:r>
        <w:rPr>
          <w:rFonts w:ascii="Times New Roman"/>
          <w:b/>
          <w:i w:val="false"/>
          <w:color w:val="000000"/>
        </w:rPr>
        <w:t xml:space="preserve">Правил регистрации и экспертизы лекарственных средств, могут </w:t>
      </w:r>
      <w:r>
        <w:br/>
      </w:r>
      <w:r>
        <w:rPr>
          <w:rFonts w:ascii="Times New Roman"/>
          <w:b/>
          <w:i w:val="false"/>
          <w:color w:val="000000"/>
        </w:rPr>
        <w:t xml:space="preserve">вноситься заявителем одновременно с процедурой приведения регистрационного досье </w:t>
      </w:r>
      <w:r>
        <w:br/>
      </w:r>
      <w:r>
        <w:rPr>
          <w:rFonts w:ascii="Times New Roman"/>
          <w:b/>
          <w:i w:val="false"/>
          <w:color w:val="000000"/>
        </w:rPr>
        <w:t>лекарственного препарата</w:t>
      </w:r>
      <w:r>
        <w:br/>
      </w:r>
      <w:r>
        <w:rPr>
          <w:rFonts w:ascii="Times New Roman"/>
          <w:b/>
          <w:i w:val="false"/>
          <w:color w:val="000000"/>
        </w:rPr>
        <w:t>в соответствие с требованиями Союза</w:t>
      </w:r>
    </w:p>
    <w:bookmarkEnd w:id="7069"/>
    <w:p>
      <w:pPr>
        <w:spacing w:after="0"/>
        <w:ind w:left="0"/>
        <w:jc w:val="both"/>
      </w:pPr>
      <w:r>
        <w:rPr>
          <w:rFonts w:ascii="Times New Roman"/>
          <w:b w:val="false"/>
          <w:i w:val="false"/>
          <w:color w:val="ff0000"/>
          <w:sz w:val="28"/>
        </w:rPr>
        <w:t xml:space="preserve">
      Сноска. Приложение 19 дополнены дополнением VI в соответствии с Решением Совета Евразийской экономической комиссии от 30.01.2020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410" w:id="7070"/>
    <w:p>
      <w:pPr>
        <w:spacing w:after="0"/>
        <w:ind w:left="0"/>
        <w:jc w:val="both"/>
      </w:pPr>
      <w:r>
        <w:rPr>
          <w:rFonts w:ascii="Times New Roman"/>
          <w:b w:val="false"/>
          <w:i w:val="false"/>
          <w:color w:val="000000"/>
          <w:sz w:val="28"/>
        </w:rPr>
        <w:t>
      1.Одновременно с подачей в уполномоченный орган (экспертную организацию) государства-члена заявления на проведение процедуры приведения регистрационного досье в соответствие с требованиями Союза не могут подаваться изменения, являющиеся расширением регистрации, за исключением изменения или добавления новой дозировки (активности) лекарственного препарата.</w:t>
      </w:r>
    </w:p>
    <w:bookmarkEnd w:id="7070"/>
    <w:bookmarkStart w:name="z9411" w:id="7071"/>
    <w:p>
      <w:pPr>
        <w:spacing w:after="0"/>
        <w:ind w:left="0"/>
        <w:jc w:val="both"/>
      </w:pPr>
      <w:r>
        <w:rPr>
          <w:rFonts w:ascii="Times New Roman"/>
          <w:b w:val="false"/>
          <w:i w:val="false"/>
          <w:color w:val="000000"/>
          <w:sz w:val="28"/>
        </w:rPr>
        <w:t>
      А. Административные изменения</w:t>
      </w:r>
    </w:p>
    <w:bookmarkEnd w:id="7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2" w:id="7072"/>
          <w:p>
            <w:pPr>
              <w:spacing w:after="20"/>
              <w:ind w:left="20"/>
              <w:jc w:val="both"/>
            </w:pPr>
            <w:r>
              <w:rPr>
                <w:rFonts w:ascii="Times New Roman"/>
                <w:b w:val="false"/>
                <w:i w:val="false"/>
                <w:color w:val="000000"/>
                <w:sz w:val="20"/>
              </w:rPr>
              <w:t>
</w:t>
            </w:r>
          </w:p>
          <w:bookmarkEnd w:id="7072"/>
          <w:p>
            <w:pPr>
              <w:spacing w:after="20"/>
              <w:ind w:left="20"/>
              <w:jc w:val="both"/>
            </w:pPr>
            <w:r>
              <w:rPr>
                <w:rFonts w:ascii="Times New Roman"/>
                <w:b w:val="false"/>
                <w:i w:val="false"/>
                <w:color w:val="000000"/>
                <w:sz w:val="20"/>
              </w:rPr>
              <w:t>А.1. Изменение держателя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названия и (или) адреса держателя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трансфер регистрационного удостоверения от одного держателя регистрационного удостоверения другому юридическому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Держатель регистрационного удостоверения должен оставаться тем же юридическим лицом.</w:t>
            </w:r>
          </w:p>
          <w:p>
            <w:pPr>
              <w:spacing w:after="20"/>
              <w:ind w:left="20"/>
              <w:jc w:val="both"/>
            </w:pPr>
            <w:r>
              <w:rPr>
                <w:rFonts w:ascii="Times New Roman"/>
                <w:b w:val="false"/>
                <w:i w:val="false"/>
                <w:color w:val="000000"/>
                <w:sz w:val="20"/>
              </w:rPr>
              <w:t>
2. Держатель регистрационного удостоверения является другим юридическим лицом.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документа, выданного соответствующим уполномоченным органом страны регистрации юридического лица держателя регистрационного удостоверения (например, налогового органа), в котором указано наименование и адрес юридического лица нового держателя регистрационного удостоверения или новое название и (или) адрес держателя регистрационного удостоверения.</w:t>
            </w:r>
          </w:p>
          <w:p>
            <w:pPr>
              <w:spacing w:after="20"/>
              <w:ind w:left="20"/>
              <w:jc w:val="both"/>
            </w:pPr>
            <w:r>
              <w:rPr>
                <w:rFonts w:ascii="Times New Roman"/>
                <w:b w:val="false"/>
                <w:i w:val="false"/>
                <w:color w:val="000000"/>
                <w:sz w:val="20"/>
              </w:rPr>
              <w:t>
2. Документы, обосновывающие трансфер регистрационного удостоверения (удостоверений) и подтверждающие возможность нового держателя регистрационного удостоверения обеспечивать надлежащее выполнение всех обязанностей держателя регистрационного удостоверения;</w:t>
            </w:r>
          </w:p>
          <w:p>
            <w:pPr>
              <w:spacing w:after="20"/>
              <w:ind w:left="20"/>
              <w:jc w:val="both"/>
            </w:pPr>
            <w:r>
              <w:rPr>
                <w:rFonts w:ascii="Times New Roman"/>
                <w:b w:val="false"/>
                <w:i w:val="false"/>
                <w:color w:val="000000"/>
                <w:sz w:val="20"/>
              </w:rPr>
              <w:t>
копия документа, подтверждающего трансфер регистрационного удостоверения от одного юридического лица другому юридическому лицу;</w:t>
            </w:r>
          </w:p>
          <w:p>
            <w:pPr>
              <w:spacing w:after="20"/>
              <w:ind w:left="20"/>
              <w:jc w:val="both"/>
            </w:pPr>
            <w:r>
              <w:rPr>
                <w:rFonts w:ascii="Times New Roman"/>
                <w:b w:val="false"/>
                <w:i w:val="false"/>
                <w:color w:val="000000"/>
                <w:sz w:val="20"/>
              </w:rPr>
              <w:t>
пересмотренная краткая характеристика системы фармаконадзора или пересмотренный мастер-файл системы фармаконадзора, если он включен в регистрационное досье;</w:t>
            </w:r>
          </w:p>
          <w:p>
            <w:pPr>
              <w:spacing w:after="20"/>
              <w:ind w:left="20"/>
              <w:jc w:val="both"/>
            </w:pPr>
            <w:r>
              <w:rPr>
                <w:rFonts w:ascii="Times New Roman"/>
                <w:b w:val="false"/>
                <w:i w:val="false"/>
                <w:color w:val="000000"/>
                <w:sz w:val="20"/>
              </w:rPr>
              <w:t>
сведения об организации, ответственной за работу с рекламациями в Евразийском экономическом союзе.</w:t>
            </w:r>
          </w:p>
          <w:p>
            <w:pPr>
              <w:spacing w:after="20"/>
              <w:ind w:left="20"/>
              <w:jc w:val="both"/>
            </w:pPr>
            <w:r>
              <w:rPr>
                <w:rFonts w:ascii="Times New Roman"/>
                <w:b w:val="false"/>
                <w:i w:val="false"/>
                <w:color w:val="000000"/>
                <w:sz w:val="20"/>
              </w:rPr>
              <w:t>
3. Пересмотренная в соответствующих разделах информация о лекарственном препарате.</w:t>
            </w:r>
          </w:p>
          <w:p>
            <w:pPr>
              <w:spacing w:after="20"/>
              <w:ind w:left="20"/>
              <w:jc w:val="both"/>
            </w:pPr>
            <w:r>
              <w:rPr>
                <w:rFonts w:ascii="Times New Roman"/>
                <w:b w:val="false"/>
                <w:i w:val="false"/>
                <w:color w:val="000000"/>
                <w:sz w:val="20"/>
              </w:rPr>
              <w:t>
4. Документ (документы), представленные юридическим лицом, которому передаются полномочия держателя регистрационного удостоверения, подтверждающий отсутствие изменений в информации о лекарственном препарате, не относящихся к трансферу регистрационного удостоверения.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Изменение (торгового) наименования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лекарственные препараты, зарегистрированные только в референтном государстве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Подтверждение уполномоченного органа (экспертной организации) референтного государства приемлемости нового (торгового) наименования.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заявителя приемлемости нового (торгового) наименования.</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Изменение наименования активной фармацевтической субстанции или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Активная фармацевтическая субстанция (вспомогательное вещество) </w:t>
            </w:r>
          </w:p>
          <w:p>
            <w:pPr>
              <w:spacing w:after="20"/>
              <w:ind w:left="20"/>
              <w:jc w:val="both"/>
            </w:pPr>
            <w:r>
              <w:rPr>
                <w:rFonts w:ascii="Times New Roman"/>
                <w:b w:val="false"/>
                <w:i w:val="false"/>
                <w:color w:val="000000"/>
                <w:sz w:val="20"/>
              </w:rPr>
              <w:t>не изменяется.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изменения наименования активной фармацевтической субстанции ВОЗ. Для вспомогательного вещества – обоснование изменения справочника (классификатора) вспомогательных веществ Союза. Подтверждение того, что изменение соответствует Фармакопее Союза (если применимо), а при отсутствии в ней – фармакопее государства-члена. Декларация, что наименование лекарственных растительных препаратов соответствует актам органов Союза в сфере обращения лекарственных средств.</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Изменение названия и (или) адреса: производителя (включая, если применимо, площадки по контролю качества), или держателя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регистрационном досье), если в регистрационном досье отсутствуют сертификаты соответствия Европейской фармакопее, или производителя нового вспомогательного вещества (если указано в регистрационном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Производственная площадка и ни одна из производственных операций </w:t>
            </w:r>
          </w:p>
          <w:p>
            <w:pPr>
              <w:spacing w:after="20"/>
              <w:ind w:left="20"/>
              <w:jc w:val="both"/>
            </w:pPr>
            <w:r>
              <w:rPr>
                <w:rFonts w:ascii="Times New Roman"/>
                <w:b w:val="false"/>
                <w:i w:val="false"/>
                <w:color w:val="000000"/>
                <w:sz w:val="20"/>
              </w:rPr>
              <w:t>не изменяется.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2. Поправка к соответствующему разделу регистрационного досье.</w:t>
            </w:r>
          </w:p>
          <w:p>
            <w:pPr>
              <w:spacing w:after="20"/>
              <w:ind w:left="20"/>
              <w:jc w:val="both"/>
            </w:pPr>
            <w:r>
              <w:rPr>
                <w:rFonts w:ascii="Times New Roman"/>
                <w:b w:val="false"/>
                <w:i w:val="false"/>
                <w:color w:val="000000"/>
                <w:sz w:val="20"/>
              </w:rPr>
              <w:t>
3. При изменении названия держателя мастер-файла активной фармацевтической субстанции (МФАФС) – обновленное разрешение на доступ.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Изменение названия и (или) адреса производителя лекарственного препарата, включая выпускающие площадки и площадки по контролю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действия, за которые отвечает производитель (импортер), включают выпуск серий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Производственная площадка, название и (или) адрес которой изменяются, и </w:t>
            </w:r>
          </w:p>
          <w:p>
            <w:pPr>
              <w:spacing w:after="20"/>
              <w:ind w:left="20"/>
              <w:jc w:val="both"/>
            </w:pPr>
            <w:r>
              <w:rPr>
                <w:rFonts w:ascii="Times New Roman"/>
                <w:b w:val="false"/>
                <w:i w:val="false"/>
                <w:color w:val="000000"/>
                <w:sz w:val="20"/>
              </w:rPr>
              <w:t>ни один из процессов производства не изменяются.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лицензии на производство (при наличии) или официальный документ от соответствующего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2. Если применимо, поправка к соответствующему разделу регистрационного досье, включая пересмотренную информацию о лекарственном препарате.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Изменение кода АТХ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вследствие утверждения или изменения ВОЗ кода АТХ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изменение по инициативе заявителя кода, не являющегося кодом, присвоенным ВОЗ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Пересмотренная информация о лекарственном препарате.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А.7. Исключение производственной площадки </w:t>
            </w:r>
          </w:p>
          <w:p>
            <w:pPr>
              <w:spacing w:after="20"/>
              <w:ind w:left="20"/>
              <w:jc w:val="both"/>
            </w:pPr>
            <w:r>
              <w:rPr>
                <w:rFonts w:ascii="Times New Roman"/>
                <w:b w:val="false"/>
                <w:i w:val="false"/>
                <w:color w:val="000000"/>
                <w:sz w:val="20"/>
              </w:rPr>
              <w:t>(в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регистрационном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Должно остаться не менее 1 ранее одобренной производственной площадки (производителя), осуществляющей те же функции, что и подлежащие исключению. </w:t>
            </w:r>
          </w:p>
          <w:p>
            <w:pPr>
              <w:spacing w:after="20"/>
              <w:ind w:left="20"/>
              <w:jc w:val="both"/>
            </w:pPr>
            <w:r>
              <w:rPr>
                <w:rFonts w:ascii="Times New Roman"/>
                <w:b w:val="false"/>
                <w:i w:val="false"/>
                <w:color w:val="000000"/>
                <w:sz w:val="20"/>
              </w:rPr>
              <w:t>
2. Исключение не должно быть следствием критических недостатков производства.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В пункте о вносимых изменениях заявления о внесении изменений необходимо четко указать ранее одобренных и предлагаемых к удалению производителей, как указано в разделе 2 формы заявления.</w:t>
            </w:r>
          </w:p>
          <w:p>
            <w:pPr>
              <w:spacing w:after="20"/>
              <w:ind w:left="20"/>
              <w:jc w:val="both"/>
            </w:pPr>
            <w:r>
              <w:rPr>
                <w:rFonts w:ascii="Times New Roman"/>
                <w:b w:val="false"/>
                <w:i w:val="false"/>
                <w:color w:val="000000"/>
                <w:sz w:val="20"/>
              </w:rPr>
              <w:t>
2. Поправка к соответствующему разделу (разделам) регистрационного досье, включая пересмотренную информацию о лекарственном препарате.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4" w:id="7073"/>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А.8. Утратил силу решением Совета Евразийской экономической комиссии от 26.11.2025 </w:t>
            </w:r>
            <w:r>
              <w:rPr>
                <w:rFonts w:ascii="Times New Roman"/>
                <w:b w:val="false"/>
                <w:i w:val="false"/>
                <w:color w:val="ff0000"/>
                <w:sz w:val="20"/>
              </w:rPr>
              <w:t>№ 93</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bookmarkEnd w:id="7073"/>
        </w:tc>
      </w:tr>
    </w:tbl>
    <w:bookmarkStart w:name="z9547" w:id="7074"/>
    <w:p>
      <w:pPr>
        <w:spacing w:after="0"/>
        <w:ind w:left="0"/>
        <w:jc w:val="both"/>
      </w:pPr>
      <w:r>
        <w:rPr>
          <w:rFonts w:ascii="Times New Roman"/>
          <w:b w:val="false"/>
          <w:i w:val="false"/>
          <w:color w:val="000000"/>
          <w:sz w:val="28"/>
        </w:rPr>
        <w:t>
      Б. Изменения качества</w:t>
      </w:r>
    </w:p>
    <w:bookmarkEnd w:id="7074"/>
    <w:p>
      <w:pPr>
        <w:spacing w:after="0"/>
        <w:ind w:left="0"/>
        <w:jc w:val="both"/>
      </w:pPr>
      <w:r>
        <w:rPr>
          <w:rFonts w:ascii="Times New Roman"/>
          <w:b w:val="false"/>
          <w:i w:val="false"/>
          <w:color w:val="000000"/>
          <w:sz w:val="28"/>
        </w:rPr>
        <w:t>
      Б.I. Активная фармацевтическая субстанция</w:t>
      </w:r>
    </w:p>
    <w:p>
      <w:pPr>
        <w:spacing w:after="0"/>
        <w:ind w:left="0"/>
        <w:jc w:val="both"/>
      </w:pPr>
      <w:r>
        <w:rPr>
          <w:rFonts w:ascii="Times New Roman"/>
          <w:b w:val="false"/>
          <w:i w:val="false"/>
          <w:color w:val="000000"/>
          <w:sz w:val="28"/>
        </w:rPr>
        <w:t>
      Б.I.а)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если в регистрационном досье отсутствует сертификат соответствия Европейской Фармакопее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группе фармацевтических компаний, что и одобренный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5, 6, 7, 9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ГЭ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включение альтернативной площадки по стерилизации активной фармацевтической субстанции с использованием метода Фармакопеи Союза, </w:t>
            </w:r>
          </w:p>
          <w:p>
            <w:pPr>
              <w:spacing w:after="20"/>
              <w:ind w:left="20"/>
              <w:jc w:val="both"/>
            </w:pPr>
            <w:r>
              <w:rPr>
                <w:rFonts w:ascii="Times New Roman"/>
                <w:b w:val="false"/>
                <w:i w:val="false"/>
                <w:color w:val="000000"/>
                <w:sz w:val="20"/>
              </w:rPr>
              <w:t xml:space="preserve">а при отсутствии в ней – </w:t>
            </w:r>
          </w:p>
          <w:p>
            <w:pPr>
              <w:spacing w:after="20"/>
              <w:ind w:left="20"/>
              <w:jc w:val="both"/>
            </w:pPr>
            <w:r>
              <w:rPr>
                <w:rFonts w:ascii="Times New Roman"/>
                <w:b w:val="false"/>
                <w:i w:val="false"/>
                <w:color w:val="000000"/>
                <w:sz w:val="20"/>
              </w:rPr>
              <w:t xml:space="preserve">с использованием методов других фармакопей в соответствии с Концепцией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w:t>
            </w:r>
          </w:p>
          <w:p>
            <w:pPr>
              <w:spacing w:after="20"/>
              <w:ind w:left="20"/>
              <w:jc w:val="both"/>
            </w:pPr>
            <w:r>
              <w:rPr>
                <w:rFonts w:ascii="Times New Roman"/>
                <w:b w:val="false"/>
                <w:i w:val="false"/>
                <w:color w:val="000000"/>
                <w:sz w:val="20"/>
              </w:rPr>
              <w:t>2015 г. № 119 (далее – Концепция гармонизации)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порядка контроля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рабочего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2. Активная фармацевтическая субстанция не является биологической или стерильной.</w:t>
            </w:r>
          </w:p>
          <w:p>
            <w:pPr>
              <w:spacing w:after="20"/>
              <w:ind w:left="20"/>
              <w:jc w:val="both"/>
            </w:pPr>
            <w:r>
              <w:rPr>
                <w:rFonts w:ascii="Times New Roman"/>
                <w:b w:val="false"/>
                <w:i w:val="false"/>
                <w:color w:val="000000"/>
                <w:sz w:val="20"/>
              </w:rPr>
              <w:t>
3. Если в процессе производства используются материалы человеческого или животного происхождения и производитель активной фармацевтической субстанции:</w:t>
            </w:r>
          </w:p>
          <w:p>
            <w:pPr>
              <w:spacing w:after="20"/>
              <w:ind w:left="20"/>
              <w:jc w:val="both"/>
            </w:pPr>
            <w:r>
              <w:rPr>
                <w:rFonts w:ascii="Times New Roman"/>
                <w:b w:val="false"/>
                <w:i w:val="false"/>
                <w:color w:val="000000"/>
                <w:sz w:val="20"/>
              </w:rPr>
              <w:t xml:space="preserve">
не использует нового поставщика, в отношении которого требуется оценка вирусной безопасности и оценка соответствия Фармакопее Союза или другим фармакопеям в соответствии с Концепцией гармонизации фармакопей и </w:t>
            </w:r>
          </w:p>
          <w:p>
            <w:pPr>
              <w:spacing w:after="20"/>
              <w:ind w:left="20"/>
              <w:jc w:val="both"/>
            </w:pPr>
            <w:r>
              <w:rPr>
                <w:rFonts w:ascii="Times New Roman"/>
                <w:b w:val="false"/>
                <w:i w:val="false"/>
                <w:color w:val="000000"/>
                <w:sz w:val="20"/>
              </w:rPr>
              <w:t>главе 24 Правил проведения исследований биологических лекарственных средств,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использует нового поставщика в отношении которого такая оценка проведена.</w:t>
            </w:r>
          </w:p>
          <w:p>
            <w:pPr>
              <w:spacing w:after="20"/>
              <w:ind w:left="20"/>
              <w:jc w:val="both"/>
            </w:pPr>
            <w:r>
              <w:rPr>
                <w:rFonts w:ascii="Times New Roman"/>
                <w:b w:val="false"/>
                <w:i w:val="false"/>
                <w:color w:val="000000"/>
                <w:sz w:val="20"/>
              </w:rPr>
              <w:t>
4. Трансфер метода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размера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Если применимо,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Подтверждение держателя регистрационного удостоверения или держателя МФАФС соответственно, что процедуры контроля качества, способа синтеза (или для лекарственных растительных препаратов – метода приготовления, географического источника происхождения растительной фармацевтической субстанции и процесса ее производства (соответственно))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3. Сертификат соответствия Европейской Фармакопее по ГЭ для любого нового источника материала, либо (если применимо) документальное подтверждение того, что источник материала, подверженный риску ГЭ, ранее исследовался уполномоченным органом и было подтверждено его соответствие Фармакопее Союза или другим фармакопеям в соответствии с Концепцией гармонизации фармакопей и главе 24 Правил проведения исследований биологических лекарственных средств по минимизации риска передачи агентов губчатой энцефалопатии животных посредством лекарственных препаратов для медицинского применения. При этом, такое документальное подтверждение должно включать в себя в том числе следующие сведения: название производителя, вид животного и его ткани, из которых получен материал; страна происхождения материала, использование данного материала в прошлом и его приемлемость.</w:t>
            </w:r>
          </w:p>
          <w:p>
            <w:pPr>
              <w:spacing w:after="20"/>
              <w:ind w:left="20"/>
              <w:jc w:val="both"/>
            </w:pPr>
            <w:r>
              <w:rPr>
                <w:rFonts w:ascii="Times New Roman"/>
                <w:b w:val="false"/>
                <w:i w:val="false"/>
                <w:color w:val="000000"/>
                <w:sz w:val="20"/>
              </w:rPr>
              <w:t>
4. Данные анализа серий (в форме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5. В заявлении о внесении изменений и в сопроводительном письме необходимо четко указать ранее одобренных и предлагаемых производителей.</w:t>
            </w:r>
          </w:p>
          <w:p>
            <w:pPr>
              <w:spacing w:after="20"/>
              <w:ind w:left="20"/>
              <w:jc w:val="both"/>
            </w:pPr>
            <w:r>
              <w:rPr>
                <w:rFonts w:ascii="Times New Roman"/>
                <w:b w:val="false"/>
                <w:i w:val="false"/>
                <w:color w:val="000000"/>
                <w:sz w:val="20"/>
              </w:rPr>
              <w:t>
6. Если активная фармацевтическая субстанция используется в качестве исходного материала, декларация уполномоченного лица каждого держателя лицензии на производство лекарственного препарата, указанного в заявлении, или уполномоченного лица каждого держателя лицензии на производство, указанного в заявлении как осуществляющего стадию проведения выпускающего контроля качества лекарственного препарата. В декларациях необходимо указать, что производитель активной фармацевтической субстанции, указанный в заявлении, осуществляет свою деятельность в соответствии с Правилами надлежащей производственной практики. При определенных обстоятельствах допускается представлять 1 декларацию (см. примечание к изменению Б.II.б.1).</w:t>
            </w:r>
          </w:p>
          <w:p>
            <w:pPr>
              <w:spacing w:after="20"/>
              <w:ind w:left="20"/>
              <w:jc w:val="both"/>
            </w:pPr>
            <w:r>
              <w:rPr>
                <w:rFonts w:ascii="Times New Roman"/>
                <w:b w:val="false"/>
                <w:i w:val="false"/>
                <w:color w:val="000000"/>
                <w:sz w:val="20"/>
              </w:rPr>
              <w:t>
7. Обязательство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что предлагаемая площадка должным образом лицензирована в отношении рассматриваемой производственной операции.</w:t>
            </w:r>
          </w:p>
          <w:p>
            <w:pPr>
              <w:spacing w:after="20"/>
              <w:ind w:left="20"/>
              <w:jc w:val="both"/>
            </w:pPr>
            <w:r>
              <w:rPr>
                <w:rFonts w:ascii="Times New Roman"/>
                <w:b w:val="false"/>
                <w:i w:val="false"/>
                <w:color w:val="000000"/>
                <w:sz w:val="20"/>
              </w:rPr>
              <w:t>
9. Документы, подтверждающие принадлежность производителя активной фармацевтической субстанции к одной группе фармацевтических компаний (например, письмо подтверждение).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применимых случаях представляется также тест сравнительной кинетики растворения на лекарственный препарат с активной фармацевтической субстанцией, произведенной на прежней площадке, и 2 сериями лекарственного препарата, произведенного с активной фармацевтической субстанцией, произведенной на новой производственной площадке.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происхождения лекарственного растительного сырья, приготовление лекарственного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5. Активная фармацевтическая субстанция не является биологической субстанцией.</w:t>
            </w:r>
          </w:p>
          <w:p>
            <w:pPr>
              <w:spacing w:after="20"/>
              <w:ind w:left="20"/>
              <w:jc w:val="both"/>
            </w:pPr>
            <w:r>
              <w:rPr>
                <w:rFonts w:ascii="Times New Roman"/>
                <w:b w:val="false"/>
                <w:i w:val="false"/>
                <w:color w:val="000000"/>
                <w:sz w:val="20"/>
              </w:rPr>
              <w:t>
6. Изменение не затрагивает географический источник происхождения лекарственного растительного сырья,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закрытую часть МФАФС.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прямое сравнение текущего и нового процессов.</w:t>
            </w:r>
          </w:p>
          <w:p>
            <w:pPr>
              <w:spacing w:after="20"/>
              <w:ind w:left="20"/>
              <w:jc w:val="both"/>
            </w:pPr>
            <w:r>
              <w:rPr>
                <w:rFonts w:ascii="Times New Roman"/>
                <w:b w:val="false"/>
                <w:i w:val="false"/>
                <w:color w:val="000000"/>
                <w:sz w:val="20"/>
              </w:rPr>
              <w:t xml:space="preserve">
2.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2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3. Копии утвержденных спецификаций активной фармацевтической субстанции (в виде ссылки на соответствующий документ в последовательности регистрационного досье или приложения к сопроводительному письму).</w:t>
            </w:r>
          </w:p>
          <w:p>
            <w:pPr>
              <w:spacing w:after="20"/>
              <w:ind w:left="20"/>
              <w:jc w:val="both"/>
            </w:pPr>
            <w:r>
              <w:rPr>
                <w:rFonts w:ascii="Times New Roman"/>
                <w:b w:val="false"/>
                <w:i w:val="false"/>
                <w:color w:val="000000"/>
                <w:sz w:val="20"/>
              </w:rPr>
              <w:t>
4. Подтверждение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до 10 раз по сравнению с зарегистрированным размером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5, 6, 7, 8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уменьшение размера серии до 10 раз по сравнению с зарегистрированным размером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чем в 10 раз по сравнению с зарегистрированным размером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активной фармацевтической субстанции без изменения процесса производства (например, дублирование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Все изменения методов производства затрагивают лишь необходимые процессы для увеличения или уменьшения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2. Необходимо представить результаты испытаний согласно спецификациям не менее 2 серий предлагаемого размера серии.</w:t>
            </w:r>
          </w:p>
          <w:p>
            <w:pPr>
              <w:spacing w:after="20"/>
              <w:ind w:left="20"/>
              <w:jc w:val="both"/>
            </w:pPr>
            <w:r>
              <w:rPr>
                <w:rFonts w:ascii="Times New Roman"/>
                <w:b w:val="false"/>
                <w:i w:val="false"/>
                <w:color w:val="000000"/>
                <w:sz w:val="20"/>
              </w:rPr>
              <w:t>
3. Рассматриваемый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5. Изменение не должно быть следствием непредвиденных ситуаций, возникших в ходе производства, или нарушения стабильности.</w:t>
            </w:r>
          </w:p>
          <w:p>
            <w:pPr>
              <w:spacing w:after="20"/>
              <w:ind w:left="20"/>
              <w:jc w:val="both"/>
            </w:pPr>
            <w:r>
              <w:rPr>
                <w:rFonts w:ascii="Times New Roman"/>
                <w:b w:val="false"/>
                <w:i w:val="false"/>
                <w:color w:val="000000"/>
                <w:sz w:val="20"/>
              </w:rPr>
              <w:t>
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размера серии, не являвшегося изменением IA типа.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xml:space="preserve">
3.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1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2 полным промышленным сериям. Держатель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xml:space="preserve">
4. Копии одобренных спецификаций активной фармацевтической субстанции </w:t>
            </w:r>
          </w:p>
          <w:p>
            <w:pPr>
              <w:spacing w:after="20"/>
              <w:ind w:left="20"/>
              <w:jc w:val="both"/>
            </w:pPr>
            <w:r>
              <w:rPr>
                <w:rFonts w:ascii="Times New Roman"/>
                <w:b w:val="false"/>
                <w:i w:val="false"/>
                <w:color w:val="000000"/>
                <w:sz w:val="20"/>
              </w:rPr>
              <w:t>(и промежуточных продуктов, если применимо)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5. Подтверждение держателя регистрационного удостоверения или держателя МФАФС соответственно, что все изменения методов производства затрагивают лишь необходимые процессы для увеличения или уменьшения размера серии (например, использование оборудования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незначительное изменение аналитической методики внутрипроизводственного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должно укладываться в диапазон действующих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xml:space="preserve">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любое изменение частоты испытаний.</w:t>
            </w:r>
          </w:p>
          <w:p>
            <w:pPr>
              <w:spacing w:after="20"/>
              <w:ind w:left="20"/>
              <w:jc w:val="both"/>
            </w:pPr>
            <w:r>
              <w:rPr>
                <w:rFonts w:ascii="Times New Roman"/>
                <w:b w:val="false"/>
                <w:i w:val="false"/>
                <w:color w:val="000000"/>
                <w:sz w:val="20"/>
              </w:rPr>
              <w:t>
8.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9.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10. Метод анализа не изменился, а методика анализа изменилась незначительно (например, изменение длины колонки или температуры, но не другой вид колонки).</w:t>
            </w:r>
          </w:p>
          <w:p>
            <w:pPr>
              <w:spacing w:after="20"/>
              <w:ind w:left="20"/>
              <w:jc w:val="both"/>
            </w:pPr>
            <w:r>
              <w:rPr>
                <w:rFonts w:ascii="Times New Roman"/>
                <w:b w:val="false"/>
                <w:i w:val="false"/>
                <w:color w:val="000000"/>
                <w:sz w:val="20"/>
              </w:rPr>
              <w:t xml:space="preserve">
11.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3. Подробное описание новой нефармакопейной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xml:space="preserve">
4. Данные анализа двух промышленных серий (для биологических активных фармацевтических субстанций, в отсутствие должных обоснований, – </w:t>
            </w:r>
          </w:p>
          <w:p>
            <w:pPr>
              <w:spacing w:after="20"/>
              <w:ind w:left="20"/>
              <w:jc w:val="both"/>
            </w:pPr>
            <w:r>
              <w:rPr>
                <w:rFonts w:ascii="Times New Roman"/>
                <w:b w:val="false"/>
                <w:i w:val="false"/>
                <w:color w:val="000000"/>
                <w:sz w:val="20"/>
              </w:rPr>
              <w:t>3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p>
            <w:pPr>
              <w:spacing w:after="20"/>
              <w:ind w:left="20"/>
              <w:jc w:val="both"/>
            </w:pPr>
            <w:r>
              <w:rPr>
                <w:rFonts w:ascii="Times New Roman"/>
                <w:b w:val="false"/>
                <w:i w:val="false"/>
                <w:color w:val="000000"/>
                <w:sz w:val="20"/>
              </w:rPr>
              <w:t>
7. Сравнительная таблица изменений аналитической методики.</w:t>
            </w:r>
          </w:p>
          <w:p>
            <w:pPr>
              <w:spacing w:after="20"/>
              <w:ind w:left="20"/>
              <w:jc w:val="both"/>
            </w:pPr>
            <w:r>
              <w:rPr>
                <w:rFonts w:ascii="Times New Roman"/>
                <w:b w:val="false"/>
                <w:i w:val="false"/>
                <w:color w:val="000000"/>
                <w:sz w:val="20"/>
              </w:rPr>
              <w:t>
8. Подробное описание новой нефармакопейной аналитической методики и данные по валидации (в соответствующих случаях) подтверждающие, что обновленная аналитическая методика по меньшей мере эквивалентна предыдущей.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 (штаммов) сезонной, препандемической или пандемической вакцины для профилактики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Б.I.б) Контроль качества активной фармацевтической субстанции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ужесточение критериев приемлемости спецификации биологического лекарственного препарата (в состав которого входит активная фармацевтическая субстанция), подлежащего выпуску серий официальным контрольным органом государства-члена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субстанцию) параметра спецификации и соответствующего ему метода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Новый метод испытания основан на общих методах анализа, описанных в Фармакопее союза, а при отсутствии в ней – на основании методов, описанных в иных фармакопеях в соответствии с Концепцией гармонизации (например, ВЭЖХ, спектрофотометрия, титриметрия и др.).</w:t>
            </w:r>
          </w:p>
          <w:p>
            <w:pPr>
              <w:spacing w:after="20"/>
              <w:ind w:left="20"/>
              <w:jc w:val="both"/>
            </w:pPr>
            <w:r>
              <w:rPr>
                <w:rFonts w:ascii="Times New Roman"/>
                <w:b w:val="false"/>
                <w:i w:val="false"/>
                <w:color w:val="000000"/>
                <w:sz w:val="20"/>
              </w:rPr>
              <w:t xml:space="preserve">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xml:space="preserve">
7. Изменение любого материала не затрагивает генотоксичную примесь. Если изменение затрагивает активную фармацевтическую субстанцию </w:t>
            </w:r>
          </w:p>
          <w:p>
            <w:pPr>
              <w:spacing w:after="20"/>
              <w:ind w:left="20"/>
              <w:jc w:val="both"/>
            </w:pPr>
            <w:r>
              <w:rPr>
                <w:rFonts w:ascii="Times New Roman"/>
                <w:b w:val="false"/>
                <w:i w:val="false"/>
                <w:color w:val="000000"/>
                <w:sz w:val="20"/>
              </w:rPr>
              <w:t>(за исключением остаточных растворителей, которые должны соответствовать пределам, указанным в соответствующей статье Фармакопеи Союза), контроль любой новой примеси должен соответствовать Фармакопее Союза, а при отсутствии в ней – иной фармакопее в соответствии с Концепцией гармонизации.</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пропуск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4. Данные анализа 2 промышленных серий (в отсутствие обоснования обратного для биологических активной фармацевтических субстанций – 3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xml:space="preserve">
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w:t>
            </w:r>
          </w:p>
          <w:p>
            <w:pPr>
              <w:spacing w:after="20"/>
              <w:ind w:left="20"/>
              <w:jc w:val="both"/>
            </w:pPr>
            <w:r>
              <w:rPr>
                <w:rFonts w:ascii="Times New Roman"/>
                <w:b w:val="false"/>
                <w:i w:val="false"/>
                <w:color w:val="000000"/>
                <w:sz w:val="20"/>
              </w:rPr>
              <w:t>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Новый метод испытания основан на общих методах анализа, описанных в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(например, ВЭЖХ, спектрофотометрия, титриметрия и др.).</w:t>
            </w:r>
          </w:p>
          <w:p>
            <w:pPr>
              <w:spacing w:after="20"/>
              <w:ind w:left="20"/>
              <w:jc w:val="both"/>
            </w:pPr>
            <w:r>
              <w:rPr>
                <w:rFonts w:ascii="Times New Roman"/>
                <w:b w:val="false"/>
                <w:i w:val="false"/>
                <w:color w:val="000000"/>
                <w:sz w:val="20"/>
              </w:rPr>
              <w:t>
6. Активная фармацевтическая субстанция не является биологической.</w:t>
            </w:r>
          </w:p>
          <w:p>
            <w:pPr>
              <w:spacing w:after="20"/>
              <w:ind w:left="20"/>
              <w:jc w:val="both"/>
            </w:pPr>
            <w:r>
              <w:rPr>
                <w:rFonts w:ascii="Times New Roman"/>
                <w:b w:val="false"/>
                <w:i w:val="false"/>
                <w:color w:val="000000"/>
                <w:sz w:val="20"/>
              </w:rPr>
              <w:t>
7. Альтернативная аналитическая методика для показателя спецификации уже одобрена.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Б.I.в)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 (изменение состава материала упаковки, изменение материала упаковки или стандарта качества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качественный и (или) количественный состав (изменение состава материала упаковки, изменение материала упаковки или стандарта качества материала) для жидких активных фармацевтических субстанций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 соответствующим свойствам предлагаемый упаковочный материал по меньшей мере должен быть эквивалентным одобренному.</w:t>
            </w:r>
          </w:p>
          <w:p>
            <w:pPr>
              <w:spacing w:after="20"/>
              <w:ind w:left="20"/>
              <w:jc w:val="both"/>
            </w:pPr>
            <w:r>
              <w:rPr>
                <w:rFonts w:ascii="Times New Roman"/>
                <w:b w:val="false"/>
                <w:i w:val="false"/>
                <w:color w:val="000000"/>
                <w:sz w:val="20"/>
              </w:rPr>
              <w:t xml:space="preserve">
2. Начаты соответствующие исследования стабильности в соответствии </w:t>
            </w:r>
          </w:p>
          <w:p>
            <w:pPr>
              <w:spacing w:after="20"/>
              <w:ind w:left="20"/>
              <w:jc w:val="both"/>
            </w:pPr>
            <w:r>
              <w:rPr>
                <w:rFonts w:ascii="Times New Roman"/>
                <w:b w:val="false"/>
                <w:i w:val="false"/>
                <w:color w:val="000000"/>
                <w:sz w:val="20"/>
              </w:rPr>
              <w:t xml:space="preserve">с актами органов Союза в сфере обращения лекарственных средств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w:t>
            </w:r>
          </w:p>
          <w:p>
            <w:pPr>
              <w:spacing w:after="20"/>
              <w:ind w:left="20"/>
              <w:jc w:val="both"/>
            </w:pPr>
            <w:r>
              <w:rPr>
                <w:rFonts w:ascii="Times New Roman"/>
                <w:b w:val="false"/>
                <w:i w:val="false"/>
                <w:color w:val="000000"/>
                <w:sz w:val="20"/>
              </w:rPr>
              <w:t xml:space="preserve">3-месячного изучения стабильности. В случае если предлагаемая упаковка более устойчива по сравнению с зарегистрированной, </w:t>
            </w:r>
          </w:p>
          <w:p>
            <w:pPr>
              <w:spacing w:after="20"/>
              <w:ind w:left="20"/>
              <w:jc w:val="both"/>
            </w:pPr>
            <w:r>
              <w:rPr>
                <w:rFonts w:ascii="Times New Roman"/>
                <w:b w:val="false"/>
                <w:i w:val="false"/>
                <w:color w:val="000000"/>
                <w:sz w:val="20"/>
              </w:rPr>
              <w:t>3-месячные данные по стабильности не требуются. По завершении таких исследований, если результаты не укладываются в спецификации или потенциально могут не уложиться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др.), включая подтверждение того, что материал соответствует фармакопейным требованиям или актам органов Союза о безопасности материалов контактирующих с пищевой продукцией, а при отсутствии в них – законодательству государств-членов в части, не урегулированной актами органов Союза.</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активной фармацевтической субстанции не переходят в упаковку), включая подтверждение, что материал соответствует соответствующим фармакопейным требованиям или актам органов Союза о безопасности материалов контактирующих с пищевой продукцией, а при отсутствии в них – законодательству государств-членов в части, не урегулированной актами органов Союза.</w:t>
            </w:r>
          </w:p>
          <w:p>
            <w:pPr>
              <w:spacing w:after="20"/>
              <w:ind w:left="20"/>
              <w:jc w:val="both"/>
            </w:pPr>
            <w:r>
              <w:rPr>
                <w:rFonts w:ascii="Times New Roman"/>
                <w:b w:val="false"/>
                <w:i w:val="false"/>
                <w:color w:val="000000"/>
                <w:sz w:val="20"/>
              </w:rPr>
              <w:t>
4. Подтверждение держателя регистрационного удостоверения или держателя МФАФС, что требуемые исследования стабильности начаты в соответствии с актами органов Союза в сфере обращения лекарственных средств (с указанием номеров серий); и что (в соответствующих случаях) на момент реализации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актами органов Союза в сфере обращения лекарственных средств, по значимым параметрам стабильности не менее чем на 2 опытно-промышленных или промышленных сериях, охватывающих не менее 3 месяцев, и подтверждение, что указанные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вместе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Новый метод испытания основан на общих методах анализа, описанных в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(например, ВЭЖХ, спектрофотометрия, титриметрия и 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по валидации (в соответствующих случаях).</w:t>
            </w:r>
          </w:p>
          <w:p>
            <w:pPr>
              <w:spacing w:after="20"/>
              <w:ind w:left="20"/>
              <w:jc w:val="both"/>
            </w:pPr>
            <w:r>
              <w:rPr>
                <w:rFonts w:ascii="Times New Roman"/>
                <w:b w:val="false"/>
                <w:i w:val="false"/>
                <w:color w:val="000000"/>
                <w:sz w:val="20"/>
              </w:rPr>
              <w:t>
4. Данные анализа 2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актам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методологии, резюме данных по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Б.I.г)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Изменение периода до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Фармакопее, охватывающий период повторного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периода до повторного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2 (для биологических лекарственных препаратов – 3)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xml:space="preserve">
3. Копии утвержденных спецификаций на активную фармацевтическую субстанцию или ссылка на соответствующий документ регистрационного досье. </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Примечание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активным фармацевтическим субстанциям.</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Б.I.д)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внутрипроизводственный контроль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Проектное поле разработано на основании актов органов Союза в сфере обращения лекарственных средств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что достигнуто целостное механистическое понимание показателей качества материалов, параметров процесса и критических показателей качества активной фармацевтической субстанции.</w:t>
            </w:r>
          </w:p>
          <w:p>
            <w:pPr>
              <w:spacing w:after="20"/>
              <w:ind w:left="20"/>
              <w:jc w:val="both"/>
            </w:pPr>
            <w:r>
              <w:rPr>
                <w:rFonts w:ascii="Times New Roman"/>
                <w:b w:val="false"/>
                <w:i w:val="false"/>
                <w:color w:val="000000"/>
                <w:sz w:val="20"/>
              </w:rPr>
              <w:t>
2. Описание проектного поля в форме таблицы,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соответствующим разделам регистрационного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соответствующим разделам регистрационного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уполномоченного лица производителя,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2.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3. Поправка к соответствующему разделу регистрационного досье.</w:t>
            </w:r>
          </w:p>
          <w:p>
            <w:pPr>
              <w:spacing w:after="20"/>
              <w:ind w:left="20"/>
              <w:jc w:val="both"/>
            </w:pPr>
            <w:r>
              <w:rPr>
                <w:rFonts w:ascii="Times New Roman"/>
                <w:b w:val="false"/>
                <w:i w:val="false"/>
                <w:color w:val="000000"/>
                <w:sz w:val="20"/>
              </w:rPr>
              <w:t>
4. Копия утвержденных спецификаций на активную фармацевтическую субстанцию или ссылка на соответствующий раздел регистрационного досье.</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 Лекарственный препарат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Б.II.а) Внешний вид и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Изменение или добавление надпечатки, оттисков, гравировки или иных знаков, включая замену или добавление чернил, используемых для нанесения таких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надпечатки, оттисков, гравировки или иных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2. Все чернила должны соответствовать действующему фармацевтическому законодательству.</w:t>
            </w:r>
          </w:p>
          <w:p>
            <w:pPr>
              <w:spacing w:after="20"/>
              <w:ind w:left="20"/>
              <w:jc w:val="both"/>
            </w:pPr>
            <w:r>
              <w:rPr>
                <w:rFonts w:ascii="Times New Roman"/>
                <w:b w:val="false"/>
                <w:i w:val="false"/>
                <w:color w:val="000000"/>
                <w:sz w:val="20"/>
              </w:rPr>
              <w:t>
3. Риски (линии разлома) не предназначены для разделения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По согласованию с экспертной организацией образцы лекарственного препарата и (или) их визуальное изображение для возможности оценки внешнего вида.</w:t>
            </w:r>
          </w:p>
          <w:p>
            <w:pPr>
              <w:spacing w:after="20"/>
              <w:ind w:left="20"/>
              <w:jc w:val="both"/>
            </w:pPr>
            <w:r>
              <w:rPr>
                <w:rFonts w:ascii="Times New Roman"/>
                <w:b w:val="false"/>
                <w:i w:val="false"/>
                <w:color w:val="000000"/>
                <w:sz w:val="20"/>
              </w:rPr>
              <w:t>
3. Результаты соответствующих испытаний по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подтверждающие эквивалентность свойств (правильность дозирования).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Б.II.а.2. Изменение формы </w:t>
            </w:r>
          </w:p>
          <w:p>
            <w:pPr>
              <w:spacing w:after="20"/>
              <w:ind w:left="20"/>
              <w:jc w:val="both"/>
            </w:pPr>
            <w:r>
              <w:rPr>
                <w:rFonts w:ascii="Times New Roman"/>
                <w:b w:val="false"/>
                <w:i w:val="false"/>
                <w:color w:val="000000"/>
                <w:sz w:val="20"/>
              </w:rPr>
              <w:t>или размеров лекарственной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лекарственного препарата с новыми лекарственной формой или ее размерами сопоставим с профилем растворения лекарственного препарата со старыми лекарственной формой или ее размерами, если применимо. Для лекарственных растительных препаратов при невозможности проведения испытания ТСКР время распадаемости измененного лекарственного препарата сопоставимо с временем распадаемости неизменного лекарственного препарата.</w:t>
            </w:r>
          </w:p>
          <w:p>
            <w:pPr>
              <w:spacing w:after="20"/>
              <w:ind w:left="20"/>
              <w:jc w:val="both"/>
            </w:pPr>
            <w:r>
              <w:rPr>
                <w:rFonts w:ascii="Times New Roman"/>
                <w:b w:val="false"/>
                <w:i w:val="false"/>
                <w:color w:val="000000"/>
                <w:sz w:val="20"/>
              </w:rPr>
              <w:t>
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подробное графическое изображение зарегистрированной и предлагаемой лекарственной формы,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Сравнительные данные растворения как минимум 1 опытно-промышленной серии с текущими и предлагаемыми размерами (отсутствие значительных различий с точки зрения сопоставимости в соответствии с Правилами проведения исследований биоэквивалентности). В отношении лекарственных растительных препаратов могут быть приемлемы данные сравнительной распадаемости.</w:t>
            </w:r>
          </w:p>
          <w:p>
            <w:pPr>
              <w:spacing w:after="20"/>
              <w:ind w:left="20"/>
              <w:jc w:val="both"/>
            </w:pPr>
            <w:r>
              <w:rPr>
                <w:rFonts w:ascii="Times New Roman"/>
                <w:b w:val="false"/>
                <w:i w:val="false"/>
                <w:color w:val="000000"/>
                <w:sz w:val="20"/>
              </w:rPr>
              <w:t>
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xml:space="preserve">
4. Образцы лекарственного препарата и (или) его визуальное изображение при необходимости по согласованию с экспертной организацией. </w:t>
            </w:r>
          </w:p>
          <w:p>
            <w:pPr>
              <w:spacing w:after="20"/>
              <w:ind w:left="20"/>
              <w:jc w:val="both"/>
            </w:pPr>
            <w:r>
              <w:rPr>
                <w:rFonts w:ascii="Times New Roman"/>
                <w:b w:val="false"/>
                <w:i w:val="false"/>
                <w:color w:val="000000"/>
                <w:sz w:val="20"/>
              </w:rPr>
              <w:t>
5. Результаты соответствующих испытаний по Фармакопее Союза, а при отсутствии в ней – результаты испытаний по Фармакопее государства-члена или при отсутствии в указанных фармакопеях – иной фармакопее согласно Концепции гармонизации, подтверждающие эквивалентность свойств (правильность дозирования).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Б.II.а.2 в любое изменение дозировки лекарственного препарата требует подачи заявления о расширении регистрации, за исключением приведения регистрационного досье в соответствие с требованиями Союза, в случае, если новая дозировка зарегистрирована в соответствии с законодательством государства-члена только в одном из заявленных в рамках приведения в соответствие государств-членов.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Изменение состава (вспомогательных веществ)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2.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готовой лекарственной формы.</w:t>
            </w:r>
          </w:p>
          <w:p>
            <w:pPr>
              <w:spacing w:after="20"/>
              <w:ind w:left="20"/>
              <w:jc w:val="both"/>
            </w:pPr>
            <w:r>
              <w:rPr>
                <w:rFonts w:ascii="Times New Roman"/>
                <w:b w:val="false"/>
                <w:i w:val="false"/>
                <w:color w:val="000000"/>
                <w:sz w:val="20"/>
              </w:rPr>
              <w:t>
3. Спецификация лекарственного препарата обновлена в части описания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4. Начаты соответствующие исследования стабильности (с указанием номеров серий); проанализированы соответствующие параметры стабильности не менее чем на 2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реализации изменений IA типа и момент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если результаты на конец срока годности не будут укладываться в спецификации или могут потенциально не уложиться в спецификации, держатель регистрационного удостоверения обязан сообщить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5. Все новые компоненты должны удовлетворять требованиям нормативных актов Союза,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Фармакопеи Союза и (или) других фармакопей согласно Концепции гармонизации по минимизации риска передачи агентов губчатой энцефалопатии животных посредством лекарственных препаратов для медицинского применения.</w:t>
            </w:r>
          </w:p>
          <w:p>
            <w:pPr>
              <w:spacing w:after="20"/>
              <w:ind w:left="20"/>
              <w:jc w:val="both"/>
            </w:pPr>
            <w:r>
              <w:rPr>
                <w:rFonts w:ascii="Times New Roman"/>
                <w:b w:val="false"/>
                <w:i w:val="false"/>
                <w:color w:val="000000"/>
                <w:sz w:val="20"/>
              </w:rPr>
              <w:t>
7. В соответствующих случаях изменения не влияют на возможность различения дозировок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8. Профиль растворения не менее чем 2 опытно-промышленных серий лекарственного препарата с новым и старым составом сопоставим, если применимо (отсутствуют значительные различия с точки зрения сопоставимости профиля растворения в соответствии с Правилами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измененного лекарственного препарата сопоставимо с неизмененным временем распадаемости.</w:t>
            </w:r>
          </w:p>
          <w:p>
            <w:pPr>
              <w:spacing w:after="20"/>
              <w:ind w:left="20"/>
              <w:jc w:val="both"/>
            </w:pPr>
            <w:r>
              <w:rPr>
                <w:rFonts w:ascii="Times New Roman"/>
                <w:b w:val="false"/>
                <w:i w:val="false"/>
                <w:color w:val="000000"/>
                <w:sz w:val="20"/>
              </w:rPr>
              <w:t>
9. Изменение не является следствием нарушения стабильности и (или) не должно сказываться на безопасности (возможности различения дозировок).</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лекарственным препаратом.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xml:space="preserve">
2. Подтверждение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 xml:space="preserve">(в соответствующих случаях) на момент реализации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что исследования будут завершены, и, если результаты не будут укладываться в спецификации или потенциально могут не уложиться </w:t>
            </w:r>
          </w:p>
          <w:p>
            <w:pPr>
              <w:spacing w:after="20"/>
              <w:ind w:left="20"/>
              <w:jc w:val="both"/>
            </w:pPr>
            <w:r>
              <w:rPr>
                <w:rFonts w:ascii="Times New Roman"/>
                <w:b w:val="false"/>
                <w:i w:val="false"/>
                <w:color w:val="000000"/>
                <w:sz w:val="20"/>
              </w:rPr>
              <w:t xml:space="preserve">в спецификации на конец срока годности, держатель регистрационного удостоверения обязан сообщить уполномоченному органу наряду </w:t>
            </w:r>
          </w:p>
          <w:p>
            <w:pPr>
              <w:spacing w:after="20"/>
              <w:ind w:left="20"/>
              <w:jc w:val="both"/>
            </w:pPr>
            <w:r>
              <w:rPr>
                <w:rFonts w:ascii="Times New Roman"/>
                <w:b w:val="false"/>
                <w:i w:val="false"/>
                <w:color w:val="000000"/>
                <w:sz w:val="20"/>
              </w:rPr>
              <w:t>с предлагаемым планом действий.</w:t>
            </w:r>
          </w:p>
          <w:p>
            <w:pPr>
              <w:spacing w:after="20"/>
              <w:ind w:left="20"/>
              <w:jc w:val="both"/>
            </w:pPr>
            <w:r>
              <w:rPr>
                <w:rFonts w:ascii="Times New Roman"/>
                <w:b w:val="false"/>
                <w:i w:val="false"/>
                <w:color w:val="000000"/>
                <w:sz w:val="20"/>
              </w:rPr>
              <w:t xml:space="preserve">
3. Результаты исследований стабильности, по значимым параметрам стабильности не менее чем на 2 опытно-промышленных или промышленных сериях, охватывающих не менее 3 месяцев, и подтверждение, что указанные исследования будут завершены и если результаты не будут укладываться </w:t>
            </w:r>
          </w:p>
          <w:p>
            <w:pPr>
              <w:spacing w:after="20"/>
              <w:ind w:left="20"/>
              <w:jc w:val="both"/>
            </w:pPr>
            <w:r>
              <w:rPr>
                <w:rFonts w:ascii="Times New Roman"/>
                <w:b w:val="false"/>
                <w:i w:val="false"/>
                <w:color w:val="000000"/>
                <w:sz w:val="20"/>
              </w:rPr>
              <w:t>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Образцы лекарственного препарата и (или) его визуальное изображение при необходимости по согласованию с экспертной организацией.</w:t>
            </w:r>
          </w:p>
          <w:p>
            <w:pPr>
              <w:spacing w:after="20"/>
              <w:ind w:left="20"/>
              <w:jc w:val="both"/>
            </w:pPr>
            <w:r>
              <w:rPr>
                <w:rFonts w:ascii="Times New Roman"/>
                <w:b w:val="false"/>
                <w:i w:val="false"/>
                <w:color w:val="000000"/>
                <w:sz w:val="20"/>
              </w:rPr>
              <w:t>
5. Либо сертификат соответствия Европейской Фармакопеи по ГЭ на любой новый источник материала, либо (если применимо) документальное подтверждение того, что источник материала, подверженный риску ГЭ, ранее проверен уполномоченным органом; и было подтверждено его соответствие действующей статье Фармакопеи Союза или других фармакопей согласно Концепции гармонизации по минимизации риска передачи агентов губчатой энцефалопатии животных посредством лекарственных препаратов для медицинского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6. В соответствующих случаях данные, подтверждающие то, что новое вспомогательное вещество не влияет на аналитические методики спецификации лекарственного препарата.</w:t>
            </w:r>
          </w:p>
          <w:p>
            <w:pPr>
              <w:spacing w:after="20"/>
              <w:ind w:left="20"/>
              <w:jc w:val="both"/>
            </w:pPr>
            <w:r>
              <w:rPr>
                <w:rFonts w:ascii="Times New Roman"/>
                <w:b w:val="false"/>
                <w:i w:val="false"/>
                <w:color w:val="000000"/>
                <w:sz w:val="20"/>
              </w:rPr>
              <w:t>
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 и т.д.</w:t>
            </w:r>
          </w:p>
          <w:p>
            <w:pPr>
              <w:spacing w:after="20"/>
              <w:ind w:left="20"/>
              <w:jc w:val="both"/>
            </w:pPr>
            <w:r>
              <w:rPr>
                <w:rFonts w:ascii="Times New Roman"/>
                <w:b w:val="false"/>
                <w:i w:val="false"/>
                <w:color w:val="000000"/>
                <w:sz w:val="20"/>
              </w:rPr>
              <w:t>
8. Сравнительные данные профиля растворения твердых лекарственных форм не менее чем на 2 опытно-промышленных сериях лекарственного препарата нового и старого составов.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Изменение массы оболочки лекарственных форм для приема внутрь или изменение массы оболочки капсулы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не менее чем 2 опытно-промышленных серий измененного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измененного лекарственного препарата в сравнении со старым.</w:t>
            </w:r>
          </w:p>
          <w:p>
            <w:pPr>
              <w:spacing w:after="20"/>
              <w:ind w:left="20"/>
              <w:jc w:val="both"/>
            </w:pPr>
            <w:r>
              <w:rPr>
                <w:rFonts w:ascii="Times New Roman"/>
                <w:b w:val="false"/>
                <w:i w:val="false"/>
                <w:color w:val="000000"/>
                <w:sz w:val="20"/>
              </w:rPr>
              <w:t>
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xml:space="preserve">
4. Начаты соответствующие исследования стабильности не менее чем </w:t>
            </w:r>
          </w:p>
          <w:p>
            <w:pPr>
              <w:spacing w:after="20"/>
              <w:ind w:left="20"/>
              <w:jc w:val="both"/>
            </w:pPr>
            <w:r>
              <w:rPr>
                <w:rFonts w:ascii="Times New Roman"/>
                <w:b w:val="false"/>
                <w:i w:val="false"/>
                <w:color w:val="000000"/>
                <w:sz w:val="20"/>
              </w:rPr>
              <w:t>на 2 опытно-промышленных или промышленных сериях; в распоряжении заявителя на момент реализации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 xml:space="preserve">(в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w:t>
            </w:r>
          </w:p>
          <w:p>
            <w:pPr>
              <w:spacing w:after="20"/>
              <w:ind w:left="20"/>
              <w:jc w:val="both"/>
            </w:pPr>
            <w:r>
              <w:rPr>
                <w:rFonts w:ascii="Times New Roman"/>
                <w:b w:val="false"/>
                <w:i w:val="false"/>
                <w:color w:val="000000"/>
                <w:sz w:val="20"/>
              </w:rPr>
              <w:t>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вместе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Исключение контейнера с растворителем (разбавителем) из упаковки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Б.II.а.7. Изменения, являющиеся расширением регистрации по дозировке лекарственного препарата</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Добавляемые или вводимые взамен ранее зарегистрированных дозировки, должны, на момент подачи заявления о приведении в соответствие регистрационного досье, быть зарегистрированы хотя бы в одном из государств-членов.</w:t>
            </w:r>
          </w:p>
          <w:p>
            <w:pPr>
              <w:spacing w:after="20"/>
              <w:ind w:left="20"/>
              <w:jc w:val="both"/>
            </w:pPr>
            <w:r>
              <w:rPr>
                <w:rFonts w:ascii="Times New Roman"/>
                <w:b w:val="false"/>
                <w:i w:val="false"/>
                <w:color w:val="000000"/>
                <w:sz w:val="20"/>
              </w:rPr>
              <w:t>
2. На момент подачи заявления о приведении в соответствие регистрационного досье, в референтном государстве должны быть зарегистрированы наименьшая и наибольшая дозировки, либо дозировка, определенная на основании анализа рисков, в отношении которых проведены соответствующие исследования биоэквивалентности или клинические испытания, результаты которых могут быть экстраполированы на остальные дозировки.</w:t>
            </w:r>
          </w:p>
          <w:p>
            <w:pPr>
              <w:spacing w:after="20"/>
              <w:ind w:left="20"/>
              <w:jc w:val="both"/>
            </w:pPr>
            <w:r>
              <w:rPr>
                <w:rFonts w:ascii="Times New Roman"/>
                <w:b w:val="false"/>
                <w:i w:val="false"/>
                <w:color w:val="000000"/>
                <w:sz w:val="20"/>
              </w:rPr>
              <w:t>
3. Должны быть соблюдены критерии биовейвера для дополнительных дозировок, описанные в Правилах проведения исследований биоэквивалентности.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Копии регистрационных удостоверений, подтверждающих регистрации вновь заявляемых дозировок.</w:t>
            </w:r>
          </w:p>
          <w:p>
            <w:pPr>
              <w:spacing w:after="20"/>
              <w:ind w:left="20"/>
              <w:jc w:val="both"/>
            </w:pPr>
            <w:r>
              <w:rPr>
                <w:rFonts w:ascii="Times New Roman"/>
                <w:b w:val="false"/>
                <w:i w:val="false"/>
                <w:color w:val="000000"/>
                <w:sz w:val="20"/>
              </w:rPr>
              <w:t>
2. Модуль 3 регистрационного досье на каждую новую дозировку в соответствии с требованиями части I приложения № 1 к Правилам регистрации. Возможна модификация существующих разделов с добавлением в них информации о дозировках в соответствующих случаях.</w:t>
            </w:r>
          </w:p>
          <w:p>
            <w:pPr>
              <w:spacing w:after="20"/>
              <w:ind w:left="20"/>
              <w:jc w:val="both"/>
            </w:pPr>
            <w:r>
              <w:rPr>
                <w:rFonts w:ascii="Times New Roman"/>
                <w:b w:val="false"/>
                <w:i w:val="false"/>
                <w:color w:val="000000"/>
                <w:sz w:val="20"/>
              </w:rPr>
              <w:t>
3. Обоснование возможности экстраполяции результатов исследований биоэквивалентности испытаний на новые дозировки, заявленные на биовейвер. В случае биовейвера на основании биофармацевтической классификационной системы условия биовейвера должны быть выполнены в отношении каждой дозировки.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изменение дозировки лекарственного препарата требует подачи заявления о расширении регистрации.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Б.II.б)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или добавление новой производственной площадки для части или всех процессов производства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1, 2, 3, 4, 8, </w:t>
            </w:r>
          </w:p>
          <w:p>
            <w:pPr>
              <w:spacing w:after="20"/>
              <w:ind w:left="20"/>
              <w:jc w:val="both"/>
            </w:pPr>
            <w:r>
              <w:rPr>
                <w:rFonts w:ascii="Times New Roman"/>
                <w:b w:val="false"/>
                <w:i w:val="false"/>
                <w:color w:val="000000"/>
                <w:sz w:val="20"/>
              </w:rPr>
              <w:t>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p>
          <w:p>
            <w:pPr>
              <w:spacing w:after="20"/>
              <w:ind w:left="20"/>
              <w:jc w:val="both"/>
            </w:pPr>
            <w:r>
              <w:rPr>
                <w:rFonts w:ascii="Times New Roman"/>
                <w:b w:val="false"/>
                <w:i w:val="false"/>
                <w:color w:val="000000"/>
                <w:sz w:val="20"/>
              </w:rPr>
              <w:t>6, 7, 8, 9, 10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лекарственные препараты), за исключением выпуска серий, контроля качества серий и вторичной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Удовлетворительная инспекция в течение последних 3 лет инспектирующими органами государств-членов, или страной, с которой заключено действующее соглашение о взаимном признании сертификатов соответствия правилам надлежащей производственной практики.</w:t>
            </w:r>
          </w:p>
          <w:p>
            <w:pPr>
              <w:spacing w:after="20"/>
              <w:ind w:left="20"/>
              <w:jc w:val="both"/>
            </w:pPr>
            <w:r>
              <w:rPr>
                <w:rFonts w:ascii="Times New Roman"/>
                <w:b w:val="false"/>
                <w:i w:val="false"/>
                <w:color w:val="000000"/>
                <w:sz w:val="20"/>
              </w:rPr>
              <w:t>
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4. В соответствующих случаях, например, в отношении суспензий или эмульсий, имеется план валидации процесса производства или в соответствии с текущим протоколом успешно проведена валидация производства на новой площадке с не менее чем 3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лекарственным препаратом.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того, что предлагаемая площадка лицензирована уполномоченным органом страны местонахождения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2. В соответствующих случаях необходимо указать номера серий, соответствующие размер серии и дату производства серий (</w:t>
            </w:r>
          </w:p>
          <w:p>
            <w:pPr>
              <w:spacing w:after="20"/>
              <w:ind w:left="20"/>
              <w:jc w:val="both"/>
            </w:pPr>
            <w:r>
              <w:t>[MISSING IMAGE: ,  ]</w:t>
            </w:r>
          </w:p>
          <w:p>
            <w:pPr>
              <w:spacing w:after="0"/>
              <w:ind w:left="0"/>
              <w:jc w:val="both"/>
            </w:pPr>
            <w:r>
              <w:rPr>
                <w:rFonts w:ascii="Times New Roman"/>
                <w:b w:val="false"/>
                <w:i w:val="false"/>
                <w:color w:val="000000"/>
                <w:sz w:val="20"/>
              </w:rPr>
              <w:t xml:space="preserve"> 3), использованные в валидационном исследовании, и представить данные по валидации или протокол (схему) валидации, подлежащий подаче.</w:t>
            </w:r>
          </w:p>
          <w:p>
            <w:pPr>
              <w:spacing w:after="20"/>
              <w:ind w:left="20"/>
              <w:jc w:val="both"/>
            </w:pPr>
          </w:p>
          <w:p>
            <w:pPr>
              <w:spacing w:after="20"/>
              <w:ind w:left="20"/>
              <w:jc w:val="both"/>
            </w:pPr>
            <w:r>
              <w:rPr>
                <w:rFonts w:ascii="Times New Roman"/>
                <w:b w:val="false"/>
                <w:i w:val="false"/>
                <w:color w:val="000000"/>
                <w:sz w:val="20"/>
              </w:rPr>
              <w:t xml:space="preserve">
3. В заявлении о внесении изменений необходимо четко указать ранее одобренных и предлагаемых производителей. </w:t>
            </w:r>
          </w:p>
          <w:p>
            <w:pPr>
              <w:spacing w:after="20"/>
              <w:ind w:left="20"/>
              <w:jc w:val="both"/>
            </w:pPr>
            <w:r>
              <w:rPr>
                <w:rFonts w:ascii="Times New Roman"/>
                <w:b w:val="false"/>
                <w:i w:val="false"/>
                <w:color w:val="000000"/>
                <w:sz w:val="20"/>
              </w:rPr>
              <w:t>
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5. Данные анализа 1 промышленной серии и 2 опытно-промышленных серий, имитирующих процесс производства (или 2 промышленные серии) и сравнительные данные (в том числе тест сравнительной кинетики растворения в применимых случаях) с 3 сериями, произведенными на предыдущей производственной площадке. По запросу необходимо представить данные по следующим 2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6. Соответствующие данные по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для исходных материалов.</w:t>
            </w:r>
          </w:p>
          <w:p>
            <w:pPr>
              <w:spacing w:after="20"/>
              <w:ind w:left="20"/>
              <w:jc w:val="both"/>
            </w:pPr>
            <w:r>
              <w:rPr>
                <w:rFonts w:ascii="Times New Roman"/>
                <w:b w:val="false"/>
                <w:i w:val="false"/>
                <w:color w:val="000000"/>
                <w:sz w:val="20"/>
              </w:rPr>
              <w:t>
8.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Действующий документ, подтверждающий соответствие требованиям надлежащей производственной практики Союза, производственной площадки (производственных площадок), осуществляющей производство готовой лекарственной формы.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Декларации уполномоченного лица, затрагивающие активную фармацевтическую субстанцию</w:t>
            </w:r>
          </w:p>
          <w:p>
            <w:pPr>
              <w:spacing w:after="20"/>
              <w:ind w:left="20"/>
              <w:jc w:val="both"/>
            </w:pPr>
            <w:r>
              <w:rPr>
                <w:rFonts w:ascii="Times New Roman"/>
                <w:b w:val="false"/>
                <w:i w:val="false"/>
                <w:color w:val="000000"/>
                <w:sz w:val="20"/>
              </w:rPr>
              <w:t>
Владельцы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Правилами надлежащей производственной практики, поэтому каждый владелец лицензии на производство лекарственной формы обязан продекларировать, что он в качестве исходного материала использует активную фармацевтическую субстанцию, произведенную в соответствии с Правилами надлежащей производственной практики. Кроме того, поскольку уполномоченное лицо, ответственное за выпуск серии, берет на себя общую ответственность за каждую серию, если площадка, выпускающая серию, отличается от производителя лекарственной формы, уполномоченное лицо, ответственное за сертификацию серии, должно представить дополнительную декларацию.</w:t>
            </w:r>
          </w:p>
          <w:p>
            <w:pPr>
              <w:spacing w:after="20"/>
              <w:ind w:left="20"/>
              <w:jc w:val="both"/>
            </w:pPr>
            <w:r>
              <w:rPr>
                <w:rFonts w:ascii="Times New Roman"/>
                <w:b w:val="false"/>
                <w:i w:val="false"/>
                <w:color w:val="000000"/>
                <w:sz w:val="20"/>
              </w:rPr>
              <w:t>
Во многих случаях вовлечен лишь один владелец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в декларации четко указано, что она подписана от лица всех вовлеченных уполномоченных лиц;</w:t>
            </w:r>
          </w:p>
          <w:p>
            <w:pPr>
              <w:spacing w:after="20"/>
              <w:ind w:left="20"/>
              <w:jc w:val="both"/>
            </w:pPr>
            <w:r>
              <w:rPr>
                <w:rFonts w:ascii="Times New Roman"/>
                <w:b w:val="false"/>
                <w:i w:val="false"/>
                <w:color w:val="000000"/>
                <w:sz w:val="20"/>
              </w:rPr>
              <w:t>
договоренности скреплены техническим соглашением, описанным в главе 7 Правил надлежащей производственной практики, и уполномоченное лицо, подающее декларацию, указано в таком соглашении как берущее на себя обязательство по соответствию производителя (производителей) активной фармацевтической субстанции Правилам надлежащей производственной практики. Примечание: указанные соглашения являются предметом инспекции уполномоченных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производителя по контролю качества лекарственного препарата и выпуску серий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(испытания)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Площадка лицензирована в установленном порядке уполномоченным органом страны производства.</w:t>
            </w:r>
          </w:p>
          <w:p>
            <w:pPr>
              <w:spacing w:after="20"/>
              <w:ind w:left="20"/>
              <w:jc w:val="both"/>
            </w:pPr>
            <w:r>
              <w:rPr>
                <w:rFonts w:ascii="Times New Roman"/>
                <w:b w:val="false"/>
                <w:i w:val="false"/>
                <w:color w:val="000000"/>
                <w:sz w:val="20"/>
              </w:rPr>
              <w:t>
2.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3. Трансфер аналитических методик на новую испытательную лабораторию произведен успешно.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В сопроводительном письме и форме заявления о внесении изменений необходимо четко указать ранее одобренных и предлагаемых производителей.</w:t>
            </w:r>
          </w:p>
          <w:p>
            <w:pPr>
              <w:spacing w:after="20"/>
              <w:ind w:left="20"/>
              <w:jc w:val="both"/>
            </w:pPr>
            <w:r>
              <w:rPr>
                <w:rFonts w:ascii="Times New Roman"/>
                <w:b w:val="false"/>
                <w:i w:val="false"/>
                <w:color w:val="000000"/>
                <w:sz w:val="20"/>
              </w:rPr>
              <w:t>
2. Декларация уполномоченного лица, ответственного за выпуск серии, в которой указывается, что производитель (производители) активной фармацевтической субстанции, указанной в регистрационном досье, работает в соответствии с Правилами надлежащей производственной практики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3. Поправка к соответствующему разделу (разделам) регистрационного досье, включая информацию о лекарственном препарате и, при необходимости, данные по валидации (верификации) аналитических методик, перенесенных со старой на новую площадку, согласно актам органов Союза в сфере трансфера технологий и аналитических методик.</w:t>
            </w:r>
          </w:p>
          <w:p>
            <w:pPr>
              <w:spacing w:after="20"/>
              <w:ind w:left="20"/>
              <w:jc w:val="both"/>
            </w:pPr>
            <w:r>
              <w:rPr>
                <w:rFonts w:ascii="Times New Roman"/>
                <w:b w:val="false"/>
                <w:i w:val="false"/>
                <w:color w:val="000000"/>
                <w:sz w:val="20"/>
              </w:rPr>
              <w:t>
4. Действующий документ, подтверждающий соответствие требованиям Правил надлежащей производственной практики, производственной площадки (площадок), осуществляющей производство готовой лекарственной формы и выпускающий контроль качества лекарственного 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 и других специализированных лекарственных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2. Изменение касается:</w:t>
            </w:r>
          </w:p>
          <w:p>
            <w:pPr>
              <w:spacing w:after="20"/>
              <w:ind w:left="20"/>
              <w:jc w:val="both"/>
            </w:pPr>
            <w:r>
              <w:rPr>
                <w:rFonts w:ascii="Times New Roman"/>
                <w:b w:val="false"/>
                <w:i w:val="false"/>
                <w:color w:val="000000"/>
                <w:sz w:val="20"/>
              </w:rPr>
              <w:t>
твердой лекарственной формы с немедленным высвобождением для приема внутрь или наружного применения;</w:t>
            </w:r>
          </w:p>
          <w:p>
            <w:pPr>
              <w:spacing w:after="20"/>
              <w:ind w:left="20"/>
              <w:jc w:val="both"/>
            </w:pPr>
            <w:r>
              <w:rPr>
                <w:rFonts w:ascii="Times New Roman"/>
                <w:b w:val="false"/>
                <w:i w:val="false"/>
                <w:color w:val="000000"/>
                <w:sz w:val="20"/>
              </w:rPr>
              <w:t>
жидких лекарственных форм в виде раствора, мягких лекарственных форм, суппозиториев, которые не относятся к специализированным лекарственным формам, производимым нестандартными процессами в соответствии с актами органов Союза в сфере обращения лекарственных средств. При этом изменение относится к параметрам процесса производства, которые считаются не влияющими на качество лекарственного препарата (независимо от вида лекарственного препарата и (или) лекарственной формы), и рассматриваемый лекарственный препарат не является биологическим или лекарственным растительным препаратом.</w:t>
            </w:r>
          </w:p>
          <w:p>
            <w:pPr>
              <w:spacing w:after="20"/>
              <w:ind w:left="20"/>
              <w:jc w:val="both"/>
            </w:pPr>
            <w:r>
              <w:rPr>
                <w:rFonts w:ascii="Times New Roman"/>
                <w:b w:val="false"/>
                <w:i w:val="false"/>
                <w:color w:val="000000"/>
                <w:sz w:val="20"/>
              </w:rPr>
              <w:t>
3. Принцип производства, включая отдельные его этапы, не изменяется,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4. Зарегистрированный в настоящее время процесс производства подвергается процессам внутрипроизводственного контроля и изменение процессов такого контроля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6. По результатам нового процесса должен образовываться идентичный лекарственный препарат с точки зрения всех аспектов качества, безопасности и эффективности.</w:t>
            </w:r>
          </w:p>
          <w:p>
            <w:pPr>
              <w:spacing w:after="20"/>
              <w:ind w:left="20"/>
              <w:jc w:val="both"/>
            </w:pPr>
            <w:r>
              <w:rPr>
                <w:rFonts w:ascii="Times New Roman"/>
                <w:b w:val="false"/>
                <w:i w:val="false"/>
                <w:color w:val="000000"/>
                <w:sz w:val="20"/>
              </w:rPr>
              <w:t>
7. Согласно соответствующим документам Союза начаты соответствующие исследования стабильности не менее чем на 1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8. Вторичная упаковка не является функциональной для обеспечения стабильности, или по значимым свойствам по меньшей мере эквивалентна одобренной.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xml:space="preserve">
3. В отношении твердых лекарственных форм: данные профиля растворения </w:t>
            </w:r>
          </w:p>
          <w:p>
            <w:pPr>
              <w:spacing w:after="20"/>
              <w:ind w:left="20"/>
              <w:jc w:val="both"/>
            </w:pPr>
            <w:r>
              <w:rPr>
                <w:rFonts w:ascii="Times New Roman"/>
                <w:b w:val="false"/>
                <w:i w:val="false"/>
                <w:color w:val="000000"/>
                <w:sz w:val="20"/>
              </w:rPr>
              <w:t>1 репрезентативной промышленной серии и сравнительные данные 3 последних серий, произведенных с помощью предыдущего процесса. По запросу необходимо представить данные по следующим 2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Союза.</w:t>
            </w:r>
          </w:p>
          <w:p>
            <w:pPr>
              <w:spacing w:after="20"/>
              <w:ind w:left="20"/>
              <w:jc w:val="both"/>
            </w:pPr>
            <w:r>
              <w:rPr>
                <w:rFonts w:ascii="Times New Roman"/>
                <w:b w:val="false"/>
                <w:i w:val="false"/>
                <w:color w:val="000000"/>
                <w:sz w:val="20"/>
              </w:rPr>
              <w:t>
5. При изменении параметра (параметров)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6. Копии спецификаций на выпуск и конец срока годности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xml:space="preserve">
7.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1 серии, произведенной с помощью одобренного и предлагаемого процесса. По запросу необходимо представить данные по следующим 2 полным промышленным сериям; следует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xml:space="preserve">
8. Подтверждение держателя регистрационного удостоверения, что начаты соответствующие исследования стабильности (с указанием номеров серий) и изучены необходимые параметры стабильности по меньшей мере на 1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если результаты не будут укладываться в спецификации или могут потенциально не уложиться </w:t>
            </w:r>
          </w:p>
          <w:p>
            <w:pPr>
              <w:spacing w:after="20"/>
              <w:ind w:left="20"/>
              <w:jc w:val="both"/>
            </w:pPr>
            <w:r>
              <w:rPr>
                <w:rFonts w:ascii="Times New Roman"/>
                <w:b w:val="false"/>
                <w:i w:val="false"/>
                <w:color w:val="000000"/>
                <w:sz w:val="20"/>
              </w:rPr>
              <w:t xml:space="preserve">в спецификации на конец срока годности, держатель регистрационного удостоверения обязан сообщить уполномоченному органу наряду </w:t>
            </w:r>
          </w:p>
          <w:p>
            <w:pPr>
              <w:spacing w:after="20"/>
              <w:ind w:left="20"/>
              <w:jc w:val="both"/>
            </w:pPr>
            <w:r>
              <w:rPr>
                <w:rFonts w:ascii="Times New Roman"/>
                <w:b w:val="false"/>
                <w:i w:val="false"/>
                <w:color w:val="000000"/>
                <w:sz w:val="20"/>
              </w:rPr>
              <w:t>с предлагаемым планом действий.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вплоть до 10 раз по сравнению с одобренным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уменьшение размера серии до 10 раз по сравнению с зарегистрированным размером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более 10 раз по сравнению с одобренным размером серии лекарственных форм с немедленным высвобождением (для приема внутрь)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лекарственного препарата увеличился (уменьшился) без изменения процесса производства (например, дублирование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3. Любые изменения методов производства и (или) методов внутрипроизводственных контролей необходимы лишь для изменения размера серии, например, использование оборудования другого размера.</w:t>
            </w:r>
          </w:p>
          <w:p>
            <w:pPr>
              <w:spacing w:after="20"/>
              <w:ind w:left="20"/>
              <w:jc w:val="both"/>
            </w:pPr>
            <w:r>
              <w:rPr>
                <w:rFonts w:ascii="Times New Roman"/>
                <w:b w:val="false"/>
                <w:i w:val="false"/>
                <w:color w:val="000000"/>
                <w:sz w:val="20"/>
              </w:rPr>
              <w:t>
4. Имеется схема валидации или в соответствии с текущим протоколом успешно проведена валидация производства не менее чем на 3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лекарственным препаратом.</w:t>
            </w:r>
          </w:p>
          <w:p>
            <w:pPr>
              <w:spacing w:after="20"/>
              <w:ind w:left="20"/>
              <w:jc w:val="both"/>
            </w:pPr>
            <w:r>
              <w:rPr>
                <w:rFonts w:ascii="Times New Roman"/>
                <w:b w:val="false"/>
                <w:i w:val="false"/>
                <w:color w:val="000000"/>
                <w:sz w:val="20"/>
              </w:rPr>
              <w:t>
6.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Данные анализа серий (в форме сравнительной таблицы) по меньшей мере 1 промышленной серии, произведенной в зарегистрированном и предлагаемом размерах (в том числе тест сравнительной кинетики растворения в применимых случаях). По запросу необходимо представить данные по следующим 2 полным промышленным сериям; держатель регистрационного удостоверения обязан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3. Копии одобренных спецификаций на выпуск и конец срока годности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4. В соответствующих случаях необходимо указать номера серий с новым размером серии с датой их производства (</w:t>
            </w:r>
          </w:p>
          <w:p>
            <w:pPr>
              <w:spacing w:after="20"/>
              <w:ind w:left="20"/>
              <w:jc w:val="both"/>
            </w:pPr>
            <w:r>
              <w:t>[MISSING IMAGE: ,  ]</w:t>
            </w:r>
          </w:p>
          <w:p>
            <w:pPr>
              <w:spacing w:after="0"/>
              <w:ind w:left="0"/>
              <w:jc w:val="both"/>
            </w:pPr>
            <w:r>
              <w:rPr>
                <w:rFonts w:ascii="Times New Roman"/>
                <w:b w:val="false"/>
                <w:i w:val="false"/>
                <w:color w:val="000000"/>
                <w:sz w:val="20"/>
              </w:rPr>
              <w:t xml:space="preserve"> 3), использованных в валидационном исследовании, или представить протокол (схему) валидации.</w:t>
            </w:r>
          </w:p>
          <w:p>
            <w:pPr>
              <w:spacing w:after="20"/>
              <w:ind w:left="20"/>
              <w:jc w:val="both"/>
            </w:pPr>
          </w:p>
          <w:p>
            <w:pPr>
              <w:spacing w:after="20"/>
              <w:ind w:left="20"/>
              <w:jc w:val="both"/>
            </w:pPr>
            <w:r>
              <w:rPr>
                <w:rFonts w:ascii="Times New Roman"/>
                <w:b w:val="false"/>
                <w:i w:val="false"/>
                <w:color w:val="000000"/>
                <w:sz w:val="20"/>
              </w:rPr>
              <w:t>
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по значимым параметрам стабильности по меньшей мере на 1 опытной или промышленной серии, охватывающей по меньшей мере 3 месяца; подтверждение того, что такие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 В отношении биологических лекарственных средств: декларация, что оценка сопоставимости не требуется.</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Изменение внутрипроизводственных испытаний или критериев приемлемости, использующихся при производстве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xml:space="preserve">
4. Метод анализа не изменился, а методика анализа не изменилась или изменилась незначительно (например, изменение длины колонки или температуры, но не другой вид колонки). </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xml:space="preserve">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w:t>
            </w:r>
          </w:p>
          <w:p>
            <w:pPr>
              <w:spacing w:after="20"/>
              <w:ind w:left="20"/>
              <w:jc w:val="both"/>
            </w:pPr>
            <w:r>
              <w:rPr>
                <w:rFonts w:ascii="Times New Roman"/>
                <w:b w:val="false"/>
                <w:i w:val="false"/>
                <w:color w:val="000000"/>
                <w:sz w:val="20"/>
              </w:rPr>
              <w:t>
количественное определение;</w:t>
            </w:r>
          </w:p>
          <w:p>
            <w:pPr>
              <w:spacing w:after="20"/>
              <w:ind w:left="20"/>
              <w:jc w:val="both"/>
            </w:pPr>
            <w:r>
              <w:rPr>
                <w:rFonts w:ascii="Times New Roman"/>
                <w:b w:val="false"/>
                <w:i w:val="false"/>
                <w:color w:val="000000"/>
                <w:sz w:val="20"/>
              </w:rPr>
              <w:t>
примеси (если только определенный растворитель однозначно не используется в производстве);</w:t>
            </w:r>
          </w:p>
          <w:p>
            <w:pPr>
              <w:spacing w:after="20"/>
              <w:ind w:left="20"/>
              <w:jc w:val="both"/>
            </w:pPr>
            <w:r>
              <w:rPr>
                <w:rFonts w:ascii="Times New Roman"/>
                <w:b w:val="false"/>
                <w:i w:val="false"/>
                <w:color w:val="000000"/>
                <w:sz w:val="20"/>
              </w:rPr>
              <w:t>
любую критическую физическую характеристику (размер частиц, насыпную плотностью до и после уплотнения и т. д.);</w:t>
            </w:r>
          </w:p>
          <w:p>
            <w:pPr>
              <w:spacing w:after="20"/>
              <w:ind w:left="20"/>
              <w:jc w:val="both"/>
            </w:pPr>
            <w:r>
              <w:rPr>
                <w:rFonts w:ascii="Times New Roman"/>
                <w:b w:val="false"/>
                <w:i w:val="false"/>
                <w:color w:val="000000"/>
                <w:sz w:val="20"/>
              </w:rPr>
              <w:t>
испытание на подлинность (в отсутствие подходящего альтернативного контроля);</w:t>
            </w:r>
          </w:p>
          <w:p>
            <w:pPr>
              <w:spacing w:after="20"/>
              <w:ind w:left="20"/>
              <w:jc w:val="both"/>
            </w:pP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p>
            <w:pPr>
              <w:spacing w:after="20"/>
              <w:ind w:left="20"/>
              <w:jc w:val="both"/>
            </w:pPr>
            <w:r>
              <w:rPr>
                <w:rFonts w:ascii="Times New Roman"/>
                <w:b w:val="false"/>
                <w:i w:val="false"/>
                <w:color w:val="000000"/>
                <w:sz w:val="20"/>
              </w:rPr>
              <w:t>
8. В соответствии с актами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9. Пределы содержания суммы примесей не изменились, новые неквалифицированные примеси не обнаружены.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 критериев приемлемости или сравнительная таблица изменений аналитической методики.</w:t>
            </w:r>
          </w:p>
          <w:p>
            <w:pPr>
              <w:spacing w:after="20"/>
              <w:ind w:left="20"/>
              <w:jc w:val="both"/>
            </w:pPr>
            <w:r>
              <w:rPr>
                <w:rFonts w:ascii="Times New Roman"/>
                <w:b w:val="false"/>
                <w:i w:val="false"/>
                <w:color w:val="000000"/>
                <w:sz w:val="20"/>
              </w:rPr>
              <w:t xml:space="preserve">
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 с подтверждением (если применимо)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3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сравнительные данные профиля растворения лекарственного препарата не менее чем на 1 опытно-промышленной серии, произведенной с использованием текущих и новых внутрипроизводственных испытаний.</w:t>
            </w:r>
          </w:p>
          <w:p>
            <w:pPr>
              <w:spacing w:after="20"/>
              <w:ind w:left="20"/>
              <w:jc w:val="both"/>
            </w:pPr>
            <w:r>
              <w:rPr>
                <w:rFonts w:ascii="Times New Roman"/>
                <w:b w:val="false"/>
                <w:i w:val="false"/>
                <w:color w:val="000000"/>
                <w:sz w:val="20"/>
              </w:rPr>
              <w:t>
6.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7.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8. Обоснование нового внутрипроизводственного испытания и критериев приемлемости.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Б.II.в) Контроль качества вспомогательных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лекарственный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Фармакопеи Союза или статьи фармакопеи государства-члена, изменение собственных данных спецификации на спецификацию фармакопеи согласно Концепции гармонизации, а при отсутствии в ней – на спецификацию фармакопеи, не входящей в Концепцию гармонизации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xml:space="preserve">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p>
          <w:p>
            <w:pPr>
              <w:spacing w:after="20"/>
              <w:ind w:left="20"/>
              <w:jc w:val="both"/>
            </w:pPr>
            <w:r>
              <w:rPr>
                <w:rFonts w:ascii="Times New Roman"/>
                <w:b w:val="false"/>
                <w:i w:val="false"/>
                <w:color w:val="000000"/>
                <w:sz w:val="20"/>
              </w:rPr>
              <w:t>(за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p>
            <w:pPr>
              <w:spacing w:after="20"/>
              <w:ind w:left="20"/>
              <w:jc w:val="both"/>
            </w:pPr>
            <w:r>
              <w:rPr>
                <w:rFonts w:ascii="Times New Roman"/>
                <w:b w:val="false"/>
                <w:i w:val="false"/>
                <w:color w:val="000000"/>
                <w:sz w:val="20"/>
              </w:rPr>
              <w:t>
8. Параметр спецификации не затрагивает контроль критического параметра, например:</w:t>
            </w:r>
          </w:p>
          <w:p>
            <w:pPr>
              <w:spacing w:after="20"/>
              <w:ind w:left="20"/>
              <w:jc w:val="both"/>
            </w:pPr>
            <w:r>
              <w:rPr>
                <w:rFonts w:ascii="Times New Roman"/>
                <w:b w:val="false"/>
                <w:i w:val="false"/>
                <w:color w:val="000000"/>
                <w:sz w:val="20"/>
              </w:rPr>
              <w:t>
примеси (если только определенный растворитель однозначно не используется в производстве);</w:t>
            </w:r>
          </w:p>
          <w:p>
            <w:pPr>
              <w:spacing w:after="20"/>
              <w:ind w:left="20"/>
              <w:jc w:val="both"/>
            </w:pPr>
            <w:r>
              <w:rPr>
                <w:rFonts w:ascii="Times New Roman"/>
                <w:b w:val="false"/>
                <w:i w:val="false"/>
                <w:color w:val="000000"/>
                <w:sz w:val="20"/>
              </w:rPr>
              <w:t>
любую критическую физическую характеристику (размер частиц, насыпную плотностью до и после уплотнения и др.);</w:t>
            </w:r>
          </w:p>
          <w:p>
            <w:pPr>
              <w:spacing w:after="20"/>
              <w:ind w:left="20"/>
              <w:jc w:val="both"/>
            </w:pPr>
            <w:r>
              <w:rPr>
                <w:rFonts w:ascii="Times New Roman"/>
                <w:b w:val="false"/>
                <w:i w:val="false"/>
                <w:color w:val="000000"/>
                <w:sz w:val="20"/>
              </w:rPr>
              <w:t xml:space="preserve">
испытание на подлинность (в отсутствие подходящего альтернативного контроля); </w:t>
            </w:r>
          </w:p>
          <w:p>
            <w:pPr>
              <w:spacing w:after="20"/>
              <w:ind w:left="20"/>
              <w:jc w:val="both"/>
            </w:pP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xml:space="preserve">
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w:t>
            </w:r>
          </w:p>
          <w:p>
            <w:pPr>
              <w:spacing w:after="20"/>
              <w:ind w:left="20"/>
              <w:jc w:val="both"/>
            </w:pPr>
            <w:r>
              <w:rPr>
                <w:rFonts w:ascii="Times New Roman"/>
                <w:b w:val="false"/>
                <w:i w:val="false"/>
                <w:color w:val="000000"/>
                <w:sz w:val="20"/>
              </w:rPr>
              <w:t>
4. Данные анализа 2 промышленных серий (в отсутствие должных обоснований для биологических активных фармацевтических субстанций – 3 серий) вспомогательного вещества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1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p>
            <w:pPr>
              <w:spacing w:after="20"/>
              <w:ind w:left="20"/>
              <w:jc w:val="both"/>
            </w:pPr>
            <w:r>
              <w:rPr>
                <w:rFonts w:ascii="Times New Roman"/>
                <w:b w:val="false"/>
                <w:i w:val="false"/>
                <w:color w:val="000000"/>
                <w:sz w:val="20"/>
              </w:rPr>
              <w:t>
7. Обоснование (оценка рисков) подтверждающее,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Изменение источника получения вспомогательного вещества или реактива с риском 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активной фармацевтической субстанции или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активной фармацевтической субстанции или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p>
            <w:pPr>
              <w:spacing w:after="20"/>
              <w:ind w:left="20"/>
              <w:jc w:val="both"/>
            </w:pPr>
            <w:r>
              <w:rPr>
                <w:rFonts w:ascii="Times New Roman"/>
                <w:b w:val="false"/>
                <w:i w:val="false"/>
                <w:color w:val="000000"/>
                <w:sz w:val="20"/>
              </w:rPr>
              <w:t xml:space="preserve">
2. Необходимо обеспечить соблюдение условий по минимизации риска контаминации ГЭ, указанных в актах органов Союза в сфере обращения лекарственных средств.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производителя или держателя разрешительного документа на используемый материал, что он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актах органов Союза в сфере обращения лекарственных средств) или физико-химических свойств.</w:t>
            </w:r>
          </w:p>
          <w:p>
            <w:pPr>
              <w:spacing w:after="20"/>
              <w:ind w:left="20"/>
              <w:jc w:val="both"/>
            </w:pPr>
            <w:r>
              <w:rPr>
                <w:rFonts w:ascii="Times New Roman"/>
                <w:b w:val="false"/>
                <w:i w:val="false"/>
                <w:color w:val="000000"/>
                <w:sz w:val="20"/>
              </w:rPr>
              <w:t>
2. Вспомогательное вещество не является адъювантом.</w:t>
            </w:r>
          </w:p>
          <w:p>
            <w:pPr>
              <w:spacing w:after="20"/>
              <w:ind w:left="20"/>
              <w:jc w:val="both"/>
            </w:pPr>
            <w:r>
              <w:rPr>
                <w:rFonts w:ascii="Times New Roman"/>
                <w:b w:val="false"/>
                <w:i w:val="false"/>
                <w:color w:val="000000"/>
                <w:sz w:val="20"/>
              </w:rPr>
              <w:t>
3. Должен остаться как минимум один производственный процесс, одобренный ранее.</w:t>
            </w:r>
          </w:p>
          <w:p>
            <w:pPr>
              <w:spacing w:after="20"/>
              <w:ind w:left="20"/>
              <w:jc w:val="both"/>
            </w:pPr>
            <w:r>
              <w:rPr>
                <w:rFonts w:ascii="Times New Roman"/>
                <w:b w:val="false"/>
                <w:i w:val="false"/>
                <w:color w:val="000000"/>
                <w:sz w:val="20"/>
              </w:rPr>
              <w:t>
4. Исключение не должно быть связано с критическими недостатками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2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3. В соответствующих случаях данные теста сравнительной кинетики растворения лекарственного препарата по меньшей мере 2 серий (по меньшей мере опытно-промышленных).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p>
            <w:pPr>
              <w:spacing w:after="20"/>
              <w:ind w:left="20"/>
              <w:jc w:val="both"/>
            </w:pPr>
            <w:r>
              <w:rPr>
                <w:rFonts w:ascii="Times New Roman"/>
                <w:b w:val="false"/>
                <w:i w:val="false"/>
                <w:color w:val="000000"/>
                <w:sz w:val="20"/>
              </w:rPr>
              <w:t>
5. Подтверждение заявителя, что исключение не связано с критическими недостатками производства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Б.II.г) Контроль качества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Изменение параметров спецификации и (или) критериев приемлемости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иммунологического лекарственного препарата или препаратов, полученных из плазмы человека, серии которых подлежат выпуску в обращение официальным контрольным органом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в том числе нормативного документа по качеству, с целью соответствия положениям обновленной общей статьи Фармакопеи Союза или (в случае регистрации лекарственного препарата в одном государстве-члене) фармакопеи государства-члена (включая актуализацию ссылок) на лекарственный препарат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введение испытания согласно статье Фармакопеи Союза 2.1.9.14 "Однородность дозированных единиц" вместо ранее одобренного зарегистрированного метода или испытания согласно статье 2.1.9.5 "Однородность массы единицы дозированного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w:t>
            </w:r>
          </w:p>
          <w:p>
            <w:pPr>
              <w:spacing w:after="20"/>
              <w:ind w:left="20"/>
              <w:jc w:val="both"/>
            </w:pPr>
            <w:r>
              <w:rPr>
                <w:rFonts w:ascii="Times New Roman"/>
                <w:b w:val="false"/>
                <w:i w:val="false"/>
                <w:color w:val="000000"/>
                <w:sz w:val="20"/>
              </w:rPr>
              <w:t xml:space="preserve">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 или испытаний лекарственного препарата. </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Методика остается без изменений или изменения являются незначительными.</w:t>
            </w:r>
          </w:p>
          <w:p>
            <w:pPr>
              <w:spacing w:after="20"/>
              <w:ind w:left="20"/>
              <w:jc w:val="both"/>
            </w:pPr>
            <w:r>
              <w:rPr>
                <w:rFonts w:ascii="Times New Roman"/>
                <w:b w:val="false"/>
                <w:i w:val="false"/>
                <w:color w:val="000000"/>
                <w:sz w:val="20"/>
              </w:rPr>
              <w:t>
5.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xml:space="preserve">
6. Изменение затрагивает обновление критериев приемлемости микробиологических контролей в целях соответствия действующей Фармакопее Союза, а при отсутствии в ней – в Фармакопее государства-члена или при отсутствии в указанных фармакопеях – иной фармакопее согласно Концепции гармонизации, а текущие зарегистрированные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 </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w:t>
            </w:r>
          </w:p>
          <w:p>
            <w:pPr>
              <w:spacing w:after="20"/>
              <w:ind w:left="20"/>
              <w:jc w:val="both"/>
            </w:pPr>
            <w:r>
              <w:rPr>
                <w:rFonts w:ascii="Times New Roman"/>
                <w:b w:val="false"/>
                <w:i w:val="false"/>
                <w:color w:val="000000"/>
                <w:sz w:val="20"/>
              </w:rPr>
              <w:t xml:space="preserve">
количественное определение; </w:t>
            </w:r>
          </w:p>
          <w:p>
            <w:pPr>
              <w:spacing w:after="20"/>
              <w:ind w:left="20"/>
              <w:jc w:val="both"/>
            </w:pPr>
            <w:r>
              <w:rPr>
                <w:rFonts w:ascii="Times New Roman"/>
                <w:b w:val="false"/>
                <w:i w:val="false"/>
                <w:color w:val="000000"/>
                <w:sz w:val="20"/>
              </w:rPr>
              <w:t>
примеси (если только определенный растворитель однозначно не используется в производстве лекарственного препарата);</w:t>
            </w:r>
          </w:p>
          <w:p>
            <w:pPr>
              <w:spacing w:after="20"/>
              <w:ind w:left="20"/>
              <w:jc w:val="both"/>
            </w:pPr>
            <w:r>
              <w:rPr>
                <w:rFonts w:ascii="Times New Roman"/>
                <w:b w:val="false"/>
                <w:i w:val="false"/>
                <w:color w:val="000000"/>
                <w:sz w:val="20"/>
              </w:rPr>
              <w:t>
любую критическую физическую характеристику (устойчивость таблеток к раздавливанию и истираемость таблеток, не покрытых оболочкой, размеры, и др.);</w:t>
            </w:r>
          </w:p>
          <w:p>
            <w:pPr>
              <w:spacing w:after="20"/>
              <w:ind w:left="20"/>
              <w:jc w:val="both"/>
            </w:pPr>
            <w:r>
              <w:rPr>
                <w:rFonts w:ascii="Times New Roman"/>
                <w:b w:val="false"/>
                <w:i w:val="false"/>
                <w:color w:val="000000"/>
                <w:sz w:val="20"/>
              </w:rPr>
              <w:t>
любой запрос на пропуск испытания.</w:t>
            </w:r>
          </w:p>
          <w:p>
            <w:pPr>
              <w:spacing w:after="20"/>
              <w:ind w:left="20"/>
              <w:jc w:val="both"/>
            </w:pPr>
            <w:r>
              <w:rPr>
                <w:rFonts w:ascii="Times New Roman"/>
                <w:b w:val="false"/>
                <w:i w:val="false"/>
                <w:color w:val="000000"/>
                <w:sz w:val="20"/>
              </w:rPr>
              <w:t>
8. Предлагаемый контроль полностью соответствует таблице 2.1.9.14.-1 статьи Фармакопеи Союза "Однородность дозированных единиц" и не включает в себя альтернативные предложения испытаний однородности с использованием расчетно-массового способа вместо способа прямого определения, если последний указан в вышеуказанной таблице.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Данные анализа 2 промышленных серий (при отсутствии должных обоснований для биологических активных фармацевтических субстанций –</w:t>
            </w:r>
          </w:p>
          <w:p>
            <w:pPr>
              <w:spacing w:after="20"/>
              <w:ind w:left="20"/>
              <w:jc w:val="both"/>
            </w:pPr>
            <w:r>
              <w:rPr>
                <w:rFonts w:ascii="Times New Roman"/>
                <w:b w:val="false"/>
                <w:i w:val="false"/>
                <w:color w:val="000000"/>
                <w:sz w:val="20"/>
              </w:rPr>
              <w:t>3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4. Обоснование (оценка рисков), подтверждающее, что параметр является незначимым.</w:t>
            </w:r>
          </w:p>
          <w:p>
            <w:pPr>
              <w:spacing w:after="20"/>
              <w:ind w:left="20"/>
              <w:jc w:val="both"/>
            </w:pPr>
            <w:r>
              <w:rPr>
                <w:rFonts w:ascii="Times New Roman"/>
                <w:b w:val="false"/>
                <w:i w:val="false"/>
                <w:color w:val="000000"/>
                <w:sz w:val="20"/>
              </w:rPr>
              <w:t>
5. Обоснование (оценка рисков), подтверждающее, что частота испытаний по параметру может быть изменена.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регистрационном досье и (или) нормативном документе по качеству зарегистрированного лекарственного препарата упоминается "текущее издание (действующее издание в соответствии с законодательством государства-члена)" отсутствует необходимость в уведомлении уполномоченных органов об обновленной статье Фармакопеи Союза или фармакопеи государства-члена (в случае регистрации лекарственного препарата в одном государстве-члене). В связи с этим такое изменение применяется при отсутствии упоминания обновленной фармакопейной статьи в регистрационном досье и (или) нормативном документе по качеству, а изменение осуществляется в целях включения упоминания обновленной версии.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незначительные изменения утвержденной аналитической методики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статьей Фармакопеи Союза или фармакопеи государства-члена (при регистрации лекарственного препарата в одном государстве-члене)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Фармакопеи Союза или фармакопеи государства-члена (при регистрации лекарственного препарата в одном государстве-члене) и исключения упоминания устаревшей собственной аналитической методики и ее номера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2. Отсутствуют существенные изменения, влияющие на воспроизводимость аналитической методики.</w:t>
            </w:r>
          </w:p>
          <w:p>
            <w:pPr>
              <w:spacing w:after="20"/>
              <w:ind w:left="20"/>
              <w:jc w:val="both"/>
            </w:pPr>
            <w:r>
              <w:rPr>
                <w:rFonts w:ascii="Times New Roman"/>
                <w:b w:val="false"/>
                <w:i w:val="false"/>
                <w:color w:val="000000"/>
                <w:sz w:val="20"/>
              </w:rPr>
              <w:t>
3.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4. Зарегистрированная аналитическая методика уже ссылается на общую статью Фармакопеи Союза или фармакопеи государства-члена (при регистрации лекарственного препарата в одном государстве-члене), а любые изменения являются незначимыми и требуют технического обновления регистрационного досье.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аналитической методики, пересмотренные спецификации на примеси (если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(действующее издание в соответствии с законодательством государства-члена)", необходимость в уведомлении уполномоченных органов об обновленной статье Фармакопеи Союза или фармакопеи государства-члена отсутствует.</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Б.II.д) Система упаковки (укупорки)</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качественный и (или) количественный состав материала системы упаковки (укупорки) первичной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первичной упаковки или добавление нового вида первичной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вида первичной упаковки, которое не приводит к полному исключению дозировки или лекарственной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затрагивает только один и тот же вид упаковки (например, блистер на блистер).</w:t>
            </w:r>
          </w:p>
          <w:p>
            <w:pPr>
              <w:spacing w:after="20"/>
              <w:ind w:left="20"/>
              <w:jc w:val="both"/>
            </w:pPr>
            <w:r>
              <w:rPr>
                <w:rFonts w:ascii="Times New Roman"/>
                <w:b w:val="false"/>
                <w:i w:val="false"/>
                <w:color w:val="000000"/>
                <w:sz w:val="20"/>
              </w:rPr>
              <w:t>
2. По значимым свойствам предлагаемый упаковочный материал должен быть по меньшей мере эквивалентным одобренному.</w:t>
            </w:r>
          </w:p>
          <w:p>
            <w:pPr>
              <w:spacing w:after="20"/>
              <w:ind w:left="20"/>
              <w:jc w:val="both"/>
            </w:pPr>
            <w:r>
              <w:rPr>
                <w:rFonts w:ascii="Times New Roman"/>
                <w:b w:val="false"/>
                <w:i w:val="false"/>
                <w:color w:val="000000"/>
                <w:sz w:val="20"/>
              </w:rPr>
              <w:t>
3. Начаты соответствующие исследования стабильности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3-месячные данные по стабильности не требуются. Исследования должны быть завершены, если их результаты не укладываются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форма (формы) выпуска лекарственного препарата должна быть достаточна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т.д.).</w:t>
            </w:r>
          </w:p>
          <w:p>
            <w:pPr>
              <w:spacing w:after="20"/>
              <w:ind w:left="20"/>
              <w:jc w:val="both"/>
            </w:pPr>
            <w:r>
              <w:rPr>
                <w:rFonts w:ascii="Times New Roman"/>
                <w:b w:val="false"/>
                <w:i w:val="false"/>
                <w:color w:val="000000"/>
                <w:sz w:val="20"/>
              </w:rPr>
              <w:t xml:space="preserve">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актам органов Союза по безопасности материалов контактирующих с пищевой продукцией. </w:t>
            </w:r>
          </w:p>
          <w:p>
            <w:pPr>
              <w:spacing w:after="20"/>
              <w:ind w:left="20"/>
              <w:jc w:val="both"/>
            </w:pPr>
            <w:r>
              <w:rPr>
                <w:rFonts w:ascii="Times New Roman"/>
                <w:b w:val="false"/>
                <w:i w:val="false"/>
                <w:color w:val="000000"/>
                <w:sz w:val="20"/>
              </w:rPr>
              <w:t xml:space="preserve">
4.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по значимым параметрам стабильности не менее чем на 2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7. При необходимости фото и (или) схематический рисунок новой системы упаковки (укупорки).</w:t>
            </w:r>
          </w:p>
          <w:p>
            <w:pPr>
              <w:spacing w:after="20"/>
              <w:ind w:left="20"/>
              <w:jc w:val="both"/>
            </w:pPr>
            <w:r>
              <w:rPr>
                <w:rFonts w:ascii="Times New Roman"/>
                <w:b w:val="false"/>
                <w:i w:val="false"/>
                <w:color w:val="000000"/>
                <w:sz w:val="20"/>
              </w:rPr>
              <w:t>
8. Декларация держателя регистрационного удостоверения, что оставшийся размер (размеры) упаковки соответствует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критериев приемлемости для параметра "общая толщина" блистерной фольги (покрывной алюминиевой фольги) первичной упаковки твердых лекарственных форм, вызванное разницей в количестве наносимого материала грунтовки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3. Любое изменение должно укладываться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xml:space="preserve">
5. Новая методика испытания основана на общих методах анализа, описанных </w:t>
            </w:r>
          </w:p>
          <w:p>
            <w:pPr>
              <w:spacing w:after="20"/>
              <w:ind w:left="20"/>
              <w:jc w:val="both"/>
            </w:pPr>
            <w:r>
              <w:rPr>
                <w:rFonts w:ascii="Times New Roman"/>
                <w:b w:val="false"/>
                <w:i w:val="false"/>
                <w:color w:val="000000"/>
                <w:sz w:val="20"/>
              </w:rPr>
              <w:t>в Фармакопее Союза или Фармакопее государства-члена (в случае регистрации лекарственного препарата в одном государстве-члене) (например, ВЭЖХ, спектрофотометрия, титриметрия и пр.).</w:t>
            </w:r>
          </w:p>
          <w:p>
            <w:pPr>
              <w:spacing w:after="20"/>
              <w:ind w:left="20"/>
              <w:jc w:val="both"/>
            </w:pPr>
            <w:r>
              <w:rPr>
                <w:rFonts w:ascii="Times New Roman"/>
                <w:b w:val="false"/>
                <w:i w:val="false"/>
                <w:color w:val="000000"/>
                <w:sz w:val="20"/>
              </w:rPr>
              <w:t>
6. Материал грунтовки не изменяется.</w:t>
            </w:r>
          </w:p>
          <w:p>
            <w:pPr>
              <w:spacing w:after="20"/>
              <w:ind w:left="20"/>
              <w:jc w:val="both"/>
            </w:pPr>
            <w:r>
              <w:rPr>
                <w:rFonts w:ascii="Times New Roman"/>
                <w:b w:val="false"/>
                <w:i w:val="false"/>
                <w:color w:val="000000"/>
                <w:sz w:val="20"/>
              </w:rPr>
              <w:t>
7. Начаты соответствующие исследования стабильности в соответствии с актами органов Союза в сфере обращения лекарственных средств не менее чем 2 опытно-промышленных или промышленных серий. Эти исследования должны быть завершены, а данные немедленно представлены уполномоченным органам, если они выходят за пределы спецификаций или потенциально выйдут за пределы спецификаций в конце одобренного срока годности.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xml:space="preserve">
3. Подробное описание новой аналитической методики и данные по валидации </w:t>
            </w:r>
          </w:p>
          <w:p>
            <w:pPr>
              <w:spacing w:after="20"/>
              <w:ind w:left="20"/>
              <w:jc w:val="both"/>
            </w:pPr>
            <w:r>
              <w:rPr>
                <w:rFonts w:ascii="Times New Roman"/>
                <w:b w:val="false"/>
                <w:i w:val="false"/>
                <w:color w:val="000000"/>
                <w:sz w:val="20"/>
              </w:rPr>
              <w:t>(в соответствующих случаях).</w:t>
            </w:r>
          </w:p>
          <w:p>
            <w:pPr>
              <w:spacing w:after="20"/>
              <w:ind w:left="20"/>
              <w:jc w:val="both"/>
            </w:pPr>
            <w:r>
              <w:rPr>
                <w:rFonts w:ascii="Times New Roman"/>
                <w:b w:val="false"/>
                <w:i w:val="false"/>
                <w:color w:val="000000"/>
                <w:sz w:val="20"/>
              </w:rPr>
              <w:t>
4. Данные анализа 2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p>
            <w:pPr>
              <w:spacing w:after="20"/>
              <w:ind w:left="20"/>
              <w:jc w:val="both"/>
            </w:pPr>
            <w:r>
              <w:rPr>
                <w:rFonts w:ascii="Times New Roman"/>
                <w:b w:val="false"/>
                <w:i w:val="false"/>
                <w:color w:val="000000"/>
                <w:sz w:val="20"/>
              </w:rPr>
              <w:t xml:space="preserve">
7. Подтверждение начала соответствующих исследований стабильности </w:t>
            </w:r>
          </w:p>
          <w:p>
            <w:pPr>
              <w:spacing w:after="20"/>
              <w:ind w:left="20"/>
              <w:jc w:val="both"/>
            </w:pPr>
            <w:r>
              <w:rPr>
                <w:rFonts w:ascii="Times New Roman"/>
                <w:b w:val="false"/>
                <w:i w:val="false"/>
                <w:color w:val="000000"/>
                <w:sz w:val="20"/>
              </w:rPr>
              <w:t>в соответствии с актами органов Союза в сфере обращения лекарственных средств не менее чем 2 опытно-промышленных или промышленных серий.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актам органов Союза в сфере обращения лекарственных средств, проведена необходимая валидация, подтверждающая,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3. Ни один новый метод испытания не основан на новой нестандартной методике или стандартной методике, используемой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Б.II.д.4. Изменение формы или размеров системы упаковки (укупорки) первичной упаковки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Качественный и количественный состав материала первичной упаковки не изменился.</w:t>
            </w:r>
          </w:p>
          <w:p>
            <w:pPr>
              <w:spacing w:after="20"/>
              <w:ind w:left="20"/>
              <w:jc w:val="both"/>
            </w:pPr>
            <w:r>
              <w:rPr>
                <w:rFonts w:ascii="Times New Roman"/>
                <w:b w:val="false"/>
                <w:i w:val="false"/>
                <w:color w:val="000000"/>
                <w:sz w:val="20"/>
              </w:rPr>
              <w:t>
2. Изменение не затрагивает ключевые показатели качества упаковочного материала, которые могут повлиять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xml:space="preserve">
3. При изменении свободного пространства или изменении отношения поверхности к объему начаты соответствующие исследования стабильности; проанализированы соответствующие параметры стабильности не менее чем </w:t>
            </w:r>
          </w:p>
          <w:p>
            <w:pPr>
              <w:spacing w:after="20"/>
              <w:ind w:left="20"/>
              <w:jc w:val="both"/>
            </w:pPr>
            <w:r>
              <w:rPr>
                <w:rFonts w:ascii="Times New Roman"/>
                <w:b w:val="false"/>
                <w:i w:val="false"/>
                <w:color w:val="000000"/>
                <w:sz w:val="20"/>
              </w:rPr>
              <w:t>на 2 опытно-промышленных (для биологических лекарственных препаратов – 3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лекарственных препаратов – 6-месячного).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описание, подробный чертеж и состав материала первичной упаковки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2. При необходимости фото и (или) схематический рисунок новой упаковки (укупорки)</w:t>
            </w:r>
          </w:p>
          <w:p>
            <w:pPr>
              <w:spacing w:after="20"/>
              <w:ind w:left="20"/>
              <w:jc w:val="both"/>
            </w:pPr>
            <w:r>
              <w:rPr>
                <w:rFonts w:ascii="Times New Roman"/>
                <w:b w:val="false"/>
                <w:i w:val="false"/>
                <w:color w:val="000000"/>
                <w:sz w:val="20"/>
              </w:rPr>
              <w:t>
3. Проведены повторные валидационные исследования стерильных препаратов, подвергающихся финишной стерилизации. В соответствующих случаях необходимо указать номера серий, использованных в валидационных исследованиях.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 изменении свободного пространства или отношения поверхности к объему декларация держателя регистрационного удостоверения, что начаты требуемые исследования стабильности (с указанием номеров серий); и что </w:t>
            </w:r>
          </w:p>
          <w:p>
            <w:pPr>
              <w:spacing w:after="20"/>
              <w:ind w:left="20"/>
              <w:jc w:val="both"/>
            </w:pPr>
            <w:r>
              <w:rPr>
                <w:rFonts w:ascii="Times New Roman"/>
                <w:b w:val="false"/>
                <w:i w:val="false"/>
                <w:color w:val="000000"/>
                <w:sz w:val="20"/>
              </w:rPr>
              <w:t>(в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держатель регистрационного удостоверения обязан сообщить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Б.II.д.5. Изменение формы выпуска лекарственного препарата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др.)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количества лекарственной формы (числа доз)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количества лекарственной формы (числа доз)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исключение форм выпуска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Документация </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2. Обоснование, что новые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актам органов Союза в сфере обращения лекарственных средств будут начаты исследования стабильности. Данные необходимо представить (с предлагаемым планом действий), в случае если они не укладываются в спецификации.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Б.II.д.5.г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Изменение какой-либо составляющей упаковки (упаковочного материала),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 изменение дизайна (цвета) макетов промежуточной или вторичной упаковки, нанесение штрих кода (2D, 3D), нанесение шрифта Брайля)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изменение, затрагивающее информацию о лекарственном препарате, указанную </w:t>
            </w:r>
          </w:p>
          <w:p>
            <w:pPr>
              <w:spacing w:after="20"/>
              <w:ind w:left="20"/>
              <w:jc w:val="both"/>
            </w:pPr>
            <w:r>
              <w:rPr>
                <w:rFonts w:ascii="Times New Roman"/>
                <w:b w:val="false"/>
                <w:i w:val="false"/>
                <w:color w:val="000000"/>
                <w:sz w:val="20"/>
              </w:rPr>
              <w:t>в пункте 1.6.1 приложения № 19 к Правилам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изменение, не затрагивающее информацию о лекарственном препарате, указанную </w:t>
            </w:r>
          </w:p>
          <w:p>
            <w:pPr>
              <w:spacing w:after="20"/>
              <w:ind w:left="20"/>
              <w:jc w:val="both"/>
            </w:pPr>
            <w:r>
              <w:rPr>
                <w:rFonts w:ascii="Times New Roman"/>
                <w:b w:val="false"/>
                <w:i w:val="false"/>
                <w:color w:val="000000"/>
                <w:sz w:val="20"/>
              </w:rPr>
              <w:t>в пункте 1.6.1 приложения № 19 к Правилам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затрагивает части упаковочного материала, которые могут повлиять на доставку, применение, безопасность или стабильность лекарственного препарата.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пересмотр информации о лекарственном препарате.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Б.II.д.7. Изменение производителя компонентов системы упаковки (укупорки) первичной упаковки или дополнительной продукции </w:t>
            </w:r>
          </w:p>
          <w:p>
            <w:pPr>
              <w:spacing w:after="20"/>
              <w:ind w:left="20"/>
              <w:jc w:val="both"/>
            </w:pPr>
            <w:r>
              <w:rPr>
                <w:rFonts w:ascii="Times New Roman"/>
                <w:b w:val="false"/>
                <w:i w:val="false"/>
                <w:color w:val="000000"/>
                <w:sz w:val="20"/>
              </w:rPr>
              <w:t xml:space="preserve">(в том числе устройства, комплектующего средства), </w:t>
            </w:r>
          </w:p>
          <w:p>
            <w:pPr>
              <w:spacing w:after="20"/>
              <w:ind w:left="20"/>
              <w:jc w:val="both"/>
            </w:pPr>
            <w:r>
              <w:rPr>
                <w:rFonts w:ascii="Times New Roman"/>
                <w:b w:val="false"/>
                <w:i w:val="false"/>
                <w:color w:val="000000"/>
                <w:sz w:val="20"/>
              </w:rPr>
              <w:t>(если указано в регистрационном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компонента упаковки или изделия не происходит.</w:t>
            </w:r>
          </w:p>
          <w:p>
            <w:pPr>
              <w:spacing w:after="20"/>
              <w:ind w:left="20"/>
              <w:jc w:val="both"/>
            </w:pPr>
            <w:r>
              <w:rPr>
                <w:rFonts w:ascii="Times New Roman"/>
                <w:b w:val="false"/>
                <w:i w:val="false"/>
                <w:color w:val="000000"/>
                <w:sz w:val="20"/>
              </w:rPr>
              <w:t>
2. Качественный и (или) количественный состав материалов компонентов системы упаковки (укупорки) первичной упаковки или дополнительной продукции (в том числе устройства, комплектующего средства) и спецификации эскиза не изменяются.</w:t>
            </w:r>
          </w:p>
          <w:p>
            <w:pPr>
              <w:spacing w:after="20"/>
              <w:ind w:left="20"/>
              <w:jc w:val="both"/>
            </w:pPr>
            <w:r>
              <w:rPr>
                <w:rFonts w:ascii="Times New Roman"/>
                <w:b w:val="false"/>
                <w:i w:val="false"/>
                <w:color w:val="000000"/>
                <w:sz w:val="20"/>
              </w:rPr>
              <w:t>
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p>
            <w:pPr>
              <w:spacing w:after="20"/>
              <w:ind w:left="20"/>
              <w:jc w:val="both"/>
            </w:pPr>
            <w:r>
              <w:rPr>
                <w:rFonts w:ascii="Times New Roman"/>
                <w:b w:val="false"/>
                <w:i w:val="false"/>
                <w:color w:val="000000"/>
                <w:sz w:val="20"/>
              </w:rPr>
              <w:t>
5. Изменение производителя компонента системы упаковки (укупорки) первичной упаковки или дополнительной продукции (в том числе устройства, комплектующего средства) не происходит.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xml:space="preserve">
2. Документы и сведения о медицинском изделии, прилагаемые к лекарственному препарату, в соответствии с пунктом 187 Правил регистрации. </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данная информация подлежит удалению из регистрационного досье лекарственного препарата.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Б.II.е)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Изменение срока годности или условий хранения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во вторичную упаковку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во вторичную упаковку (подтвержденное данными в реальном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срока хранения биологического лекарственного препарата в соответствии с одобренной программой изучения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одобренной программы изучения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должно быть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Она должна содержать результаты соответствующих исследований стабильности в реальном времени (охватывающих весь срок годности), проведенных в соответствии с актами органов Союза в сфере обращения лекарственных средств по меньшей мере на 2 опытно-промышленных сериях</w:t>
            </w:r>
            <w:r>
              <w:rPr>
                <w:rFonts w:ascii="Times New Roman"/>
                <w:b w:val="false"/>
                <w:i w:val="false"/>
                <w:color w:val="000000"/>
                <w:vertAlign w:val="superscript"/>
              </w:rPr>
              <w:t>1</w:t>
            </w:r>
            <w:r>
              <w:rPr>
                <w:rFonts w:ascii="Times New Roman"/>
                <w:b w:val="false"/>
                <w:i w:val="false"/>
                <w:color w:val="000000"/>
                <w:sz w:val="20"/>
              </w:rPr>
              <w:t xml:space="preserve">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w:t>
            </w:r>
          </w:p>
          <w:p>
            <w:pPr>
              <w:spacing w:after="20"/>
              <w:ind w:left="20"/>
              <w:jc w:val="both"/>
            </w:pPr>
            <w:r>
              <w:rPr>
                <w:rFonts w:ascii="Times New Roman"/>
                <w:b w:val="false"/>
                <w:i w:val="false"/>
                <w:color w:val="000000"/>
                <w:sz w:val="20"/>
              </w:rPr>
              <w:t>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Копии утвержденных спецификаций на конец срока годности и, если применимо, спецификации после разведения (восстановления) или после первого вскрытия (в виде ссылки на соответствующий документ в последовательности досье или приложения к сопроводительному письму).</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лекарственного препарата экстраполяция неприменима.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Б.II.ж)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xml:space="preserve">
2. Поправка к соответствующему разделу (разделам) регистрационного досье.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держателя регистрационного удостоверения, что любое изменение должно укладываться в диапазон действующих утвержденных критериев приемлемости. Помимо этого, подтверждение, что в отношении биологических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Подтверждение держателя регистрационного удостоверения,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подтверждение того, что в отношении биологических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 (в виде ссылки на соответствующий документ в последовательности досье или приложения к сопроводительному письму).</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Б.II.з) Безопасность в отношении посторонних агентов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Обновление информации "Оценка безопасности лекарственных препаратов относительно наличия посторонних агентов" </w:t>
            </w:r>
          </w:p>
          <w:p>
            <w:pPr>
              <w:spacing w:after="20"/>
              <w:ind w:left="20"/>
              <w:jc w:val="both"/>
            </w:pPr>
            <w:r>
              <w:rPr>
                <w:rFonts w:ascii="Times New Roman"/>
                <w:b w:val="false"/>
                <w:i w:val="false"/>
                <w:color w:val="000000"/>
                <w:sz w:val="20"/>
              </w:rPr>
              <w:t>(раздел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регистрационное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Б.III. Сертификат соответствия Европейской Фармакопее (CEP) (при наличии), и (или) ГЭ, и (или) изменения активной фармацевтической субстанции и вспомогательных веществ в целях соответствия Фармакопее Союза, фармакопее государства-члена или другим фармакопеям согласно Концепции гармонизации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Б.III.1. Подача нового или обновленного сертификата соответствия Европейской Фармакопее или исключение сертификата соответствия Европейской Фармакопее на: </w:t>
            </w:r>
          </w:p>
          <w:p>
            <w:pPr>
              <w:spacing w:after="20"/>
              <w:ind w:left="20"/>
              <w:jc w:val="both"/>
            </w:pPr>
            <w:r>
              <w:rPr>
                <w:rFonts w:ascii="Times New Roman"/>
                <w:b w:val="false"/>
                <w:i w:val="false"/>
                <w:color w:val="000000"/>
                <w:sz w:val="20"/>
              </w:rPr>
              <w:t>
фармацевтическую субстанцию;</w:t>
            </w:r>
          </w:p>
          <w:p>
            <w:pPr>
              <w:spacing w:after="20"/>
              <w:ind w:left="20"/>
              <w:jc w:val="both"/>
            </w:pPr>
            <w:r>
              <w:rPr>
                <w:rFonts w:ascii="Times New Roman"/>
                <w:b w:val="false"/>
                <w:i w:val="false"/>
                <w:color w:val="000000"/>
                <w:sz w:val="20"/>
              </w:rPr>
              <w:t>
исходный материал (реактив, промежуточный продукт), используемый в процесс производства фармацевтической субстанции;</w:t>
            </w:r>
          </w:p>
          <w:p>
            <w:pPr>
              <w:spacing w:after="20"/>
              <w:ind w:left="20"/>
              <w:jc w:val="both"/>
            </w:pPr>
            <w:r>
              <w:rPr>
                <w:rFonts w:ascii="Times New Roman"/>
                <w:b w:val="false"/>
                <w:i w:val="false"/>
                <w:color w:val="000000"/>
                <w:sz w:val="20"/>
              </w:rPr>
              <w:t>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сертификат соответствия Европейской Фармакопее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2. Неизмененные (исключая ужесточение) дополнительные (к Европейской Фармакопее) спецификации на примеси (исключая остаточные растворители, при условии их соответствия требованиям руководств Международного совета по гармонизации технических требований к регистрации лекарственных препаратов для медицинского применения)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xml:space="preserve">
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w:t>
            </w:r>
          </w:p>
          <w:p>
            <w:pPr>
              <w:spacing w:after="20"/>
              <w:ind w:left="20"/>
              <w:jc w:val="both"/>
            </w:pPr>
            <w:r>
              <w:rPr>
                <w:rFonts w:ascii="Times New Roman"/>
                <w:b w:val="false"/>
                <w:i w:val="false"/>
                <w:color w:val="000000"/>
                <w:sz w:val="20"/>
              </w:rPr>
              <w:t xml:space="preserve">в досье. </w:t>
            </w:r>
          </w:p>
          <w:p>
            <w:pPr>
              <w:spacing w:after="20"/>
              <w:ind w:left="20"/>
              <w:jc w:val="both"/>
            </w:pPr>
            <w:r>
              <w:rPr>
                <w:rFonts w:ascii="Times New Roman"/>
                <w:b w:val="false"/>
                <w:i w:val="false"/>
                <w:color w:val="000000"/>
                <w:sz w:val="20"/>
              </w:rPr>
              <w:t>
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7. Если в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страны производителя.</w:t>
            </w:r>
          </w:p>
          <w:p>
            <w:pPr>
              <w:spacing w:after="20"/>
              <w:ind w:left="20"/>
              <w:jc w:val="both"/>
            </w:pPr>
            <w:r>
              <w:rPr>
                <w:rFonts w:ascii="Times New Roman"/>
                <w:b w:val="false"/>
                <w:i w:val="false"/>
                <w:color w:val="000000"/>
                <w:sz w:val="20"/>
              </w:rPr>
              <w:t>
8. В регистрационном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xml:space="preserve">
9. Если активная фармацевтическая субстанция нестерильна, но будет использоваться в составе стерильного лекарственного препарата, тогда, </w:t>
            </w:r>
          </w:p>
          <w:p>
            <w:pPr>
              <w:spacing w:after="20"/>
              <w:ind w:left="20"/>
              <w:jc w:val="both"/>
            </w:pPr>
            <w:r>
              <w:rPr>
                <w:rFonts w:ascii="Times New Roman"/>
                <w:b w:val="false"/>
                <w:i w:val="false"/>
                <w:color w:val="000000"/>
                <w:sz w:val="20"/>
              </w:rPr>
              <w:t>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2. При добавлении производственной площадки – в заявлении о внесении изменений, а также дополнительно в сопроводительном письме, необходимо четко обозначить текущих и предлагаемых производителей.</w:t>
            </w:r>
          </w:p>
          <w:p>
            <w:pPr>
              <w:spacing w:after="20"/>
              <w:ind w:left="20"/>
              <w:jc w:val="both"/>
            </w:pPr>
            <w:r>
              <w:rPr>
                <w:rFonts w:ascii="Times New Roman"/>
                <w:b w:val="false"/>
                <w:i w:val="false"/>
                <w:color w:val="000000"/>
                <w:sz w:val="20"/>
              </w:rPr>
              <w:t>
3.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4. Если применимо, документ, содержащий сведения о всех материалах, входящих в сферу применения статьи Фармакопеи Союза или Европейской Фармакопеи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 активной фармацевтической субстанции, указанный в заявлении, осуществляет свою деятельность в соответствии с Правилами производственной практики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только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p>
            <w:pPr>
              <w:spacing w:after="20"/>
              <w:ind w:left="20"/>
              <w:jc w:val="both"/>
            </w:pPr>
            <w:r>
              <w:rPr>
                <w:rFonts w:ascii="Times New Roman"/>
                <w:b w:val="false"/>
                <w:i w:val="false"/>
                <w:color w:val="000000"/>
                <w:sz w:val="20"/>
              </w:rPr>
              <w:t>
6. Надлежащее подтверждение, свидетельствующее о соответствии воды, используемой на последнем этапе синтеза активной фармацевтической субстанции, соответствующим требованиям качества для воды для фармацевтического применения.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активной фармацевтической субстанции и вспомогательного вещества в целях соответствия Фармакопее Союза, фармакопее государства-члена или другим фармакопеям согласно Концепции гармонизации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Фармакопее Союза или фармакопее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исходного материала для вспомогательного вещества или активной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изменения в целях соответствия обновленной соответствующей статье Фармакопеи Союза, фармакопее государства-члена или других фармакопей согласно Концепции гармонизации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фармакопеи государства-члена на Фармакопею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6. Вспомогательное вещество полностью соответствуют требованиям монографии соответствующей фармакопеи, и все испытания соответствуют фармакопейным стандартам</w:t>
            </w:r>
          </w:p>
          <w:p>
            <w:pPr>
              <w:spacing w:after="20"/>
              <w:ind w:left="20"/>
              <w:jc w:val="both"/>
            </w:pPr>
            <w:r>
              <w:rPr>
                <w:rFonts w:ascii="Times New Roman"/>
                <w:b w:val="false"/>
                <w:i w:val="false"/>
                <w:color w:val="000000"/>
                <w:sz w:val="20"/>
              </w:rPr>
              <w:t>
7. Дополнительные параметры спецификации, касающиеся специфических свойств, не изменяются (например, распределение частиц по размерам, полиморфная форма или, например, количественное определение биологическим методом, агрегаты)</w:t>
            </w:r>
          </w:p>
          <w:p>
            <w:pPr>
              <w:spacing w:after="20"/>
              <w:ind w:left="20"/>
              <w:jc w:val="both"/>
            </w:pPr>
            <w:r>
              <w:rPr>
                <w:rFonts w:ascii="Times New Roman"/>
                <w:b w:val="false"/>
                <w:i w:val="false"/>
                <w:color w:val="000000"/>
                <w:sz w:val="20"/>
              </w:rPr>
              <w:t xml:space="preserve">
8. Вспомогательное вещество должно оставаться неизменным </w:t>
            </w:r>
          </w:p>
          <w:p>
            <w:pPr>
              <w:spacing w:after="20"/>
              <w:ind w:left="20"/>
              <w:jc w:val="both"/>
            </w:pPr>
            <w:r>
              <w:rPr>
                <w:rFonts w:ascii="Times New Roman"/>
                <w:b w:val="false"/>
                <w:i w:val="false"/>
                <w:color w:val="000000"/>
                <w:sz w:val="20"/>
              </w:rPr>
              <w:t>
9. Дополнительная валидация нового или измененного фармакопейного метода не требуется</w:t>
            </w:r>
          </w:p>
          <w:p>
            <w:pPr>
              <w:spacing w:after="20"/>
              <w:ind w:left="20"/>
              <w:jc w:val="both"/>
            </w:pPr>
            <w:r>
              <w:rPr>
                <w:rFonts w:ascii="Times New Roman"/>
                <w:b w:val="false"/>
                <w:i w:val="false"/>
                <w:color w:val="000000"/>
                <w:sz w:val="20"/>
              </w:rPr>
              <w:t>
10. Вспомогательное вещество уже было одобрено уполномоченным органом для применения в лекарственном препарате с конкретным путем введения.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xml:space="preserve">
3. Данные анализа серий (в форме сравнительной таблицы) по меньшей мере </w:t>
            </w:r>
          </w:p>
          <w:p>
            <w:pPr>
              <w:spacing w:after="20"/>
              <w:ind w:left="20"/>
              <w:jc w:val="both"/>
            </w:pPr>
            <w:r>
              <w:rPr>
                <w:rFonts w:ascii="Times New Roman"/>
                <w:b w:val="false"/>
                <w:i w:val="false"/>
                <w:color w:val="000000"/>
                <w:sz w:val="20"/>
              </w:rPr>
              <w:t xml:space="preserve">2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w:t>
            </w:r>
          </w:p>
          <w:p>
            <w:pPr>
              <w:spacing w:after="20"/>
              <w:ind w:left="20"/>
              <w:jc w:val="both"/>
            </w:pPr>
            <w:r>
              <w:rPr>
                <w:rFonts w:ascii="Times New Roman"/>
                <w:b w:val="false"/>
                <w:i w:val="false"/>
                <w:color w:val="000000"/>
                <w:sz w:val="20"/>
              </w:rPr>
              <w:t>1 опытно-промышленной серии лекарственного препарата. В отношении лекарственных растительных препаратов могут быть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иными специфицированными и определяемыми примесями в АФС, исходном материале или вспомогательном веществе.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уведомлять уполномоченные органы об обновлении статьи Фармакопеи Союза или фармакопеи государства-члена в случае внедрения спецификации соответствующей обновленной статье в течение 6 месяцев после ее опубликования и наличии ссылки на "текущее издание (действующее издание в соответствии с законодательством государства-члена)" в регистрационном досье зарегистрированного лекарственного препарата.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Б.IV. Медицинские изделия или иная продукция (устройство, комплектующее средство), входящая в комплект упаковки лекарственного препарата</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Б.IV.1. Изменение комплектующего средства для дозирования включая медицинское изделие для введения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устройства, комплектующего средства, включая медицинское изделие, не являющегося частью первичной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Медицинские изделия, зарегистрированные в соответствии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w:t>
            </w:r>
          </w:p>
          <w:p>
            <w:pPr>
              <w:spacing w:after="20"/>
              <w:ind w:left="20"/>
              <w:jc w:val="both"/>
            </w:pPr>
            <w:r>
              <w:rPr>
                <w:rFonts w:ascii="Times New Roman"/>
                <w:b w:val="false"/>
                <w:i w:val="false"/>
                <w:color w:val="000000"/>
                <w:sz w:val="20"/>
              </w:rPr>
              <w:t xml:space="preserve">от 12 февраля 2016 г. № 46 </w:t>
            </w:r>
          </w:p>
          <w:p>
            <w:pPr>
              <w:spacing w:after="20"/>
              <w:ind w:left="20"/>
              <w:jc w:val="both"/>
            </w:pPr>
            <w:r>
              <w:rPr>
                <w:rFonts w:ascii="Times New Roman"/>
                <w:b w:val="false"/>
                <w:i w:val="false"/>
                <w:color w:val="000000"/>
                <w:sz w:val="20"/>
              </w:rPr>
              <w:t>или в соответствии с законодательством государства-члена или разрешенные к обращению в третьих странах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исключение или замена медицинского изделия или иной продукции (устройства, комплектующего средства), входящих в комплект упаковки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Предлагаемое изделие с измеряющей функцией (устройство для дозирования) должно точно отмеривать необходимую дозу рассматриваемого лекарственного препарата согласно одобренному способу применения. Результаты таких исследований имеются в наличии.</w:t>
            </w:r>
          </w:p>
          <w:p>
            <w:pPr>
              <w:spacing w:after="20"/>
              <w:ind w:left="20"/>
              <w:jc w:val="both"/>
            </w:pPr>
            <w:r>
              <w:rPr>
                <w:rFonts w:ascii="Times New Roman"/>
                <w:b w:val="false"/>
                <w:i w:val="false"/>
                <w:color w:val="000000"/>
                <w:sz w:val="20"/>
              </w:rPr>
              <w:t>
2. Новое изделие с измеряющей функцией (устройство для дозирования) совместимо с лекарственным препаратом.</w:t>
            </w:r>
          </w:p>
          <w:p>
            <w:pPr>
              <w:spacing w:after="20"/>
              <w:ind w:left="20"/>
              <w:jc w:val="both"/>
            </w:pPr>
            <w:r>
              <w:rPr>
                <w:rFonts w:ascii="Times New Roman"/>
                <w:b w:val="false"/>
                <w:i w:val="false"/>
                <w:color w:val="000000"/>
                <w:sz w:val="20"/>
              </w:rPr>
              <w:t>
3. Изменение не должно приводить к значимому изменению информации о лекарственном препарате.</w:t>
            </w:r>
          </w:p>
          <w:p>
            <w:pPr>
              <w:spacing w:after="20"/>
              <w:ind w:left="20"/>
              <w:jc w:val="both"/>
            </w:pPr>
            <w:r>
              <w:rPr>
                <w:rFonts w:ascii="Times New Roman"/>
                <w:b w:val="false"/>
                <w:i w:val="false"/>
                <w:color w:val="000000"/>
                <w:sz w:val="20"/>
              </w:rPr>
              <w:t>
4. Лекарственный препарат можно продолжать точно дозировать.</w:t>
            </w:r>
          </w:p>
          <w:p>
            <w:pPr>
              <w:spacing w:after="20"/>
              <w:ind w:left="20"/>
              <w:jc w:val="both"/>
            </w:pPr>
            <w:r>
              <w:rPr>
                <w:rFonts w:ascii="Times New Roman"/>
                <w:b w:val="false"/>
                <w:i w:val="false"/>
                <w:color w:val="000000"/>
                <w:sz w:val="20"/>
              </w:rPr>
              <w:t>
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функция точного дозирования, информация о ней должна быть включена в регистрационное досье лекарственного препарата.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разделу (разделам) регистрационного досье, включая схему комплектующего средства или медицинского изделия, а также состав их материалов, информацию о производителе,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xml:space="preserve">
2. Документ, подтверждающий регистрацию медицинского изделия в Союзе или в соответствии с законодательством государства-члена или разрешение к обращению в третьих странах (если применимо) </w:t>
            </w:r>
          </w:p>
          <w:p>
            <w:pPr>
              <w:spacing w:after="20"/>
              <w:ind w:left="20"/>
              <w:jc w:val="both"/>
            </w:pPr>
            <w:r>
              <w:rPr>
                <w:rFonts w:ascii="Times New Roman"/>
                <w:b w:val="false"/>
                <w:i w:val="false"/>
                <w:color w:val="000000"/>
                <w:sz w:val="20"/>
              </w:rPr>
              <w:t>
3. Документы и сведения, подтверждающие точность дозирования и совместимость комплектующего средства или медицинского изделия с лекарственным препаратом.</w:t>
            </w:r>
          </w:p>
          <w:p>
            <w:pPr>
              <w:spacing w:after="20"/>
              <w:ind w:left="20"/>
              <w:jc w:val="both"/>
            </w:pPr>
            <w:r>
              <w:rPr>
                <w:rFonts w:ascii="Times New Roman"/>
                <w:b w:val="false"/>
                <w:i w:val="false"/>
                <w:color w:val="000000"/>
                <w:sz w:val="20"/>
              </w:rPr>
              <w:t xml:space="preserve">
4. Обоснование исключения или замены медицинского изделия или иной продукции (устройства, комплектующего средства).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такое изменение требует подачи заявления о расширении регистрации.</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 Внесения изменений в регистрационное досье обусловленные иными регуляторными процедурами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Б.V.а) МФП (МФВА)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 обновленный или измененный МФП выдано заключение (сертификат, свидетельство) Союза на МФП, в соответствии с приложением № 1 к Правилам регистрации.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что заключение (сертификат, свидетельство) Союза на МФП и экспертный отчет полностью применимы к зарегистрированному лекарственному препарату. Держатель МФП представил держателю регистрационного удостоверения (если держатель регистрационного удостоверения и держатель МФП не являются одним и тем же лицом) заключение (сертификат, свидетельство) Союза на МФП, экспертный отчет и досье на МФП. Заключение (сертификат, свидетельство) Союза на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2. Заключение (сертификат, свидетельство) Союза на МФП и экспертный отчет.</w:t>
            </w:r>
          </w:p>
          <w:p>
            <w:pPr>
              <w:spacing w:after="20"/>
              <w:ind w:left="20"/>
              <w:jc w:val="both"/>
            </w:pPr>
            <w:r>
              <w:rPr>
                <w:rFonts w:ascii="Times New Roman"/>
                <w:b w:val="false"/>
                <w:i w:val="false"/>
                <w:color w:val="000000"/>
                <w:sz w:val="20"/>
              </w:rPr>
              <w:t>
3. Декларация уполномоченного лица,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действующее и предлагаемое заключение (сертификат, свидетельство) Союза на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содержатся ссылки в регистрационном досье лекарственного препарата, даже если эти МФП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 Включение нового, обновленного или исправленного мастер-файла вакцинного антигена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xml:space="preserve">
1. На обновленный или измененный МФВА выдано заключение (сертификат, свидетельство) Союза на МФВА в соответствии с приложением № 1 к Правилам регистрации.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заключение (сертификат, свидетельство) Союза на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заключение (сертификат, свидетельство) Союза на МФВА, экспертный отчет и досье на МФВА. Заключение (сертификат, свидетельство) Союза на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2. Заключение (сертификат, свидетельство) Союза на МФВА и экспертный отчет.</w:t>
            </w:r>
          </w:p>
          <w:p>
            <w:pPr>
              <w:spacing w:after="20"/>
              <w:ind w:left="20"/>
              <w:jc w:val="both"/>
            </w:pPr>
            <w:r>
              <w:rPr>
                <w:rFonts w:ascii="Times New Roman"/>
                <w:b w:val="false"/>
                <w:i w:val="false"/>
                <w:color w:val="000000"/>
                <w:sz w:val="20"/>
              </w:rPr>
              <w:t>
3. Декларация уполномоченного лица,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действующее и предлагаемое заключение (сертификат, свидетельство) Союза на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содержатся ссылки в регистрационном досье лекарственного препарата, даже если эти МФВА не являются предметом заявления.</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Б.V.б) Обновления в результате запросов уполномоченных органов (экспертных организаций), в том числе по итогам рассмотрения вопросов Экспертным комитетом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 Обновление досье по качеству, направленное на реализацию заключения запроса уполномоченного органа (экспертной организации) (рекомендации Экспертного 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реализует заключение или запрос уполномоченного органа (экспертной организации) (рекомендации Экспертного 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гармонизация досье по качеству не являлась частью заключения или запроса уполномоченного органа (экспертной организации) (рекомендации Экспертного комитета), и обновление направлено на его гармонизацию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Результат не требует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Приложенное к сопроводительному письму заявления о внесении изменений: ссылка на рассматриваемое заключение или на запрос уполномоченного органа (экспертной организации) (рекомендацию Экспертного комитета). </w:t>
            </w:r>
          </w:p>
          <w:p>
            <w:pPr>
              <w:spacing w:after="20"/>
              <w:ind w:left="20"/>
              <w:jc w:val="both"/>
            </w:pPr>
            <w:r>
              <w:rPr>
                <w:rFonts w:ascii="Times New Roman"/>
                <w:b w:val="false"/>
                <w:i w:val="false"/>
                <w:color w:val="000000"/>
                <w:sz w:val="20"/>
              </w:rPr>
              <w:t>
2. В досье необходимо четко указать изменения, внесенные в ходе процедуры обращения в уполномоченный орган (экспертную организацию).</w:t>
            </w:r>
          </w:p>
        </w:tc>
      </w:tr>
    </w:tbl>
    <w:bookmarkStart w:name="z11306" w:id="7075"/>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7075"/>
    <w:bookmarkStart w:name="z11307" w:id="7076"/>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7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1" w:id="7077"/>
          <w:p>
            <w:pPr>
              <w:spacing w:after="20"/>
              <w:ind w:left="20"/>
              <w:jc w:val="both"/>
            </w:pPr>
            <w:r>
              <w:rPr>
                <w:rFonts w:ascii="Times New Roman"/>
                <w:b w:val="false"/>
                <w:i w:val="false"/>
                <w:color w:val="000000"/>
                <w:sz w:val="20"/>
              </w:rPr>
              <w:t>
</w:t>
            </w:r>
            <w:r>
              <w:rPr>
                <w:rFonts w:ascii="Times New Roman"/>
                <w:b w:val="false"/>
                <w:i w:val="false"/>
                <w:color w:val="000000"/>
                <w:sz w:val="20"/>
              </w:rPr>
              <w:t>В.I.1 Изменение общей характеристики лекарственного препарата, макетов упаковок или инструкции по медицинскому применению (листка-вкладыша), направленные на реализацию требований, указанных в заключении или запросе уполномоченного органа (экспертной организации)</w:t>
            </w:r>
          </w:p>
          <w:bookmarkEnd w:id="70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регистрационное досье лекарственного препарата проходит экспертизу в уполномоченном органе (экспертной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регистрационное досье лекарственного препарата не подавалось на экспертизу в уполномоченный орган (экспертную организацию), но изменения реализуют требования, указанные в заключении или запросе уполномоченного органа (экспертной организации), новые дополнительные данные держателем регистрационного удостоверения не представлены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Заявление о внесении изменений: ссылка на заключение или запрос уполномоченного органа (экспертной организации) с приобщенной общей характеристикой лекарственного препарата, макетами упаковок или листком-вкладышем.</w:t>
            </w:r>
          </w:p>
          <w:p>
            <w:pPr>
              <w:spacing w:after="20"/>
              <w:ind w:left="20"/>
              <w:jc w:val="both"/>
            </w:pPr>
            <w:r>
              <w:rPr>
                <w:rFonts w:ascii="Times New Roman"/>
                <w:b w:val="false"/>
                <w:i w:val="false"/>
                <w:color w:val="000000"/>
                <w:sz w:val="20"/>
              </w:rPr>
              <w:t>
2. Декларация, что соответствующие разделы предлагаемых общей характеристики лекарственного препарата, макетов упаковок и инструкции по медицинскому применению (листка-вкладыша) идентичны приобщенным к заключению или запросу уполномоченного органа (экспертной организации).</w:t>
            </w:r>
          </w:p>
          <w:p>
            <w:pPr>
              <w:spacing w:after="20"/>
              <w:ind w:left="20"/>
              <w:jc w:val="both"/>
            </w:pPr>
            <w:r>
              <w:rPr>
                <w:rFonts w:ascii="Times New Roman"/>
                <w:b w:val="false"/>
                <w:i w:val="false"/>
                <w:color w:val="000000"/>
                <w:sz w:val="20"/>
              </w:rPr>
              <w:t>
3. Пересмотренная информация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общей характеристики лекарственного препарата, макетов упаковок или инструкции по медицинскому применению (листка-вкладыша) воспроизведенного, или гибридного, или биоаналогичного лекарственного препарата после оценки того же изменения референтного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(изменений), в отношении которого от держателя регистрационного удостоверения не требуется представлять новые 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запрос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В.I.3. Изменение (изменения) общей характеристики лекарственного препарата, макетов упаковок или инструкции по медицинскому применению (листка-вкладыша) лекарственного препарата для медицинского применения, направленное на реализацию результатов пострегистрационного исследования безопасности или заключения и предлагаемых последующих действий периодического обновляемого отчета по безопасности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направлено на внесение формулировки, согласованной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Ссылка на согласие (оценку) уполномоченного органа в форме приложения к сопроводительному письму заявления о внесении изменений.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Изменение условий отпуска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или гибридных или биоаналогичных лекарственных препаратов после изменения условий отпуска референтного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изменения условий отпуска референтного лекарственного препарата (например, ссылка на соответствующее решение уполномоченного органа государства-члена),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Изменение показания (показаний) к применению и (или) режима дозирования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 и (или) режима дозирования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воспроизведенного, или гибридного, или биоаналогичного лекарственного препарата добавление или изменение показания к применению и (или) режима дозирования происходит вследствие реализации требований, указанных в заключении или запросе уполномоченного органа (экспертной организации) или изменений информации о лекарственном препарате после экспертизы аналогичных изменений у референтного лекарственного препарата, такие изменения классифицируются кодами В.I.1 и В.I.2 соответственно.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Исключение: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 и (или) формы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оставшаяся лекарственная форма и (или) форма (формы) выпуска достаточна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отменой ее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B.I.8. Введение или изменение краткой характеристики системы фармаконадзора держателя регистрационного удостоверения лекарственного препарата для медицинского применения</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краткой характеристики системы фармаконадзора держателя регистрационного удостоверения лекарственного препарата,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(МФСФ)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Краткая характеристика системы фармаконадзора держателя регистрационного удостоверения лекарственного препарата или обновление значимых элементов (соответственно):</w:t>
            </w:r>
          </w:p>
          <w:p>
            <w:pPr>
              <w:spacing w:after="20"/>
              <w:ind w:left="20"/>
              <w:jc w:val="both"/>
            </w:pPr>
            <w:r>
              <w:rPr>
                <w:rFonts w:ascii="Times New Roman"/>
                <w:b w:val="false"/>
                <w:i w:val="false"/>
                <w:color w:val="000000"/>
                <w:sz w:val="20"/>
              </w:rPr>
              <w:t>
подтверждение того, что заявитель имеет в своем распоряжении уполномоченное лицо, ответственное за фармаконадзор, и утверждение, подписанное заявителем, что уполномоченное лицо, ответственное за фармаконадзор обладает необходимыми способами выполнения задач и обязанностей, перечисленных в Правилах надлежащей практики фармаконадзора;</w:t>
            </w:r>
          </w:p>
          <w:p>
            <w:pPr>
              <w:spacing w:after="20"/>
              <w:ind w:left="20"/>
              <w:jc w:val="both"/>
            </w:pPr>
            <w:r>
              <w:rPr>
                <w:rFonts w:ascii="Times New Roman"/>
                <w:b w:val="false"/>
                <w:i w:val="false"/>
                <w:color w:val="000000"/>
                <w:sz w:val="20"/>
              </w:rPr>
              <w:t>
контактная информация об уполномоченном лице по фармаконадзору, государства-члена, в котором располагается и выполняет свои задачи это уполномоченное лицо;</w:t>
            </w:r>
          </w:p>
          <w:p>
            <w:pPr>
              <w:spacing w:after="20"/>
              <w:ind w:left="20"/>
              <w:jc w:val="both"/>
            </w:pPr>
            <w:r>
              <w:rPr>
                <w:rFonts w:ascii="Times New Roman"/>
                <w:b w:val="false"/>
                <w:i w:val="false"/>
                <w:color w:val="000000"/>
                <w:sz w:val="20"/>
              </w:rPr>
              <w:t>
месторасположение МФСФ.</w:t>
            </w:r>
          </w:p>
          <w:p>
            <w:pPr>
              <w:spacing w:after="20"/>
              <w:ind w:left="20"/>
              <w:jc w:val="both"/>
            </w:pPr>
            <w:r>
              <w:rPr>
                <w:rFonts w:ascii="Times New Roman"/>
                <w:b w:val="false"/>
                <w:i w:val="false"/>
                <w:color w:val="000000"/>
                <w:sz w:val="20"/>
              </w:rPr>
              <w:t>
2. Номер МФСФ (при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4" w:id="7078"/>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В.I.9 Утратил силу решением Совета Евразийской экономической комиссии от 26.11.2025 </w:t>
            </w:r>
            <w:r>
              <w:rPr>
                <w:rFonts w:ascii="Times New Roman"/>
                <w:b w:val="false"/>
                <w:i w:val="false"/>
                <w:color w:val="ff0000"/>
                <w:sz w:val="20"/>
              </w:rPr>
              <w:t>№ 93</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bookmarkEnd w:id="707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B.I.10. Изменение частоты и (или) даты подачи периодического обновляемого отчета по безопасности (ПООБ)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частоты и (или) даты подачи периодического обновляемого отчета по безопасности согласовано уполномоченным органом государства-члена.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ответ уполномоченного органа, в форме приложения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частота и (или) дата подачи периодического обновляемого отчета по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в случае если частота обновления периодического обновляемого отчета по безопасности указана в регистрационном досье способами, отличными от указания ссылки на перечень отчетных дат в соответствии с актами органов Союза в сфере обращения лекарственных средств, и при необходимости подачи периодического обновляемого отчета по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Введение или изменения обязательств и условий регистрации, включая план управления рисками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Приложенное к сопроводительному письму заявления о внесении изменений: ссылка на соответствующее решение уполномоченного органа.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только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в исключительных случаях и условной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экспертизы.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Включение или исключение символа черного треугольника или пояснительных указаний в отношении лекарственных препаратов, подлежащих дополнительному мониторингу в соответствии с рекомендацией Экспертного комитета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Лекарственный препарат подлежит дополнительному мониторингу в соответствии с рекомендацией Экспертного комитета.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рекомендацию Экспертного комитета в форме приложения к сопроводительному письму.</w:t>
            </w:r>
            <w:r>
              <w:rPr>
                <w:rFonts w:ascii="Times New Roman"/>
                <w:b w:val="false"/>
                <w:i w:val="false"/>
                <w:strike/>
                <w:color w:val="000000"/>
                <w:sz w:val="20"/>
              </w:rPr>
              <w:t xml:space="preserve"> </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относится к ситуации, при которой включение или исключение символа черного треугольника или пояснительных указаний не производится в рамках другой процедуры, связанной с регистрацией (например, процедуры подтверждения регистрации (перерегистрации) или процедуры внесения изменений, затрагивающих информацию о лекарственном препарате).</w:t>
            </w:r>
          </w:p>
        </w:tc>
      </w:tr>
    </w:tbl>
    <w:p>
      <w:pPr>
        <w:spacing w:after="0"/>
        <w:ind w:left="0"/>
        <w:jc w:val="left"/>
      </w:pPr>
      <w:r>
        <w:br/>
      </w:r>
      <w:r>
        <w:rPr>
          <w:rFonts w:ascii="Times New Roman"/>
          <w:b w:val="false"/>
          <w:i w:val="false"/>
          <w:color w:val="000000"/>
          <w:sz w:val="28"/>
        </w:rPr>
        <w:t>
</w:t>
      </w:r>
    </w:p>
    <w:bookmarkStart w:name="z11539" w:id="7079"/>
    <w:p>
      <w:pPr>
        <w:spacing w:after="0"/>
        <w:ind w:left="0"/>
        <w:jc w:val="both"/>
      </w:pPr>
      <w:r>
        <w:rPr>
          <w:rFonts w:ascii="Times New Roman"/>
          <w:b w:val="false"/>
          <w:i w:val="false"/>
          <w:color w:val="000000"/>
          <w:sz w:val="28"/>
        </w:rPr>
        <w:t xml:space="preserve">
      </w:t>
      </w:r>
      <w:r>
        <w:rPr>
          <w:rFonts w:ascii="Times New Roman"/>
          <w:b/>
          <w:i w:val="false"/>
          <w:color w:val="000000"/>
          <w:sz w:val="28"/>
        </w:rPr>
        <w:t>Г. МФП (МФВА)</w:t>
      </w:r>
    </w:p>
    <w:bookmarkEnd w:id="7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 Изменение названия и (или) адреса держателя сертификата МФВА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Держатель сертификата МФВА должен оставаться тем же юридическим лицом.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Изменение названия и (или) адреса держателя сертификата МФП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Держатель сертификата МФП должен оставаться тем же юридическим лицом.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соответствующего уполномоченного органа (например, налогового органа), в котором указано новое название или адрес.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Изменение или трансфер сертификата МФП от текущего держателя новому держателю (другому юридическому лицу)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Документ, включая идентификацию (название и адрес) текущего держателя МФП (правоотчуждателя) и идентификацию (название и адрес) лица, принимающего трансфер (правоприобретателя), а также предлагаемую дату сделки, подписанной обеими компаниями.</w:t>
            </w:r>
          </w:p>
          <w:p>
            <w:pPr>
              <w:spacing w:after="20"/>
              <w:ind w:left="20"/>
              <w:jc w:val="both"/>
            </w:pPr>
            <w:r>
              <w:rPr>
                <w:rFonts w:ascii="Times New Roman"/>
                <w:b w:val="false"/>
                <w:i w:val="false"/>
                <w:color w:val="000000"/>
                <w:sz w:val="20"/>
              </w:rPr>
              <w:t>
2. Копия последней страницы заключения (сертификата, свидетельства) Союза на МФП.</w:t>
            </w:r>
          </w:p>
          <w:p>
            <w:pPr>
              <w:spacing w:after="20"/>
              <w:ind w:left="20"/>
              <w:jc w:val="both"/>
            </w:pPr>
            <w:r>
              <w:rPr>
                <w:rFonts w:ascii="Times New Roman"/>
                <w:b w:val="false"/>
                <w:i w:val="false"/>
                <w:color w:val="000000"/>
                <w:sz w:val="20"/>
              </w:rPr>
              <w:t>
3. Подтверждение регистрации нового держателя (выписка из реестра юридических лиц и перевод ее на русский язык), подписанное обеими компаниями.</w:t>
            </w:r>
          </w:p>
          <w:p>
            <w:pPr>
              <w:spacing w:after="20"/>
              <w:ind w:left="20"/>
              <w:jc w:val="both"/>
            </w:pPr>
            <w:r>
              <w:rPr>
                <w:rFonts w:ascii="Times New Roman"/>
                <w:b w:val="false"/>
                <w:i w:val="false"/>
                <w:color w:val="000000"/>
                <w:sz w:val="20"/>
              </w:rPr>
              <w:t>
4. Подтверждение трансфера всей документации МФП с первой сертификации МФП правоприобретателю, подписанное обеими компаниями.</w:t>
            </w:r>
          </w:p>
          <w:p>
            <w:pPr>
              <w:spacing w:after="20"/>
              <w:ind w:left="20"/>
              <w:jc w:val="both"/>
            </w:pPr>
            <w:r>
              <w:rPr>
                <w:rFonts w:ascii="Times New Roman"/>
                <w:b w:val="false"/>
                <w:i w:val="false"/>
                <w:color w:val="000000"/>
                <w:sz w:val="20"/>
              </w:rPr>
              <w:t>
5. Доверенность, включая контактные сведения лица, ответственного за связи между уполномоченным органом и держателем МФП, подписанная правоприобретателем.</w:t>
            </w:r>
          </w:p>
          <w:p>
            <w:pPr>
              <w:spacing w:after="20"/>
              <w:ind w:left="20"/>
              <w:jc w:val="both"/>
            </w:pPr>
            <w:r>
              <w:rPr>
                <w:rFonts w:ascii="Times New Roman"/>
                <w:b w:val="false"/>
                <w:i w:val="false"/>
                <w:color w:val="000000"/>
                <w:sz w:val="20"/>
              </w:rPr>
              <w:t>
6. Письмо-обязательство выполнения всех открытых и оставшихся обязательств (при наличии), подписанное правоприобретателем.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 Изменение названия и (или) адреса учреждений по забору (проверке) крови, включая центры для заготовки крови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Учреждение по забору (проверке) крови должно оставаться тем же юридическим лицом.</w:t>
            </w:r>
          </w:p>
          <w:p>
            <w:pPr>
              <w:spacing w:after="20"/>
              <w:ind w:left="20"/>
              <w:jc w:val="both"/>
            </w:pPr>
            <w:r>
              <w:rPr>
                <w:rFonts w:ascii="Times New Roman"/>
                <w:b w:val="false"/>
                <w:i w:val="false"/>
                <w:color w:val="000000"/>
                <w:sz w:val="20"/>
              </w:rPr>
              <w:t>
2. Изменение должно быть административным (например, слияние, поглощение); изменение названия учреждения по забору (проверке) крови (центра для заготовки крови (плазмы)), при сохранении его организационно-правовой формы собственности и места нахождения.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Подписанная декларация того, что изменение не включает изменение системы качества учреждения по забору (проверке) крови.</w:t>
            </w:r>
          </w:p>
          <w:p>
            <w:pPr>
              <w:spacing w:after="20"/>
              <w:ind w:left="20"/>
              <w:jc w:val="both"/>
            </w:pPr>
            <w:r>
              <w:rPr>
                <w:rFonts w:ascii="Times New Roman"/>
                <w:b w:val="false"/>
                <w:i w:val="false"/>
                <w:color w:val="000000"/>
                <w:sz w:val="20"/>
              </w:rPr>
              <w:t>
2. Подписанная декларация того, что изменения перечня центров для заготовки крови (плазмы) не происходит.</w:t>
            </w:r>
          </w:p>
          <w:p>
            <w:pPr>
              <w:spacing w:after="20"/>
              <w:ind w:left="20"/>
              <w:jc w:val="both"/>
            </w:pPr>
            <w:r>
              <w:rPr>
                <w:rFonts w:ascii="Times New Roman"/>
                <w:b w:val="false"/>
                <w:i w:val="false"/>
                <w:color w:val="000000"/>
                <w:sz w:val="20"/>
              </w:rPr>
              <w:t>
3. Обновленные соответствующие разделы и дополнения к досье МФП.</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 Замена или добавление центра для заготовки крови (плазмы) в рамках учреждения по забору (проверке) крови, включенного в МФП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Эпидемиологические данные о вирусных маркерах, затрагивающие центр для заготовки крови (плазмы), охватывающие 3 года. В отношении вновь открытого центра (центров) для заготовки крови (плазмы) или в случае отсутствия данных, подтверждение того, что эпидемиологические данные будут представлены в очередном ежегодном обновлении.</w:t>
            </w:r>
          </w:p>
          <w:p>
            <w:pPr>
              <w:spacing w:after="20"/>
              <w:ind w:left="20"/>
              <w:jc w:val="both"/>
            </w:pPr>
            <w:r>
              <w:rPr>
                <w:rFonts w:ascii="Times New Roman"/>
                <w:b w:val="false"/>
                <w:i w:val="false"/>
                <w:color w:val="000000"/>
                <w:sz w:val="20"/>
              </w:rPr>
              <w:t>
2. Указание, что центр для заготовки крови (плазмы) функционирует в тех же условиях, что и другие центры, принадлежащие учреждению по забору (проверке) крови, согласно положениям стандартного договора между учреждением по забору (проверке) крови и держателем МФП.</w:t>
            </w:r>
          </w:p>
          <w:p>
            <w:pPr>
              <w:spacing w:after="20"/>
              <w:ind w:left="20"/>
              <w:jc w:val="both"/>
            </w:pPr>
            <w:r>
              <w:rPr>
                <w:rFonts w:ascii="Times New Roman"/>
                <w:b w:val="false"/>
                <w:i w:val="false"/>
                <w:color w:val="000000"/>
                <w:sz w:val="20"/>
              </w:rPr>
              <w:t>
3. Обновленные соответствующие разделы и дополнения к досье МФП.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 Исключение или изменение статуса (функционирующий или нефункционирующий) учреждений по забору (проверке) крови, (центров для заготовки крови (плазмы)), используемых для сбора крови (плазмы) или для испытания крово- и плазмодач и пулов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Причины исключения или изменения статуса не должны быть обусловлены проблемами, связанными с соблюдением требований Правил производственной практики.</w:t>
            </w:r>
          </w:p>
          <w:p>
            <w:pPr>
              <w:spacing w:after="20"/>
              <w:ind w:left="20"/>
              <w:jc w:val="both"/>
            </w:pPr>
            <w:r>
              <w:rPr>
                <w:rFonts w:ascii="Times New Roman"/>
                <w:b w:val="false"/>
                <w:i w:val="false"/>
                <w:color w:val="000000"/>
                <w:sz w:val="20"/>
              </w:rPr>
              <w:t>
2. Учреждения по забору (проверке) крови (центры для заготовки крови (плазмы)) должны соответствовать актам органов Союза в сфере проведения фармацевтических инспекций и законодательству государства-члена в части, не урегулированной актами органов Союза, при изменении статуса с нефункционирующих на функционирующие.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Г.8. Замена или включение нового центра для заготовки крови (плазмы) в целях испытания донаций крови и плазмы и (или) пулов плазмы в рамках учреждения по забору (проверке) крови, включенного в МФП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Указание, что испытания проводятся согласно тем же утвержденным стандартными операционными процедурами и (или) методам испытаний.</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 Замена или включение нового учреждения по забору (проверке) крови или центра в котором хранится плазма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Указание, что центр хранения плазмы функционирует в соответствии с теми же стандартными операционными процедурами, утвержденными в учреждении по забору (проверке) крови.</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 Исключение учреждения по забору (проверке) крови или центра в котором хранится плазма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p>
            <w:pPr>
              <w:spacing w:after="20"/>
              <w:ind w:left="20"/>
              <w:jc w:val="both"/>
            </w:pPr>
            <w:r>
              <w:rPr>
                <w:rFonts w:ascii="Times New Roman"/>
                <w:b w:val="false"/>
                <w:i w:val="false"/>
                <w:color w:val="000000"/>
                <w:sz w:val="20"/>
              </w:rPr>
              <w:t>
1. Причина исключения не должна быть обусловлена проблемами, связанными с соблюдением требований Правил производственной практики.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 Замена или включение учреждения, принимавшего участие в транспортировке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все учреждения по забору (проверке) крови, использующие это учреждение, принимающее участие в транспортировке плазмы, резюме действующей системы, обеспечивающей транспортировку в надлежащих условиях (время, температура и соответствие Правилам производственной практики) и подтверждение того, что условия транспортировки валидированы.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Г.13. Исключение учреждения, принимавшего участие в транспортировке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p>
            <w:pPr>
              <w:spacing w:after="20"/>
              <w:ind w:left="20"/>
              <w:jc w:val="both"/>
            </w:pPr>
            <w:r>
              <w:rPr>
                <w:rFonts w:ascii="Times New Roman"/>
                <w:b w:val="false"/>
                <w:i w:val="false"/>
                <w:color w:val="000000"/>
                <w:sz w:val="20"/>
              </w:rPr>
              <w:t>
1. Причина исключения не должна быть обусловлена проблемами, связанными с соблюдением Правил производственной практики.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Г.14. Включение тест-системы, зарегистрированной в Союзе в качестве медицинского изделия, в целях испытания отдельных донаций крови и плазмы в качестве новой тест-системы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Новая тест-система зарегистрирована в Союзе в качестве медицинского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Перечень испытательных площадок, в которых используется тест-система.</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органов Союза в сфере обращения лекарственных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 Включение тест-системы, не зарегистрированной в Союзе в качестве медицинского изделия, в целях испытания отдельных донаций крови и плазмы в качестве новой тест-системы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новая тест-система была одобрена в МФП для других центров для заготовки крови (плазмы) в целях испытания донаций крови и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Перечень испытательных центров, в которых используется тест-система, </w:t>
            </w:r>
          </w:p>
          <w:p>
            <w:pPr>
              <w:spacing w:after="20"/>
              <w:ind w:left="20"/>
              <w:jc w:val="both"/>
            </w:pPr>
            <w:r>
              <w:rPr>
                <w:rFonts w:ascii="Times New Roman"/>
                <w:b w:val="false"/>
                <w:i w:val="false"/>
                <w:color w:val="000000"/>
                <w:sz w:val="20"/>
              </w:rPr>
              <w:t>и перечень испытательных центров, в которых она будет использоваться.</w:t>
            </w:r>
          </w:p>
          <w:p>
            <w:pPr>
              <w:spacing w:after="20"/>
              <w:ind w:left="20"/>
              <w:jc w:val="both"/>
            </w:pP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органов Союза</w:t>
            </w:r>
          </w:p>
          <w:p>
            <w:pPr>
              <w:spacing w:after="20"/>
              <w:ind w:left="20"/>
              <w:jc w:val="both"/>
            </w:pPr>
            <w:r>
              <w:rPr>
                <w:rFonts w:ascii="Times New Roman"/>
                <w:b w:val="false"/>
                <w:i w:val="false"/>
                <w:color w:val="000000"/>
                <w:sz w:val="20"/>
              </w:rPr>
              <w:t>в сфере обращения лекарственных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Г.17. Введение или расширение процедуры карантинного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p>
            <w:pPr>
              <w:spacing w:after="20"/>
              <w:ind w:left="20"/>
              <w:jc w:val="both"/>
            </w:pPr>
            <w:r>
              <w:rPr>
                <w:rFonts w:ascii="Times New Roman"/>
                <w:b w:val="false"/>
                <w:i w:val="false"/>
                <w:color w:val="000000"/>
                <w:sz w:val="20"/>
              </w:rPr>
              <w:t>
1. Процедура карантинного хранения является более строгой (например, выпуск лишь после повторной проверки доноров).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основания введения или расширения процедуры карантинного хранения, площадки, в которых осуществляется карантинное хранение, и изменения процедуры, дерево решений, включая новые условия.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 Замена или добавление контейнеров для крови (например, мешков, флаконов)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новые контейнеры для крови зарегистрированы в Союзе в качестве медицинских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Контейнер зарегистрирован в Союзе в качестве медицинского изделия.</w:t>
            </w:r>
          </w:p>
          <w:p>
            <w:pPr>
              <w:spacing w:after="20"/>
              <w:ind w:left="20"/>
              <w:jc w:val="both"/>
            </w:pPr>
            <w:r>
              <w:rPr>
                <w:rFonts w:ascii="Times New Roman"/>
                <w:b w:val="false"/>
                <w:i w:val="false"/>
                <w:color w:val="000000"/>
                <w:sz w:val="20"/>
              </w:rPr>
              <w:t>
2. Критерии качества крови, заключенной в контейнер,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наименование контейнера, производителя, спецификацию раствора антикоагулянта, подтверждение регистрации в Союзе или государстве-члене и название учреждения по забору (проверке) крови, в котором используется контейнер.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 Изменение хранения (транспортировки)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условий хранения и (или) транспортировки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максимального срока хранения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должно ужесточать условия и соответствовать требованиям Фармакопеи Союза, а при отсутствии в ней – требованиям фармакопей государств-членов, предъявляемым к плазме крови человека для фракционирования.</w:t>
            </w:r>
          </w:p>
          <w:p>
            <w:pPr>
              <w:spacing w:after="20"/>
              <w:ind w:left="20"/>
              <w:jc w:val="both"/>
            </w:pPr>
            <w:r>
              <w:rPr>
                <w:rFonts w:ascii="Times New Roman"/>
                <w:b w:val="false"/>
                <w:i w:val="false"/>
                <w:color w:val="000000"/>
                <w:sz w:val="20"/>
              </w:rPr>
              <w:t>
2. Максимальный срок хранения короче предыдущего.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Обновленные соответствующие разделы и дополнения к досье МФП, включая подробное описание новых условий, подтверждение валидации условий хранения (транспортировки) и название учреждения по забору (проверке) крови, в которых происходит изменение (если применимо).</w:t>
            </w:r>
          </w:p>
        </w:tc>
      </w:tr>
    </w:tbl>
    <w:p>
      <w:pPr>
        <w:spacing w:after="0"/>
        <w:ind w:left="0"/>
        <w:jc w:val="left"/>
      </w:pPr>
      <w:r>
        <w:br/>
      </w:r>
      <w:r>
        <w:rPr>
          <w:rFonts w:ascii="Times New Roman"/>
          <w:b w:val="false"/>
          <w:i w:val="false"/>
          <w:color w:val="000000"/>
          <w:sz w:val="28"/>
        </w:rPr>
        <w:t>
</w:t>
      </w:r>
    </w:p>
    <w:bookmarkStart w:name="z12567" w:id="7080"/>
    <w:p>
      <w:pPr>
        <w:spacing w:after="0"/>
        <w:ind w:left="0"/>
        <w:jc w:val="left"/>
      </w:pPr>
      <w:r>
        <w:rPr>
          <w:rFonts w:ascii="Times New Roman"/>
          <w:b/>
          <w:i w:val="false"/>
          <w:color w:val="000000"/>
        </w:rPr>
        <w:t xml:space="preserve"> Дополнение VII</w:t>
      </w:r>
    </w:p>
    <w:bookmarkEnd w:id="7080"/>
    <w:bookmarkStart w:name="z12568" w:id="7081"/>
    <w:p>
      <w:pPr>
        <w:spacing w:after="0"/>
        <w:ind w:left="0"/>
        <w:jc w:val="left"/>
      </w:pPr>
      <w:r>
        <w:rPr>
          <w:rFonts w:ascii="Times New Roman"/>
          <w:b/>
          <w:i w:val="false"/>
          <w:color w:val="000000"/>
        </w:rPr>
        <w:t xml:space="preserve"> Сопроводительное письмо о внесении изменений уведомительного характера I типа</w:t>
      </w:r>
    </w:p>
    <w:bookmarkEnd w:id="7081"/>
    <w:p>
      <w:pPr>
        <w:spacing w:after="0"/>
        <w:ind w:left="0"/>
        <w:jc w:val="both"/>
      </w:pPr>
      <w:r>
        <w:rPr>
          <w:rFonts w:ascii="Times New Roman"/>
          <w:b w:val="false"/>
          <w:i w:val="false"/>
          <w:color w:val="ff0000"/>
          <w:sz w:val="28"/>
        </w:rPr>
        <w:t xml:space="preserve">
      Сноска. Приложение 19 дополнено дополнением VII в соответствии с решением Совета Евразийской экономической комиссии от 29.05.2024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поступления </w:t>
            </w:r>
          </w:p>
          <w:p>
            <w:pPr>
              <w:spacing w:after="20"/>
              <w:ind w:left="20"/>
              <w:jc w:val="both"/>
            </w:pPr>
            <w:r>
              <w:rPr>
                <w:rFonts w:ascii="Times New Roman"/>
                <w:b w:val="false"/>
                <w:i w:val="false"/>
                <w:color w:val="000000"/>
                <w:sz w:val="20"/>
              </w:rPr>
              <w:t>
"__" ______________ 20__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Референтное государство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государства – члены Евразийского экономического союза для подачи заявления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0" w:id="7082"/>
    <w:p>
      <w:pPr>
        <w:spacing w:after="0"/>
        <w:ind w:left="0"/>
        <w:jc w:val="both"/>
      </w:pPr>
      <w:r>
        <w:rPr>
          <w:rFonts w:ascii="Times New Roman"/>
          <w:b w:val="false"/>
          <w:i w:val="false"/>
          <w:color w:val="000000"/>
          <w:sz w:val="28"/>
        </w:rPr>
        <w:t>
      1. Перечень и данные всех регистрационных удостоверений (досье), затронутых изменениями</w:t>
      </w:r>
    </w:p>
    <w:bookmarkEnd w:id="7082"/>
    <w:bookmarkStart w:name="z12571" w:id="7083"/>
    <w:p>
      <w:pPr>
        <w:spacing w:after="0"/>
        <w:ind w:left="0"/>
        <w:jc w:val="both"/>
      </w:pPr>
      <w:r>
        <w:rPr>
          <w:rFonts w:ascii="Times New Roman"/>
          <w:b w:val="false"/>
          <w:i w:val="false"/>
          <w:color w:val="000000"/>
          <w:sz w:val="28"/>
        </w:rPr>
        <w:t xml:space="preserve">
      1.1. </w:t>
      </w:r>
    </w:p>
    <w:bookmarkEnd w:id="7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2" w:id="7084"/>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в референтном государстве</w:t>
            </w:r>
          </w:p>
          <w:bookmarkEnd w:id="7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5" w:id="7085"/>
          <w:p>
            <w:pPr>
              <w:spacing w:after="20"/>
              <w:ind w:left="20"/>
              <w:jc w:val="both"/>
            </w:pPr>
            <w:r>
              <w:rPr>
                <w:rFonts w:ascii="Times New Roman"/>
                <w:b w:val="false"/>
                <w:i w:val="false"/>
                <w:color w:val="000000"/>
                <w:sz w:val="20"/>
              </w:rPr>
              <w:t>
</w:t>
            </w:r>
            <w:r>
              <w:rPr>
                <w:rFonts w:ascii="Times New Roman"/>
                <w:b w:val="false"/>
                <w:i w:val="false"/>
                <w:color w:val="000000"/>
                <w:sz w:val="20"/>
              </w:rPr>
              <w:t>торговые наименования в государствах признания (в случае отличия торгового наименования от торгового наименования, зарегистрированного в референтном государстве)</w:t>
            </w:r>
          </w:p>
          <w:bookmarkEnd w:id="7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8" w:id="7086"/>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регистрационного удостоверения</w:t>
            </w:r>
          </w:p>
          <w:bookmarkEnd w:id="7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1" w:id="7087"/>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w:t>
            </w:r>
          </w:p>
          <w:bookmarkEnd w:id="7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84" w:id="7088"/>
    <w:p>
      <w:pPr>
        <w:spacing w:after="0"/>
        <w:ind w:left="0"/>
        <w:jc w:val="both"/>
      </w:pPr>
      <w:r>
        <w:rPr>
          <w:rFonts w:ascii="Times New Roman"/>
          <w:b w:val="false"/>
          <w:i w:val="false"/>
          <w:color w:val="000000"/>
          <w:sz w:val="28"/>
        </w:rPr>
        <w:t xml:space="preserve">
      1.2. </w:t>
      </w:r>
    </w:p>
    <w:bookmarkEnd w:id="7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5" w:id="7089"/>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в референтном государстве</w:t>
            </w:r>
          </w:p>
          <w:bookmarkEnd w:id="7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8" w:id="7090"/>
          <w:p>
            <w:pPr>
              <w:spacing w:after="20"/>
              <w:ind w:left="20"/>
              <w:jc w:val="both"/>
            </w:pPr>
            <w:r>
              <w:rPr>
                <w:rFonts w:ascii="Times New Roman"/>
                <w:b w:val="false"/>
                <w:i w:val="false"/>
                <w:color w:val="000000"/>
                <w:sz w:val="20"/>
              </w:rPr>
              <w:t>
</w:t>
            </w:r>
            <w:r>
              <w:rPr>
                <w:rFonts w:ascii="Times New Roman"/>
                <w:b w:val="false"/>
                <w:i w:val="false"/>
                <w:color w:val="000000"/>
                <w:sz w:val="20"/>
              </w:rPr>
              <w:t>торговые наименования в государствах признания (в случае отличия торгового наименования от торгового наименования, зарегистрированного в референтном государстве)</w:t>
            </w:r>
          </w:p>
          <w:bookmarkEnd w:id="7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1" w:id="7091"/>
          <w:p>
            <w:pPr>
              <w:spacing w:after="20"/>
              <w:ind w:left="20"/>
              <w:jc w:val="both"/>
            </w:pPr>
            <w:r>
              <w:rPr>
                <w:rFonts w:ascii="Times New Roman"/>
                <w:b w:val="false"/>
                <w:i w:val="false"/>
                <w:color w:val="000000"/>
                <w:sz w:val="20"/>
              </w:rPr>
              <w:t>
</w:t>
            </w:r>
            <w:r>
              <w:rPr>
                <w:rFonts w:ascii="Times New Roman"/>
                <w:b w:val="false"/>
                <w:i w:val="false"/>
                <w:color w:val="000000"/>
                <w:sz w:val="20"/>
              </w:rPr>
              <w:t>номер регистрационного удостоверения</w:t>
            </w:r>
          </w:p>
          <w:bookmarkEnd w:id="7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4" w:id="7092"/>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w:t>
            </w:r>
          </w:p>
          <w:bookmarkEnd w:id="7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97" w:id="7093"/>
    <w:p>
      <w:pPr>
        <w:spacing w:after="0"/>
        <w:ind w:left="0"/>
        <w:jc w:val="both"/>
      </w:pPr>
      <w:r>
        <w:rPr>
          <w:rFonts w:ascii="Times New Roman"/>
          <w:b w:val="false"/>
          <w:i w:val="false"/>
          <w:color w:val="000000"/>
          <w:sz w:val="28"/>
        </w:rPr>
        <w:t xml:space="preserve">
      1.3. </w:t>
      </w:r>
    </w:p>
    <w:bookmarkEnd w:id="7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8" w:id="70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1" w:id="70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04" w:id="7096"/>
    <w:p>
      <w:pPr>
        <w:spacing w:after="0"/>
        <w:ind w:left="0"/>
        <w:jc w:val="both"/>
      </w:pPr>
      <w:r>
        <w:rPr>
          <w:rFonts w:ascii="Times New Roman"/>
          <w:b w:val="false"/>
          <w:i w:val="false"/>
          <w:color w:val="000000"/>
          <w:sz w:val="28"/>
        </w:rPr>
        <w:t>
      2. Сведения о заявлении о внесении изменений в регистрационное досье каждого заявляемого лекарственного препарата и сведения о соответствующей версии (последовательности) электронного регистрационного досье, каждого заявленного в сопроводительном письме лекарственного препарата.</w:t>
      </w:r>
    </w:p>
    <w:bookmarkEnd w:id="7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5" w:id="709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заявления</w:t>
            </w:r>
          </w:p>
          <w:bookmarkEnd w:id="7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версии (последовательности) подачи документов электронного регистрационного досье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14" w:id="7098"/>
    <w:p>
      <w:pPr>
        <w:spacing w:after="0"/>
        <w:ind w:left="0"/>
        <w:jc w:val="both"/>
      </w:pPr>
      <w:r>
        <w:rPr>
          <w:rFonts w:ascii="Times New Roman"/>
          <w:b w:val="false"/>
          <w:i w:val="false"/>
          <w:color w:val="000000"/>
          <w:sz w:val="28"/>
        </w:rPr>
        <w:t>
      3. Описание всех поданных изменений.</w:t>
      </w:r>
    </w:p>
    <w:bookmarkEnd w:id="7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5" w:id="70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99"/>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2" w:id="7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p>
          <w:bookmarkEnd w:id="7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9" w:id="7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w:t>
            </w:r>
          </w:p>
          <w:bookmarkEnd w:id="7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6" w:id="71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43" w:id="7103"/>
    <w:p>
      <w:pPr>
        <w:spacing w:after="0"/>
        <w:ind w:left="0"/>
        <w:jc w:val="both"/>
      </w:pPr>
      <w:r>
        <w:rPr>
          <w:rFonts w:ascii="Times New Roman"/>
          <w:b w:val="false"/>
          <w:i w:val="false"/>
          <w:color w:val="000000"/>
          <w:sz w:val="28"/>
        </w:rPr>
        <w:t>
      4. Описание взаимосвязи поданных изменений (при наличии).</w:t>
      </w:r>
    </w:p>
    <w:bookmarkEnd w:id="7103"/>
    <w:bookmarkStart w:name="z12644" w:id="710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w:t>
      </w:r>
    </w:p>
    <w:bookmarkEnd w:id="7104"/>
    <w:bookmarkStart w:name="z12645" w:id="7105"/>
    <w:p>
      <w:pPr>
        <w:spacing w:after="0"/>
        <w:ind w:left="0"/>
        <w:jc w:val="both"/>
      </w:pPr>
      <w:r>
        <w:rPr>
          <w:rFonts w:ascii="Times New Roman"/>
          <w:b w:val="false"/>
          <w:i w:val="false"/>
          <w:color w:val="000000"/>
          <w:sz w:val="28"/>
        </w:rPr>
        <w:t>
      Я гарантирую достоверность и несу ответственность за информацию, содержащуюся в представленных документах и данных, включенных в настоящее сопроводительное письмо.</w:t>
      </w:r>
    </w:p>
    <w:bookmarkEnd w:id="7105"/>
    <w:bookmarkStart w:name="z12646" w:id="7106"/>
    <w:p>
      <w:pPr>
        <w:spacing w:after="0"/>
        <w:ind w:left="0"/>
        <w:jc w:val="both"/>
      </w:pPr>
      <w:r>
        <w:rPr>
          <w:rFonts w:ascii="Times New Roman"/>
          <w:b w:val="false"/>
          <w:i w:val="false"/>
          <w:color w:val="000000"/>
          <w:sz w:val="28"/>
        </w:rPr>
        <w:t>
      Я также подтверждаю, что все предусмотренные сборы (пошлины) оплачены (будут оплачены) в соответствии с требованиями законодательства.</w:t>
      </w:r>
    </w:p>
    <w:bookmarkEnd w:id="7106"/>
    <w:bookmarkStart w:name="z12647" w:id="7107"/>
    <w:p>
      <w:pPr>
        <w:spacing w:after="0"/>
        <w:ind w:left="0"/>
        <w:jc w:val="both"/>
      </w:pPr>
      <w:r>
        <w:rPr>
          <w:rFonts w:ascii="Times New Roman"/>
          <w:b w:val="false"/>
          <w:i w:val="false"/>
          <w:color w:val="000000"/>
          <w:sz w:val="28"/>
        </w:rPr>
        <w:t xml:space="preserve">
       </w:t>
      </w:r>
    </w:p>
    <w:bookmarkEnd w:id="7107"/>
    <w:bookmarkStart w:name="z12648" w:id="7108"/>
    <w:p>
      <w:pPr>
        <w:spacing w:after="0"/>
        <w:ind w:left="0"/>
        <w:jc w:val="both"/>
      </w:pPr>
      <w:r>
        <w:rPr>
          <w:rFonts w:ascii="Times New Roman"/>
          <w:b w:val="false"/>
          <w:i w:val="false"/>
          <w:color w:val="000000"/>
          <w:sz w:val="28"/>
        </w:rPr>
        <w:t>
      От имени заявителя</w:t>
      </w:r>
    </w:p>
    <w:bookmarkEnd w:id="7108"/>
    <w:bookmarkStart w:name="z12649" w:id="7109"/>
    <w:p>
      <w:pPr>
        <w:spacing w:after="0"/>
        <w:ind w:left="0"/>
        <w:jc w:val="both"/>
      </w:pPr>
      <w:r>
        <w:rPr>
          <w:rFonts w:ascii="Times New Roman"/>
          <w:b w:val="false"/>
          <w:i w:val="false"/>
          <w:color w:val="000000"/>
          <w:sz w:val="28"/>
        </w:rPr>
        <w:t>
      ___________________________________</w:t>
      </w:r>
    </w:p>
    <w:bookmarkEnd w:id="7109"/>
    <w:bookmarkStart w:name="z12650" w:id="7110"/>
    <w:p>
      <w:pPr>
        <w:spacing w:after="0"/>
        <w:ind w:left="0"/>
        <w:jc w:val="both"/>
      </w:pPr>
      <w:r>
        <w:rPr>
          <w:rFonts w:ascii="Times New Roman"/>
          <w:b w:val="false"/>
          <w:i w:val="false"/>
          <w:color w:val="000000"/>
          <w:sz w:val="28"/>
        </w:rPr>
        <w:t>
                         (подпись)</w:t>
      </w:r>
    </w:p>
    <w:bookmarkEnd w:id="7110"/>
    <w:bookmarkStart w:name="z12651" w:id="7111"/>
    <w:p>
      <w:pPr>
        <w:spacing w:after="0"/>
        <w:ind w:left="0"/>
        <w:jc w:val="both"/>
      </w:pPr>
      <w:r>
        <w:rPr>
          <w:rFonts w:ascii="Times New Roman"/>
          <w:b w:val="false"/>
          <w:i w:val="false"/>
          <w:color w:val="000000"/>
          <w:sz w:val="28"/>
        </w:rPr>
        <w:t>
      ___________________________________</w:t>
      </w:r>
    </w:p>
    <w:bookmarkEnd w:id="7111"/>
    <w:bookmarkStart w:name="z12652" w:id="7112"/>
    <w:p>
      <w:pPr>
        <w:spacing w:after="0"/>
        <w:ind w:left="0"/>
        <w:jc w:val="both"/>
      </w:pPr>
      <w:r>
        <w:rPr>
          <w:rFonts w:ascii="Times New Roman"/>
          <w:b w:val="false"/>
          <w:i w:val="false"/>
          <w:color w:val="000000"/>
          <w:sz w:val="28"/>
        </w:rPr>
        <w:t>
      (фамилия, имя, отчество (при наличии))</w:t>
      </w:r>
    </w:p>
    <w:bookmarkEnd w:id="7112"/>
    <w:bookmarkStart w:name="z12653" w:id="7113"/>
    <w:p>
      <w:pPr>
        <w:spacing w:after="0"/>
        <w:ind w:left="0"/>
        <w:jc w:val="both"/>
      </w:pPr>
      <w:r>
        <w:rPr>
          <w:rFonts w:ascii="Times New Roman"/>
          <w:b w:val="false"/>
          <w:i w:val="false"/>
          <w:color w:val="000000"/>
          <w:sz w:val="28"/>
        </w:rPr>
        <w:t>
      ___________________________________</w:t>
      </w:r>
    </w:p>
    <w:bookmarkEnd w:id="7113"/>
    <w:bookmarkStart w:name="z12654" w:id="7114"/>
    <w:p>
      <w:pPr>
        <w:spacing w:after="0"/>
        <w:ind w:left="0"/>
        <w:jc w:val="both"/>
      </w:pPr>
      <w:r>
        <w:rPr>
          <w:rFonts w:ascii="Times New Roman"/>
          <w:b w:val="false"/>
          <w:i w:val="false"/>
          <w:color w:val="000000"/>
          <w:sz w:val="28"/>
        </w:rPr>
        <w:t>
                    (должность)</w:t>
      </w:r>
    </w:p>
    <w:bookmarkEnd w:id="7114"/>
    <w:bookmarkStart w:name="z12655" w:id="7115"/>
    <w:p>
      <w:pPr>
        <w:spacing w:after="0"/>
        <w:ind w:left="0"/>
        <w:jc w:val="both"/>
      </w:pPr>
      <w:r>
        <w:rPr>
          <w:rFonts w:ascii="Times New Roman"/>
          <w:b w:val="false"/>
          <w:i w:val="false"/>
          <w:color w:val="000000"/>
          <w:sz w:val="28"/>
        </w:rPr>
        <w:t>
       М.П.".</w:t>
      </w:r>
    </w:p>
    <w:bookmarkEnd w:id="7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8486" w:id="7116"/>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ПРОВЕДЕНИЯ ЭКСПЕРТИЗЫ ПРИ ВНЕСЕНИИ ИЗМЕНЕНИЙ В РЕГИСТРАЦИОННОЕ ДОСЬЕ ЗАРЕГИСТРИРОВАННОГО ЛЕКАРСТВЕННОГО ПРЕПАРАТА ДЛЯ МЕДИЦИНСКОГО ПРИМЕНЕНИЯ </w:t>
      </w:r>
    </w:p>
    <w:bookmarkEnd w:id="7116"/>
    <w:p>
      <w:pPr>
        <w:spacing w:after="0"/>
        <w:ind w:left="0"/>
        <w:jc w:val="both"/>
      </w:pPr>
      <w:r>
        <w:rPr>
          <w:rFonts w:ascii="Times New Roman"/>
          <w:b w:val="false"/>
          <w:i w:val="false"/>
          <w:color w:val="ff0000"/>
          <w:sz w:val="28"/>
        </w:rPr>
        <w:t xml:space="preserve">
      Сноска. Приложение 20 Утратило силу решением Совета Евразийской экономической комиссии от 29.05.2024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21</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8735" w:id="7117"/>
    <w:p>
      <w:pPr>
        <w:spacing w:after="0"/>
        <w:ind w:left="0"/>
        <w:jc w:val="left"/>
      </w:pPr>
      <w:r>
        <w:rPr>
          <w:rFonts w:ascii="Times New Roman"/>
          <w:b/>
          <w:i w:val="false"/>
          <w:color w:val="000000"/>
        </w:rPr>
        <w:t xml:space="preserve"> ФОРМА ЗАКЛЮЧЕНИЯ ПО ОЦЕНКЕ ВНОСИМЫХ ИЗМЕНЕНИЙ IB ТИПА </w:t>
      </w:r>
    </w:p>
    <w:bookmarkEnd w:id="7117"/>
    <w:p>
      <w:pPr>
        <w:spacing w:after="0"/>
        <w:ind w:left="0"/>
        <w:jc w:val="both"/>
      </w:pPr>
      <w:r>
        <w:rPr>
          <w:rFonts w:ascii="Times New Roman"/>
          <w:b w:val="false"/>
          <w:i w:val="false"/>
          <w:color w:val="ff0000"/>
          <w:sz w:val="28"/>
        </w:rPr>
        <w:t xml:space="preserve">
      Сноска. Приложение 21 с изменениями, внесенными решениями Совета Евразийской экономической комиссии от 29.05.2024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8736" w:id="7118"/>
    <w:p>
      <w:pPr>
        <w:spacing w:after="0"/>
        <w:ind w:left="0"/>
        <w:jc w:val="both"/>
      </w:pPr>
      <w:r>
        <w:rPr>
          <w:rFonts w:ascii="Times New Roman"/>
          <w:b w:val="false"/>
          <w:i w:val="false"/>
          <w:color w:val="000000"/>
          <w:sz w:val="28"/>
        </w:rPr>
        <w:t>
      Указания по заполнению: при использовании готовых шаблонов текста они выделены в настоящей форме знаками &lt; &gt; и курсивом; фрагменты шаблонов текста, заполнение которых производится путем ввода определенных вариантов текста по указанному свойству (параметру), приведены в фигурных скобках { } с указанием свойства (параметра), который необходимо внести курсивом, пояснения даны курсивом в квадратных скобках [ ].</w:t>
      </w:r>
    </w:p>
    <w:bookmarkEnd w:id="7118"/>
    <w:bookmarkStart w:name="z8737" w:id="7119"/>
    <w:p>
      <w:pPr>
        <w:spacing w:after="0"/>
        <w:ind w:left="0"/>
        <w:jc w:val="both"/>
      </w:pPr>
      <w:r>
        <w:rPr>
          <w:rFonts w:ascii="Times New Roman"/>
          <w:b w:val="false"/>
          <w:i w:val="false"/>
          <w:color w:val="000000"/>
          <w:sz w:val="28"/>
        </w:rPr>
        <w:t>
       </w:t>
      </w:r>
    </w:p>
    <w:bookmarkEnd w:id="7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739" w:id="7120"/>
    <w:p>
      <w:pPr>
        <w:spacing w:after="0"/>
        <w:ind w:left="0"/>
        <w:jc w:val="both"/>
      </w:pPr>
      <w:r>
        <w:rPr>
          <w:rFonts w:ascii="Times New Roman"/>
          <w:b w:val="false"/>
          <w:i w:val="false"/>
          <w:color w:val="000000"/>
          <w:sz w:val="28"/>
        </w:rPr>
        <w:t>
       </w:t>
      </w:r>
    </w:p>
    <w:bookmarkEnd w:id="7120"/>
    <w:bookmarkStart w:name="z8740" w:id="7121"/>
    <w:p>
      <w:pPr>
        <w:spacing w:after="0"/>
        <w:ind w:left="0"/>
        <w:jc w:val="left"/>
      </w:pPr>
      <w:r>
        <w:rPr>
          <w:rFonts w:ascii="Times New Roman"/>
          <w:b/>
          <w:i w:val="false"/>
          <w:color w:val="000000"/>
        </w:rPr>
        <w:t xml:space="preserve"> Заключение по оценке вносимых изменений типа I </w:t>
      </w:r>
    </w:p>
    <w:bookmarkEnd w:id="7121"/>
    <w:bookmarkStart w:name="z8741" w:id="7122"/>
    <w:p>
      <w:pPr>
        <w:spacing w:after="0"/>
        <w:ind w:left="0"/>
        <w:jc w:val="left"/>
      </w:pPr>
      <w:r>
        <w:rPr>
          <w:rFonts w:ascii="Times New Roman"/>
          <w:b/>
          <w:i w:val="false"/>
          <w:color w:val="000000"/>
        </w:rPr>
        <w:t xml:space="preserve">  </w:t>
      </w:r>
    </w:p>
    <w:bookmarkEnd w:id="7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7123"/>
          <w:p>
            <w:pPr>
              <w:spacing w:after="20"/>
              <w:ind w:left="20"/>
              <w:jc w:val="both"/>
            </w:pPr>
            <w:r>
              <w:rPr>
                <w:rFonts w:ascii="Times New Roman"/>
                <w:b w:val="false"/>
                <w:i w:val="false"/>
                <w:color w:val="000000"/>
                <w:sz w:val="20"/>
              </w:rPr>
              <w:t xml:space="preserve">
Торговое наименование лекарственного препарата </w:t>
            </w:r>
          </w:p>
          <w:bookmarkEnd w:id="7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3" w:id="7124"/>
          <w:p>
            <w:pPr>
              <w:spacing w:after="20"/>
              <w:ind w:left="20"/>
              <w:jc w:val="both"/>
            </w:pPr>
            <w:r>
              <w:rPr>
                <w:rFonts w:ascii="Times New Roman"/>
                <w:b w:val="false"/>
                <w:i w:val="false"/>
                <w:color w:val="000000"/>
                <w:sz w:val="20"/>
              </w:rPr>
              <w:t xml:space="preserve">
Международное непатентованное наименование </w:t>
            </w:r>
          </w:p>
          <w:bookmarkEnd w:id="7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7125"/>
          <w:p>
            <w:pPr>
              <w:spacing w:after="20"/>
              <w:ind w:left="20"/>
              <w:jc w:val="both"/>
            </w:pPr>
            <w:r>
              <w:rPr>
                <w:rFonts w:ascii="Times New Roman"/>
                <w:b w:val="false"/>
                <w:i w:val="false"/>
                <w:color w:val="000000"/>
                <w:sz w:val="20"/>
              </w:rPr>
              <w:t xml:space="preserve">
Дозировка (дозировки) или концентрация (концентрации) </w:t>
            </w:r>
          </w:p>
          <w:bookmarkEnd w:id="7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5" w:id="7126"/>
          <w:p>
            <w:pPr>
              <w:spacing w:after="20"/>
              <w:ind w:left="20"/>
              <w:jc w:val="both"/>
            </w:pPr>
            <w:r>
              <w:rPr>
                <w:rFonts w:ascii="Times New Roman"/>
                <w:b w:val="false"/>
                <w:i w:val="false"/>
                <w:color w:val="000000"/>
                <w:sz w:val="20"/>
              </w:rPr>
              <w:t xml:space="preserve">
Лекарственная форма </w:t>
            </w:r>
          </w:p>
          <w:bookmarkEnd w:id="7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6" w:id="7127"/>
          <w:p>
            <w:pPr>
              <w:spacing w:after="20"/>
              <w:ind w:left="20"/>
              <w:jc w:val="both"/>
            </w:pPr>
            <w:r>
              <w:rPr>
                <w:rFonts w:ascii="Times New Roman"/>
                <w:b w:val="false"/>
                <w:i w:val="false"/>
                <w:color w:val="000000"/>
                <w:sz w:val="20"/>
              </w:rPr>
              <w:t xml:space="preserve">
Форма выпуска </w:t>
            </w:r>
          </w:p>
          <w:bookmarkEnd w:id="7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7128"/>
          <w:p>
            <w:pPr>
              <w:spacing w:after="20"/>
              <w:ind w:left="20"/>
              <w:jc w:val="both"/>
            </w:pPr>
            <w:r>
              <w:rPr>
                <w:rFonts w:ascii="Times New Roman"/>
                <w:b w:val="false"/>
                <w:i w:val="false"/>
                <w:color w:val="000000"/>
                <w:sz w:val="20"/>
              </w:rPr>
              <w:t xml:space="preserve">
Держатель регистрационного удостоверения </w:t>
            </w:r>
          </w:p>
          <w:bookmarkEnd w:id="7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8" w:id="7129"/>
    <w:p>
      <w:pPr>
        <w:spacing w:after="0"/>
        <w:ind w:left="0"/>
        <w:jc w:val="both"/>
      </w:pPr>
      <w:r>
        <w:rPr>
          <w:rFonts w:ascii="Times New Roman"/>
          <w:b w:val="false"/>
          <w:i w:val="false"/>
          <w:color w:val="000000"/>
          <w:sz w:val="28"/>
        </w:rPr>
        <w:t>
       </w:t>
      </w:r>
    </w:p>
    <w:bookmarkEnd w:id="7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7130"/>
          <w:p>
            <w:pPr>
              <w:spacing w:after="20"/>
              <w:ind w:left="20"/>
              <w:jc w:val="both"/>
            </w:pPr>
            <w:r>
              <w:rPr>
                <w:rFonts w:ascii="Times New Roman"/>
                <w:b w:val="false"/>
                <w:i w:val="false"/>
                <w:color w:val="000000"/>
                <w:sz w:val="20"/>
              </w:rPr>
              <w:t xml:space="preserve">
Докладчик </w:t>
            </w:r>
          </w:p>
          <w:bookmarkEnd w:id="7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7131"/>
          <w:p>
            <w:pPr>
              <w:spacing w:after="20"/>
              <w:ind w:left="20"/>
              <w:jc w:val="both"/>
            </w:pPr>
            <w:r>
              <w:rPr>
                <w:rFonts w:ascii="Times New Roman"/>
                <w:b w:val="false"/>
                <w:i w:val="false"/>
                <w:color w:val="000000"/>
                <w:sz w:val="20"/>
              </w:rPr>
              <w:t xml:space="preserve">
Дата отчета </w:t>
            </w:r>
          </w:p>
          <w:bookmarkEnd w:id="7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51" w:id="7132"/>
    <w:p>
      <w:pPr>
        <w:spacing w:after="0"/>
        <w:ind w:left="0"/>
        <w:jc w:val="both"/>
      </w:pPr>
      <w:r>
        <w:rPr>
          <w:rFonts w:ascii="Times New Roman"/>
          <w:b w:val="false"/>
          <w:i w:val="false"/>
          <w:color w:val="000000"/>
          <w:sz w:val="28"/>
        </w:rPr>
        <w:t>
       </w:t>
      </w:r>
    </w:p>
    <w:bookmarkEnd w:id="7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2" w:id="7133"/>
          <w:p>
            <w:pPr>
              <w:spacing w:after="20"/>
              <w:ind w:left="20"/>
              <w:jc w:val="both"/>
            </w:pPr>
            <w:r>
              <w:rPr>
                <w:rFonts w:ascii="Times New Roman"/>
                <w:b w:val="false"/>
                <w:i w:val="false"/>
                <w:color w:val="000000"/>
                <w:sz w:val="20"/>
              </w:rPr>
              <w:t xml:space="preserve">
Докладчик </w:t>
            </w:r>
          </w:p>
          <w:bookmarkEnd w:id="7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3" w:id="7134"/>
          <w:p>
            <w:pPr>
              <w:spacing w:after="20"/>
              <w:ind w:left="20"/>
              <w:jc w:val="both"/>
            </w:pPr>
            <w:r>
              <w:rPr>
                <w:rFonts w:ascii="Times New Roman"/>
                <w:b w:val="false"/>
                <w:i w:val="false"/>
                <w:color w:val="000000"/>
                <w:sz w:val="20"/>
              </w:rPr>
              <w:t xml:space="preserve">
Крайний срок для представления отзывов </w:t>
            </w:r>
          </w:p>
          <w:bookmarkEnd w:id="7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54" w:id="7135"/>
    <w:p>
      <w:pPr>
        <w:spacing w:after="0"/>
        <w:ind w:left="0"/>
        <w:jc w:val="both"/>
      </w:pPr>
      <w:r>
        <w:rPr>
          <w:rFonts w:ascii="Times New Roman"/>
          <w:b w:val="false"/>
          <w:i w:val="false"/>
          <w:color w:val="000000"/>
          <w:sz w:val="28"/>
        </w:rPr>
        <w:t>
       </w:t>
      </w:r>
    </w:p>
    <w:bookmarkEnd w:id="7135"/>
    <w:bookmarkStart w:name="z8755" w:id="7136"/>
    <w:p>
      <w:pPr>
        <w:spacing w:after="0"/>
        <w:ind w:left="0"/>
        <w:jc w:val="left"/>
      </w:pPr>
      <w:r>
        <w:rPr>
          <w:rFonts w:ascii="Times New Roman"/>
          <w:b/>
          <w:i w:val="false"/>
          <w:color w:val="000000"/>
        </w:rPr>
        <w:t xml:space="preserve"> Административная информация </w:t>
      </w:r>
    </w:p>
    <w:bookmarkEnd w:id="7136"/>
    <w:bookmarkStart w:name="z8756" w:id="7137"/>
    <w:p>
      <w:pPr>
        <w:spacing w:after="0"/>
        <w:ind w:left="0"/>
        <w:jc w:val="both"/>
      </w:pPr>
      <w:r>
        <w:rPr>
          <w:rFonts w:ascii="Times New Roman"/>
          <w:b w:val="false"/>
          <w:i w:val="false"/>
          <w:color w:val="000000"/>
          <w:sz w:val="28"/>
        </w:rPr>
        <w:t>
       </w:t>
      </w:r>
    </w:p>
    <w:bookmarkEnd w:id="7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7138"/>
          <w:p>
            <w:pPr>
              <w:spacing w:after="20"/>
              <w:ind w:left="20"/>
              <w:jc w:val="both"/>
            </w:pPr>
            <w:r>
              <w:rPr>
                <w:rFonts w:ascii="Times New Roman"/>
                <w:b w:val="false"/>
                <w:i w:val="false"/>
                <w:color w:val="000000"/>
                <w:sz w:val="20"/>
              </w:rPr>
              <w:t xml:space="preserve">
Контактное лицо докладчика </w:t>
            </w:r>
          </w:p>
          <w:bookmarkEnd w:id="7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7139"/>
          <w:p>
            <w:pPr>
              <w:spacing w:after="20"/>
              <w:ind w:left="20"/>
              <w:jc w:val="both"/>
            </w:pPr>
            <w:r>
              <w:rPr>
                <w:rFonts w:ascii="Times New Roman"/>
                <w:b w:val="false"/>
                <w:i w:val="false"/>
                <w:color w:val="000000"/>
                <w:sz w:val="20"/>
              </w:rPr>
              <w:t xml:space="preserve">
Эксперты докладчика (внутренний и независимый) </w:t>
            </w:r>
          </w:p>
          <w:bookmarkEnd w:id="7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3 (качество):</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7140"/>
          <w:p>
            <w:pPr>
              <w:spacing w:after="20"/>
              <w:ind w:left="20"/>
              <w:jc w:val="both"/>
            </w:pPr>
          </w:p>
          <w:bookmarkEnd w:id="7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3 (доклиника):</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7141"/>
          <w:p>
            <w:pPr>
              <w:spacing w:after="20"/>
              <w:ind w:left="20"/>
              <w:jc w:val="both"/>
            </w:pPr>
          </w:p>
          <w:bookmarkEnd w:id="7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модулю 5 (клиника):</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1" w:id="7142"/>
          <w:p>
            <w:pPr>
              <w:spacing w:after="20"/>
              <w:ind w:left="20"/>
              <w:jc w:val="both"/>
            </w:pPr>
          </w:p>
          <w:bookmarkEnd w:id="7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фармаконадзору:</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bl>
    <w:bookmarkStart w:name="z8762" w:id="7143"/>
    <w:p>
      <w:pPr>
        <w:spacing w:after="0"/>
        <w:ind w:left="0"/>
        <w:jc w:val="left"/>
      </w:pPr>
      <w:r>
        <w:rPr>
          <w:rFonts w:ascii="Times New Roman"/>
          <w:b/>
          <w:i w:val="false"/>
          <w:color w:val="000000"/>
        </w:rPr>
        <w:t xml:space="preserve"> 1. Рекомендация </w:t>
      </w:r>
    </w:p>
    <w:bookmarkEnd w:id="7143"/>
    <w:p>
      <w:pPr>
        <w:spacing w:after="0"/>
        <w:ind w:left="0"/>
        <w:jc w:val="both"/>
      </w:pPr>
      <w:r>
        <w:rPr>
          <w:rFonts w:ascii="Times New Roman"/>
          <w:b w:val="false"/>
          <w:i w:val="false"/>
          <w:color w:val="ff0000"/>
          <w:sz w:val="28"/>
        </w:rPr>
        <w:t xml:space="preserve">
      Сноска. Раздел 1 с изменениями, внесенными решением Совета Евразийской экономической комиссии от 29.05.2024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8763" w:id="7144"/>
    <w:p>
      <w:pPr>
        <w:spacing w:after="0"/>
        <w:ind w:left="0"/>
        <w:jc w:val="both"/>
      </w:pPr>
      <w:r>
        <w:rPr>
          <w:rFonts w:ascii="Times New Roman"/>
          <w:b w:val="false"/>
          <w:i w:val="false"/>
          <w:color w:val="000000"/>
          <w:sz w:val="28"/>
        </w:rPr>
        <w:t>
      На основе обзора данных о качестве, безопасности и эффективности эксперт считает, что тип изменений в соответствии с приложением № 19 к Правилам регистрации и экспертизы лекарственных средств для медицинского применения (далее - Правила) для торгового наименования лекарственного препарата &lt;торговое наименование&gt;, &lt;МНН&gt;, при лечении &lt;код МКБ&gt; для следующего предлагаемого изменения &lt;указать&gt;:</w:t>
      </w:r>
    </w:p>
    <w:bookmarkEnd w:id="7144"/>
    <w:bookmarkStart w:name="z8764" w:id="7145"/>
    <w:p>
      <w:pPr>
        <w:spacing w:after="0"/>
        <w:ind w:left="0"/>
        <w:jc w:val="both"/>
      </w:pPr>
      <w:r>
        <w:rPr>
          <w:rFonts w:ascii="Times New Roman"/>
          <w:b w:val="false"/>
          <w:i w:val="false"/>
          <w:color w:val="000000"/>
          <w:sz w:val="28"/>
        </w:rPr>
        <w:t>
      &lt;одобряется&gt;;</w:t>
      </w:r>
    </w:p>
    <w:bookmarkEnd w:id="7145"/>
    <w:bookmarkStart w:name="z8765" w:id="7146"/>
    <w:p>
      <w:pPr>
        <w:spacing w:after="0"/>
        <w:ind w:left="0"/>
        <w:jc w:val="both"/>
      </w:pPr>
      <w:r>
        <w:rPr>
          <w:rFonts w:ascii="Times New Roman"/>
          <w:b w:val="false"/>
          <w:i w:val="false"/>
          <w:color w:val="000000"/>
          <w:sz w:val="28"/>
        </w:rPr>
        <w:t>
      &lt;может быть одобрен при условии, что удовлетворительные ответы даются по "прочим замечаниям", как это описано в разделе 4 настоящей формы&gt;;</w:t>
      </w:r>
    </w:p>
    <w:bookmarkEnd w:id="7146"/>
    <w:bookmarkStart w:name="z8766" w:id="7147"/>
    <w:p>
      <w:pPr>
        <w:spacing w:after="0"/>
        <w:ind w:left="0"/>
        <w:jc w:val="both"/>
      </w:pPr>
      <w:r>
        <w:rPr>
          <w:rFonts w:ascii="Times New Roman"/>
          <w:b w:val="false"/>
          <w:i w:val="false"/>
          <w:color w:val="000000"/>
          <w:sz w:val="28"/>
        </w:rPr>
        <w:t>
      &lt;не одобряется, поскольку вызывает "критические замечания"&gt;.</w:t>
      </w:r>
    </w:p>
    <w:bookmarkEnd w:id="7147"/>
    <w:bookmarkStart w:name="z8767" w:id="7148"/>
    <w:p>
      <w:pPr>
        <w:spacing w:after="0"/>
        <w:ind w:left="0"/>
        <w:jc w:val="both"/>
      </w:pPr>
      <w:r>
        <w:rPr>
          <w:rFonts w:ascii="Times New Roman"/>
          <w:b w:val="false"/>
          <w:i w:val="false"/>
          <w:color w:val="000000"/>
          <w:sz w:val="28"/>
        </w:rPr>
        <w:t>
      [Для правильного понимания области применения изменения следует добавить код изменения из приложения № 19 к Правилам]</w:t>
      </w:r>
    </w:p>
    <w:bookmarkEnd w:id="7148"/>
    <w:bookmarkStart w:name="z8768" w:id="7149"/>
    <w:p>
      <w:pPr>
        <w:spacing w:after="0"/>
        <w:ind w:left="0"/>
        <w:jc w:val="both"/>
      </w:pPr>
      <w:r>
        <w:rPr>
          <w:rFonts w:ascii="Times New Roman"/>
          <w:b w:val="false"/>
          <w:i w:val="false"/>
          <w:color w:val="000000"/>
          <w:sz w:val="28"/>
        </w:rPr>
        <w:t>
      Неодобряемое изменение означает, что с того момента, как были выявлены "критические замечания", они исключают рекомендацию для внесения изменений в регистрационное досье. Подробная информация об этих основных возражениях приводится ниже и направляется в письменной форме в дополнение к устному уведомлению об этом посредством телефонной связи. Помимо ответов на критические замечания в случае отказа удовлетворительные ответы должны быть даны также на "несущественные (другие) замечания", как это описано в разделе 4 настоящей формы.</w:t>
      </w:r>
    </w:p>
    <w:bookmarkEnd w:id="7149"/>
    <w:bookmarkStart w:name="z8769" w:id="7150"/>
    <w:p>
      <w:pPr>
        <w:spacing w:after="0"/>
        <w:ind w:left="0"/>
        <w:jc w:val="both"/>
      </w:pPr>
      <w:r>
        <w:rPr>
          <w:rFonts w:ascii="Times New Roman"/>
          <w:b w:val="false"/>
          <w:i w:val="false"/>
          <w:color w:val="000000"/>
          <w:sz w:val="28"/>
        </w:rPr>
        <w:t>
      Кроме того, докладчик рекомендует следующие условия для регистрационного удостоверения и изменения к предлагаемой общей характеристике лекарственного препарата (см. приложение А).</w:t>
      </w:r>
    </w:p>
    <w:bookmarkEnd w:id="7150"/>
    <w:bookmarkStart w:name="z8770" w:id="7151"/>
    <w:p>
      <w:pPr>
        <w:spacing w:after="0"/>
        <w:ind w:left="0"/>
        <w:jc w:val="both"/>
      </w:pPr>
      <w:r>
        <w:rPr>
          <w:rFonts w:ascii="Times New Roman"/>
          <w:b w:val="false"/>
          <w:i w:val="false"/>
          <w:color w:val="000000"/>
          <w:sz w:val="28"/>
        </w:rPr>
        <w:t>
      Основания для отказа:</w:t>
      </w:r>
    </w:p>
    <w:bookmarkEnd w:id="7151"/>
    <w:bookmarkStart w:name="z8771" w:id="7152"/>
    <w:p>
      <w:pPr>
        <w:spacing w:after="0"/>
        <w:ind w:left="0"/>
        <w:jc w:val="both"/>
      </w:pPr>
      <w:r>
        <w:rPr>
          <w:rFonts w:ascii="Times New Roman"/>
          <w:b w:val="false"/>
          <w:i w:val="false"/>
          <w:color w:val="000000"/>
          <w:sz w:val="28"/>
        </w:rPr>
        <w:t>
      [Раздел заполняется в случае отрицательного мнения]</w:t>
      </w:r>
    </w:p>
    <w:bookmarkEnd w:id="7152"/>
    <w:bookmarkStart w:name="z8772" w:id="7153"/>
    <w:p>
      <w:pPr>
        <w:spacing w:after="0"/>
        <w:ind w:left="0"/>
        <w:jc w:val="left"/>
      </w:pPr>
      <w:r>
        <w:rPr>
          <w:rFonts w:ascii="Times New Roman"/>
          <w:b/>
          <w:i w:val="false"/>
          <w:color w:val="000000"/>
        </w:rPr>
        <w:t xml:space="preserve"> 2. Научная дискуссия</w:t>
      </w:r>
    </w:p>
    <w:bookmarkEnd w:id="7153"/>
    <w:bookmarkStart w:name="z8773" w:id="7154"/>
    <w:p>
      <w:pPr>
        <w:spacing w:after="0"/>
        <w:ind w:left="0"/>
        <w:jc w:val="left"/>
      </w:pPr>
      <w:r>
        <w:rPr>
          <w:rFonts w:ascii="Times New Roman"/>
          <w:b/>
          <w:i w:val="false"/>
          <w:color w:val="000000"/>
        </w:rPr>
        <w:t xml:space="preserve"> 2.1. Введение</w:t>
      </w:r>
    </w:p>
    <w:bookmarkEnd w:id="7154"/>
    <w:bookmarkStart w:name="z8774" w:id="7155"/>
    <w:p>
      <w:pPr>
        <w:spacing w:after="0"/>
        <w:ind w:left="0"/>
        <w:jc w:val="both"/>
      </w:pPr>
      <w:r>
        <w:rPr>
          <w:rFonts w:ascii="Times New Roman"/>
          <w:b w:val="false"/>
          <w:i w:val="false"/>
          <w:color w:val="000000"/>
          <w:sz w:val="28"/>
        </w:rPr>
        <w:t>
      [Указывается краткое заявление о лекарственном средстве, в регистрационное досье которого предполагается внесение изменений, и его фармакотерапевтическом действии. Следует кратко остановиться на обосновании (причине) предлагаемого изменения. Если изменение является результатом предыдущей оценки или запроса, например, мер, принимаемых во исполнение каких-либо решений или ПООБ (периодически обновляемого отчета по безопасности), то следует кратко изложить их предыдущее обсуждение и заключение.</w:t>
      </w:r>
    </w:p>
    <w:bookmarkEnd w:id="7155"/>
    <w:bookmarkStart w:name="z8775" w:id="7156"/>
    <w:p>
      <w:pPr>
        <w:spacing w:after="0"/>
        <w:ind w:left="0"/>
        <w:jc w:val="both"/>
      </w:pPr>
      <w:r>
        <w:rPr>
          <w:rFonts w:ascii="Times New Roman"/>
          <w:b w:val="false"/>
          <w:i w:val="false"/>
          <w:color w:val="000000"/>
          <w:sz w:val="28"/>
        </w:rPr>
        <w:t>
      В соответствующих разделах и подзаголовке заключения на регистрацию (перерегистрацию, внесение изменений) следует придерживаться соответствующих полей по аспектам качества, доклиническим и клиническим аспектам, но при соответствующем обосновании допускается изменение формы. Информация о следующих частях может быть включена с подзаголовками (при необходимости).]</w:t>
      </w:r>
    </w:p>
    <w:bookmarkEnd w:id="7156"/>
    <w:bookmarkStart w:name="z8776" w:id="7157"/>
    <w:p>
      <w:pPr>
        <w:spacing w:after="0"/>
        <w:ind w:left="0"/>
        <w:jc w:val="left"/>
      </w:pPr>
      <w:r>
        <w:rPr>
          <w:rFonts w:ascii="Times New Roman"/>
          <w:b/>
          <w:i w:val="false"/>
          <w:color w:val="000000"/>
        </w:rPr>
        <w:t xml:space="preserve"> 2.2. Аспекты качества</w:t>
      </w:r>
    </w:p>
    <w:bookmarkEnd w:id="7157"/>
    <w:bookmarkStart w:name="z8777" w:id="7158"/>
    <w:p>
      <w:pPr>
        <w:spacing w:after="0"/>
        <w:ind w:left="0"/>
        <w:jc w:val="left"/>
      </w:pPr>
      <w:r>
        <w:rPr>
          <w:rFonts w:ascii="Times New Roman"/>
          <w:b/>
          <w:i w:val="false"/>
          <w:color w:val="000000"/>
        </w:rPr>
        <w:t xml:space="preserve"> 2.3. Доклинические аспекты</w:t>
      </w:r>
    </w:p>
    <w:bookmarkEnd w:id="7158"/>
    <w:bookmarkStart w:name="z8778" w:id="7159"/>
    <w:p>
      <w:pPr>
        <w:spacing w:after="0"/>
        <w:ind w:left="0"/>
        <w:jc w:val="left"/>
      </w:pPr>
      <w:r>
        <w:rPr>
          <w:rFonts w:ascii="Times New Roman"/>
          <w:b/>
          <w:i w:val="false"/>
          <w:color w:val="000000"/>
        </w:rPr>
        <w:t xml:space="preserve"> 2.3.1. Методы: анализ представленных данных</w:t>
      </w:r>
    </w:p>
    <w:bookmarkEnd w:id="7159"/>
    <w:bookmarkStart w:name="z8779" w:id="7160"/>
    <w:p>
      <w:pPr>
        <w:spacing w:after="0"/>
        <w:ind w:left="0"/>
        <w:jc w:val="left"/>
      </w:pPr>
      <w:r>
        <w:rPr>
          <w:rFonts w:ascii="Times New Roman"/>
          <w:b/>
          <w:i w:val="false"/>
          <w:color w:val="000000"/>
        </w:rPr>
        <w:t xml:space="preserve"> 2.3.2. Результаты</w:t>
      </w:r>
    </w:p>
    <w:bookmarkEnd w:id="7160"/>
    <w:bookmarkStart w:name="z8780" w:id="7161"/>
    <w:p>
      <w:pPr>
        <w:spacing w:after="0"/>
        <w:ind w:left="0"/>
        <w:jc w:val="left"/>
      </w:pPr>
      <w:r>
        <w:rPr>
          <w:rFonts w:ascii="Times New Roman"/>
          <w:b/>
          <w:i w:val="false"/>
          <w:color w:val="000000"/>
        </w:rPr>
        <w:t xml:space="preserve"> 2.3.3. Обсуждение</w:t>
      </w:r>
    </w:p>
    <w:bookmarkEnd w:id="7161"/>
    <w:bookmarkStart w:name="z8781" w:id="7162"/>
    <w:p>
      <w:pPr>
        <w:spacing w:after="0"/>
        <w:ind w:left="0"/>
        <w:jc w:val="left"/>
      </w:pPr>
      <w:r>
        <w:rPr>
          <w:rFonts w:ascii="Times New Roman"/>
          <w:b/>
          <w:i w:val="false"/>
          <w:color w:val="000000"/>
        </w:rPr>
        <w:t xml:space="preserve"> 2.4. Аспекты клинической фармакологии</w:t>
      </w:r>
    </w:p>
    <w:bookmarkEnd w:id="7162"/>
    <w:bookmarkStart w:name="z8782" w:id="7163"/>
    <w:p>
      <w:pPr>
        <w:spacing w:after="0"/>
        <w:ind w:left="0"/>
        <w:jc w:val="left"/>
      </w:pPr>
      <w:r>
        <w:rPr>
          <w:rFonts w:ascii="Times New Roman"/>
          <w:b/>
          <w:i w:val="false"/>
          <w:color w:val="000000"/>
        </w:rPr>
        <w:t xml:space="preserve"> 2.4.1. Методы: анализ представленных данных</w:t>
      </w:r>
    </w:p>
    <w:bookmarkEnd w:id="7163"/>
    <w:bookmarkStart w:name="z8783" w:id="7164"/>
    <w:p>
      <w:pPr>
        <w:spacing w:after="0"/>
        <w:ind w:left="0"/>
        <w:jc w:val="left"/>
      </w:pPr>
      <w:r>
        <w:rPr>
          <w:rFonts w:ascii="Times New Roman"/>
          <w:b/>
          <w:i w:val="false"/>
          <w:color w:val="000000"/>
        </w:rPr>
        <w:t xml:space="preserve"> 2.4.2. Результаты</w:t>
      </w:r>
    </w:p>
    <w:bookmarkEnd w:id="7164"/>
    <w:bookmarkStart w:name="z8784" w:id="7165"/>
    <w:p>
      <w:pPr>
        <w:spacing w:after="0"/>
        <w:ind w:left="0"/>
        <w:jc w:val="left"/>
      </w:pPr>
      <w:r>
        <w:rPr>
          <w:rFonts w:ascii="Times New Roman"/>
          <w:b/>
          <w:i w:val="false"/>
          <w:color w:val="000000"/>
        </w:rPr>
        <w:t xml:space="preserve"> 2.4.3. Обсуждение</w:t>
      </w:r>
    </w:p>
    <w:bookmarkEnd w:id="7165"/>
    <w:bookmarkStart w:name="z8785" w:id="7166"/>
    <w:p>
      <w:pPr>
        <w:spacing w:after="0"/>
        <w:ind w:left="0"/>
        <w:jc w:val="left"/>
      </w:pPr>
      <w:r>
        <w:rPr>
          <w:rFonts w:ascii="Times New Roman"/>
          <w:b/>
          <w:i w:val="false"/>
          <w:color w:val="000000"/>
        </w:rPr>
        <w:t xml:space="preserve"> 2.5. Аспекты клинической эффективности</w:t>
      </w:r>
    </w:p>
    <w:bookmarkEnd w:id="7166"/>
    <w:bookmarkStart w:name="z8786" w:id="7167"/>
    <w:p>
      <w:pPr>
        <w:spacing w:after="0"/>
        <w:ind w:left="0"/>
        <w:jc w:val="left"/>
      </w:pPr>
      <w:r>
        <w:rPr>
          <w:rFonts w:ascii="Times New Roman"/>
          <w:b/>
          <w:i w:val="false"/>
          <w:color w:val="000000"/>
        </w:rPr>
        <w:t xml:space="preserve"> 2.5.1. Методы - анализ представленных данных</w:t>
      </w:r>
    </w:p>
    <w:bookmarkEnd w:id="7167"/>
    <w:bookmarkStart w:name="z8787" w:id="7168"/>
    <w:p>
      <w:pPr>
        <w:spacing w:after="0"/>
        <w:ind w:left="0"/>
        <w:jc w:val="left"/>
      </w:pPr>
      <w:r>
        <w:rPr>
          <w:rFonts w:ascii="Times New Roman"/>
          <w:b/>
          <w:i w:val="false"/>
          <w:color w:val="000000"/>
        </w:rPr>
        <w:t xml:space="preserve"> 2.5.2. Результаты</w:t>
      </w:r>
    </w:p>
    <w:bookmarkEnd w:id="7168"/>
    <w:bookmarkStart w:name="z8788" w:id="7169"/>
    <w:p>
      <w:pPr>
        <w:spacing w:after="0"/>
        <w:ind w:left="0"/>
        <w:jc w:val="left"/>
      </w:pPr>
      <w:r>
        <w:rPr>
          <w:rFonts w:ascii="Times New Roman"/>
          <w:b/>
          <w:i w:val="false"/>
          <w:color w:val="000000"/>
        </w:rPr>
        <w:t xml:space="preserve"> 2.5.3. Обсуждение</w:t>
      </w:r>
    </w:p>
    <w:bookmarkEnd w:id="7169"/>
    <w:bookmarkStart w:name="z8789" w:id="7170"/>
    <w:p>
      <w:pPr>
        <w:spacing w:after="0"/>
        <w:ind w:left="0"/>
        <w:jc w:val="left"/>
      </w:pPr>
      <w:r>
        <w:rPr>
          <w:rFonts w:ascii="Times New Roman"/>
          <w:b/>
          <w:i w:val="false"/>
          <w:color w:val="000000"/>
        </w:rPr>
        <w:t xml:space="preserve"> 2.6. Аспекты клинической безопасности</w:t>
      </w:r>
    </w:p>
    <w:bookmarkEnd w:id="7170"/>
    <w:bookmarkStart w:name="z8790" w:id="7171"/>
    <w:p>
      <w:pPr>
        <w:spacing w:after="0"/>
        <w:ind w:left="0"/>
        <w:jc w:val="left"/>
      </w:pPr>
      <w:r>
        <w:rPr>
          <w:rFonts w:ascii="Times New Roman"/>
          <w:b/>
          <w:i w:val="false"/>
          <w:color w:val="000000"/>
        </w:rPr>
        <w:t xml:space="preserve"> 2.6.1. Методы - анализ представленных данных</w:t>
      </w:r>
    </w:p>
    <w:bookmarkEnd w:id="7171"/>
    <w:bookmarkStart w:name="z8791" w:id="7172"/>
    <w:p>
      <w:pPr>
        <w:spacing w:after="0"/>
        <w:ind w:left="0"/>
        <w:jc w:val="left"/>
      </w:pPr>
      <w:r>
        <w:rPr>
          <w:rFonts w:ascii="Times New Roman"/>
          <w:b/>
          <w:i w:val="false"/>
          <w:color w:val="000000"/>
        </w:rPr>
        <w:t xml:space="preserve"> 2.6.2. Результаты</w:t>
      </w:r>
    </w:p>
    <w:bookmarkEnd w:id="7172"/>
    <w:bookmarkStart w:name="z8792" w:id="7173"/>
    <w:p>
      <w:pPr>
        <w:spacing w:after="0"/>
        <w:ind w:left="0"/>
        <w:jc w:val="left"/>
      </w:pPr>
      <w:r>
        <w:rPr>
          <w:rFonts w:ascii="Times New Roman"/>
          <w:b/>
          <w:i w:val="false"/>
          <w:color w:val="000000"/>
        </w:rPr>
        <w:t xml:space="preserve"> 2.6.3. Обсуждение </w:t>
      </w:r>
    </w:p>
    <w:bookmarkEnd w:id="7173"/>
    <w:bookmarkStart w:name="z8793" w:id="7174"/>
    <w:p>
      <w:pPr>
        <w:spacing w:after="0"/>
        <w:ind w:left="0"/>
        <w:jc w:val="both"/>
      </w:pPr>
      <w:r>
        <w:rPr>
          <w:rFonts w:ascii="Times New Roman"/>
          <w:b w:val="false"/>
          <w:i w:val="false"/>
          <w:color w:val="000000"/>
          <w:sz w:val="28"/>
        </w:rPr>
        <w:t>
      [В случае если подавалось заявление о внесении изменений по нескольким препаратам и в какой-либо из позиций мнения экспертов разделились в отношении группы лекарственных препаратов, его следует описать отдельно по каждому из лекарственных препаратов.]</w:t>
      </w:r>
    </w:p>
    <w:bookmarkEnd w:id="7174"/>
    <w:bookmarkStart w:name="z8794" w:id="7175"/>
    <w:p>
      <w:pPr>
        <w:spacing w:after="0"/>
        <w:ind w:left="0"/>
        <w:jc w:val="left"/>
      </w:pPr>
      <w:r>
        <w:rPr>
          <w:rFonts w:ascii="Times New Roman"/>
          <w:b/>
          <w:i w:val="false"/>
          <w:color w:val="000000"/>
        </w:rPr>
        <w:t xml:space="preserve"> 2.7. Система фармакологического надзора</w:t>
      </w:r>
    </w:p>
    <w:bookmarkEnd w:id="7175"/>
    <w:bookmarkStart w:name="z8795" w:id="7176"/>
    <w:p>
      <w:pPr>
        <w:spacing w:after="0"/>
        <w:ind w:left="0"/>
        <w:jc w:val="both"/>
      </w:pPr>
      <w:r>
        <w:rPr>
          <w:rFonts w:ascii="Times New Roman"/>
          <w:b w:val="false"/>
          <w:i w:val="false"/>
          <w:color w:val="000000"/>
          <w:sz w:val="28"/>
        </w:rPr>
        <w:t>
      Эксперт считает, что система фармаконадзора, как описано заявителем, отвечает требованиям Правил надлежащей практики фармаконадзора Евразийского экономического союза (далее - Союз) и обеспечивает достаточные доказательства того, что заявитель пользуется услугами квалифицированного лица, ответственного за фармаконадзор, и имеет необходимые средства для уведомления о любой неблагоприятной реакции, которая может произойти в государствах - членах Союза (далее - государства-члены) или в государстве, не являющемся членом Союза.</w:t>
      </w:r>
    </w:p>
    <w:bookmarkEnd w:id="7176"/>
    <w:bookmarkStart w:name="z8796" w:id="7177"/>
    <w:p>
      <w:pPr>
        <w:spacing w:after="0"/>
        <w:ind w:left="0"/>
        <w:jc w:val="both"/>
      </w:pPr>
      <w:r>
        <w:rPr>
          <w:rFonts w:ascii="Times New Roman"/>
          <w:b w:val="false"/>
          <w:i w:val="false"/>
          <w:color w:val="000000"/>
          <w:sz w:val="28"/>
        </w:rPr>
        <w:t>
      Эксперт считает, что система фармаконадзора, как описано заявителем, имеет следующие недостатки &lt;указать недостатки&gt;:</w:t>
      </w:r>
    </w:p>
    <w:bookmarkEnd w:id="7177"/>
    <w:bookmarkStart w:name="z8797" w:id="7178"/>
    <w:p>
      <w:pPr>
        <w:spacing w:after="0"/>
        <w:ind w:left="0"/>
        <w:jc w:val="both"/>
      </w:pPr>
      <w:r>
        <w:rPr>
          <w:rFonts w:ascii="Times New Roman"/>
          <w:b w:val="false"/>
          <w:i w:val="false"/>
          <w:color w:val="000000"/>
          <w:sz w:val="28"/>
        </w:rPr>
        <w:t>
      При условии, что недостатки будут устранены до того, как заявитель представит лекарственный препарат на рынке, уполномоченная экспертная организация государства-члена может считать, что система фармаконадзора будет выполнять требования. Заявитель должен убедиться, что система фармаконадзора имеется в наличии и функционирует правильно, прежде чем продукт появится на рынке.</w:t>
      </w:r>
    </w:p>
    <w:bookmarkEnd w:id="7178"/>
    <w:bookmarkStart w:name="z8798" w:id="7179"/>
    <w:p>
      <w:pPr>
        <w:spacing w:after="0"/>
        <w:ind w:left="0"/>
        <w:jc w:val="left"/>
      </w:pPr>
      <w:r>
        <w:rPr>
          <w:rFonts w:ascii="Times New Roman"/>
          <w:b/>
          <w:i w:val="false"/>
          <w:color w:val="000000"/>
        </w:rPr>
        <w:t xml:space="preserve"> 2.8. План управления рисками </w:t>
      </w:r>
    </w:p>
    <w:bookmarkEnd w:id="7179"/>
    <w:bookmarkStart w:name="z8799" w:id="7180"/>
    <w:p>
      <w:pPr>
        <w:spacing w:after="0"/>
        <w:ind w:left="0"/>
        <w:jc w:val="both"/>
      </w:pPr>
      <w:r>
        <w:rPr>
          <w:rFonts w:ascii="Times New Roman"/>
          <w:b w:val="false"/>
          <w:i w:val="false"/>
          <w:color w:val="000000"/>
          <w:sz w:val="28"/>
        </w:rPr>
        <w:t>
      [Эксперт должен провести первую общую оценку приложения, вместе с идентификацией каких-либо серьезных проблем в ПУР (плане по управлению рисками). Если в уполномоченной экспертной организации государства-члена созданы организационные структуры, отвечающие за работы в области фармаконадзора (далее - ОСОРОФ), их консультации для экспертов были бы полезными при заполнении данного раздела заключения. Это включает в себя особые выводы в части доклинической безопасности, отсутствие части исследований (или сведений) в плане и (или) отчете о клинических исследованиях фармакологии лекарственного препарата, потенциальные сигналы безопасности в рамках клинических исследованиях и т.д. На этом этапе особенно важно, чтобы проблемы безопасности идентифицировались (важные выявленные риски, важные потенциальные риски, важная недостающая информация). Это тем более важно, если эти вопросы не были определены заявителем в досье ранее и, следовательно, вряд ли будут отражены в ПУР в последующем.</w:t>
      </w:r>
    </w:p>
    <w:bookmarkEnd w:id="7180"/>
    <w:bookmarkStart w:name="z8800" w:id="7181"/>
    <w:p>
      <w:pPr>
        <w:spacing w:after="0"/>
        <w:ind w:left="0"/>
        <w:jc w:val="both"/>
      </w:pPr>
      <w:r>
        <w:rPr>
          <w:rFonts w:ascii="Times New Roman"/>
          <w:b w:val="false"/>
          <w:i w:val="false"/>
          <w:color w:val="000000"/>
          <w:sz w:val="28"/>
        </w:rPr>
        <w:t>
      ОСОРОФ обеспечивает эксперта также рекомендациями по оценке ПУР. Этот совет будет частично основан на экспертных оценках досье, следовательно, экспертные отчеты по модулям М3 - М5 (приложения № 6 - 8 к Правилам) станут важным источником информации для эксперта.</w:t>
      </w:r>
    </w:p>
    <w:bookmarkEnd w:id="7181"/>
    <w:bookmarkStart w:name="z8801" w:id="7182"/>
    <w:p>
      <w:pPr>
        <w:spacing w:after="0"/>
        <w:ind w:left="0"/>
        <w:jc w:val="both"/>
      </w:pPr>
      <w:r>
        <w:rPr>
          <w:rFonts w:ascii="Times New Roman"/>
          <w:b w:val="false"/>
          <w:i w:val="false"/>
          <w:color w:val="000000"/>
          <w:sz w:val="28"/>
        </w:rPr>
        <w:t>
      Если консультация ОСОРОФ получена, она должна быть включена в проект заключения (список замечаний) для обсуждения. Важно отметить, что эти консультации ОСОРОФ также могут содержать предлагаемые вопросы по ПУР, которые будут добавлены в проект заключения эксперта. Если эксперт уклоняется от советов ОСОРОФ, то этот вопрос должен обсуждаться на уровне уполномоченной экспертной организации государства-члена.]</w:t>
      </w:r>
    </w:p>
    <w:bookmarkEnd w:id="7182"/>
    <w:bookmarkStart w:name="z8802" w:id="7183"/>
    <w:p>
      <w:pPr>
        <w:spacing w:after="0"/>
        <w:ind w:left="0"/>
        <w:jc w:val="both"/>
      </w:pPr>
      <w:r>
        <w:rPr>
          <w:rFonts w:ascii="Times New Roman"/>
          <w:b w:val="false"/>
          <w:i w:val="false"/>
          <w:color w:val="000000"/>
          <w:sz w:val="28"/>
        </w:rPr>
        <w:t>
      Вопросы и (или) проблемы для рассмотрения экспертом после консультации ОСОРОФ при оценке ПУР:</w:t>
      </w:r>
    </w:p>
    <w:bookmarkEnd w:id="7183"/>
    <w:bookmarkStart w:name="z8803" w:id="7184"/>
    <w:p>
      <w:pPr>
        <w:spacing w:after="0"/>
        <w:ind w:left="0"/>
        <w:jc w:val="both"/>
      </w:pPr>
      <w:r>
        <w:rPr>
          <w:rFonts w:ascii="Times New Roman"/>
          <w:b w:val="false"/>
          <w:i w:val="false"/>
          <w:color w:val="000000"/>
          <w:sz w:val="28"/>
        </w:rPr>
        <w:t>
      [Отразить вопросы и проблемы, которые были выявлены в ходе общей оценки заявления и которые следует рассматривать при оценке плана управления рисками со стороны ОСОРОФ].</w:t>
      </w:r>
    </w:p>
    <w:bookmarkEnd w:id="7184"/>
    <w:bookmarkStart w:name="z8804" w:id="7185"/>
    <w:p>
      <w:pPr>
        <w:spacing w:after="0"/>
        <w:ind w:left="0"/>
        <w:jc w:val="both"/>
      </w:pPr>
      <w:r>
        <w:rPr>
          <w:rFonts w:ascii="Times New Roman"/>
          <w:b w:val="false"/>
          <w:i w:val="false"/>
          <w:color w:val="000000"/>
          <w:sz w:val="28"/>
        </w:rPr>
        <w:t>
       </w:t>
      </w:r>
    </w:p>
    <w:bookmarkEnd w:id="7185"/>
    <w:bookmarkStart w:name="z8805" w:id="7186"/>
    <w:p>
      <w:pPr>
        <w:spacing w:after="0"/>
        <w:ind w:left="0"/>
        <w:jc w:val="left"/>
      </w:pPr>
      <w:r>
        <w:rPr>
          <w:rFonts w:ascii="Times New Roman"/>
          <w:b/>
          <w:i w:val="false"/>
          <w:color w:val="000000"/>
        </w:rPr>
        <w:t xml:space="preserve"> 2.9. Изменения в общей характеристике лекарственного препарата </w:t>
      </w:r>
    </w:p>
    <w:bookmarkEnd w:id="7186"/>
    <w:bookmarkStart w:name="z8806" w:id="7187"/>
    <w:p>
      <w:pPr>
        <w:spacing w:after="0"/>
        <w:ind w:left="0"/>
        <w:jc w:val="both"/>
      </w:pPr>
      <w:r>
        <w:rPr>
          <w:rFonts w:ascii="Times New Roman"/>
          <w:b w:val="false"/>
          <w:i w:val="false"/>
          <w:color w:val="000000"/>
          <w:sz w:val="28"/>
        </w:rPr>
        <w:t>
       </w:t>
      </w:r>
    </w:p>
    <w:bookmarkEnd w:id="7187"/>
    <w:bookmarkStart w:name="z8807" w:id="7188"/>
    <w:p>
      <w:pPr>
        <w:spacing w:after="0"/>
        <w:ind w:left="0"/>
        <w:jc w:val="both"/>
      </w:pPr>
      <w:r>
        <w:rPr>
          <w:rFonts w:ascii="Times New Roman"/>
          <w:b w:val="false"/>
          <w:i w:val="false"/>
          <w:color w:val="000000"/>
          <w:sz w:val="28"/>
        </w:rPr>
        <w:t>
      [Изменения, вносимые в общую характеристику лекарственного препарата, должны быть описаны и представлены как новый текст с подчеркнутым и удаленным текстом, отмеченным как зачеркнутый. Однако, если эти изменения слишком обширны, изменения в соответствующих разделах общей характеристики лекарственного препарата (ОХЛП) можно резюмировать и могут быть сделаны ссылки.]</w:t>
      </w:r>
    </w:p>
    <w:bookmarkEnd w:id="7188"/>
    <w:bookmarkStart w:name="z8808" w:id="7189"/>
    <w:p>
      <w:pPr>
        <w:spacing w:after="0"/>
        <w:ind w:left="0"/>
        <w:jc w:val="both"/>
      </w:pPr>
      <w:r>
        <w:rPr>
          <w:rFonts w:ascii="Times New Roman"/>
          <w:b w:val="false"/>
          <w:i w:val="false"/>
          <w:color w:val="000000"/>
          <w:sz w:val="28"/>
        </w:rPr>
        <w:t>
      Держателем регистрационного удостоверения предложены следующие изменения в ОХЛП &lt;перечислить изменения&gt;:</w:t>
      </w:r>
    </w:p>
    <w:bookmarkEnd w:id="7189"/>
    <w:bookmarkStart w:name="z8809" w:id="7190"/>
    <w:p>
      <w:pPr>
        <w:spacing w:after="0"/>
        <w:ind w:left="0"/>
        <w:jc w:val="both"/>
      </w:pPr>
      <w:r>
        <w:rPr>
          <w:rFonts w:ascii="Times New Roman"/>
          <w:b w:val="false"/>
          <w:i w:val="false"/>
          <w:color w:val="000000"/>
          <w:sz w:val="28"/>
        </w:rPr>
        <w:t>
      Докладчик запрашивает по причинам, рассмотренным подробно выше &lt;следующие&gt; &lt;дополнительные&gt; поправки к ОХЛП: &lt;Включите краткое описание пунктов, где предлагаются дальнейшие поправки к предполагаемым изменениям и причины этих запросов.&gt;</w:t>
      </w:r>
    </w:p>
    <w:bookmarkEnd w:id="7190"/>
    <w:bookmarkStart w:name="z8810" w:id="7191"/>
    <w:p>
      <w:pPr>
        <w:spacing w:after="0"/>
        <w:ind w:left="0"/>
        <w:jc w:val="both"/>
      </w:pPr>
      <w:r>
        <w:rPr>
          <w:rFonts w:ascii="Times New Roman"/>
          <w:b w:val="false"/>
          <w:i w:val="false"/>
          <w:color w:val="000000"/>
          <w:sz w:val="28"/>
        </w:rPr>
        <w:t>
      Изменения также были внесены в инструкцию по медицинскому применению (листку-вкладышу) (ИМП (ЛВ)), чтобы привести ее в соответствие с текущей редакцией ОХЛП в соответствии с требованиями к общей характеристике лекарственного препарата для медицинского применения и инструкции по медицинскому применению (листку-вкладышу), утверждаемыми Евразийской экономической комиссией.</w:t>
      </w:r>
    </w:p>
    <w:bookmarkEnd w:id="7191"/>
    <w:bookmarkStart w:name="z8811" w:id="7192"/>
    <w:p>
      <w:pPr>
        <w:spacing w:after="0"/>
        <w:ind w:left="0"/>
        <w:jc w:val="both"/>
      </w:pPr>
      <w:r>
        <w:rPr>
          <w:rFonts w:ascii="Times New Roman"/>
          <w:b w:val="false"/>
          <w:i w:val="false"/>
          <w:color w:val="000000"/>
          <w:sz w:val="28"/>
        </w:rPr>
        <w:t>
      [Если результаты пользовательского тестирования были представлены по этой процедуре, следует это также обсудить.]</w:t>
      </w:r>
    </w:p>
    <w:bookmarkEnd w:id="7192"/>
    <w:bookmarkStart w:name="z8812" w:id="7193"/>
    <w:p>
      <w:pPr>
        <w:spacing w:after="0"/>
        <w:ind w:left="0"/>
        <w:jc w:val="both"/>
      </w:pPr>
      <w:r>
        <w:rPr>
          <w:rFonts w:ascii="Times New Roman"/>
          <w:b w:val="false"/>
          <w:i w:val="false"/>
          <w:color w:val="000000"/>
          <w:sz w:val="28"/>
        </w:rPr>
        <w:t>
      &lt;Результаты пользовательского тестирования с использованием целевых групп пациентов относительно ИМП (ЛВ), представленные держателем регистрационного удостоверения, показывают, что ИМП (ЛВ) соответствует критериям удобочитаемости, изложенным в требованиях к общей характеристике лекарственного препарата для медицинского применения и инструкции по медицинскому применению (листку-вкладышу), утверждаемыми Евразийской экономической комиссией.&gt;</w:t>
      </w:r>
    </w:p>
    <w:bookmarkEnd w:id="7193"/>
    <w:bookmarkStart w:name="z8813" w:id="7194"/>
    <w:p>
      <w:pPr>
        <w:spacing w:after="0"/>
        <w:ind w:left="0"/>
        <w:jc w:val="both"/>
      </w:pPr>
      <w:r>
        <w:rPr>
          <w:rFonts w:ascii="Times New Roman"/>
          <w:b w:val="false"/>
          <w:i w:val="false"/>
          <w:color w:val="000000"/>
          <w:sz w:val="28"/>
        </w:rPr>
        <w:t>
      или</w:t>
      </w:r>
    </w:p>
    <w:bookmarkEnd w:id="7194"/>
    <w:bookmarkStart w:name="z8814" w:id="7195"/>
    <w:p>
      <w:pPr>
        <w:spacing w:after="0"/>
        <w:ind w:left="0"/>
        <w:jc w:val="both"/>
      </w:pPr>
      <w:r>
        <w:rPr>
          <w:rFonts w:ascii="Times New Roman"/>
          <w:b w:val="false"/>
          <w:i w:val="false"/>
          <w:color w:val="000000"/>
          <w:sz w:val="28"/>
        </w:rPr>
        <w:t>
      &lt;Результаты пользовательского тестирования с использованием целевых групп пациентов относительно ИМП (ЛВ), представленные держателем регистрационного удостоверения, показывают, что ИМП (ЛВ) не отвечает критериям для удобства чтения, изложенным требованиях к общей характеристике лекарственного препарата для медицинского применения и инструкции по медицинскому применению (листку-вкладышу), утверждаемыми Евразийской экономической комиссией. Заявитель должен рассмотреть приведенные ниже несущественные (прочие) замечания, касающиеся ИМП (ЛВ) в рамках пользовательского тестирования с использованием целевых групп пациентов&gt;.</w:t>
      </w:r>
    </w:p>
    <w:bookmarkEnd w:id="7195"/>
    <w:bookmarkStart w:name="z8815" w:id="7196"/>
    <w:p>
      <w:pPr>
        <w:spacing w:after="0"/>
        <w:ind w:left="0"/>
        <w:jc w:val="both"/>
      </w:pPr>
      <w:r>
        <w:rPr>
          <w:rFonts w:ascii="Times New Roman"/>
          <w:b w:val="false"/>
          <w:i w:val="false"/>
          <w:color w:val="000000"/>
          <w:sz w:val="28"/>
        </w:rPr>
        <w:t>
      или</w:t>
      </w:r>
    </w:p>
    <w:bookmarkEnd w:id="7196"/>
    <w:bookmarkStart w:name="z8816" w:id="7197"/>
    <w:p>
      <w:pPr>
        <w:spacing w:after="0"/>
        <w:ind w:left="0"/>
        <w:jc w:val="both"/>
      </w:pPr>
      <w:r>
        <w:rPr>
          <w:rFonts w:ascii="Times New Roman"/>
          <w:b w:val="false"/>
          <w:i w:val="false"/>
          <w:color w:val="000000"/>
          <w:sz w:val="28"/>
        </w:rPr>
        <w:t>
      &lt;Полное пользовательское тестирование с использованием целевых групп пациентов относительно ИМП (ЛВ) на основе сводного отчета &lt;название продукта (названия продуктов)&gt; не выполнялось. Сводный отчет, представленный заявителем, был признан приемлемым (неприемлемым)&gt;.</w:t>
      </w:r>
    </w:p>
    <w:bookmarkEnd w:id="7197"/>
    <w:bookmarkStart w:name="z8817" w:id="7198"/>
    <w:p>
      <w:pPr>
        <w:spacing w:after="0"/>
        <w:ind w:left="0"/>
        <w:jc w:val="both"/>
      </w:pPr>
      <w:r>
        <w:rPr>
          <w:rFonts w:ascii="Times New Roman"/>
          <w:b w:val="false"/>
          <w:i w:val="false"/>
          <w:color w:val="000000"/>
          <w:sz w:val="28"/>
        </w:rPr>
        <w:t>
      [Последний вариант формулировки может быть включен, только если ОСОРОФ согласовал его.]</w:t>
      </w:r>
    </w:p>
    <w:bookmarkEnd w:id="7198"/>
    <w:bookmarkStart w:name="z8818" w:id="7199"/>
    <w:p>
      <w:pPr>
        <w:spacing w:after="0"/>
        <w:ind w:left="0"/>
        <w:jc w:val="both"/>
      </w:pPr>
      <w:r>
        <w:rPr>
          <w:rFonts w:ascii="Times New Roman"/>
          <w:b w:val="false"/>
          <w:i w:val="false"/>
          <w:color w:val="000000"/>
          <w:sz w:val="28"/>
        </w:rPr>
        <w:t>
       </w:t>
      </w:r>
    </w:p>
    <w:bookmarkEnd w:id="7199"/>
    <w:bookmarkStart w:name="z8819" w:id="7200"/>
    <w:p>
      <w:pPr>
        <w:spacing w:after="0"/>
        <w:ind w:left="0"/>
        <w:jc w:val="left"/>
      </w:pPr>
      <w:r>
        <w:rPr>
          <w:rFonts w:ascii="Times New Roman"/>
          <w:b/>
          <w:i w:val="false"/>
          <w:color w:val="000000"/>
        </w:rPr>
        <w:t xml:space="preserve"> 2.10. Прямое информирование медицинских работников </w:t>
      </w:r>
    </w:p>
    <w:bookmarkEnd w:id="7200"/>
    <w:bookmarkStart w:name="z8820" w:id="7201"/>
    <w:p>
      <w:pPr>
        <w:spacing w:after="0"/>
        <w:ind w:left="0"/>
        <w:jc w:val="both"/>
      </w:pPr>
      <w:r>
        <w:rPr>
          <w:rFonts w:ascii="Times New Roman"/>
          <w:b w:val="false"/>
          <w:i w:val="false"/>
          <w:color w:val="000000"/>
          <w:sz w:val="28"/>
        </w:rPr>
        <w:t>
       </w:t>
      </w:r>
    </w:p>
    <w:bookmarkEnd w:id="7201"/>
    <w:bookmarkStart w:name="z8821" w:id="7202"/>
    <w:p>
      <w:pPr>
        <w:spacing w:after="0"/>
        <w:ind w:left="0"/>
        <w:jc w:val="both"/>
      </w:pPr>
      <w:r>
        <w:rPr>
          <w:rFonts w:ascii="Times New Roman"/>
          <w:b w:val="false"/>
          <w:i w:val="false"/>
          <w:color w:val="000000"/>
          <w:sz w:val="28"/>
        </w:rPr>
        <w:t>
      Эксперт считает, что прямое информирование медицинских работников (ПИМР) необходимо, чтобы общаться относительно &lt;указать краткое изложение вопроса для взаимодействия&gt;.</w:t>
      </w:r>
    </w:p>
    <w:bookmarkEnd w:id="7202"/>
    <w:bookmarkStart w:name="z8822" w:id="7203"/>
    <w:p>
      <w:pPr>
        <w:spacing w:after="0"/>
        <w:ind w:left="0"/>
        <w:jc w:val="both"/>
      </w:pPr>
      <w:r>
        <w:rPr>
          <w:rFonts w:ascii="Times New Roman"/>
          <w:b w:val="false"/>
          <w:i w:val="false"/>
          <w:color w:val="000000"/>
          <w:sz w:val="28"/>
        </w:rPr>
        <w:t>
      [Следует привести общие детали целевой аудитории ПИМР.]</w:t>
      </w:r>
    </w:p>
    <w:bookmarkEnd w:id="7203"/>
    <w:bookmarkStart w:name="z8823" w:id="7204"/>
    <w:p>
      <w:pPr>
        <w:spacing w:after="0"/>
        <w:ind w:left="0"/>
        <w:jc w:val="both"/>
      </w:pPr>
      <w:r>
        <w:rPr>
          <w:rFonts w:ascii="Times New Roman"/>
          <w:b w:val="false"/>
          <w:i w:val="false"/>
          <w:color w:val="000000"/>
          <w:sz w:val="28"/>
        </w:rPr>
        <w:t>
      Держатель регистрационного удостоверения должен согласовать переводы и местные особенности ПИМР с уполномоченными органами государств-членов. ПИМР следует направлять &lt;указать согласованную дату распространения ПИМР&gt; в &lt;указать целевую аудиторию&gt;.</w:t>
      </w:r>
    </w:p>
    <w:bookmarkEnd w:id="7204"/>
    <w:bookmarkStart w:name="z8824" w:id="7205"/>
    <w:p>
      <w:pPr>
        <w:spacing w:after="0"/>
        <w:ind w:left="0"/>
        <w:jc w:val="both"/>
      </w:pPr>
      <w:r>
        <w:rPr>
          <w:rFonts w:ascii="Times New Roman"/>
          <w:b w:val="false"/>
          <w:i w:val="false"/>
          <w:color w:val="000000"/>
          <w:sz w:val="28"/>
        </w:rPr>
        <w:t>
      [Следующие разделы, касающиеся применения лекарственного препарата у детей, по значимости и соответствию могут быть включены, только если необходимо для данного варианта]</w:t>
      </w:r>
    </w:p>
    <w:bookmarkEnd w:id="7205"/>
    <w:bookmarkStart w:name="z8825" w:id="7206"/>
    <w:p>
      <w:pPr>
        <w:spacing w:after="0"/>
        <w:ind w:left="0"/>
        <w:jc w:val="both"/>
      </w:pPr>
      <w:r>
        <w:rPr>
          <w:rFonts w:ascii="Times New Roman"/>
          <w:b w:val="false"/>
          <w:i w:val="false"/>
          <w:color w:val="000000"/>
          <w:sz w:val="28"/>
        </w:rPr>
        <w:t>
       </w:t>
      </w:r>
    </w:p>
    <w:bookmarkEnd w:id="7206"/>
    <w:bookmarkStart w:name="z8826" w:id="7207"/>
    <w:p>
      <w:pPr>
        <w:spacing w:after="0"/>
        <w:ind w:left="0"/>
        <w:jc w:val="left"/>
      </w:pPr>
      <w:r>
        <w:rPr>
          <w:rFonts w:ascii="Times New Roman"/>
          <w:b/>
          <w:i w:val="false"/>
          <w:color w:val="000000"/>
        </w:rPr>
        <w:t xml:space="preserve"> 2.11. Значение несоответствий педиатрических исследований </w:t>
      </w:r>
    </w:p>
    <w:bookmarkEnd w:id="7207"/>
    <w:bookmarkStart w:name="z8827" w:id="7208"/>
    <w:p>
      <w:pPr>
        <w:spacing w:after="0"/>
        <w:ind w:left="0"/>
        <w:jc w:val="both"/>
      </w:pPr>
      <w:r>
        <w:rPr>
          <w:rFonts w:ascii="Times New Roman"/>
          <w:b w:val="false"/>
          <w:i w:val="false"/>
          <w:color w:val="000000"/>
          <w:sz w:val="28"/>
        </w:rPr>
        <w:t>
       </w:t>
      </w:r>
    </w:p>
    <w:bookmarkEnd w:id="7208"/>
    <w:bookmarkStart w:name="z8828" w:id="7209"/>
    <w:p>
      <w:pPr>
        <w:spacing w:after="0"/>
        <w:ind w:left="0"/>
        <w:jc w:val="both"/>
      </w:pPr>
      <w:r>
        <w:rPr>
          <w:rFonts w:ascii="Times New Roman"/>
          <w:b w:val="false"/>
          <w:i w:val="false"/>
          <w:color w:val="000000"/>
          <w:sz w:val="28"/>
        </w:rPr>
        <w:t>
      [Внимание! Если наблюдалось подтверждение сигнала среди детей для представления этого изменения или если это представление включает в себя педиатрические исследования, упомянутые в ОХЛП, следует использовать подходящие руководства в области педиатрии при оценке данных изменений.]</w:t>
      </w:r>
    </w:p>
    <w:bookmarkEnd w:id="7209"/>
    <w:bookmarkStart w:name="z8829" w:id="7210"/>
    <w:p>
      <w:pPr>
        <w:spacing w:after="0"/>
        <w:ind w:left="0"/>
        <w:jc w:val="both"/>
      </w:pPr>
      <w:r>
        <w:rPr>
          <w:rFonts w:ascii="Times New Roman"/>
          <w:b w:val="false"/>
          <w:i w:val="false"/>
          <w:color w:val="000000"/>
          <w:sz w:val="28"/>
        </w:rPr>
        <w:t>
       </w:t>
      </w:r>
    </w:p>
    <w:bookmarkEnd w:id="7210"/>
    <w:bookmarkStart w:name="z8830" w:id="7211"/>
    <w:p>
      <w:pPr>
        <w:spacing w:after="0"/>
        <w:ind w:left="0"/>
        <w:jc w:val="left"/>
      </w:pPr>
      <w:r>
        <w:rPr>
          <w:rFonts w:ascii="Times New Roman"/>
          <w:b/>
          <w:i w:val="false"/>
          <w:color w:val="000000"/>
        </w:rPr>
        <w:t xml:space="preserve"> 3. Общее заключение и воздействие на соотношение польза - риск </w:t>
      </w:r>
    </w:p>
    <w:bookmarkEnd w:id="7211"/>
    <w:bookmarkStart w:name="z8831" w:id="7212"/>
    <w:p>
      <w:pPr>
        <w:spacing w:after="0"/>
        <w:ind w:left="0"/>
        <w:jc w:val="both"/>
      </w:pPr>
      <w:r>
        <w:rPr>
          <w:rFonts w:ascii="Times New Roman"/>
          <w:b w:val="false"/>
          <w:i w:val="false"/>
          <w:color w:val="000000"/>
          <w:sz w:val="28"/>
        </w:rPr>
        <w:t>
       </w:t>
      </w:r>
    </w:p>
    <w:bookmarkEnd w:id="7212"/>
    <w:bookmarkStart w:name="z8832" w:id="7213"/>
    <w:p>
      <w:pPr>
        <w:spacing w:after="0"/>
        <w:ind w:left="0"/>
        <w:jc w:val="both"/>
      </w:pPr>
      <w:r>
        <w:rPr>
          <w:rFonts w:ascii="Times New Roman"/>
          <w:b w:val="false"/>
          <w:i w:val="false"/>
          <w:color w:val="000000"/>
          <w:sz w:val="28"/>
        </w:rPr>
        <w:t>
      [В данном разделе следует добавить критический обзор представленных данных, подчеркивающих запрос изменения и его влияние на соотношение пользы-риска лекарственного препарата.</w:t>
      </w:r>
    </w:p>
    <w:bookmarkEnd w:id="7213"/>
    <w:bookmarkStart w:name="z8833" w:id="7214"/>
    <w:p>
      <w:pPr>
        <w:spacing w:after="0"/>
        <w:ind w:left="0"/>
        <w:jc w:val="both"/>
      </w:pPr>
      <w:r>
        <w:rPr>
          <w:rFonts w:ascii="Times New Roman"/>
          <w:b w:val="false"/>
          <w:i w:val="false"/>
          <w:color w:val="000000"/>
          <w:sz w:val="28"/>
        </w:rPr>
        <w:t>
      При ограниченном количестве данных, которые рассматриваются как ключевые для обеспечения положительного соотношения (превышения) пользы к ожидаемым рискам их получение в ходе специальных исследований может быть поставлено экспертом в условие выдачи регистрационного удостоверения. В случае если вопросы были определены для включения в приложение B как условия, используйте приведенное ниже заявление. Любая мера, определенная как условие, должна быть хорошо мотивирована в заявлении, а именно необходимость для условия должна быть объяснена в контексте положительного соотношения польза - риск.]</w:t>
      </w:r>
    </w:p>
    <w:bookmarkEnd w:id="7214"/>
    <w:bookmarkStart w:name="z8834" w:id="7215"/>
    <w:p>
      <w:pPr>
        <w:spacing w:after="0"/>
        <w:ind w:left="0"/>
        <w:jc w:val="both"/>
      </w:pPr>
      <w:r>
        <w:rPr>
          <w:rFonts w:ascii="Times New Roman"/>
          <w:b w:val="false"/>
          <w:i w:val="false"/>
          <w:color w:val="000000"/>
          <w:sz w:val="28"/>
        </w:rPr>
        <w:t>
      Эксперт считает следующие меры необходимыми:</w:t>
      </w:r>
    </w:p>
    <w:bookmarkEnd w:id="7215"/>
    <w:bookmarkStart w:name="z8835" w:id="7216"/>
    <w:p>
      <w:pPr>
        <w:spacing w:after="0"/>
        <w:ind w:left="0"/>
        <w:jc w:val="both"/>
      </w:pPr>
      <w:r>
        <w:rPr>
          <w:rFonts w:ascii="Times New Roman"/>
          <w:b w:val="false"/>
          <w:i w:val="false"/>
          <w:color w:val="000000"/>
          <w:sz w:val="28"/>
        </w:rPr>
        <w:t>
      &lt;представить перечень запросов по доклиническим мерам&gt;</w:t>
      </w:r>
    </w:p>
    <w:bookmarkEnd w:id="7216"/>
    <w:bookmarkStart w:name="z8836" w:id="7217"/>
    <w:p>
      <w:pPr>
        <w:spacing w:after="0"/>
        <w:ind w:left="0"/>
        <w:jc w:val="both"/>
      </w:pPr>
      <w:r>
        <w:rPr>
          <w:rFonts w:ascii="Times New Roman"/>
          <w:b w:val="false"/>
          <w:i w:val="false"/>
          <w:color w:val="000000"/>
          <w:sz w:val="28"/>
        </w:rPr>
        <w:t>
      &lt;представить перечень запросов по вопросам, связанным с изучением фармакологии препарата&gt;</w:t>
      </w:r>
    </w:p>
    <w:bookmarkEnd w:id="7217"/>
    <w:bookmarkStart w:name="z8837" w:id="7218"/>
    <w:p>
      <w:pPr>
        <w:spacing w:after="0"/>
        <w:ind w:left="0"/>
        <w:jc w:val="both"/>
      </w:pPr>
      <w:r>
        <w:rPr>
          <w:rFonts w:ascii="Times New Roman"/>
          <w:b w:val="false"/>
          <w:i w:val="false"/>
          <w:color w:val="000000"/>
          <w:sz w:val="28"/>
        </w:rPr>
        <w:t>
      &lt;представить перечень запросов по эффективности препарата&gt;</w:t>
      </w:r>
    </w:p>
    <w:bookmarkEnd w:id="7218"/>
    <w:bookmarkStart w:name="z8838" w:id="7219"/>
    <w:p>
      <w:pPr>
        <w:spacing w:after="0"/>
        <w:ind w:left="0"/>
        <w:jc w:val="both"/>
      </w:pPr>
      <w:r>
        <w:rPr>
          <w:rFonts w:ascii="Times New Roman"/>
          <w:b w:val="false"/>
          <w:i w:val="false"/>
          <w:color w:val="000000"/>
          <w:sz w:val="28"/>
        </w:rPr>
        <w:t>
      &lt;представить перечень запросов по фармаконадзору&gt;.</w:t>
      </w:r>
    </w:p>
    <w:bookmarkEnd w:id="7219"/>
    <w:bookmarkStart w:name="z8839" w:id="7220"/>
    <w:p>
      <w:pPr>
        <w:spacing w:after="0"/>
        <w:ind w:left="0"/>
        <w:jc w:val="both"/>
      </w:pPr>
      <w:r>
        <w:rPr>
          <w:rFonts w:ascii="Times New Roman"/>
          <w:b w:val="false"/>
          <w:i w:val="false"/>
          <w:color w:val="000000"/>
          <w:sz w:val="28"/>
        </w:rPr>
        <w:t>
      [В случае наличия запросов эксперта, связанных с безопасностью (то есть совокупного анализа безопасности, который должен быть представлен), следует указать]</w:t>
      </w:r>
    </w:p>
    <w:bookmarkEnd w:id="7220"/>
    <w:bookmarkStart w:name="z8840" w:id="7221"/>
    <w:p>
      <w:pPr>
        <w:spacing w:after="0"/>
        <w:ind w:left="0"/>
        <w:jc w:val="both"/>
      </w:pPr>
      <w:r>
        <w:rPr>
          <w:rFonts w:ascii="Times New Roman"/>
          <w:b w:val="false"/>
          <w:i w:val="false"/>
          <w:color w:val="000000"/>
          <w:sz w:val="28"/>
        </w:rPr>
        <w:t>
      Кроме того, эксперт пришел к выводу, что заявитель должен представить следующие данные по безопасности (в течение X месяцев) в очередном ПООБ: &lt;перечислить данные&gt;</w:t>
      </w:r>
    </w:p>
    <w:bookmarkEnd w:id="7221"/>
    <w:bookmarkStart w:name="z8841" w:id="7222"/>
    <w:p>
      <w:pPr>
        <w:spacing w:after="0"/>
        <w:ind w:left="0"/>
        <w:jc w:val="both"/>
      </w:pPr>
      <w:r>
        <w:rPr>
          <w:rFonts w:ascii="Times New Roman"/>
          <w:b w:val="false"/>
          <w:i w:val="false"/>
          <w:color w:val="000000"/>
          <w:sz w:val="28"/>
        </w:rPr>
        <w:t>
      [В случае если подавалось заявление о внесении изменений скомбинированное по нескольким препаратам и в какой-либо из позиций мнения экспертов разделились в отношении группы лекарственных препаратов, то их следует описать отдельно по каждому из лекарственных препаратов.]</w:t>
      </w:r>
    </w:p>
    <w:bookmarkEnd w:id="7222"/>
    <w:bookmarkStart w:name="z8842" w:id="7223"/>
    <w:p>
      <w:pPr>
        <w:spacing w:after="0"/>
        <w:ind w:left="0"/>
        <w:jc w:val="both"/>
      </w:pPr>
      <w:r>
        <w:rPr>
          <w:rFonts w:ascii="Times New Roman"/>
          <w:b w:val="false"/>
          <w:i w:val="false"/>
          <w:color w:val="000000"/>
          <w:sz w:val="28"/>
        </w:rPr>
        <w:t>
      Определить требования к периодичности подачи ПООБ, в случае если она отличается от нормального периода обновления ПООБ.</w:t>
      </w:r>
    </w:p>
    <w:bookmarkEnd w:id="7223"/>
    <w:bookmarkStart w:name="z8843" w:id="7224"/>
    <w:p>
      <w:pPr>
        <w:spacing w:after="0"/>
        <w:ind w:left="0"/>
        <w:jc w:val="both"/>
      </w:pPr>
      <w:r>
        <w:rPr>
          <w:rFonts w:ascii="Times New Roman"/>
          <w:b w:val="false"/>
          <w:i w:val="false"/>
          <w:color w:val="000000"/>
          <w:sz w:val="28"/>
        </w:rPr>
        <w:t>
      Эксперт рекомендует держателю регистрационного удостоверения продолжать представлять 6-месячный (годовой) ПООБ.</w:t>
      </w:r>
    </w:p>
    <w:bookmarkEnd w:id="7224"/>
    <w:bookmarkStart w:name="z8844" w:id="7225"/>
    <w:p>
      <w:pPr>
        <w:spacing w:after="0"/>
        <w:ind w:left="0"/>
        <w:jc w:val="both"/>
      </w:pPr>
      <w:r>
        <w:rPr>
          <w:rFonts w:ascii="Times New Roman"/>
          <w:b w:val="false"/>
          <w:i w:val="false"/>
          <w:color w:val="000000"/>
          <w:sz w:val="28"/>
        </w:rPr>
        <w:t>
      Держатель регистрационного удостоверения должен представлять ПООБ лекарственного средства исходя из международной даты регистрации МНН активной фармацевтической субстанции.</w:t>
      </w:r>
    </w:p>
    <w:bookmarkEnd w:id="7225"/>
    <w:bookmarkStart w:name="z8845" w:id="7226"/>
    <w:p>
      <w:pPr>
        <w:spacing w:after="0"/>
        <w:ind w:left="0"/>
        <w:jc w:val="both"/>
      </w:pPr>
      <w:r>
        <w:rPr>
          <w:rFonts w:ascii="Times New Roman"/>
          <w:b w:val="false"/>
          <w:i w:val="false"/>
          <w:color w:val="000000"/>
          <w:sz w:val="28"/>
        </w:rPr>
        <w:t>
      Рекомендации эксперта относятся к следующим новым условиям регистрации &lt;указать условия&gt;:</w:t>
      </w:r>
    </w:p>
    <w:bookmarkEnd w:id="7226"/>
    <w:bookmarkStart w:name="z8846" w:id="7227"/>
    <w:p>
      <w:pPr>
        <w:spacing w:after="0"/>
        <w:ind w:left="0"/>
        <w:jc w:val="both"/>
      </w:pPr>
      <w:r>
        <w:rPr>
          <w:rFonts w:ascii="Times New Roman"/>
          <w:b w:val="false"/>
          <w:i w:val="false"/>
          <w:color w:val="000000"/>
          <w:sz w:val="28"/>
        </w:rPr>
        <w:t>
      Эксперт считает, что следующие обязательства были выполнены, и поэтому рекомендует исключить их из приложения B:</w:t>
      </w:r>
    </w:p>
    <w:bookmarkEnd w:id="7227"/>
    <w:bookmarkStart w:name="z8847" w:id="7228"/>
    <w:p>
      <w:pPr>
        <w:spacing w:after="0"/>
        <w:ind w:left="0"/>
        <w:jc w:val="both"/>
      </w:pPr>
      <w:r>
        <w:rPr>
          <w:rFonts w:ascii="Times New Roman"/>
          <w:b w:val="false"/>
          <w:i w:val="false"/>
          <w:color w:val="000000"/>
          <w:sz w:val="28"/>
        </w:rPr>
        <w:t>
      Условия или ограничения в отношении безопасного и эффективного использования лекарственного средства:</w:t>
      </w:r>
    </w:p>
    <w:bookmarkEnd w:id="7228"/>
    <w:bookmarkStart w:name="z8848" w:id="7229"/>
    <w:p>
      <w:pPr>
        <w:spacing w:after="0"/>
        <w:ind w:left="0"/>
        <w:jc w:val="both"/>
      </w:pPr>
      <w:r>
        <w:rPr>
          <w:rFonts w:ascii="Times New Roman"/>
          <w:b w:val="false"/>
          <w:i w:val="false"/>
          <w:color w:val="000000"/>
          <w:sz w:val="28"/>
        </w:rPr>
        <w:t>
      [Дополнительные мероприятия по минимизации риска, которые будут выполнены держателем регистрационного удостоверения, должны быть перечислены в данном разделе.</w:t>
      </w:r>
    </w:p>
    <w:bookmarkEnd w:id="7229"/>
    <w:bookmarkStart w:name="z8849" w:id="7230"/>
    <w:p>
      <w:pPr>
        <w:spacing w:after="0"/>
        <w:ind w:left="0"/>
        <w:jc w:val="both"/>
      </w:pPr>
      <w:r>
        <w:rPr>
          <w:rFonts w:ascii="Times New Roman"/>
          <w:b w:val="false"/>
          <w:i w:val="false"/>
          <w:color w:val="000000"/>
          <w:sz w:val="28"/>
        </w:rPr>
        <w:t>
      В случае необходимости проведения дополнительных мероприятий по минимизации рисков (например, контролируемое распространение препарата, обучающие программы, программа по предотвращению беременности) помимо указанных в ОХЛП, они должны быть перечислены здесь, и по мере необходимости должно быть обеспечено их правильное выполнение государствами-членами. Любое исключение из этого правила (например, введенное программой эпиднадзора в некоторых государствах-членах) должно быть обсуждено и отражено в экспертном заключении].</w:t>
      </w:r>
    </w:p>
    <w:bookmarkEnd w:id="7230"/>
    <w:bookmarkStart w:name="z8850" w:id="7231"/>
    <w:p>
      <w:pPr>
        <w:spacing w:after="0"/>
        <w:ind w:left="0"/>
        <w:jc w:val="both"/>
      </w:pPr>
      <w:r>
        <w:rPr>
          <w:rFonts w:ascii="Times New Roman"/>
          <w:b w:val="false"/>
          <w:i w:val="false"/>
          <w:color w:val="000000"/>
          <w:sz w:val="28"/>
        </w:rPr>
        <w:t>
       </w:t>
      </w:r>
    </w:p>
    <w:bookmarkEnd w:id="7231"/>
    <w:bookmarkStart w:name="z8851" w:id="7232"/>
    <w:p>
      <w:pPr>
        <w:spacing w:after="0"/>
        <w:ind w:left="0"/>
        <w:jc w:val="left"/>
      </w:pPr>
      <w:r>
        <w:rPr>
          <w:rFonts w:ascii="Times New Roman"/>
          <w:b/>
          <w:i w:val="false"/>
          <w:color w:val="000000"/>
        </w:rPr>
        <w:t xml:space="preserve"> Обязательство завершить пострегистрационные действия </w:t>
      </w:r>
    </w:p>
    <w:bookmarkEnd w:id="7232"/>
    <w:bookmarkStart w:name="z8852" w:id="7233"/>
    <w:p>
      <w:pPr>
        <w:spacing w:after="0"/>
        <w:ind w:left="0"/>
        <w:jc w:val="both"/>
      </w:pPr>
      <w:r>
        <w:rPr>
          <w:rFonts w:ascii="Times New Roman"/>
          <w:b w:val="false"/>
          <w:i w:val="false"/>
          <w:color w:val="000000"/>
          <w:sz w:val="28"/>
        </w:rPr>
        <w:t>
       </w:t>
      </w:r>
    </w:p>
    <w:bookmarkEnd w:id="7233"/>
    <w:bookmarkStart w:name="z8853" w:id="7234"/>
    <w:p>
      <w:pPr>
        <w:spacing w:after="0"/>
        <w:ind w:left="0"/>
        <w:jc w:val="both"/>
      </w:pPr>
      <w:r>
        <w:rPr>
          <w:rFonts w:ascii="Times New Roman"/>
          <w:b w:val="false"/>
          <w:i w:val="false"/>
          <w:color w:val="000000"/>
          <w:sz w:val="28"/>
        </w:rPr>
        <w:t>
      Держатель регистрационного удостоверения должен завершить в установленные сроки следующие действия:</w:t>
      </w:r>
    </w:p>
    <w:bookmarkEnd w:id="7234"/>
    <w:bookmarkStart w:name="z8854" w:id="7235"/>
    <w:p>
      <w:pPr>
        <w:spacing w:after="0"/>
        <w:ind w:left="0"/>
        <w:jc w:val="both"/>
      </w:pPr>
      <w:r>
        <w:rPr>
          <w:rFonts w:ascii="Times New Roman"/>
          <w:b w:val="false"/>
          <w:i w:val="false"/>
          <w:color w:val="000000"/>
          <w:sz w:val="28"/>
        </w:rPr>
        <w:t>
       </w:t>
      </w:r>
    </w:p>
    <w:bookmarkEnd w:id="7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7236"/>
          <w:p>
            <w:pPr>
              <w:spacing w:after="20"/>
              <w:ind w:left="20"/>
              <w:jc w:val="both"/>
            </w:pPr>
            <w:r>
              <w:rPr>
                <w:rFonts w:ascii="Times New Roman"/>
                <w:b w:val="false"/>
                <w:i w:val="false"/>
                <w:color w:val="000000"/>
                <w:sz w:val="20"/>
              </w:rPr>
              <w:t xml:space="preserve">
Описание </w:t>
            </w:r>
          </w:p>
          <w:bookmarkEnd w:id="7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выполнения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6" w:id="7237"/>
          <w:p>
            <w:pPr>
              <w:spacing w:after="20"/>
              <w:ind w:left="20"/>
              <w:jc w:val="both"/>
            </w:pPr>
          </w:p>
          <w:bookmarkEnd w:id="7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7" w:id="7238"/>
          <w:p>
            <w:pPr>
              <w:spacing w:after="20"/>
              <w:ind w:left="20"/>
              <w:jc w:val="both"/>
            </w:pPr>
          </w:p>
          <w:bookmarkEnd w:id="7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8" w:id="7239"/>
    <w:p>
      <w:pPr>
        <w:spacing w:after="0"/>
        <w:ind w:left="0"/>
        <w:jc w:val="both"/>
      </w:pPr>
      <w:r>
        <w:rPr>
          <w:rFonts w:ascii="Times New Roman"/>
          <w:b w:val="false"/>
          <w:i w:val="false"/>
          <w:color w:val="000000"/>
          <w:sz w:val="28"/>
        </w:rPr>
        <w:t>
       </w:t>
      </w:r>
    </w:p>
    <w:bookmarkEnd w:id="7239"/>
    <w:bookmarkStart w:name="z8859" w:id="7240"/>
    <w:p>
      <w:pPr>
        <w:spacing w:after="0"/>
        <w:ind w:left="0"/>
        <w:jc w:val="both"/>
      </w:pPr>
      <w:r>
        <w:rPr>
          <w:rFonts w:ascii="Times New Roman"/>
          <w:b w:val="false"/>
          <w:i w:val="false"/>
          <w:color w:val="000000"/>
          <w:sz w:val="28"/>
        </w:rPr>
        <w:t>
      Условия или ограничения в отношении безопасного и эффективного использования лекарственного средства, которые будут осуществляться государствами-членами:</w:t>
      </w:r>
    </w:p>
    <w:bookmarkEnd w:id="7240"/>
    <w:bookmarkStart w:name="z8860" w:id="7241"/>
    <w:p>
      <w:pPr>
        <w:spacing w:after="0"/>
        <w:ind w:left="0"/>
        <w:jc w:val="both"/>
      </w:pPr>
      <w:r>
        <w:rPr>
          <w:rFonts w:ascii="Times New Roman"/>
          <w:b w:val="false"/>
          <w:i w:val="false"/>
          <w:color w:val="000000"/>
          <w:sz w:val="28"/>
        </w:rPr>
        <w:t>
      [Должны быть перечислены актуальные мероприятия по минимизации рисков, которые будут осуществляться государствами-членами. Они должны отражать информацию из предыдущего раздела пока не появятся данные по минимизации риска для конкретного государства-члена.</w:t>
      </w:r>
    </w:p>
    <w:bookmarkEnd w:id="7241"/>
    <w:bookmarkStart w:name="z8861" w:id="7242"/>
    <w:p>
      <w:pPr>
        <w:spacing w:after="0"/>
        <w:ind w:left="0"/>
        <w:jc w:val="both"/>
      </w:pPr>
      <w:r>
        <w:rPr>
          <w:rFonts w:ascii="Times New Roman"/>
          <w:b w:val="false"/>
          <w:i w:val="false"/>
          <w:color w:val="000000"/>
          <w:sz w:val="28"/>
        </w:rPr>
        <w:t>
      Это приложение должно быть предусмотрено, когда есть условия или ограничения в отношении безопасного и эффективного использования лекарственного средства, указанные в приложении B (например, контроль распространения препарата, обучающие материалы, программа профилактики беременности), которые требуют от государств-членов обеспечить их правильную реализацию. Любое исключение из этого правила (например, созданное программой эпиднадзора в некоторых государствах-членах) должно быть обсуждено и отражено в заключении.]</w:t>
      </w:r>
    </w:p>
    <w:bookmarkEnd w:id="7242"/>
    <w:bookmarkStart w:name="z8862" w:id="7243"/>
    <w:p>
      <w:pPr>
        <w:spacing w:after="0"/>
        <w:ind w:left="0"/>
        <w:jc w:val="both"/>
      </w:pPr>
      <w:r>
        <w:rPr>
          <w:rFonts w:ascii="Times New Roman"/>
          <w:b w:val="false"/>
          <w:i w:val="false"/>
          <w:color w:val="000000"/>
          <w:sz w:val="28"/>
        </w:rPr>
        <w:t>
       </w:t>
      </w:r>
    </w:p>
    <w:bookmarkEnd w:id="7243"/>
    <w:bookmarkStart w:name="z8863" w:id="7244"/>
    <w:p>
      <w:pPr>
        <w:spacing w:after="0"/>
        <w:ind w:left="0"/>
        <w:jc w:val="left"/>
      </w:pPr>
      <w:r>
        <w:rPr>
          <w:rFonts w:ascii="Times New Roman"/>
          <w:b/>
          <w:i w:val="false"/>
          <w:color w:val="000000"/>
        </w:rPr>
        <w:t xml:space="preserve"> Педиатрические данные</w:t>
      </w:r>
    </w:p>
    <w:bookmarkEnd w:id="7244"/>
    <w:bookmarkStart w:name="z8864" w:id="7245"/>
    <w:p>
      <w:pPr>
        <w:spacing w:after="0"/>
        <w:ind w:left="0"/>
        <w:jc w:val="both"/>
      </w:pPr>
      <w:r>
        <w:rPr>
          <w:rFonts w:ascii="Times New Roman"/>
          <w:b w:val="false"/>
          <w:i w:val="false"/>
          <w:color w:val="000000"/>
          <w:sz w:val="28"/>
        </w:rPr>
        <w:t>
      [Внимание! Если наблюдалось подтверждение сигнала среди детей для представления этого изменения или если это представление включает в себя исследования у детей, упомянутые в ОХЛП, следует использовать подходящие руководства в области педиатрии при оценке данных изменений.]</w:t>
      </w:r>
    </w:p>
    <w:bookmarkEnd w:id="7245"/>
    <w:bookmarkStart w:name="z8865" w:id="7246"/>
    <w:p>
      <w:pPr>
        <w:spacing w:after="0"/>
        <w:ind w:left="0"/>
        <w:jc w:val="both"/>
      </w:pPr>
      <w:r>
        <w:rPr>
          <w:rFonts w:ascii="Times New Roman"/>
          <w:b w:val="false"/>
          <w:i w:val="false"/>
          <w:color w:val="000000"/>
          <w:sz w:val="28"/>
        </w:rPr>
        <w:t>
       </w:t>
      </w:r>
    </w:p>
    <w:bookmarkEnd w:id="7246"/>
    <w:bookmarkStart w:name="z8866" w:id="7247"/>
    <w:p>
      <w:pPr>
        <w:spacing w:after="0"/>
        <w:ind w:left="0"/>
        <w:jc w:val="left"/>
      </w:pPr>
      <w:r>
        <w:rPr>
          <w:rFonts w:ascii="Times New Roman"/>
          <w:b/>
          <w:i w:val="false"/>
          <w:color w:val="000000"/>
        </w:rPr>
        <w:t xml:space="preserve"> 4. Запрос дополнительной информации</w:t>
      </w:r>
    </w:p>
    <w:bookmarkEnd w:id="7247"/>
    <w:bookmarkStart w:name="z8867" w:id="7248"/>
    <w:p>
      <w:pPr>
        <w:spacing w:after="0"/>
        <w:ind w:left="0"/>
        <w:jc w:val="left"/>
      </w:pPr>
      <w:r>
        <w:rPr>
          <w:rFonts w:ascii="Times New Roman"/>
          <w:b/>
          <w:i w:val="false"/>
          <w:color w:val="000000"/>
        </w:rPr>
        <w:t xml:space="preserve"> 4.1. Критические замечания</w:t>
      </w:r>
    </w:p>
    <w:bookmarkEnd w:id="7248"/>
    <w:bookmarkStart w:name="z8868" w:id="7249"/>
    <w:p>
      <w:pPr>
        <w:spacing w:after="0"/>
        <w:ind w:left="0"/>
        <w:jc w:val="both"/>
      </w:pPr>
      <w:r>
        <w:rPr>
          <w:rFonts w:ascii="Times New Roman"/>
          <w:b w:val="false"/>
          <w:i w:val="false"/>
          <w:color w:val="000000"/>
          <w:sz w:val="28"/>
        </w:rPr>
        <w:t>
      [Классификация замечаний.</w:t>
      </w:r>
    </w:p>
    <w:bookmarkEnd w:id="7249"/>
    <w:bookmarkStart w:name="z8869" w:id="7250"/>
    <w:p>
      <w:pPr>
        <w:spacing w:after="0"/>
        <w:ind w:left="0"/>
        <w:jc w:val="both"/>
      </w:pPr>
      <w:r>
        <w:rPr>
          <w:rFonts w:ascii="Times New Roman"/>
          <w:b w:val="false"/>
          <w:i w:val="false"/>
          <w:color w:val="000000"/>
          <w:sz w:val="28"/>
        </w:rPr>
        <w:t>
      Критические замечания - замечания, которые делают невозможным регистрацию лекарственного препарата. Теоретически одно критическое замечание может включать в себя несколько вопросов, в этом случае следует использовать ненумерованные списки и подзаголовки. Критическое замечание должно быть понятно и четко изложено. Для этого могут потребоваться подробные комментарии со ссылками на соответствующие акты органов Союза.</w:t>
      </w:r>
    </w:p>
    <w:bookmarkEnd w:id="7250"/>
    <w:bookmarkStart w:name="z8870" w:id="7251"/>
    <w:p>
      <w:pPr>
        <w:spacing w:after="0"/>
        <w:ind w:left="0"/>
        <w:jc w:val="both"/>
      </w:pPr>
      <w:r>
        <w:rPr>
          <w:rFonts w:ascii="Times New Roman"/>
          <w:b w:val="false"/>
          <w:i w:val="false"/>
          <w:color w:val="000000"/>
          <w:sz w:val="28"/>
        </w:rPr>
        <w:t>
      По возможности замечание должно включать в себя разъяснение относительно ответа и (или) мер, ожидаемых от заявителя.</w:t>
      </w:r>
    </w:p>
    <w:bookmarkEnd w:id="7251"/>
    <w:bookmarkStart w:name="z8871" w:id="7252"/>
    <w:p>
      <w:pPr>
        <w:spacing w:after="0"/>
        <w:ind w:left="0"/>
        <w:jc w:val="both"/>
      </w:pPr>
      <w:r>
        <w:rPr>
          <w:rFonts w:ascii="Times New Roman"/>
          <w:b w:val="false"/>
          <w:i w:val="false"/>
          <w:color w:val="000000"/>
          <w:sz w:val="28"/>
        </w:rPr>
        <w:t>
      Несущественные (другие) замечания - замечания, которые могут повлиять на предложенные заявителем условия регистрации и информацию о лекарственном препарате (например, ОХЛП, листок-вкладыш, макеты упаковок). Несущественные (другие) замечания необходимо устранить до получения регистрационного удостоверения, в противном случае в регистрации может быть отказано. Формулировка замечаний должна содержать четкое научное обоснование поднятых в замечании вопросов.]</w:t>
      </w:r>
    </w:p>
    <w:bookmarkEnd w:id="7252"/>
    <w:bookmarkStart w:name="z8872" w:id="7253"/>
    <w:p>
      <w:pPr>
        <w:spacing w:after="0"/>
        <w:ind w:left="0"/>
        <w:jc w:val="both"/>
      </w:pPr>
      <w:r>
        <w:rPr>
          <w:rFonts w:ascii="Times New Roman"/>
          <w:b w:val="false"/>
          <w:i w:val="false"/>
          <w:color w:val="000000"/>
          <w:sz w:val="28"/>
        </w:rPr>
        <w:t>
      Аспекты качества:</w:t>
      </w:r>
    </w:p>
    <w:bookmarkEnd w:id="7253"/>
    <w:bookmarkStart w:name="z8873" w:id="7254"/>
    <w:p>
      <w:pPr>
        <w:spacing w:after="0"/>
        <w:ind w:left="0"/>
        <w:jc w:val="both"/>
      </w:pPr>
      <w:r>
        <w:rPr>
          <w:rFonts w:ascii="Times New Roman"/>
          <w:b w:val="false"/>
          <w:i w:val="false"/>
          <w:color w:val="000000"/>
          <w:sz w:val="28"/>
        </w:rPr>
        <w:t>
      &lt;Имеются замечания, которые возникают по поводу закрытой части мастер-файла субстанции и которые изложены в отдельном приложении к настоящему заключению и не представляются держателю регистрационного удостоверения. Эти замечания будут переданы в конфиденциальном порядке владельцу закрытой части мастер-файла субстанции.&gt;</w:t>
      </w:r>
    </w:p>
    <w:bookmarkEnd w:id="7254"/>
    <w:bookmarkStart w:name="z8874" w:id="7255"/>
    <w:p>
      <w:pPr>
        <w:spacing w:after="0"/>
        <w:ind w:left="0"/>
        <w:jc w:val="both"/>
      </w:pPr>
      <w:r>
        <w:rPr>
          <w:rFonts w:ascii="Times New Roman"/>
          <w:b w:val="false"/>
          <w:i w:val="false"/>
          <w:color w:val="000000"/>
          <w:sz w:val="28"/>
        </w:rPr>
        <w:t>
      Доклинические аспекты:</w:t>
      </w:r>
    </w:p>
    <w:bookmarkEnd w:id="7255"/>
    <w:bookmarkStart w:name="z8875" w:id="7256"/>
    <w:p>
      <w:pPr>
        <w:spacing w:after="0"/>
        <w:ind w:left="0"/>
        <w:jc w:val="both"/>
      </w:pPr>
      <w:r>
        <w:rPr>
          <w:rFonts w:ascii="Times New Roman"/>
          <w:b w:val="false"/>
          <w:i w:val="false"/>
          <w:color w:val="000000"/>
          <w:sz w:val="28"/>
        </w:rPr>
        <w:t>
      Клинические аспекты:</w:t>
      </w:r>
    </w:p>
    <w:bookmarkEnd w:id="7256"/>
    <w:bookmarkStart w:name="z8876" w:id="7257"/>
    <w:p>
      <w:pPr>
        <w:spacing w:after="0"/>
        <w:ind w:left="0"/>
        <w:jc w:val="both"/>
      </w:pPr>
      <w:r>
        <w:rPr>
          <w:rFonts w:ascii="Times New Roman"/>
          <w:b w:val="false"/>
          <w:i w:val="false"/>
          <w:color w:val="000000"/>
          <w:sz w:val="28"/>
        </w:rPr>
        <w:t>
       </w:t>
      </w:r>
    </w:p>
    <w:bookmarkEnd w:id="7257"/>
    <w:bookmarkStart w:name="z8877" w:id="7258"/>
    <w:p>
      <w:pPr>
        <w:spacing w:after="0"/>
        <w:ind w:left="0"/>
        <w:jc w:val="left"/>
      </w:pPr>
      <w:r>
        <w:rPr>
          <w:rFonts w:ascii="Times New Roman"/>
          <w:b/>
          <w:i w:val="false"/>
          <w:color w:val="000000"/>
        </w:rPr>
        <w:t xml:space="preserve"> 4.2. Несущественные (другие) замечания </w:t>
      </w:r>
    </w:p>
    <w:bookmarkEnd w:id="7258"/>
    <w:bookmarkStart w:name="z8878" w:id="7259"/>
    <w:p>
      <w:pPr>
        <w:spacing w:after="0"/>
        <w:ind w:left="0"/>
        <w:jc w:val="both"/>
      </w:pPr>
      <w:r>
        <w:rPr>
          <w:rFonts w:ascii="Times New Roman"/>
          <w:b w:val="false"/>
          <w:i w:val="false"/>
          <w:color w:val="000000"/>
          <w:sz w:val="28"/>
        </w:rPr>
        <w:t>
       </w:t>
      </w:r>
    </w:p>
    <w:bookmarkEnd w:id="7259"/>
    <w:bookmarkStart w:name="z8879" w:id="7260"/>
    <w:p>
      <w:pPr>
        <w:spacing w:after="0"/>
        <w:ind w:left="0"/>
        <w:jc w:val="both"/>
      </w:pPr>
      <w:r>
        <w:rPr>
          <w:rFonts w:ascii="Times New Roman"/>
          <w:b w:val="false"/>
          <w:i w:val="false"/>
          <w:color w:val="000000"/>
          <w:sz w:val="28"/>
        </w:rPr>
        <w:t>
      Аспекты качества:</w:t>
      </w:r>
    </w:p>
    <w:bookmarkEnd w:id="7260"/>
    <w:bookmarkStart w:name="z8880" w:id="7261"/>
    <w:p>
      <w:pPr>
        <w:spacing w:after="0"/>
        <w:ind w:left="0"/>
        <w:jc w:val="both"/>
      </w:pPr>
      <w:r>
        <w:rPr>
          <w:rFonts w:ascii="Times New Roman"/>
          <w:b w:val="false"/>
          <w:i w:val="false"/>
          <w:color w:val="000000"/>
          <w:sz w:val="28"/>
        </w:rPr>
        <w:t>
      Доклинические аспекты:</w:t>
      </w:r>
    </w:p>
    <w:bookmarkEnd w:id="7261"/>
    <w:bookmarkStart w:name="z8881" w:id="7262"/>
    <w:p>
      <w:pPr>
        <w:spacing w:after="0"/>
        <w:ind w:left="0"/>
        <w:jc w:val="both"/>
      </w:pPr>
      <w:r>
        <w:rPr>
          <w:rFonts w:ascii="Times New Roman"/>
          <w:b w:val="false"/>
          <w:i w:val="false"/>
          <w:color w:val="000000"/>
          <w:sz w:val="28"/>
        </w:rPr>
        <w:t>
      Клинические аспекты:</w:t>
      </w:r>
    </w:p>
    <w:bookmarkEnd w:id="7262"/>
    <w:bookmarkStart w:name="z8882" w:id="7263"/>
    <w:p>
      <w:pPr>
        <w:spacing w:after="0"/>
        <w:ind w:left="0"/>
        <w:jc w:val="left"/>
      </w:pPr>
      <w:r>
        <w:rPr>
          <w:rFonts w:ascii="Times New Roman"/>
          <w:b/>
          <w:i w:val="false"/>
          <w:color w:val="000000"/>
        </w:rPr>
        <w:t xml:space="preserve"> 5. Оценка эксперта подготовленной держателем регистрационного удостоверения сводной информации по безопасности лекарственного препарата</w:t>
      </w:r>
    </w:p>
    <w:bookmarkEnd w:id="7263"/>
    <w:bookmarkStart w:name="z8883" w:id="7264"/>
    <w:p>
      <w:pPr>
        <w:spacing w:after="0"/>
        <w:ind w:left="0"/>
        <w:jc w:val="left"/>
      </w:pPr>
      <w:r>
        <w:rPr>
          <w:rFonts w:ascii="Times New Roman"/>
          <w:b/>
          <w:i w:val="false"/>
          <w:color w:val="000000"/>
        </w:rPr>
        <w:t xml:space="preserve"> 6. Обновленные общие выводы и влияние на соотношение пользы-риска в отношении применения данного лекарственного препарата</w:t>
      </w:r>
    </w:p>
    <w:bookmarkEnd w:id="7264"/>
    <w:bookmarkStart w:name="z8884" w:id="7265"/>
    <w:p>
      <w:pPr>
        <w:spacing w:after="0"/>
        <w:ind w:left="0"/>
        <w:jc w:val="both"/>
      </w:pPr>
      <w:r>
        <w:rPr>
          <w:rFonts w:ascii="Times New Roman"/>
          <w:b w:val="false"/>
          <w:i w:val="false"/>
          <w:color w:val="000000"/>
          <w:sz w:val="28"/>
        </w:rPr>
        <w:t>
      [В данном разделе следует привести обновленный сводный критический обзор представленных данных (как первоначальное представление, так и ответы держателя регистрационного удостоверения на редакцию сводной информации по безопасности лекарственного препарата), в котором отражается анализ возможности изменения баланса соотношения польза - риск в отношении применения данного лекарственного препарата.</w:t>
      </w:r>
    </w:p>
    <w:bookmarkEnd w:id="7265"/>
    <w:bookmarkStart w:name="z8885" w:id="7266"/>
    <w:p>
      <w:pPr>
        <w:spacing w:after="0"/>
        <w:ind w:left="0"/>
        <w:jc w:val="both"/>
      </w:pPr>
      <w:r>
        <w:rPr>
          <w:rFonts w:ascii="Times New Roman"/>
          <w:b w:val="false"/>
          <w:i w:val="false"/>
          <w:color w:val="000000"/>
          <w:sz w:val="28"/>
        </w:rPr>
        <w:t>
      Следует привести как отдельное примечание указание об обязательстве завершить мероприятия после получения регистрационного удостоверения, если это необходимо.</w:t>
      </w:r>
    </w:p>
    <w:bookmarkEnd w:id="7266"/>
    <w:bookmarkStart w:name="z8886" w:id="7267"/>
    <w:p>
      <w:pPr>
        <w:spacing w:after="0"/>
        <w:ind w:left="0"/>
        <w:jc w:val="both"/>
      </w:pPr>
      <w:r>
        <w:rPr>
          <w:rFonts w:ascii="Times New Roman"/>
          <w:b w:val="false"/>
          <w:i w:val="false"/>
          <w:color w:val="000000"/>
          <w:sz w:val="28"/>
        </w:rPr>
        <w:t>
      При ограниченном количестве данных, которые рассматриваются как ключевые для обеспечения положительного соотношения (превышения) пользы и ожидаемого риска, их выполнение может быть поставлено экспертом в условие выдачи регистрационного удостоверения. В случае если вопросы были определены для включения в приложение B как условия, используйте приведенное ниже заявление. Любая мера, определенная как условие, должна быть хорошо мотивирована в заявлении, а именно необходимость для условия должна быть объяснена в контексте положительного соотношения польза - риск.]</w:t>
      </w:r>
    </w:p>
    <w:bookmarkEnd w:id="7267"/>
    <w:bookmarkStart w:name="z8887" w:id="7268"/>
    <w:p>
      <w:pPr>
        <w:spacing w:after="0"/>
        <w:ind w:left="0"/>
        <w:jc w:val="both"/>
      </w:pPr>
      <w:r>
        <w:rPr>
          <w:rFonts w:ascii="Times New Roman"/>
          <w:b w:val="false"/>
          <w:i w:val="false"/>
          <w:color w:val="000000"/>
          <w:sz w:val="28"/>
        </w:rPr>
        <w:t>
      Эксперт считает необходимым представить следующие дополнительные данные &lt;перечислить данные в отношении доклинических исследований&gt;, &lt;перечислить данные, связанные с фармакологией&gt;, &lt;перечислить данные, связанные с эффективностью&gt;, &lt;перечислить данные, связанные с безопасностью&gt;</w:t>
      </w:r>
    </w:p>
    <w:bookmarkEnd w:id="7268"/>
    <w:bookmarkStart w:name="z8888" w:id="7269"/>
    <w:p>
      <w:pPr>
        <w:spacing w:after="0"/>
        <w:ind w:left="0"/>
        <w:jc w:val="both"/>
      </w:pPr>
      <w:r>
        <w:rPr>
          <w:rFonts w:ascii="Times New Roman"/>
          <w:b w:val="false"/>
          <w:i w:val="false"/>
          <w:color w:val="000000"/>
          <w:sz w:val="28"/>
        </w:rPr>
        <w:t>
      [В случае формулировки экспертом запросов, связанных с безопасностью лекарственного препарата (т.е. совокупный анализ безопасности, который должен быть представлен), пожалуйста, укажите следующее предложение:]</w:t>
      </w:r>
    </w:p>
    <w:bookmarkEnd w:id="7269"/>
    <w:bookmarkStart w:name="z8889" w:id="7270"/>
    <w:p>
      <w:pPr>
        <w:spacing w:after="0"/>
        <w:ind w:left="0"/>
        <w:jc w:val="both"/>
      </w:pPr>
      <w:r>
        <w:rPr>
          <w:rFonts w:ascii="Times New Roman"/>
          <w:b w:val="false"/>
          <w:i w:val="false"/>
          <w:color w:val="000000"/>
          <w:sz w:val="28"/>
        </w:rPr>
        <w:t>
      Кроме того, эксперт пришел к выводу, что заявитель должен представить следующие данные по безопасности &lt;в течение X месяцев&gt; в следующем ПООБ &lt;перечислить необходимые данные&gt;:</w:t>
      </w:r>
    </w:p>
    <w:bookmarkEnd w:id="7270"/>
    <w:bookmarkStart w:name="z8890" w:id="7271"/>
    <w:p>
      <w:pPr>
        <w:spacing w:after="0"/>
        <w:ind w:left="0"/>
        <w:jc w:val="both"/>
      </w:pPr>
      <w:r>
        <w:rPr>
          <w:rFonts w:ascii="Times New Roman"/>
          <w:b w:val="false"/>
          <w:i w:val="false"/>
          <w:color w:val="000000"/>
          <w:sz w:val="28"/>
        </w:rPr>
        <w:t>
      [В случае рассмотрения заявления, подаваемого для группы лекарственных препаратов, мнение эксперта о возможности группирования и (или) разделения информации по каждому из наименований в группе для каждого продукта должно быть отражено в рамках дискуссии уполномоченной экспертной организации с представителями ОСОРОФ. Если изменение по какой-то части наименований в группе было изъято, это также должно быть отражено в обсуждении.</w:t>
      </w:r>
    </w:p>
    <w:bookmarkEnd w:id="7271"/>
    <w:bookmarkStart w:name="z8891" w:id="7272"/>
    <w:p>
      <w:pPr>
        <w:spacing w:after="0"/>
        <w:ind w:left="0"/>
        <w:jc w:val="both"/>
      </w:pPr>
      <w:r>
        <w:rPr>
          <w:rFonts w:ascii="Times New Roman"/>
          <w:b w:val="false"/>
          <w:i w:val="false"/>
          <w:color w:val="000000"/>
          <w:sz w:val="28"/>
        </w:rPr>
        <w:t>
      Определить требования к периодичности подачи ПООБ, в случае если она отличается от нормального периода обновления ПООБ.]</w:t>
      </w:r>
    </w:p>
    <w:bookmarkEnd w:id="7272"/>
    <w:bookmarkStart w:name="z8892" w:id="7273"/>
    <w:p>
      <w:pPr>
        <w:spacing w:after="0"/>
        <w:ind w:left="0"/>
        <w:jc w:val="both"/>
      </w:pPr>
      <w:r>
        <w:rPr>
          <w:rFonts w:ascii="Times New Roman"/>
          <w:b w:val="false"/>
          <w:i w:val="false"/>
          <w:color w:val="000000"/>
          <w:sz w:val="28"/>
        </w:rPr>
        <w:t>
      Эксперт рекомендует держателю регистрационного удостоверения продолжать представлять 6-месячный (годовой) ПООБ.</w:t>
      </w:r>
    </w:p>
    <w:bookmarkEnd w:id="7273"/>
    <w:bookmarkStart w:name="z8893" w:id="7274"/>
    <w:p>
      <w:pPr>
        <w:spacing w:after="0"/>
        <w:ind w:left="0"/>
        <w:jc w:val="both"/>
      </w:pPr>
      <w:r>
        <w:rPr>
          <w:rFonts w:ascii="Times New Roman"/>
          <w:b w:val="false"/>
          <w:i w:val="false"/>
          <w:color w:val="000000"/>
          <w:sz w:val="28"/>
        </w:rPr>
        <w:t>
      Держатель регистрационного удостоверения должен представлять периодические обновляемые отчеты о безопасности лекарственного препарата в соответствии с требованиями актов органов Союза.</w:t>
      </w:r>
    </w:p>
    <w:bookmarkEnd w:id="7274"/>
    <w:bookmarkStart w:name="z8894" w:id="7275"/>
    <w:p>
      <w:pPr>
        <w:spacing w:after="0"/>
        <w:ind w:left="0"/>
        <w:jc w:val="both"/>
      </w:pPr>
      <w:r>
        <w:rPr>
          <w:rFonts w:ascii="Times New Roman"/>
          <w:b w:val="false"/>
          <w:i w:val="false"/>
          <w:color w:val="000000"/>
          <w:sz w:val="28"/>
        </w:rPr>
        <w:t>
      Рекомендации эксперта относятся к следующим новым условиям &lt;перечислить условия&gt;:</w:t>
      </w:r>
    </w:p>
    <w:bookmarkEnd w:id="7275"/>
    <w:bookmarkStart w:name="z8895" w:id="7276"/>
    <w:p>
      <w:pPr>
        <w:spacing w:after="0"/>
        <w:ind w:left="0"/>
        <w:jc w:val="both"/>
      </w:pPr>
      <w:r>
        <w:rPr>
          <w:rFonts w:ascii="Times New Roman"/>
          <w:b w:val="false"/>
          <w:i w:val="false"/>
          <w:color w:val="000000"/>
          <w:sz w:val="28"/>
        </w:rPr>
        <w:t>
      Эксперт считает, что следующие обязательства &lt;перечислить&gt; были выполнены, и поэтому рекомендует исключить их из приложения B.</w:t>
      </w:r>
    </w:p>
    <w:bookmarkEnd w:id="7276"/>
    <w:bookmarkStart w:name="z8896" w:id="7277"/>
    <w:p>
      <w:pPr>
        <w:spacing w:after="0"/>
        <w:ind w:left="0"/>
        <w:jc w:val="both"/>
      </w:pPr>
      <w:r>
        <w:rPr>
          <w:rFonts w:ascii="Times New Roman"/>
          <w:b w:val="false"/>
          <w:i w:val="false"/>
          <w:color w:val="000000"/>
          <w:sz w:val="28"/>
        </w:rPr>
        <w:t>
       </w:t>
      </w:r>
    </w:p>
    <w:bookmarkEnd w:id="7277"/>
    <w:bookmarkStart w:name="z8897" w:id="7278"/>
    <w:p>
      <w:pPr>
        <w:spacing w:after="0"/>
        <w:ind w:left="0"/>
        <w:jc w:val="left"/>
      </w:pPr>
      <w:r>
        <w:rPr>
          <w:rFonts w:ascii="Times New Roman"/>
          <w:b/>
          <w:i w:val="false"/>
          <w:color w:val="000000"/>
        </w:rPr>
        <w:t xml:space="preserve"> 7. Условия или ограничения в отношении безопасного и эффективного использования лекарственного средства</w:t>
      </w:r>
    </w:p>
    <w:bookmarkEnd w:id="7278"/>
    <w:bookmarkStart w:name="z8898" w:id="7279"/>
    <w:p>
      <w:pPr>
        <w:spacing w:after="0"/>
        <w:ind w:left="0"/>
        <w:jc w:val="both"/>
      </w:pPr>
      <w:r>
        <w:rPr>
          <w:rFonts w:ascii="Times New Roman"/>
          <w:b w:val="false"/>
          <w:i w:val="false"/>
          <w:color w:val="000000"/>
          <w:sz w:val="28"/>
        </w:rPr>
        <w:t>
      [Дополнительные мероприятия по минимизации риска, например: контроль распределения лекарственного препарата, обучающие материалы, программа по предотвращению беременности (за исключением информации, изложенной в ОХЛП), которые будут выполнены держателем регистрационного удостоверения, должны быть перечислены в этом разделе.]</w:t>
      </w:r>
    </w:p>
    <w:bookmarkEnd w:id="7279"/>
    <w:bookmarkStart w:name="z8899" w:id="7280"/>
    <w:p>
      <w:pPr>
        <w:spacing w:after="0"/>
        <w:ind w:left="0"/>
        <w:jc w:val="both"/>
      </w:pPr>
      <w:r>
        <w:rPr>
          <w:rFonts w:ascii="Times New Roman"/>
          <w:b w:val="false"/>
          <w:i w:val="false"/>
          <w:color w:val="000000"/>
          <w:sz w:val="28"/>
        </w:rPr>
        <w:t>
       </w:t>
      </w:r>
    </w:p>
    <w:bookmarkEnd w:id="7280"/>
    <w:bookmarkStart w:name="z8900" w:id="7281"/>
    <w:p>
      <w:pPr>
        <w:spacing w:after="0"/>
        <w:ind w:left="0"/>
        <w:jc w:val="left"/>
      </w:pPr>
      <w:r>
        <w:rPr>
          <w:rFonts w:ascii="Times New Roman"/>
          <w:b/>
          <w:i w:val="false"/>
          <w:color w:val="000000"/>
        </w:rPr>
        <w:t xml:space="preserve"> 8. Обязательство завершить отдельные мероприятия в пострегистрационный период</w:t>
      </w:r>
    </w:p>
    <w:bookmarkEnd w:id="7281"/>
    <w:bookmarkStart w:name="z8901" w:id="7282"/>
    <w:p>
      <w:pPr>
        <w:spacing w:after="0"/>
        <w:ind w:left="0"/>
        <w:jc w:val="both"/>
      </w:pPr>
      <w:r>
        <w:rPr>
          <w:rFonts w:ascii="Times New Roman"/>
          <w:b w:val="false"/>
          <w:i w:val="false"/>
          <w:color w:val="000000"/>
          <w:sz w:val="28"/>
        </w:rPr>
        <w:t>
      Если экспертом согласовывается возможность завершения держателем регистрационного удостоверения отдельных мероприятий, связанных с несущественными (другими) замечаниями в пострегистрационный период, он должен согласовать сроки и следующие действия:</w:t>
      </w:r>
    </w:p>
    <w:bookmarkEnd w:id="7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7283"/>
          <w:p>
            <w:pPr>
              <w:spacing w:after="20"/>
              <w:ind w:left="20"/>
              <w:jc w:val="both"/>
            </w:pPr>
            <w:r>
              <w:rPr>
                <w:rFonts w:ascii="Times New Roman"/>
                <w:b w:val="false"/>
                <w:i w:val="false"/>
                <w:color w:val="000000"/>
                <w:sz w:val="20"/>
              </w:rPr>
              <w:t xml:space="preserve">
Описание действия </w:t>
            </w:r>
          </w:p>
          <w:bookmarkEnd w:id="7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выполнения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3" w:id="7284"/>
          <w:p>
            <w:pPr>
              <w:spacing w:after="20"/>
              <w:ind w:left="20"/>
              <w:jc w:val="both"/>
            </w:pPr>
          </w:p>
          <w:bookmarkEnd w:id="7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4" w:id="7285"/>
          <w:p>
            <w:pPr>
              <w:spacing w:after="20"/>
              <w:ind w:left="20"/>
              <w:jc w:val="both"/>
            </w:pPr>
          </w:p>
          <w:bookmarkEnd w:id="7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5" w:id="7286"/>
          <w:p>
            <w:pPr>
              <w:spacing w:after="20"/>
              <w:ind w:left="20"/>
              <w:jc w:val="both"/>
            </w:pPr>
          </w:p>
          <w:bookmarkEnd w:id="7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6" w:id="7287"/>
    <w:p>
      <w:pPr>
        <w:spacing w:after="0"/>
        <w:ind w:left="0"/>
        <w:jc w:val="both"/>
      </w:pPr>
      <w:r>
        <w:rPr>
          <w:rFonts w:ascii="Times New Roman"/>
          <w:b w:val="false"/>
          <w:i w:val="false"/>
          <w:color w:val="000000"/>
          <w:sz w:val="28"/>
        </w:rPr>
        <w:t>
       </w:t>
      </w:r>
    </w:p>
    <w:bookmarkEnd w:id="7287"/>
    <w:bookmarkStart w:name="z8907" w:id="7288"/>
    <w:p>
      <w:pPr>
        <w:spacing w:after="0"/>
        <w:ind w:left="0"/>
        <w:jc w:val="left"/>
      </w:pPr>
      <w:r>
        <w:rPr>
          <w:rFonts w:ascii="Times New Roman"/>
          <w:b/>
          <w:i w:val="false"/>
          <w:color w:val="000000"/>
        </w:rPr>
        <w:t xml:space="preserve"> 9. Условия или ограничения в отношении безопасного и эффективного использования лекарственного средства, которые будут осуществляться государствами-членами </w:t>
      </w:r>
    </w:p>
    <w:bookmarkEnd w:id="7288"/>
    <w:bookmarkStart w:name="z8908" w:id="7289"/>
    <w:p>
      <w:pPr>
        <w:spacing w:after="0"/>
        <w:ind w:left="0"/>
        <w:jc w:val="both"/>
      </w:pPr>
      <w:r>
        <w:rPr>
          <w:rFonts w:ascii="Times New Roman"/>
          <w:b w:val="false"/>
          <w:i w:val="false"/>
          <w:color w:val="000000"/>
          <w:sz w:val="28"/>
        </w:rPr>
        <w:t>
      [В этом разделе указываются актуальные мероприятия по минимизации рисков, которые осуществляются государствами-членами. Они должны отражать информацию из раздела 7 заключения, но не обязательно включать ее в полном объеме.</w:t>
      </w:r>
    </w:p>
    <w:bookmarkEnd w:id="7289"/>
    <w:bookmarkStart w:name="z8909" w:id="7290"/>
    <w:p>
      <w:pPr>
        <w:spacing w:after="0"/>
        <w:ind w:left="0"/>
        <w:jc w:val="both"/>
      </w:pPr>
      <w:r>
        <w:rPr>
          <w:rFonts w:ascii="Times New Roman"/>
          <w:b w:val="false"/>
          <w:i w:val="false"/>
          <w:color w:val="000000"/>
          <w:sz w:val="28"/>
        </w:rPr>
        <w:t>
      Этот раздел заключения должен быть включен в случае, если объем реально выполняемых условий или ограничений в отношении безопасного и эффективного использования лекарственного средства в государстве-члене отличается от объема, который приводит держатель регистрационного удостоверения в ОХЛП.]</w:t>
      </w:r>
    </w:p>
    <w:bookmarkEnd w:id="7290"/>
    <w:bookmarkStart w:name="z8910" w:id="7291"/>
    <w:p>
      <w:pPr>
        <w:spacing w:after="0"/>
        <w:ind w:left="0"/>
        <w:jc w:val="both"/>
      </w:pPr>
      <w:r>
        <w:rPr>
          <w:rFonts w:ascii="Times New Roman"/>
          <w:b w:val="false"/>
          <w:i w:val="false"/>
          <w:color w:val="000000"/>
          <w:sz w:val="28"/>
        </w:rPr>
        <w:t>
      &lt;Нет данных&gt;</w:t>
      </w:r>
    </w:p>
    <w:bookmarkEnd w:id="7291"/>
    <w:bookmarkStart w:name="z8911" w:id="7292"/>
    <w:p>
      <w:pPr>
        <w:spacing w:after="0"/>
        <w:ind w:left="0"/>
        <w:jc w:val="both"/>
      </w:pPr>
      <w:r>
        <w:rPr>
          <w:rFonts w:ascii="Times New Roman"/>
          <w:b w:val="false"/>
          <w:i w:val="false"/>
          <w:color w:val="000000"/>
          <w:sz w:val="28"/>
        </w:rPr>
        <w:t>
      или</w:t>
      </w:r>
    </w:p>
    <w:bookmarkEnd w:id="7292"/>
    <w:bookmarkStart w:name="z8912" w:id="7293"/>
    <w:p>
      <w:pPr>
        <w:spacing w:after="0"/>
        <w:ind w:left="0"/>
        <w:jc w:val="both"/>
      </w:pPr>
      <w:r>
        <w:rPr>
          <w:rFonts w:ascii="Times New Roman"/>
          <w:b w:val="false"/>
          <w:i w:val="false"/>
          <w:color w:val="000000"/>
          <w:sz w:val="28"/>
        </w:rPr>
        <w:t>
      &lt;Условия полностью (частично) не отражают рекомендации, полученные от ОСОРОФ. Расхождения с консультациями ОСОРОФ обоснованы в отдельном приложении к настоящему заключению.&gt;</w:t>
      </w:r>
    </w:p>
    <w:bookmarkEnd w:id="7293"/>
    <w:bookmarkStart w:name="z8913" w:id="7294"/>
    <w:p>
      <w:pPr>
        <w:spacing w:after="0"/>
        <w:ind w:left="0"/>
        <w:jc w:val="both"/>
      </w:pPr>
      <w:r>
        <w:rPr>
          <w:rFonts w:ascii="Times New Roman"/>
          <w:b w:val="false"/>
          <w:i w:val="false"/>
          <w:color w:val="000000"/>
          <w:sz w:val="28"/>
        </w:rPr>
        <w:t>
      или</w:t>
      </w:r>
    </w:p>
    <w:bookmarkEnd w:id="7294"/>
    <w:bookmarkStart w:name="z8914" w:id="7295"/>
    <w:p>
      <w:pPr>
        <w:spacing w:after="0"/>
        <w:ind w:left="0"/>
        <w:jc w:val="both"/>
      </w:pPr>
      <w:r>
        <w:rPr>
          <w:rFonts w:ascii="Times New Roman"/>
          <w:b w:val="false"/>
          <w:i w:val="false"/>
          <w:color w:val="000000"/>
          <w:sz w:val="28"/>
        </w:rPr>
        <w:t>
      &lt;В результате дискуссии ОСОРОФ не пришел к единому выводу относительно необходимости введения условий и ограничений на данный лекарственный препарат. Позиция ОСОРОФ прилагается в отдельном приложении.&gt;</w:t>
      </w:r>
    </w:p>
    <w:bookmarkEnd w:id="7295"/>
    <w:bookmarkStart w:name="z8915" w:id="7296"/>
    <w:p>
      <w:pPr>
        <w:spacing w:after="0"/>
        <w:ind w:left="0"/>
        <w:jc w:val="left"/>
      </w:pPr>
      <w:r>
        <w:rPr>
          <w:rFonts w:ascii="Times New Roman"/>
          <w:b/>
          <w:i w:val="false"/>
          <w:color w:val="000000"/>
        </w:rPr>
        <w:t xml:space="preserve"> 10. Педиатрические данные</w:t>
      </w:r>
    </w:p>
    <w:bookmarkEnd w:id="7296"/>
    <w:bookmarkStart w:name="z8916" w:id="7297"/>
    <w:p>
      <w:pPr>
        <w:spacing w:after="0"/>
        <w:ind w:left="0"/>
        <w:jc w:val="both"/>
      </w:pPr>
      <w:r>
        <w:rPr>
          <w:rFonts w:ascii="Times New Roman"/>
          <w:b w:val="false"/>
          <w:i w:val="false"/>
          <w:color w:val="000000"/>
          <w:sz w:val="28"/>
        </w:rPr>
        <w:t>
      [Внимание! Если наблюдалось подтверждение сигнала среди детей для представления этого изменения или если это представление включает в себя педиатрические исследования, упомянутые в ОХЛП, следует использовать подходящие руководства в области педиатрии при оценке данных изменений.]</w:t>
      </w:r>
    </w:p>
    <w:bookmarkEnd w:id="7297"/>
    <w:bookmarkStart w:name="z8917" w:id="7298"/>
    <w:p>
      <w:pPr>
        <w:spacing w:after="0"/>
        <w:ind w:left="0"/>
        <w:jc w:val="both"/>
      </w:pPr>
      <w:r>
        <w:rPr>
          <w:rFonts w:ascii="Times New Roman"/>
          <w:b w:val="false"/>
          <w:i w:val="false"/>
          <w:color w:val="000000"/>
          <w:sz w:val="28"/>
        </w:rPr>
        <w:t>
       </w:t>
      </w:r>
    </w:p>
    <w:bookmarkEnd w:id="7298"/>
    <w:bookmarkStart w:name="z8918" w:id="7299"/>
    <w:p>
      <w:pPr>
        <w:spacing w:after="0"/>
        <w:ind w:left="0"/>
        <w:jc w:val="both"/>
      </w:pPr>
      <w:r>
        <w:rPr>
          <w:rFonts w:ascii="Times New Roman"/>
          <w:b w:val="false"/>
          <w:i w:val="false"/>
          <w:color w:val="000000"/>
          <w:sz w:val="28"/>
        </w:rPr>
        <w:t>
       </w:t>
      </w:r>
    </w:p>
    <w:bookmarkEnd w:id="7299"/>
    <w:bookmarkStart w:name="z8919" w:id="7300"/>
    <w:p>
      <w:pPr>
        <w:spacing w:after="0"/>
        <w:ind w:left="0"/>
        <w:jc w:val="both"/>
      </w:pPr>
      <w:r>
        <w:rPr>
          <w:rFonts w:ascii="Times New Roman"/>
          <w:b w:val="false"/>
          <w:i w:val="false"/>
          <w:color w:val="000000"/>
          <w:sz w:val="28"/>
        </w:rPr>
        <w:t>
       </w:t>
      </w:r>
    </w:p>
    <w:bookmarkEnd w:id="7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A </w:t>
            </w:r>
          </w:p>
        </w:tc>
      </w:tr>
    </w:tbl>
    <w:bookmarkStart w:name="z8921" w:id="7301"/>
    <w:p>
      <w:pPr>
        <w:spacing w:after="0"/>
        <w:ind w:left="0"/>
        <w:jc w:val="both"/>
      </w:pPr>
      <w:r>
        <w:rPr>
          <w:rFonts w:ascii="Times New Roman"/>
          <w:b w:val="false"/>
          <w:i w:val="false"/>
          <w:color w:val="000000"/>
          <w:sz w:val="28"/>
        </w:rPr>
        <w:t>
       </w:t>
      </w:r>
    </w:p>
    <w:bookmarkEnd w:id="7301"/>
    <w:bookmarkStart w:name="z8922" w:id="7302"/>
    <w:p>
      <w:pPr>
        <w:spacing w:after="0"/>
        <w:ind w:left="0"/>
        <w:jc w:val="left"/>
      </w:pPr>
      <w:r>
        <w:rPr>
          <w:rFonts w:ascii="Times New Roman"/>
          <w:b/>
          <w:i w:val="false"/>
          <w:color w:val="000000"/>
        </w:rPr>
        <w:t xml:space="preserve"> ПРЕДЛАГАЕМЫЕ АННОТИРОВАННЫЕ ИЗМЕНЕНИЯ ОХЛП, ИМП (ЛВ), МАКЕТОВ УПАКОВОК С КОММЕНТАРИЯМИ ЭКСПЕРТА ПОСЛЕ КАЖДОГО РАЗДЕЛА </w:t>
      </w:r>
    </w:p>
    <w:bookmarkEnd w:id="7302"/>
    <w:bookmarkStart w:name="z8923" w:id="7303"/>
    <w:p>
      <w:pPr>
        <w:spacing w:after="0"/>
        <w:ind w:left="0"/>
        <w:jc w:val="both"/>
      </w:pPr>
      <w:r>
        <w:rPr>
          <w:rFonts w:ascii="Times New Roman"/>
          <w:b w:val="false"/>
          <w:i w:val="false"/>
          <w:color w:val="000000"/>
          <w:sz w:val="28"/>
        </w:rPr>
        <w:t>
       </w:t>
      </w:r>
    </w:p>
    <w:bookmarkEnd w:id="7303"/>
    <w:bookmarkStart w:name="z8924" w:id="7304"/>
    <w:p>
      <w:pPr>
        <w:spacing w:after="0"/>
        <w:ind w:left="0"/>
        <w:jc w:val="both"/>
      </w:pPr>
      <w:r>
        <w:rPr>
          <w:rFonts w:ascii="Times New Roman"/>
          <w:b w:val="false"/>
          <w:i w:val="false"/>
          <w:color w:val="000000"/>
          <w:sz w:val="28"/>
        </w:rPr>
        <w:t>
       </w:t>
      </w:r>
    </w:p>
    <w:bookmarkEnd w:id="7304"/>
    <w:bookmarkStart w:name="z8925" w:id="7305"/>
    <w:p>
      <w:pPr>
        <w:spacing w:after="0"/>
        <w:ind w:left="0"/>
        <w:jc w:val="both"/>
      </w:pPr>
      <w:r>
        <w:rPr>
          <w:rFonts w:ascii="Times New Roman"/>
          <w:b w:val="false"/>
          <w:i w:val="false"/>
          <w:color w:val="000000"/>
          <w:sz w:val="28"/>
        </w:rPr>
        <w:t>
       </w:t>
      </w:r>
    </w:p>
    <w:bookmarkEnd w:id="7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B </w:t>
            </w:r>
          </w:p>
        </w:tc>
      </w:tr>
    </w:tbl>
    <w:bookmarkStart w:name="z8927" w:id="7306"/>
    <w:p>
      <w:pPr>
        <w:spacing w:after="0"/>
        <w:ind w:left="0"/>
        <w:jc w:val="both"/>
      </w:pPr>
      <w:r>
        <w:rPr>
          <w:rFonts w:ascii="Times New Roman"/>
          <w:b w:val="false"/>
          <w:i w:val="false"/>
          <w:color w:val="000000"/>
          <w:sz w:val="28"/>
        </w:rPr>
        <w:t>
       </w:t>
      </w:r>
    </w:p>
    <w:bookmarkEnd w:id="7306"/>
    <w:bookmarkStart w:name="z8928" w:id="7307"/>
    <w:p>
      <w:pPr>
        <w:spacing w:after="0"/>
        <w:ind w:left="0"/>
        <w:jc w:val="left"/>
      </w:pPr>
      <w:r>
        <w:rPr>
          <w:rFonts w:ascii="Times New Roman"/>
          <w:b/>
          <w:i w:val="false"/>
          <w:color w:val="000000"/>
        </w:rPr>
        <w:t xml:space="preserve"> Контрольный лист</w:t>
      </w:r>
      <w:r>
        <w:br/>
      </w:r>
      <w:r>
        <w:rPr>
          <w:rFonts w:ascii="Times New Roman"/>
          <w:b/>
          <w:i w:val="false"/>
          <w:color w:val="000000"/>
        </w:rPr>
        <w:t>проверки качества документов для рассмотрения результатов тестирования пользователей</w:t>
      </w:r>
    </w:p>
    <w:bookmarkEnd w:id="7307"/>
    <w:bookmarkStart w:name="z8929" w:id="7308"/>
    <w:p>
      <w:pPr>
        <w:spacing w:after="0"/>
        <w:ind w:left="0"/>
        <w:jc w:val="left"/>
      </w:pPr>
      <w:r>
        <w:rPr>
          <w:rFonts w:ascii="Times New Roman"/>
          <w:b/>
          <w:i w:val="false"/>
          <w:color w:val="000000"/>
        </w:rPr>
        <w:t xml:space="preserve"> Информация о продукте </w:t>
      </w:r>
    </w:p>
    <w:bookmarkEnd w:id="7308"/>
    <w:bookmarkStart w:name="z8930" w:id="7309"/>
    <w:p>
      <w:pPr>
        <w:spacing w:after="0"/>
        <w:ind w:left="0"/>
        <w:jc w:val="both"/>
      </w:pPr>
      <w:r>
        <w:rPr>
          <w:rFonts w:ascii="Times New Roman"/>
          <w:b w:val="false"/>
          <w:i w:val="false"/>
          <w:color w:val="000000"/>
          <w:sz w:val="28"/>
        </w:rPr>
        <w:t>
       </w:t>
      </w:r>
    </w:p>
    <w:bookmarkEnd w:id="7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1" w:id="7310"/>
          <w:p>
            <w:pPr>
              <w:spacing w:after="20"/>
              <w:ind w:left="20"/>
              <w:jc w:val="both"/>
            </w:pPr>
            <w:r>
              <w:rPr>
                <w:rFonts w:ascii="Times New Roman"/>
                <w:b w:val="false"/>
                <w:i w:val="false"/>
                <w:color w:val="000000"/>
                <w:sz w:val="20"/>
              </w:rPr>
              <w:t xml:space="preserve">
Наименование лекарственного препарата </w:t>
            </w:r>
          </w:p>
          <w:bookmarkEnd w:id="7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2" w:id="7311"/>
          <w:p>
            <w:pPr>
              <w:spacing w:after="20"/>
              <w:ind w:left="20"/>
              <w:jc w:val="both"/>
            </w:pPr>
            <w:r>
              <w:rPr>
                <w:rFonts w:ascii="Times New Roman"/>
                <w:b w:val="false"/>
                <w:i w:val="false"/>
                <w:color w:val="000000"/>
                <w:sz w:val="20"/>
              </w:rPr>
              <w:t xml:space="preserve">
Наименование и адрес заявителя </w:t>
            </w:r>
          </w:p>
          <w:bookmarkEnd w:id="7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3" w:id="7312"/>
          <w:p>
            <w:pPr>
              <w:spacing w:after="20"/>
              <w:ind w:left="20"/>
              <w:jc w:val="both"/>
            </w:pPr>
            <w:r>
              <w:rPr>
                <w:rFonts w:ascii="Times New Roman"/>
                <w:b w:val="false"/>
                <w:i w:val="false"/>
                <w:color w:val="000000"/>
                <w:sz w:val="20"/>
              </w:rPr>
              <w:t xml:space="preserve">
Наименование компании, проводившей пользовательское тестирование </w:t>
            </w:r>
          </w:p>
          <w:bookmarkEnd w:id="7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4" w:id="7313"/>
          <w:p>
            <w:pPr>
              <w:spacing w:after="20"/>
              <w:ind w:left="20"/>
              <w:jc w:val="both"/>
            </w:pPr>
            <w:r>
              <w:rPr>
                <w:rFonts w:ascii="Times New Roman"/>
                <w:b w:val="false"/>
                <w:i w:val="false"/>
                <w:color w:val="000000"/>
                <w:sz w:val="20"/>
              </w:rPr>
              <w:t xml:space="preserve">
Тип заявление на получение регистрационного удостоверения </w:t>
            </w:r>
          </w:p>
          <w:bookmarkEnd w:id="7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5" w:id="7314"/>
          <w:p>
            <w:pPr>
              <w:spacing w:after="20"/>
              <w:ind w:left="20"/>
              <w:jc w:val="both"/>
            </w:pPr>
            <w:r>
              <w:rPr>
                <w:rFonts w:ascii="Times New Roman"/>
                <w:b w:val="false"/>
                <w:i w:val="false"/>
                <w:color w:val="000000"/>
                <w:sz w:val="20"/>
              </w:rPr>
              <w:t xml:space="preserve">
МНН </w:t>
            </w:r>
          </w:p>
          <w:bookmarkEnd w:id="7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6" w:id="7315"/>
          <w:p>
            <w:pPr>
              <w:spacing w:after="20"/>
              <w:ind w:left="20"/>
              <w:jc w:val="both"/>
            </w:pPr>
            <w:r>
              <w:rPr>
                <w:rFonts w:ascii="Times New Roman"/>
                <w:b w:val="false"/>
                <w:i w:val="false"/>
                <w:color w:val="000000"/>
                <w:sz w:val="20"/>
              </w:rPr>
              <w:t xml:space="preserve">
Фармакотерапевтическая группа (код АТХ) </w:t>
            </w:r>
          </w:p>
          <w:bookmarkEnd w:id="7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7316"/>
          <w:p>
            <w:pPr>
              <w:spacing w:after="20"/>
              <w:ind w:left="20"/>
              <w:jc w:val="both"/>
            </w:pPr>
            <w:r>
              <w:rPr>
                <w:rFonts w:ascii="Times New Roman"/>
                <w:b w:val="false"/>
                <w:i w:val="false"/>
                <w:color w:val="000000"/>
                <w:sz w:val="20"/>
              </w:rPr>
              <w:t xml:space="preserve">
Терапевтические показания </w:t>
            </w:r>
          </w:p>
          <w:bookmarkEnd w:id="7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8" w:id="7317"/>
          <w:p>
            <w:pPr>
              <w:spacing w:after="20"/>
              <w:ind w:left="20"/>
              <w:jc w:val="both"/>
            </w:pPr>
            <w:r>
              <w:rPr>
                <w:rFonts w:ascii="Times New Roman"/>
                <w:b w:val="false"/>
                <w:i w:val="false"/>
                <w:color w:val="000000"/>
                <w:sz w:val="20"/>
              </w:rPr>
              <w:t xml:space="preserve">
Орфанный препарат </w:t>
            </w:r>
          </w:p>
          <w:bookmarkEnd w:id="7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9" w:id="7318"/>
          <w:p>
            <w:pPr>
              <w:spacing w:after="20"/>
              <w:ind w:left="20"/>
              <w:jc w:val="both"/>
            </w:pPr>
            <w:r>
              <w:rPr>
                <w:rFonts w:ascii="Times New Roman"/>
                <w:b w:val="false"/>
                <w:i w:val="false"/>
                <w:color w:val="000000"/>
                <w:sz w:val="20"/>
              </w:rPr>
              <w:t xml:space="preserve">
Эксперт </w:t>
            </w:r>
          </w:p>
          <w:bookmarkEnd w:id="7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0" w:id="7319"/>
    <w:p>
      <w:pPr>
        <w:spacing w:after="0"/>
        <w:ind w:left="0"/>
        <w:jc w:val="both"/>
      </w:pPr>
      <w:r>
        <w:rPr>
          <w:rFonts w:ascii="Times New Roman"/>
          <w:b w:val="false"/>
          <w:i w:val="false"/>
          <w:color w:val="000000"/>
          <w:sz w:val="28"/>
        </w:rPr>
        <w:t>
       </w:t>
      </w:r>
    </w:p>
    <w:bookmarkEnd w:id="73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41" w:id="7320"/>
          <w:p>
            <w:pPr>
              <w:spacing w:after="20"/>
              <w:ind w:left="20"/>
              <w:jc w:val="both"/>
            </w:pPr>
            <w:r>
              <w:rPr>
                <w:rFonts w:ascii="Times New Roman"/>
                <w:b w:val="false"/>
                <w:i w:val="false"/>
                <w:color w:val="000000"/>
                <w:sz w:val="20"/>
              </w:rPr>
              <w:t xml:space="preserve">
Полный отчет пользовательского тестирования представлен </w:t>
            </w:r>
          </w:p>
          <w:bookmarkEnd w:id="732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42" w:id="7321"/>
          <w:p>
            <w:pPr>
              <w:spacing w:after="20"/>
              <w:ind w:left="20"/>
              <w:jc w:val="both"/>
            </w:pPr>
            <w:r>
              <w:rPr>
                <w:rFonts w:ascii="Times New Roman"/>
                <w:b w:val="false"/>
                <w:i w:val="false"/>
                <w:color w:val="000000"/>
                <w:sz w:val="20"/>
              </w:rPr>
              <w:t xml:space="preserve">
Сводный отчет представлен </w:t>
            </w:r>
          </w:p>
          <w:bookmarkEnd w:id="732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43" w:id="7322"/>
          <w:p>
            <w:pPr>
              <w:spacing w:after="20"/>
              <w:ind w:left="20"/>
              <w:jc w:val="both"/>
            </w:pPr>
            <w:r>
              <w:rPr>
                <w:rFonts w:ascii="Times New Roman"/>
                <w:b w:val="false"/>
                <w:i w:val="false"/>
                <w:color w:val="000000"/>
                <w:sz w:val="20"/>
              </w:rPr>
              <w:t xml:space="preserve">
Основания для связующего тестирования: </w:t>
            </w:r>
          </w:p>
          <w:bookmarkEnd w:id="732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8944" w:id="7323"/>
          <w:p>
            <w:pPr>
              <w:spacing w:after="20"/>
              <w:ind w:left="20"/>
              <w:jc w:val="both"/>
            </w:pPr>
          </w:p>
          <w:bookmarkEnd w:id="7323"/>
          <w:p>
            <w:pPr>
              <w:spacing w:after="20"/>
              <w:ind w:left="20"/>
              <w:jc w:val="both"/>
            </w:pPr>
            <w:r>
              <w:t>[MISSING IMAGE: ,  ]</w:t>
            </w:r>
          </w:p>
          <w:p>
            <w:pPr>
              <w:spacing w:after="0"/>
              <w:ind w:left="0"/>
              <w:jc w:val="both"/>
            </w:pPr>
            <w:r>
              <w:rPr>
                <w:rFonts w:ascii="Times New Roman"/>
                <w:b w:val="false"/>
                <w:i w:val="false"/>
                <w:color w:val="000000"/>
                <w:sz w:val="20"/>
              </w:rPr>
              <w:t xml:space="preserve">дополнения для одного и того же способа введения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8945" w:id="7324"/>
          <w:p>
            <w:pPr>
              <w:spacing w:after="20"/>
              <w:ind w:left="20"/>
              <w:jc w:val="both"/>
            </w:pPr>
          </w:p>
          <w:bookmarkEnd w:id="7324"/>
          <w:p>
            <w:pPr>
              <w:spacing w:after="20"/>
              <w:ind w:left="20"/>
              <w:jc w:val="both"/>
            </w:pPr>
            <w:r>
              <w:t>[MISSING IMAGE: ,  ]</w:t>
            </w:r>
          </w:p>
          <w:p>
            <w:pPr>
              <w:spacing w:after="0"/>
              <w:ind w:left="0"/>
              <w:jc w:val="both"/>
            </w:pPr>
            <w:r>
              <w:rPr>
                <w:rFonts w:ascii="Times New Roman"/>
                <w:b w:val="false"/>
                <w:i w:val="false"/>
                <w:color w:val="000000"/>
                <w:sz w:val="20"/>
              </w:rPr>
              <w:t xml:space="preserve">ссылка на тест лекарственного препарата того же класса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8946" w:id="7325"/>
          <w:p>
            <w:pPr>
              <w:spacing w:after="20"/>
              <w:ind w:left="20"/>
              <w:jc w:val="both"/>
            </w:pPr>
          </w:p>
          <w:bookmarkEnd w:id="7325"/>
          <w:p>
            <w:pPr>
              <w:spacing w:after="20"/>
              <w:ind w:left="20"/>
              <w:jc w:val="both"/>
            </w:pPr>
            <w:r>
              <w:t>[MISSING IMAGE: ,  ]</w:t>
            </w:r>
          </w:p>
          <w:p>
            <w:pPr>
              <w:spacing w:after="0"/>
              <w:ind w:left="0"/>
              <w:jc w:val="both"/>
            </w:pPr>
            <w:r>
              <w:rPr>
                <w:rFonts w:ascii="Times New Roman"/>
                <w:b w:val="false"/>
                <w:i w:val="false"/>
                <w:color w:val="000000"/>
                <w:sz w:val="20"/>
              </w:rPr>
              <w:t xml:space="preserve">ссылка на тест с такими же вопросами по безопасности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8947" w:id="7326"/>
          <w:p>
            <w:pPr>
              <w:spacing w:after="20"/>
              <w:ind w:left="20"/>
              <w:jc w:val="both"/>
            </w:pPr>
          </w:p>
          <w:bookmarkEnd w:id="7326"/>
          <w:p>
            <w:pPr>
              <w:spacing w:after="20"/>
              <w:ind w:left="20"/>
              <w:jc w:val="both"/>
            </w:pPr>
            <w:r>
              <w:t>[MISSING IMAGE: ,  ]</w:t>
            </w:r>
          </w:p>
          <w:p>
            <w:pPr>
              <w:spacing w:after="0"/>
              <w:ind w:left="0"/>
              <w:jc w:val="both"/>
            </w:pPr>
            <w:r>
              <w:rPr>
                <w:rFonts w:ascii="Times New Roman"/>
                <w:b w:val="false"/>
                <w:i w:val="false"/>
                <w:color w:val="000000"/>
                <w:sz w:val="20"/>
              </w:rPr>
              <w:t xml:space="preserve">другое: ___________________________________________________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48" w:id="7327"/>
          <w:p>
            <w:pPr>
              <w:spacing w:after="20"/>
              <w:ind w:left="20"/>
              <w:jc w:val="both"/>
            </w:pPr>
            <w:r>
              <w:rPr>
                <w:rFonts w:ascii="Times New Roman"/>
                <w:b w:val="false"/>
                <w:i w:val="false"/>
                <w:color w:val="000000"/>
                <w:sz w:val="20"/>
              </w:rPr>
              <w:t xml:space="preserve">
Обоснование связующего тестирования приемлемо? </w:t>
            </w:r>
          </w:p>
          <w:bookmarkEnd w:id="732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49" w:id="7328"/>
          <w:p>
            <w:pPr>
              <w:spacing w:after="20"/>
              <w:ind w:left="20"/>
              <w:jc w:val="both"/>
            </w:pPr>
            <w:r>
              <w:rPr>
                <w:rFonts w:ascii="Times New Roman"/>
                <w:b w:val="false"/>
                <w:i w:val="false"/>
                <w:color w:val="000000"/>
                <w:sz w:val="20"/>
              </w:rPr>
              <w:t xml:space="preserve">
(Если полный отчет пользовательского тестирования или сводный отчет не предоставлен, то необходимо привести обоснование.) </w:t>
            </w:r>
          </w:p>
          <w:bookmarkEnd w:id="732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50" w:id="7329"/>
          <w:p>
            <w:pPr>
              <w:spacing w:after="20"/>
              <w:ind w:left="20"/>
              <w:jc w:val="both"/>
            </w:pPr>
            <w:r>
              <w:rPr>
                <w:rFonts w:ascii="Times New Roman"/>
                <w:b w:val="false"/>
                <w:i w:val="false"/>
                <w:color w:val="000000"/>
                <w:sz w:val="20"/>
              </w:rPr>
              <w:t xml:space="preserve">
Обоснование непредставления отчета приемлемо? </w:t>
            </w:r>
          </w:p>
          <w:bookmarkEnd w:id="732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51" w:id="7330"/>
          <w:p>
            <w:pPr>
              <w:spacing w:after="20"/>
              <w:ind w:left="20"/>
              <w:jc w:val="both"/>
            </w:pPr>
            <w:r>
              <w:rPr>
                <w:rFonts w:ascii="Times New Roman"/>
                <w:b w:val="false"/>
                <w:i w:val="false"/>
                <w:color w:val="000000"/>
                <w:sz w:val="20"/>
              </w:rPr>
              <w:t xml:space="preserve">
(Примеры причин, не считающихся приемлемым обоснованием отсутствия пользовательского тестирования, приведены далее: </w:t>
            </w:r>
          </w:p>
          <w:bookmarkEnd w:id="733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52" w:id="7331"/>
          <w:p>
            <w:pPr>
              <w:spacing w:after="20"/>
              <w:ind w:left="20"/>
              <w:jc w:val="both"/>
            </w:pPr>
            <w:r>
              <w:rPr>
                <w:rFonts w:ascii="Times New Roman"/>
                <w:b w:val="false"/>
                <w:i w:val="false"/>
                <w:color w:val="000000"/>
                <w:sz w:val="20"/>
              </w:rPr>
              <w:t xml:space="preserve">
- введение только в больничных условиях; </w:t>
            </w:r>
          </w:p>
          <w:bookmarkEnd w:id="733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53" w:id="7332"/>
          <w:p>
            <w:pPr>
              <w:spacing w:after="20"/>
              <w:ind w:left="20"/>
              <w:jc w:val="both"/>
            </w:pPr>
            <w:r>
              <w:rPr>
                <w:rFonts w:ascii="Times New Roman"/>
                <w:b w:val="false"/>
                <w:i w:val="false"/>
                <w:color w:val="000000"/>
                <w:sz w:val="20"/>
              </w:rPr>
              <w:t xml:space="preserve">
- введение только медицинским специалистом; </w:t>
            </w:r>
          </w:p>
          <w:bookmarkEnd w:id="733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54" w:id="7333"/>
          <w:p>
            <w:pPr>
              <w:spacing w:after="20"/>
              <w:ind w:left="20"/>
              <w:jc w:val="both"/>
            </w:pPr>
            <w:r>
              <w:rPr>
                <w:rFonts w:ascii="Times New Roman"/>
                <w:b w:val="false"/>
                <w:i w:val="false"/>
                <w:color w:val="000000"/>
                <w:sz w:val="20"/>
              </w:rPr>
              <w:t xml:space="preserve">
- соответствие шаблонам документов по проверке качества; </w:t>
            </w:r>
          </w:p>
          <w:bookmarkEnd w:id="733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8955" w:id="7334"/>
          <w:p>
            <w:pPr>
              <w:spacing w:after="20"/>
              <w:ind w:left="20"/>
              <w:jc w:val="both"/>
            </w:pPr>
            <w:r>
              <w:rPr>
                <w:rFonts w:ascii="Times New Roman"/>
                <w:b w:val="false"/>
                <w:i w:val="false"/>
                <w:color w:val="000000"/>
                <w:sz w:val="20"/>
              </w:rPr>
              <w:t xml:space="preserve">
- изученное применение препарата в течение длительного времени. </w:t>
            </w:r>
          </w:p>
          <w:bookmarkEnd w:id="7334"/>
        </w:tc>
      </w:tr>
      <w:tr>
        <w:trPr>
          <w:trHeight w:val="30" w:hRule="atLeast"/>
        </w:trPr>
        <w:tc>
          <w:tcPr>
            <w:tcW w:w="6150" w:type="dxa"/>
            <w:tcBorders/>
            <w:tcMar>
              <w:top w:w="15" w:type="dxa"/>
              <w:left w:w="15" w:type="dxa"/>
              <w:bottom w:w="15" w:type="dxa"/>
              <w:right w:w="15" w:type="dxa"/>
            </w:tcMar>
            <w:vAlign w:val="center"/>
          </w:tcPr>
          <w:bookmarkStart w:name="z8956" w:id="7335"/>
          <w:p>
            <w:pPr>
              <w:spacing w:after="20"/>
              <w:ind w:left="20"/>
              <w:jc w:val="both"/>
            </w:pPr>
            <w:r>
              <w:rPr>
                <w:rFonts w:ascii="Times New Roman"/>
                <w:b w:val="false"/>
                <w:i w:val="false"/>
                <w:color w:val="000000"/>
                <w:sz w:val="20"/>
              </w:rPr>
              <w:t xml:space="preserve">
Причины [мнения экспертов относительно приемлемости или неприемлемости обоснования/сводного отчета - оценка обоснования/сводного отчета] </w:t>
            </w:r>
          </w:p>
          <w:bookmarkEnd w:id="733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7" w:id="7336"/>
    <w:p>
      <w:pPr>
        <w:spacing w:after="0"/>
        <w:ind w:left="0"/>
        <w:jc w:val="both"/>
      </w:pPr>
      <w:r>
        <w:rPr>
          <w:rFonts w:ascii="Times New Roman"/>
          <w:b w:val="false"/>
          <w:i w:val="false"/>
          <w:color w:val="000000"/>
          <w:sz w:val="28"/>
        </w:rPr>
        <w:t>
       </w:t>
      </w:r>
    </w:p>
    <w:bookmarkEnd w:id="7336"/>
    <w:bookmarkStart w:name="z8958" w:id="7337"/>
    <w:p>
      <w:pPr>
        <w:spacing w:after="0"/>
        <w:ind w:left="0"/>
        <w:jc w:val="both"/>
      </w:pPr>
      <w:r>
        <w:rPr>
          <w:rFonts w:ascii="Times New Roman"/>
          <w:b w:val="false"/>
          <w:i w:val="false"/>
          <w:color w:val="000000"/>
          <w:sz w:val="28"/>
        </w:rPr>
        <w:t>
      _____________________________________________________________________</w:t>
      </w:r>
    </w:p>
    <w:bookmarkEnd w:id="7337"/>
    <w:bookmarkStart w:name="z8959" w:id="7338"/>
    <w:p>
      <w:pPr>
        <w:spacing w:after="0"/>
        <w:ind w:left="0"/>
        <w:jc w:val="both"/>
      </w:pPr>
      <w:r>
        <w:rPr>
          <w:rFonts w:ascii="Times New Roman"/>
          <w:b w:val="false"/>
          <w:i w:val="false"/>
          <w:color w:val="000000"/>
          <w:sz w:val="28"/>
        </w:rPr>
        <w:t>
      _____________________________________________________________________</w:t>
      </w:r>
    </w:p>
    <w:bookmarkEnd w:id="7338"/>
    <w:bookmarkStart w:name="z8960" w:id="7339"/>
    <w:p>
      <w:pPr>
        <w:spacing w:after="0"/>
        <w:ind w:left="0"/>
        <w:jc w:val="both"/>
      </w:pPr>
      <w:r>
        <w:rPr>
          <w:rFonts w:ascii="Times New Roman"/>
          <w:b w:val="false"/>
          <w:i w:val="false"/>
          <w:color w:val="000000"/>
          <w:sz w:val="28"/>
        </w:rPr>
        <w:t>
      _____________________________________________________________________</w:t>
      </w:r>
    </w:p>
    <w:bookmarkEnd w:id="7339"/>
    <w:bookmarkStart w:name="z8961" w:id="7340"/>
    <w:p>
      <w:pPr>
        <w:spacing w:after="0"/>
        <w:ind w:left="0"/>
        <w:jc w:val="both"/>
      </w:pPr>
      <w:r>
        <w:rPr>
          <w:rFonts w:ascii="Times New Roman"/>
          <w:b w:val="false"/>
          <w:i w:val="false"/>
          <w:color w:val="000000"/>
          <w:sz w:val="28"/>
        </w:rPr>
        <w:t>
      _____________________________________________________________________</w:t>
      </w:r>
    </w:p>
    <w:bookmarkEnd w:id="7340"/>
    <w:bookmarkStart w:name="z8962" w:id="7341"/>
    <w:p>
      <w:pPr>
        <w:spacing w:after="0"/>
        <w:ind w:left="0"/>
        <w:jc w:val="both"/>
      </w:pPr>
      <w:r>
        <w:rPr>
          <w:rFonts w:ascii="Times New Roman"/>
          <w:b w:val="false"/>
          <w:i w:val="false"/>
          <w:color w:val="000000"/>
          <w:sz w:val="28"/>
        </w:rPr>
        <w:t>
      _____________________________________________________________________</w:t>
      </w:r>
    </w:p>
    <w:bookmarkEnd w:id="7341"/>
    <w:bookmarkStart w:name="z8963" w:id="7342"/>
    <w:p>
      <w:pPr>
        <w:spacing w:after="0"/>
        <w:ind w:left="0"/>
        <w:jc w:val="left"/>
      </w:pPr>
      <w:r>
        <w:rPr>
          <w:rFonts w:ascii="Times New Roman"/>
          <w:b/>
          <w:i w:val="false"/>
          <w:color w:val="000000"/>
        </w:rPr>
        <w:t xml:space="preserve"> 1. Техническая оценка</w:t>
      </w:r>
    </w:p>
    <w:bookmarkEnd w:id="7342"/>
    <w:bookmarkStart w:name="z8964" w:id="7343"/>
    <w:p>
      <w:pPr>
        <w:spacing w:after="0"/>
        <w:ind w:left="0"/>
        <w:jc w:val="left"/>
      </w:pPr>
      <w:r>
        <w:rPr>
          <w:rFonts w:ascii="Times New Roman"/>
          <w:b/>
          <w:i w:val="false"/>
          <w:color w:val="000000"/>
        </w:rPr>
        <w:t xml:space="preserve"> 1.1. Набор </w:t>
      </w:r>
    </w:p>
    <w:bookmarkEnd w:id="7343"/>
    <w:bookmarkStart w:name="z8965" w:id="7344"/>
    <w:p>
      <w:pPr>
        <w:spacing w:after="0"/>
        <w:ind w:left="0"/>
        <w:jc w:val="both"/>
      </w:pPr>
      <w:r>
        <w:rPr>
          <w:rFonts w:ascii="Times New Roman"/>
          <w:b w:val="false"/>
          <w:i w:val="false"/>
          <w:color w:val="000000"/>
          <w:sz w:val="28"/>
        </w:rPr>
        <w:t>
       </w:t>
      </w:r>
    </w:p>
    <w:bookmarkEnd w:id="73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66" w:id="7345"/>
          <w:p>
            <w:pPr>
              <w:spacing w:after="20"/>
              <w:ind w:left="20"/>
              <w:jc w:val="both"/>
            </w:pPr>
            <w:r>
              <w:rPr>
                <w:rFonts w:ascii="Times New Roman"/>
                <w:b w:val="false"/>
                <w:i w:val="false"/>
                <w:color w:val="000000"/>
                <w:sz w:val="20"/>
              </w:rPr>
              <w:t xml:space="preserve">
Опрошенная популяция приемлема? </w:t>
            </w:r>
          </w:p>
          <w:bookmarkEnd w:id="734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8967" w:id="7346"/>
    <w:p>
      <w:pPr>
        <w:spacing w:after="0"/>
        <w:ind w:left="0"/>
        <w:jc w:val="both"/>
      </w:pPr>
      <w:r>
        <w:rPr>
          <w:rFonts w:ascii="Times New Roman"/>
          <w:b w:val="false"/>
          <w:i w:val="false"/>
          <w:color w:val="000000"/>
          <w:sz w:val="28"/>
        </w:rPr>
        <w:t>
       </w:t>
      </w:r>
    </w:p>
    <w:bookmarkEnd w:id="7346"/>
    <w:bookmarkStart w:name="z8968" w:id="7347"/>
    <w:p>
      <w:pPr>
        <w:spacing w:after="0"/>
        <w:ind w:left="0"/>
        <w:jc w:val="both"/>
      </w:pPr>
      <w:r>
        <w:rPr>
          <w:rFonts w:ascii="Times New Roman"/>
          <w:b w:val="false"/>
          <w:i w:val="false"/>
          <w:color w:val="000000"/>
          <w:sz w:val="28"/>
        </w:rPr>
        <w:t>
      Комментарии (дополнительная информация) ______________________</w:t>
      </w:r>
    </w:p>
    <w:bookmarkEnd w:id="7347"/>
    <w:bookmarkStart w:name="z8969" w:id="7348"/>
    <w:p>
      <w:pPr>
        <w:spacing w:after="0"/>
        <w:ind w:left="0"/>
        <w:jc w:val="left"/>
      </w:pPr>
      <w:r>
        <w:rPr>
          <w:rFonts w:ascii="Times New Roman"/>
          <w:b/>
          <w:i w:val="false"/>
          <w:color w:val="000000"/>
        </w:rPr>
        <w:t xml:space="preserve">  </w:t>
      </w:r>
      <w:r>
        <w:br/>
      </w:r>
      <w:r>
        <w:rPr>
          <w:rFonts w:ascii="Times New Roman"/>
          <w:b/>
          <w:i w:val="false"/>
          <w:color w:val="000000"/>
        </w:rPr>
        <w:t xml:space="preserve">1.2. Вопросник </w:t>
      </w:r>
    </w:p>
    <w:bookmarkEnd w:id="7348"/>
    <w:bookmarkStart w:name="z8970" w:id="7349"/>
    <w:p>
      <w:pPr>
        <w:spacing w:after="0"/>
        <w:ind w:left="0"/>
        <w:jc w:val="both"/>
      </w:pPr>
      <w:r>
        <w:rPr>
          <w:rFonts w:ascii="Times New Roman"/>
          <w:b w:val="false"/>
          <w:i w:val="false"/>
          <w:color w:val="000000"/>
          <w:sz w:val="28"/>
        </w:rPr>
        <w:t>
       </w:t>
      </w:r>
    </w:p>
    <w:bookmarkEnd w:id="73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71" w:id="7350"/>
          <w:p>
            <w:pPr>
              <w:spacing w:after="20"/>
              <w:ind w:left="20"/>
              <w:jc w:val="both"/>
            </w:pPr>
            <w:r>
              <w:rPr>
                <w:rFonts w:ascii="Times New Roman"/>
                <w:b w:val="false"/>
                <w:i w:val="false"/>
                <w:color w:val="000000"/>
                <w:sz w:val="20"/>
              </w:rPr>
              <w:t xml:space="preserve">
Количество вопросов _____ является достаточным? </w:t>
            </w:r>
          </w:p>
          <w:bookmarkEnd w:id="735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72" w:id="7351"/>
          <w:p>
            <w:pPr>
              <w:spacing w:after="20"/>
              <w:ind w:left="20"/>
              <w:jc w:val="both"/>
            </w:pPr>
            <w:r>
              <w:rPr>
                <w:rFonts w:ascii="Times New Roman"/>
                <w:b w:val="false"/>
                <w:i w:val="false"/>
                <w:color w:val="000000"/>
                <w:sz w:val="20"/>
              </w:rPr>
              <w:t xml:space="preserve">
Вопросы охватывают важные аспекты (безопасность) ИМП(ЛВ)? </w:t>
            </w:r>
          </w:p>
          <w:bookmarkEnd w:id="735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8973" w:id="7352"/>
    <w:p>
      <w:pPr>
        <w:spacing w:after="0"/>
        <w:ind w:left="0"/>
        <w:jc w:val="both"/>
      </w:pPr>
      <w:r>
        <w:rPr>
          <w:rFonts w:ascii="Times New Roman"/>
          <w:b w:val="false"/>
          <w:i w:val="false"/>
          <w:color w:val="000000"/>
          <w:sz w:val="28"/>
        </w:rPr>
        <w:t>
       </w:t>
      </w:r>
    </w:p>
    <w:bookmarkEnd w:id="7352"/>
    <w:bookmarkStart w:name="z8974" w:id="7353"/>
    <w:p>
      <w:pPr>
        <w:spacing w:after="0"/>
        <w:ind w:left="0"/>
        <w:jc w:val="both"/>
      </w:pPr>
      <w:r>
        <w:rPr>
          <w:rFonts w:ascii="Times New Roman"/>
          <w:b w:val="false"/>
          <w:i w:val="false"/>
          <w:color w:val="000000"/>
          <w:sz w:val="28"/>
        </w:rPr>
        <w:t>
      Комментарии (дополнительная информация) ______________________</w:t>
      </w:r>
    </w:p>
    <w:bookmarkEnd w:id="7353"/>
    <w:bookmarkStart w:name="z8975" w:id="7354"/>
    <w:p>
      <w:pPr>
        <w:spacing w:after="0"/>
        <w:ind w:left="0"/>
        <w:jc w:val="both"/>
      </w:pPr>
      <w:r>
        <w:rPr>
          <w:rFonts w:ascii="Times New Roman"/>
          <w:b w:val="false"/>
          <w:i w:val="false"/>
          <w:color w:val="000000"/>
          <w:sz w:val="28"/>
        </w:rPr>
        <w:t>
       </w:t>
      </w:r>
    </w:p>
    <w:bookmarkEnd w:id="7354"/>
    <w:bookmarkStart w:name="z8976" w:id="7355"/>
    <w:p>
      <w:pPr>
        <w:spacing w:after="0"/>
        <w:ind w:left="0"/>
        <w:jc w:val="left"/>
      </w:pPr>
      <w:r>
        <w:rPr>
          <w:rFonts w:ascii="Times New Roman"/>
          <w:b/>
          <w:i w:val="false"/>
          <w:color w:val="000000"/>
        </w:rPr>
        <w:t xml:space="preserve"> 1.3. Временные аспекты </w:t>
      </w:r>
    </w:p>
    <w:bookmarkEnd w:id="7355"/>
    <w:bookmarkStart w:name="z8977" w:id="7356"/>
    <w:p>
      <w:pPr>
        <w:spacing w:after="0"/>
        <w:ind w:left="0"/>
        <w:jc w:val="both"/>
      </w:pPr>
      <w:r>
        <w:rPr>
          <w:rFonts w:ascii="Times New Roman"/>
          <w:b w:val="false"/>
          <w:i w:val="false"/>
          <w:color w:val="000000"/>
          <w:sz w:val="28"/>
        </w:rPr>
        <w:t>
       </w:t>
      </w:r>
    </w:p>
    <w:bookmarkEnd w:id="73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78" w:id="7357"/>
          <w:p>
            <w:pPr>
              <w:spacing w:after="20"/>
              <w:ind w:left="20"/>
              <w:jc w:val="both"/>
            </w:pPr>
            <w:r>
              <w:rPr>
                <w:rFonts w:ascii="Times New Roman"/>
                <w:b w:val="false"/>
                <w:i w:val="false"/>
                <w:color w:val="000000"/>
                <w:sz w:val="20"/>
              </w:rPr>
              <w:t xml:space="preserve">
Время, предоставленное для ответа на вопросы, приемлемо? </w:t>
            </w:r>
          </w:p>
          <w:bookmarkEnd w:id="735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79" w:id="7358"/>
          <w:p>
            <w:pPr>
              <w:spacing w:after="20"/>
              <w:ind w:left="20"/>
              <w:jc w:val="both"/>
            </w:pPr>
            <w:r>
              <w:rPr>
                <w:rFonts w:ascii="Times New Roman"/>
                <w:b w:val="false"/>
                <w:i w:val="false"/>
                <w:color w:val="000000"/>
                <w:sz w:val="20"/>
              </w:rPr>
              <w:t xml:space="preserve">
Продолжительность интервью приемлема? </w:t>
            </w:r>
          </w:p>
          <w:bookmarkEnd w:id="735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8980" w:id="7359"/>
    <w:p>
      <w:pPr>
        <w:spacing w:after="0"/>
        <w:ind w:left="0"/>
        <w:jc w:val="both"/>
      </w:pPr>
      <w:r>
        <w:rPr>
          <w:rFonts w:ascii="Times New Roman"/>
          <w:b w:val="false"/>
          <w:i w:val="false"/>
          <w:color w:val="000000"/>
          <w:sz w:val="28"/>
        </w:rPr>
        <w:t>
       </w:t>
      </w:r>
    </w:p>
    <w:bookmarkEnd w:id="7359"/>
    <w:bookmarkStart w:name="z8981" w:id="7360"/>
    <w:p>
      <w:pPr>
        <w:spacing w:after="0"/>
        <w:ind w:left="0"/>
        <w:jc w:val="both"/>
      </w:pPr>
      <w:r>
        <w:rPr>
          <w:rFonts w:ascii="Times New Roman"/>
          <w:b w:val="false"/>
          <w:i w:val="false"/>
          <w:color w:val="000000"/>
          <w:sz w:val="28"/>
        </w:rPr>
        <w:t>
      Комментарии (дополнительная информация) ______________________</w:t>
      </w:r>
    </w:p>
    <w:bookmarkEnd w:id="7360"/>
    <w:bookmarkStart w:name="z8982" w:id="7361"/>
    <w:p>
      <w:pPr>
        <w:spacing w:after="0"/>
        <w:ind w:left="0"/>
        <w:jc w:val="both"/>
      </w:pPr>
      <w:r>
        <w:rPr>
          <w:rFonts w:ascii="Times New Roman"/>
          <w:b w:val="false"/>
          <w:i w:val="false"/>
          <w:color w:val="000000"/>
          <w:sz w:val="28"/>
        </w:rPr>
        <w:t>
       </w:t>
      </w:r>
    </w:p>
    <w:bookmarkEnd w:id="7361"/>
    <w:bookmarkStart w:name="z8983" w:id="7362"/>
    <w:p>
      <w:pPr>
        <w:spacing w:after="0"/>
        <w:ind w:left="0"/>
        <w:jc w:val="left"/>
      </w:pPr>
      <w:r>
        <w:rPr>
          <w:rFonts w:ascii="Times New Roman"/>
          <w:b/>
          <w:i w:val="false"/>
          <w:color w:val="000000"/>
        </w:rPr>
        <w:t xml:space="preserve"> 1.4. Процедурные аспекты </w:t>
      </w:r>
    </w:p>
    <w:bookmarkEnd w:id="7362"/>
    <w:bookmarkStart w:name="z8984" w:id="7363"/>
    <w:p>
      <w:pPr>
        <w:spacing w:after="0"/>
        <w:ind w:left="0"/>
        <w:jc w:val="both"/>
      </w:pPr>
      <w:r>
        <w:rPr>
          <w:rFonts w:ascii="Times New Roman"/>
          <w:b w:val="false"/>
          <w:i w:val="false"/>
          <w:color w:val="000000"/>
          <w:sz w:val="28"/>
        </w:rPr>
        <w:t>
       </w:t>
      </w:r>
    </w:p>
    <w:bookmarkEnd w:id="7363"/>
    <w:bookmarkStart w:name="z8985" w:id="7364"/>
    <w:p>
      <w:pPr>
        <w:spacing w:after="0"/>
        <w:ind w:left="0"/>
        <w:jc w:val="both"/>
      </w:pPr>
      <w:r>
        <w:rPr>
          <w:rFonts w:ascii="Times New Roman"/>
          <w:b w:val="false"/>
          <w:i w:val="false"/>
          <w:color w:val="000000"/>
          <w:sz w:val="28"/>
        </w:rPr>
        <w:t>
      Раунды тестирования, включая пилотный раунд ____________________</w:t>
      </w:r>
    </w:p>
    <w:bookmarkEnd w:id="7364"/>
    <w:bookmarkStart w:name="z8986" w:id="7365"/>
    <w:p>
      <w:pPr>
        <w:spacing w:after="0"/>
        <w:ind w:left="0"/>
        <w:jc w:val="both"/>
      </w:pPr>
      <w:r>
        <w:rPr>
          <w:rFonts w:ascii="Times New Roman"/>
          <w:b w:val="false"/>
          <w:i w:val="false"/>
          <w:color w:val="000000"/>
          <w:sz w:val="28"/>
        </w:rPr>
        <w:t>
      Комментарии (дополнительная) информация ______________________</w:t>
      </w:r>
    </w:p>
    <w:bookmarkEnd w:id="7365"/>
    <w:bookmarkStart w:name="z8987" w:id="7366"/>
    <w:p>
      <w:pPr>
        <w:spacing w:after="0"/>
        <w:ind w:left="0"/>
        <w:jc w:val="both"/>
      </w:pPr>
      <w:r>
        <w:rPr>
          <w:rFonts w:ascii="Times New Roman"/>
          <w:b w:val="false"/>
          <w:i w:val="false"/>
          <w:color w:val="000000"/>
          <w:sz w:val="28"/>
        </w:rPr>
        <w:t>
       </w:t>
      </w:r>
    </w:p>
    <w:bookmarkEnd w:id="7366"/>
    <w:bookmarkStart w:name="z8988" w:id="7367"/>
    <w:p>
      <w:pPr>
        <w:spacing w:after="0"/>
        <w:ind w:left="0"/>
        <w:jc w:val="left"/>
      </w:pPr>
      <w:r>
        <w:rPr>
          <w:rFonts w:ascii="Times New Roman"/>
          <w:b/>
          <w:i w:val="false"/>
          <w:color w:val="000000"/>
        </w:rPr>
        <w:t xml:space="preserve"> 1.5. Аспекты интервью </w:t>
      </w:r>
    </w:p>
    <w:bookmarkEnd w:id="7367"/>
    <w:bookmarkStart w:name="z8989" w:id="7368"/>
    <w:p>
      <w:pPr>
        <w:spacing w:after="0"/>
        <w:ind w:left="0"/>
        <w:jc w:val="both"/>
      </w:pPr>
      <w:r>
        <w:rPr>
          <w:rFonts w:ascii="Times New Roman"/>
          <w:b w:val="false"/>
          <w:i w:val="false"/>
          <w:color w:val="000000"/>
          <w:sz w:val="28"/>
        </w:rPr>
        <w:t>
       </w:t>
      </w:r>
    </w:p>
    <w:bookmarkEnd w:id="73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90" w:id="7369"/>
          <w:p>
            <w:pPr>
              <w:spacing w:after="20"/>
              <w:ind w:left="20"/>
              <w:jc w:val="both"/>
            </w:pPr>
            <w:r>
              <w:rPr>
                <w:rFonts w:ascii="Times New Roman"/>
                <w:b w:val="false"/>
                <w:i w:val="false"/>
                <w:color w:val="000000"/>
                <w:sz w:val="20"/>
              </w:rPr>
              <w:t xml:space="preserve">
Интервью проведено структурированным (организованным) способом? </w:t>
            </w:r>
          </w:p>
          <w:bookmarkEnd w:id="736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8991" w:id="7370"/>
    <w:p>
      <w:pPr>
        <w:spacing w:after="0"/>
        <w:ind w:left="0"/>
        <w:jc w:val="both"/>
      </w:pPr>
      <w:r>
        <w:rPr>
          <w:rFonts w:ascii="Times New Roman"/>
          <w:b w:val="false"/>
          <w:i w:val="false"/>
          <w:color w:val="000000"/>
          <w:sz w:val="28"/>
        </w:rPr>
        <w:t>
       </w:t>
      </w:r>
    </w:p>
    <w:bookmarkEnd w:id="7370"/>
    <w:bookmarkStart w:name="z8992" w:id="7371"/>
    <w:p>
      <w:pPr>
        <w:spacing w:after="0"/>
        <w:ind w:left="0"/>
        <w:jc w:val="both"/>
      </w:pPr>
      <w:r>
        <w:rPr>
          <w:rFonts w:ascii="Times New Roman"/>
          <w:b w:val="false"/>
          <w:i w:val="false"/>
          <w:color w:val="000000"/>
          <w:sz w:val="28"/>
        </w:rPr>
        <w:t>
      Комментарии (дополнительная информация) ______________________</w:t>
      </w:r>
    </w:p>
    <w:bookmarkEnd w:id="7371"/>
    <w:bookmarkStart w:name="z8993" w:id="7372"/>
    <w:p>
      <w:pPr>
        <w:spacing w:after="0"/>
        <w:ind w:left="0"/>
        <w:jc w:val="both"/>
      </w:pPr>
      <w:r>
        <w:rPr>
          <w:rFonts w:ascii="Times New Roman"/>
          <w:b w:val="false"/>
          <w:i w:val="false"/>
          <w:color w:val="000000"/>
          <w:sz w:val="28"/>
        </w:rPr>
        <w:t>
       </w:t>
      </w:r>
    </w:p>
    <w:bookmarkEnd w:id="7372"/>
    <w:bookmarkStart w:name="z8994" w:id="7373"/>
    <w:p>
      <w:pPr>
        <w:spacing w:after="0"/>
        <w:ind w:left="0"/>
        <w:jc w:val="left"/>
      </w:pPr>
      <w:r>
        <w:rPr>
          <w:rFonts w:ascii="Times New Roman"/>
          <w:b/>
          <w:i w:val="false"/>
          <w:color w:val="000000"/>
        </w:rPr>
        <w:t xml:space="preserve"> 2. Оценка ответов </w:t>
      </w:r>
    </w:p>
    <w:bookmarkEnd w:id="7373"/>
    <w:bookmarkStart w:name="z8995" w:id="7374"/>
    <w:p>
      <w:pPr>
        <w:spacing w:after="0"/>
        <w:ind w:left="0"/>
        <w:jc w:val="left"/>
      </w:pPr>
      <w:r>
        <w:rPr>
          <w:rFonts w:ascii="Times New Roman"/>
          <w:b/>
          <w:i w:val="false"/>
          <w:color w:val="000000"/>
        </w:rPr>
        <w:t xml:space="preserve">  </w:t>
      </w:r>
    </w:p>
    <w:bookmarkEnd w:id="7374"/>
    <w:bookmarkStart w:name="z8996" w:id="7375"/>
    <w:p>
      <w:pPr>
        <w:spacing w:after="0"/>
        <w:ind w:left="0"/>
        <w:jc w:val="left"/>
      </w:pPr>
      <w:r>
        <w:rPr>
          <w:rFonts w:ascii="Times New Roman"/>
          <w:b/>
          <w:i w:val="false"/>
          <w:color w:val="000000"/>
        </w:rPr>
        <w:t xml:space="preserve"> 2.1. Система оценки </w:t>
      </w:r>
    </w:p>
    <w:bookmarkEnd w:id="7375"/>
    <w:bookmarkStart w:name="z8997" w:id="7376"/>
    <w:p>
      <w:pPr>
        <w:spacing w:after="0"/>
        <w:ind w:left="0"/>
        <w:jc w:val="both"/>
      </w:pPr>
      <w:r>
        <w:rPr>
          <w:rFonts w:ascii="Times New Roman"/>
          <w:b w:val="false"/>
          <w:i w:val="false"/>
          <w:color w:val="000000"/>
          <w:sz w:val="28"/>
        </w:rPr>
        <w:t>
       </w:t>
      </w:r>
    </w:p>
    <w:bookmarkEnd w:id="73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98" w:id="7377"/>
          <w:p>
            <w:pPr>
              <w:spacing w:after="20"/>
              <w:ind w:left="20"/>
              <w:jc w:val="both"/>
            </w:pPr>
            <w:r>
              <w:rPr>
                <w:rFonts w:ascii="Times New Roman"/>
                <w:b w:val="false"/>
                <w:i w:val="false"/>
                <w:color w:val="000000"/>
                <w:sz w:val="20"/>
              </w:rPr>
              <w:t xml:space="preserve">
Качественная оценка ответов приемлема? </w:t>
            </w:r>
          </w:p>
          <w:bookmarkEnd w:id="737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8999" w:id="7378"/>
          <w:p>
            <w:pPr>
              <w:spacing w:after="20"/>
              <w:ind w:left="20"/>
              <w:jc w:val="both"/>
            </w:pPr>
            <w:r>
              <w:rPr>
                <w:rFonts w:ascii="Times New Roman"/>
                <w:b w:val="false"/>
                <w:i w:val="false"/>
                <w:color w:val="000000"/>
                <w:sz w:val="20"/>
              </w:rPr>
              <w:t xml:space="preserve">
Методология оценки соответствует минимуму требований? </w:t>
            </w:r>
          </w:p>
          <w:bookmarkEnd w:id="737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9000" w:id="7379"/>
    <w:p>
      <w:pPr>
        <w:spacing w:after="0"/>
        <w:ind w:left="0"/>
        <w:jc w:val="both"/>
      </w:pPr>
      <w:r>
        <w:rPr>
          <w:rFonts w:ascii="Times New Roman"/>
          <w:b w:val="false"/>
          <w:i w:val="false"/>
          <w:color w:val="000000"/>
          <w:sz w:val="28"/>
        </w:rPr>
        <w:t>
       </w:t>
      </w:r>
    </w:p>
    <w:bookmarkEnd w:id="7379"/>
    <w:bookmarkStart w:name="z9001" w:id="7380"/>
    <w:p>
      <w:pPr>
        <w:spacing w:after="0"/>
        <w:ind w:left="0"/>
        <w:jc w:val="both"/>
      </w:pPr>
      <w:r>
        <w:rPr>
          <w:rFonts w:ascii="Times New Roman"/>
          <w:b w:val="false"/>
          <w:i w:val="false"/>
          <w:color w:val="000000"/>
          <w:sz w:val="28"/>
        </w:rPr>
        <w:t>
      Комментарии (дополнительная информация) ______________________</w:t>
      </w:r>
    </w:p>
    <w:bookmarkEnd w:id="7380"/>
    <w:bookmarkStart w:name="z9002" w:id="7381"/>
    <w:p>
      <w:pPr>
        <w:spacing w:after="0"/>
        <w:ind w:left="0"/>
        <w:jc w:val="both"/>
      </w:pPr>
      <w:r>
        <w:rPr>
          <w:rFonts w:ascii="Times New Roman"/>
          <w:b w:val="false"/>
          <w:i w:val="false"/>
          <w:color w:val="000000"/>
          <w:sz w:val="28"/>
        </w:rPr>
        <w:t>
       </w:t>
      </w:r>
    </w:p>
    <w:bookmarkEnd w:id="7381"/>
    <w:bookmarkStart w:name="z9003" w:id="7382"/>
    <w:p>
      <w:pPr>
        <w:spacing w:after="0"/>
        <w:ind w:left="0"/>
        <w:jc w:val="left"/>
      </w:pPr>
      <w:r>
        <w:rPr>
          <w:rFonts w:ascii="Times New Roman"/>
          <w:b/>
          <w:i w:val="false"/>
          <w:color w:val="000000"/>
        </w:rPr>
        <w:t xml:space="preserve"> 2.2. Рейтинговая система вопросов </w:t>
      </w:r>
    </w:p>
    <w:bookmarkEnd w:id="7382"/>
    <w:bookmarkStart w:name="z9004" w:id="7383"/>
    <w:p>
      <w:pPr>
        <w:spacing w:after="0"/>
        <w:ind w:left="0"/>
        <w:jc w:val="both"/>
      </w:pPr>
      <w:r>
        <w:rPr>
          <w:rFonts w:ascii="Times New Roman"/>
          <w:b w:val="false"/>
          <w:i w:val="false"/>
          <w:color w:val="000000"/>
          <w:sz w:val="28"/>
        </w:rPr>
        <w:t>
       </w:t>
      </w:r>
    </w:p>
    <w:bookmarkEnd w:id="73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05" w:id="7384"/>
          <w:p>
            <w:pPr>
              <w:spacing w:after="20"/>
              <w:ind w:left="20"/>
              <w:jc w:val="both"/>
            </w:pPr>
            <w:r>
              <w:rPr>
                <w:rFonts w:ascii="Times New Roman"/>
                <w:b w:val="false"/>
                <w:i w:val="false"/>
                <w:color w:val="000000"/>
                <w:sz w:val="20"/>
              </w:rPr>
              <w:t xml:space="preserve">
Количественная оценка ответов приемлема? </w:t>
            </w:r>
          </w:p>
          <w:bookmarkEnd w:id="738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9006" w:id="7385"/>
    <w:p>
      <w:pPr>
        <w:spacing w:after="0"/>
        <w:ind w:left="0"/>
        <w:jc w:val="both"/>
      </w:pPr>
      <w:r>
        <w:rPr>
          <w:rFonts w:ascii="Times New Roman"/>
          <w:b w:val="false"/>
          <w:i w:val="false"/>
          <w:color w:val="000000"/>
          <w:sz w:val="28"/>
        </w:rPr>
        <w:t>
       </w:t>
      </w:r>
    </w:p>
    <w:bookmarkEnd w:id="7385"/>
    <w:bookmarkStart w:name="z9007" w:id="7386"/>
    <w:p>
      <w:pPr>
        <w:spacing w:after="0"/>
        <w:ind w:left="0"/>
        <w:jc w:val="both"/>
      </w:pPr>
      <w:r>
        <w:rPr>
          <w:rFonts w:ascii="Times New Roman"/>
          <w:b w:val="false"/>
          <w:i w:val="false"/>
          <w:color w:val="000000"/>
          <w:sz w:val="28"/>
        </w:rPr>
        <w:t>
      Комментарии (дополнительная) информация ______________________</w:t>
      </w:r>
    </w:p>
    <w:bookmarkEnd w:id="7386"/>
    <w:bookmarkStart w:name="z9008" w:id="7387"/>
    <w:p>
      <w:pPr>
        <w:spacing w:after="0"/>
        <w:ind w:left="0"/>
        <w:jc w:val="both"/>
      </w:pPr>
      <w:r>
        <w:rPr>
          <w:rFonts w:ascii="Times New Roman"/>
          <w:b w:val="false"/>
          <w:i w:val="false"/>
          <w:color w:val="000000"/>
          <w:sz w:val="28"/>
        </w:rPr>
        <w:t>
       </w:t>
      </w:r>
    </w:p>
    <w:bookmarkEnd w:id="7387"/>
    <w:bookmarkStart w:name="z9009" w:id="7388"/>
    <w:p>
      <w:pPr>
        <w:spacing w:after="0"/>
        <w:ind w:left="0"/>
        <w:jc w:val="left"/>
      </w:pPr>
      <w:r>
        <w:rPr>
          <w:rFonts w:ascii="Times New Roman"/>
          <w:b/>
          <w:i w:val="false"/>
          <w:color w:val="000000"/>
        </w:rPr>
        <w:t xml:space="preserve"> 3. Обработка данных </w:t>
      </w:r>
    </w:p>
    <w:bookmarkEnd w:id="7388"/>
    <w:bookmarkStart w:name="z9010" w:id="7389"/>
    <w:p>
      <w:pPr>
        <w:spacing w:after="0"/>
        <w:ind w:left="0"/>
        <w:jc w:val="both"/>
      </w:pPr>
      <w:r>
        <w:rPr>
          <w:rFonts w:ascii="Times New Roman"/>
          <w:b w:val="false"/>
          <w:i w:val="false"/>
          <w:color w:val="000000"/>
          <w:sz w:val="28"/>
        </w:rPr>
        <w:t>
       </w:t>
      </w:r>
    </w:p>
    <w:bookmarkEnd w:id="73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11" w:id="7390"/>
          <w:p>
            <w:pPr>
              <w:spacing w:after="20"/>
              <w:ind w:left="20"/>
              <w:jc w:val="both"/>
            </w:pPr>
            <w:r>
              <w:rPr>
                <w:rFonts w:ascii="Times New Roman"/>
                <w:b w:val="false"/>
                <w:i w:val="false"/>
                <w:color w:val="000000"/>
                <w:sz w:val="20"/>
              </w:rPr>
              <w:t xml:space="preserve">
Данные должным образом фиксируются и документируются? </w:t>
            </w:r>
          </w:p>
          <w:bookmarkEnd w:id="739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9012" w:id="7391"/>
    <w:p>
      <w:pPr>
        <w:spacing w:after="0"/>
        <w:ind w:left="0"/>
        <w:jc w:val="both"/>
      </w:pPr>
      <w:r>
        <w:rPr>
          <w:rFonts w:ascii="Times New Roman"/>
          <w:b w:val="false"/>
          <w:i w:val="false"/>
          <w:color w:val="000000"/>
          <w:sz w:val="28"/>
        </w:rPr>
        <w:t>
       </w:t>
      </w:r>
    </w:p>
    <w:bookmarkEnd w:id="7391"/>
    <w:bookmarkStart w:name="z9013" w:id="7392"/>
    <w:p>
      <w:pPr>
        <w:spacing w:after="0"/>
        <w:ind w:left="0"/>
        <w:jc w:val="both"/>
      </w:pPr>
      <w:r>
        <w:rPr>
          <w:rFonts w:ascii="Times New Roman"/>
          <w:b w:val="false"/>
          <w:i w:val="false"/>
          <w:color w:val="000000"/>
          <w:sz w:val="28"/>
        </w:rPr>
        <w:t>
      Комментарии (дополнительная информация) ______________________</w:t>
      </w:r>
    </w:p>
    <w:bookmarkEnd w:id="7392"/>
    <w:bookmarkStart w:name="z9014" w:id="7393"/>
    <w:p>
      <w:pPr>
        <w:spacing w:after="0"/>
        <w:ind w:left="0"/>
        <w:jc w:val="both"/>
      </w:pPr>
      <w:r>
        <w:rPr>
          <w:rFonts w:ascii="Times New Roman"/>
          <w:b w:val="false"/>
          <w:i w:val="false"/>
          <w:color w:val="000000"/>
          <w:sz w:val="28"/>
        </w:rPr>
        <w:t>
       </w:t>
      </w:r>
    </w:p>
    <w:bookmarkEnd w:id="7393"/>
    <w:bookmarkStart w:name="z9015" w:id="7394"/>
    <w:p>
      <w:pPr>
        <w:spacing w:after="0"/>
        <w:ind w:left="0"/>
        <w:jc w:val="left"/>
      </w:pPr>
      <w:r>
        <w:rPr>
          <w:rFonts w:ascii="Times New Roman"/>
          <w:b/>
          <w:i w:val="false"/>
          <w:color w:val="000000"/>
        </w:rPr>
        <w:t xml:space="preserve"> 4. Аспекты качества </w:t>
      </w:r>
    </w:p>
    <w:bookmarkEnd w:id="7394"/>
    <w:bookmarkStart w:name="z9016" w:id="7395"/>
    <w:p>
      <w:pPr>
        <w:spacing w:after="0"/>
        <w:ind w:left="0"/>
        <w:jc w:val="left"/>
      </w:pPr>
      <w:r>
        <w:rPr>
          <w:rFonts w:ascii="Times New Roman"/>
          <w:b/>
          <w:i w:val="false"/>
          <w:color w:val="000000"/>
        </w:rPr>
        <w:t xml:space="preserve">  </w:t>
      </w:r>
    </w:p>
    <w:bookmarkEnd w:id="7395"/>
    <w:bookmarkStart w:name="z9017" w:id="7396"/>
    <w:p>
      <w:pPr>
        <w:spacing w:after="0"/>
        <w:ind w:left="0"/>
        <w:jc w:val="left"/>
      </w:pPr>
      <w:r>
        <w:rPr>
          <w:rFonts w:ascii="Times New Roman"/>
          <w:b/>
          <w:i w:val="false"/>
          <w:color w:val="000000"/>
        </w:rPr>
        <w:t xml:space="preserve"> 4.1. Оценка диагностических вопросов </w:t>
      </w:r>
    </w:p>
    <w:bookmarkEnd w:id="7396"/>
    <w:bookmarkStart w:name="z9018" w:id="7397"/>
    <w:p>
      <w:pPr>
        <w:spacing w:after="0"/>
        <w:ind w:left="0"/>
        <w:jc w:val="both"/>
      </w:pPr>
      <w:r>
        <w:rPr>
          <w:rFonts w:ascii="Times New Roman"/>
          <w:b w:val="false"/>
          <w:i w:val="false"/>
          <w:color w:val="000000"/>
          <w:sz w:val="28"/>
        </w:rPr>
        <w:t>
       </w:t>
      </w:r>
    </w:p>
    <w:bookmarkEnd w:id="73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19" w:id="7398"/>
          <w:p>
            <w:pPr>
              <w:spacing w:after="20"/>
              <w:ind w:left="20"/>
              <w:jc w:val="both"/>
            </w:pPr>
            <w:r>
              <w:rPr>
                <w:rFonts w:ascii="Times New Roman"/>
                <w:b w:val="false"/>
                <w:i w:val="false"/>
                <w:color w:val="000000"/>
                <w:sz w:val="20"/>
              </w:rPr>
              <w:t xml:space="preserve">
Методология соответствует приложению к общей характеристике лекарственного препарата для медицинского применения и инструкции по медицинскому применению (листку-вкладышу), утверждаемыми Евразийской экономической комиссией? </w:t>
            </w:r>
          </w:p>
          <w:bookmarkEnd w:id="739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020" w:id="7399"/>
          <w:p>
            <w:pPr>
              <w:spacing w:after="20"/>
              <w:ind w:left="20"/>
              <w:jc w:val="both"/>
            </w:pPr>
            <w:r>
              <w:rPr>
                <w:rFonts w:ascii="Times New Roman"/>
                <w:b w:val="false"/>
                <w:i w:val="false"/>
                <w:color w:val="000000"/>
                <w:sz w:val="20"/>
              </w:rPr>
              <w:t xml:space="preserve">
В целом, каждый вопрос отвечает критерию 81% правильных ответов? </w:t>
            </w:r>
          </w:p>
          <w:bookmarkEnd w:id="739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9021" w:id="7400"/>
    <w:p>
      <w:pPr>
        <w:spacing w:after="0"/>
        <w:ind w:left="0"/>
        <w:jc w:val="both"/>
      </w:pPr>
      <w:r>
        <w:rPr>
          <w:rFonts w:ascii="Times New Roman"/>
          <w:b w:val="false"/>
          <w:i w:val="false"/>
          <w:color w:val="000000"/>
          <w:sz w:val="28"/>
        </w:rPr>
        <w:t>
       </w:t>
      </w:r>
    </w:p>
    <w:bookmarkEnd w:id="7400"/>
    <w:bookmarkStart w:name="z9022" w:id="7401"/>
    <w:p>
      <w:pPr>
        <w:spacing w:after="0"/>
        <w:ind w:left="0"/>
        <w:jc w:val="both"/>
      </w:pPr>
      <w:r>
        <w:rPr>
          <w:rFonts w:ascii="Times New Roman"/>
          <w:b w:val="false"/>
          <w:i w:val="false"/>
          <w:color w:val="000000"/>
          <w:sz w:val="28"/>
        </w:rPr>
        <w:t>
      Комментарии (дополнительная информация) ______________________</w:t>
      </w:r>
    </w:p>
    <w:bookmarkEnd w:id="7401"/>
    <w:bookmarkStart w:name="z9023" w:id="7402"/>
    <w:p>
      <w:pPr>
        <w:spacing w:after="0"/>
        <w:ind w:left="0"/>
        <w:jc w:val="both"/>
      </w:pPr>
      <w:r>
        <w:rPr>
          <w:rFonts w:ascii="Times New Roman"/>
          <w:b w:val="false"/>
          <w:i w:val="false"/>
          <w:color w:val="000000"/>
          <w:sz w:val="28"/>
        </w:rPr>
        <w:t>
       </w:t>
      </w:r>
    </w:p>
    <w:bookmarkEnd w:id="7402"/>
    <w:bookmarkStart w:name="z9024" w:id="7403"/>
    <w:p>
      <w:pPr>
        <w:spacing w:after="0"/>
        <w:ind w:left="0"/>
        <w:jc w:val="left"/>
      </w:pPr>
      <w:r>
        <w:rPr>
          <w:rFonts w:ascii="Times New Roman"/>
          <w:b/>
          <w:i w:val="false"/>
          <w:color w:val="000000"/>
        </w:rPr>
        <w:t xml:space="preserve"> 4.2. Оценка макета и дизайна </w:t>
      </w:r>
    </w:p>
    <w:bookmarkEnd w:id="7403"/>
    <w:bookmarkStart w:name="z9025" w:id="7404"/>
    <w:p>
      <w:pPr>
        <w:spacing w:after="0"/>
        <w:ind w:left="0"/>
        <w:jc w:val="both"/>
      </w:pPr>
      <w:r>
        <w:rPr>
          <w:rFonts w:ascii="Times New Roman"/>
          <w:b w:val="false"/>
          <w:i w:val="false"/>
          <w:color w:val="000000"/>
          <w:sz w:val="28"/>
        </w:rPr>
        <w:t>
       </w:t>
      </w:r>
    </w:p>
    <w:bookmarkEnd w:id="74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26" w:id="7405"/>
          <w:p>
            <w:pPr>
              <w:spacing w:after="20"/>
              <w:ind w:left="20"/>
              <w:jc w:val="both"/>
            </w:pPr>
            <w:r>
              <w:rPr>
                <w:rFonts w:ascii="Times New Roman"/>
                <w:b w:val="false"/>
                <w:i w:val="false"/>
                <w:color w:val="000000"/>
                <w:sz w:val="20"/>
              </w:rPr>
              <w:t xml:space="preserve">
Общие принципы дизайна согласно приложению к общей характеристике лекарственного препарата для медицинского применения и инструкции по медицинскому применению (листку-вкладышу), утверждаемыми Евразийской экономической комиссией, соблюдены? </w:t>
            </w:r>
          </w:p>
          <w:bookmarkEnd w:id="740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027" w:id="7406"/>
          <w:p>
            <w:pPr>
              <w:spacing w:after="20"/>
              <w:ind w:left="20"/>
              <w:jc w:val="both"/>
            </w:pPr>
            <w:r>
              <w:rPr>
                <w:rFonts w:ascii="Times New Roman"/>
                <w:b w:val="false"/>
                <w:i w:val="false"/>
                <w:color w:val="000000"/>
                <w:sz w:val="20"/>
              </w:rPr>
              <w:t xml:space="preserve">
Текст изложен на языке понятном для пациентов? </w:t>
            </w:r>
          </w:p>
          <w:bookmarkEnd w:id="740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028" w:id="7407"/>
          <w:p>
            <w:pPr>
              <w:spacing w:after="20"/>
              <w:ind w:left="20"/>
              <w:jc w:val="both"/>
            </w:pPr>
            <w:r>
              <w:rPr>
                <w:rFonts w:ascii="Times New Roman"/>
                <w:b w:val="false"/>
                <w:i w:val="false"/>
                <w:color w:val="000000"/>
                <w:sz w:val="20"/>
              </w:rPr>
              <w:t xml:space="preserve">
По макету легко ориентироваться? </w:t>
            </w:r>
          </w:p>
          <w:bookmarkEnd w:id="740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029" w:id="7408"/>
          <w:p>
            <w:pPr>
              <w:spacing w:after="20"/>
              <w:ind w:left="20"/>
              <w:jc w:val="both"/>
            </w:pPr>
            <w:r>
              <w:rPr>
                <w:rFonts w:ascii="Times New Roman"/>
                <w:b w:val="false"/>
                <w:i w:val="false"/>
                <w:color w:val="000000"/>
                <w:sz w:val="20"/>
              </w:rPr>
              <w:t xml:space="preserve">
Применение схем приемлемо? </w:t>
            </w:r>
          </w:p>
          <w:bookmarkEnd w:id="740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9030" w:id="7409"/>
    <w:p>
      <w:pPr>
        <w:spacing w:after="0"/>
        <w:ind w:left="0"/>
        <w:jc w:val="both"/>
      </w:pPr>
      <w:r>
        <w:rPr>
          <w:rFonts w:ascii="Times New Roman"/>
          <w:b w:val="false"/>
          <w:i w:val="false"/>
          <w:color w:val="000000"/>
          <w:sz w:val="28"/>
        </w:rPr>
        <w:t>
       </w:t>
      </w:r>
    </w:p>
    <w:bookmarkEnd w:id="7409"/>
    <w:bookmarkStart w:name="z9031" w:id="7410"/>
    <w:p>
      <w:pPr>
        <w:spacing w:after="0"/>
        <w:ind w:left="0"/>
        <w:jc w:val="both"/>
      </w:pPr>
      <w:r>
        <w:rPr>
          <w:rFonts w:ascii="Times New Roman"/>
          <w:b w:val="false"/>
          <w:i w:val="false"/>
          <w:color w:val="000000"/>
          <w:sz w:val="28"/>
        </w:rPr>
        <w:t>
      Комментарии (дополнительная информация) ______________________</w:t>
      </w:r>
    </w:p>
    <w:bookmarkEnd w:id="7410"/>
    <w:bookmarkStart w:name="z9032" w:id="7411"/>
    <w:p>
      <w:pPr>
        <w:spacing w:after="0"/>
        <w:ind w:left="0"/>
        <w:jc w:val="both"/>
      </w:pPr>
      <w:r>
        <w:rPr>
          <w:rFonts w:ascii="Times New Roman"/>
          <w:b w:val="false"/>
          <w:i w:val="false"/>
          <w:color w:val="000000"/>
          <w:sz w:val="28"/>
        </w:rPr>
        <w:t>
       </w:t>
      </w:r>
    </w:p>
    <w:bookmarkEnd w:id="7411"/>
    <w:bookmarkStart w:name="z9033" w:id="7412"/>
    <w:p>
      <w:pPr>
        <w:spacing w:after="0"/>
        <w:ind w:left="0"/>
        <w:jc w:val="left"/>
      </w:pPr>
      <w:r>
        <w:rPr>
          <w:rFonts w:ascii="Times New Roman"/>
          <w:b/>
          <w:i w:val="false"/>
          <w:color w:val="000000"/>
        </w:rPr>
        <w:t xml:space="preserve"> 5. Качество диагностики/оценки </w:t>
      </w:r>
    </w:p>
    <w:bookmarkEnd w:id="7412"/>
    <w:bookmarkStart w:name="z9034" w:id="7413"/>
    <w:p>
      <w:pPr>
        <w:spacing w:after="0"/>
        <w:ind w:left="0"/>
        <w:jc w:val="both"/>
      </w:pPr>
      <w:r>
        <w:rPr>
          <w:rFonts w:ascii="Times New Roman"/>
          <w:b w:val="false"/>
          <w:i w:val="false"/>
          <w:color w:val="000000"/>
          <w:sz w:val="28"/>
        </w:rPr>
        <w:t>
       </w:t>
      </w:r>
    </w:p>
    <w:bookmarkEnd w:id="74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35" w:id="7414"/>
          <w:p>
            <w:pPr>
              <w:spacing w:after="20"/>
              <w:ind w:left="20"/>
              <w:jc w:val="both"/>
            </w:pPr>
            <w:r>
              <w:rPr>
                <w:rFonts w:ascii="Times New Roman"/>
                <w:b w:val="false"/>
                <w:i w:val="false"/>
                <w:color w:val="000000"/>
                <w:sz w:val="20"/>
              </w:rPr>
              <w:t xml:space="preserve">
Какие-либо слабые стороны в ЛВ выявлены? </w:t>
            </w:r>
          </w:p>
          <w:bookmarkEnd w:id="741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036" w:id="7415"/>
          <w:p>
            <w:pPr>
              <w:spacing w:after="20"/>
              <w:ind w:left="20"/>
              <w:jc w:val="both"/>
            </w:pPr>
            <w:r>
              <w:rPr>
                <w:rFonts w:ascii="Times New Roman"/>
                <w:b w:val="false"/>
                <w:i w:val="false"/>
                <w:color w:val="000000"/>
                <w:sz w:val="20"/>
              </w:rPr>
              <w:t xml:space="preserve">
Слабые стороны надлежащим образом устранены? </w:t>
            </w:r>
          </w:p>
          <w:bookmarkEnd w:id="741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bl>
    <w:bookmarkStart w:name="z9037" w:id="7416"/>
    <w:p>
      <w:pPr>
        <w:spacing w:after="0"/>
        <w:ind w:left="0"/>
        <w:jc w:val="both"/>
      </w:pPr>
      <w:r>
        <w:rPr>
          <w:rFonts w:ascii="Times New Roman"/>
          <w:b w:val="false"/>
          <w:i w:val="false"/>
          <w:color w:val="000000"/>
          <w:sz w:val="28"/>
        </w:rPr>
        <w:t>
       </w:t>
      </w:r>
    </w:p>
    <w:bookmarkEnd w:id="7416"/>
    <w:bookmarkStart w:name="z9038" w:id="7417"/>
    <w:p>
      <w:pPr>
        <w:spacing w:after="0"/>
        <w:ind w:left="0"/>
        <w:jc w:val="both"/>
      </w:pPr>
      <w:r>
        <w:rPr>
          <w:rFonts w:ascii="Times New Roman"/>
          <w:b w:val="false"/>
          <w:i w:val="false"/>
          <w:color w:val="000000"/>
          <w:sz w:val="28"/>
        </w:rPr>
        <w:t>
      Комментарии (дополнительная) информация ______________________</w:t>
      </w:r>
    </w:p>
    <w:bookmarkEnd w:id="7417"/>
    <w:bookmarkStart w:name="z9039" w:id="7418"/>
    <w:p>
      <w:pPr>
        <w:spacing w:after="0"/>
        <w:ind w:left="0"/>
        <w:jc w:val="both"/>
      </w:pPr>
      <w:r>
        <w:rPr>
          <w:rFonts w:ascii="Times New Roman"/>
          <w:b w:val="false"/>
          <w:i w:val="false"/>
          <w:color w:val="000000"/>
          <w:sz w:val="28"/>
        </w:rPr>
        <w:t>
       </w:t>
      </w:r>
    </w:p>
    <w:bookmarkEnd w:id="7418"/>
    <w:bookmarkStart w:name="z9040" w:id="7419"/>
    <w:p>
      <w:pPr>
        <w:spacing w:after="0"/>
        <w:ind w:left="0"/>
        <w:jc w:val="left"/>
      </w:pPr>
      <w:r>
        <w:rPr>
          <w:rFonts w:ascii="Times New Roman"/>
          <w:b/>
          <w:i w:val="false"/>
          <w:color w:val="000000"/>
        </w:rPr>
        <w:t xml:space="preserve"> 6. Заключение </w:t>
      </w:r>
    </w:p>
    <w:bookmarkEnd w:id="7419"/>
    <w:bookmarkStart w:name="z9041" w:id="7420"/>
    <w:p>
      <w:pPr>
        <w:spacing w:after="0"/>
        <w:ind w:left="0"/>
        <w:jc w:val="both"/>
      </w:pPr>
      <w:r>
        <w:rPr>
          <w:rFonts w:ascii="Times New Roman"/>
          <w:b w:val="false"/>
          <w:i w:val="false"/>
          <w:color w:val="000000"/>
          <w:sz w:val="28"/>
        </w:rPr>
        <w:t>
       </w:t>
      </w:r>
    </w:p>
    <w:bookmarkEnd w:id="74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42" w:id="7421"/>
          <w:p>
            <w:pPr>
              <w:spacing w:after="20"/>
              <w:ind w:left="20"/>
              <w:jc w:val="both"/>
            </w:pPr>
            <w:r>
              <w:rPr>
                <w:rFonts w:ascii="Times New Roman"/>
                <w:b w:val="false"/>
                <w:i w:val="false"/>
                <w:color w:val="000000"/>
                <w:sz w:val="20"/>
              </w:rPr>
              <w:t xml:space="preserve">
Главные задачи пользовательского тестирования достигнуты? </w:t>
            </w:r>
          </w:p>
          <w:bookmarkEnd w:id="742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043" w:id="7422"/>
          <w:p>
            <w:pPr>
              <w:spacing w:after="20"/>
              <w:ind w:left="20"/>
              <w:jc w:val="both"/>
            </w:pPr>
            <w:r>
              <w:rPr>
                <w:rFonts w:ascii="Times New Roman"/>
                <w:b w:val="false"/>
                <w:i w:val="false"/>
                <w:color w:val="000000"/>
                <w:sz w:val="20"/>
              </w:rPr>
              <w:t xml:space="preserve">
Заключение заявителя верно? </w:t>
            </w:r>
          </w:p>
          <w:bookmarkEnd w:id="742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нет </w:t>
            </w:r>
          </w:p>
          <w:p>
            <w:pPr>
              <w:spacing w:after="20"/>
              <w:ind w:left="20"/>
              <w:jc w:val="both"/>
            </w:pPr>
          </w:p>
          <w:p>
            <w:pPr>
              <w:spacing w:after="20"/>
              <w:ind w:left="20"/>
              <w:jc w:val="both"/>
            </w:pPr>
          </w:p>
        </w:tc>
      </w:tr>
      <w:tr>
        <w:trPr>
          <w:trHeight w:val="30" w:hRule="atLeast"/>
        </w:trPr>
        <w:tc>
          <w:tcPr>
            <w:tcW w:w="6150" w:type="dxa"/>
            <w:vMerge w:val="restart"/>
            <w:tcBorders/>
            <w:tcMar>
              <w:top w:w="15" w:type="dxa"/>
              <w:left w:w="15" w:type="dxa"/>
              <w:bottom w:w="15" w:type="dxa"/>
              <w:right w:w="15" w:type="dxa"/>
            </w:tcMar>
            <w:vAlign w:val="center"/>
          </w:tcPr>
          <w:bookmarkStart w:name="z9044" w:id="7423"/>
          <w:p>
            <w:pPr>
              <w:spacing w:after="20"/>
              <w:ind w:left="20"/>
              <w:jc w:val="both"/>
            </w:pPr>
            <w:r>
              <w:rPr>
                <w:rFonts w:ascii="Times New Roman"/>
                <w:b w:val="false"/>
                <w:i w:val="false"/>
                <w:color w:val="000000"/>
                <w:sz w:val="20"/>
              </w:rPr>
              <w:t xml:space="preserve">
Общая оценка методологии </w:t>
            </w:r>
          </w:p>
          <w:bookmarkEnd w:id="742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положительное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отрицательное </w:t>
            </w:r>
          </w:p>
          <w:p>
            <w:pPr>
              <w:spacing w:after="20"/>
              <w:ind w:left="20"/>
              <w:jc w:val="both"/>
            </w:pPr>
          </w:p>
          <w:p>
            <w:pPr>
              <w:spacing w:after="20"/>
              <w:ind w:left="20"/>
              <w:jc w:val="both"/>
            </w:pPr>
          </w:p>
        </w:tc>
      </w:tr>
      <w:tr>
        <w:trPr>
          <w:trHeight w:val="30" w:hRule="atLeast"/>
        </w:trPr>
        <w:tc>
          <w:tcPr>
            <w:tcW w:w="6150" w:type="dxa"/>
            <w:vMerge w:val="restart"/>
            <w:tcBorders/>
            <w:tcMar>
              <w:top w:w="15" w:type="dxa"/>
              <w:left w:w="15" w:type="dxa"/>
              <w:bottom w:w="15" w:type="dxa"/>
              <w:right w:w="15" w:type="dxa"/>
            </w:tcMar>
            <w:vAlign w:val="center"/>
          </w:tcPr>
          <w:bookmarkStart w:name="z9046" w:id="7424"/>
          <w:p>
            <w:pPr>
              <w:spacing w:after="20"/>
              <w:ind w:left="20"/>
              <w:jc w:val="both"/>
            </w:pPr>
            <w:r>
              <w:rPr>
                <w:rFonts w:ascii="Times New Roman"/>
                <w:b w:val="false"/>
                <w:i w:val="false"/>
                <w:color w:val="000000"/>
                <w:sz w:val="20"/>
              </w:rPr>
              <w:t xml:space="preserve">
Общая оценка структуры листка-вкладыша </w:t>
            </w:r>
          </w:p>
          <w:bookmarkEnd w:id="742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положительное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отрицательное </w:t>
            </w:r>
          </w:p>
          <w:p>
            <w:pPr>
              <w:spacing w:after="20"/>
              <w:ind w:left="20"/>
              <w:jc w:val="both"/>
            </w:pPr>
          </w:p>
          <w:p>
            <w:pPr>
              <w:spacing w:after="20"/>
              <w:ind w:left="20"/>
              <w:jc w:val="both"/>
            </w:pPr>
          </w:p>
        </w:tc>
      </w:tr>
    </w:tbl>
    <w:bookmarkStart w:name="z9048" w:id="7425"/>
    <w:p>
      <w:pPr>
        <w:spacing w:after="0"/>
        <w:ind w:left="0"/>
        <w:jc w:val="both"/>
      </w:pPr>
      <w:r>
        <w:rPr>
          <w:rFonts w:ascii="Times New Roman"/>
          <w:b w:val="false"/>
          <w:i w:val="false"/>
          <w:color w:val="000000"/>
          <w:sz w:val="28"/>
        </w:rPr>
        <w:t>
       </w:t>
      </w:r>
    </w:p>
    <w:bookmarkEnd w:id="7425"/>
    <w:bookmarkStart w:name="z9049" w:id="7426"/>
    <w:p>
      <w:pPr>
        <w:spacing w:after="0"/>
        <w:ind w:left="0"/>
        <w:jc w:val="left"/>
      </w:pPr>
      <w:r>
        <w:rPr>
          <w:rFonts w:ascii="Times New Roman"/>
          <w:b/>
          <w:i w:val="false"/>
          <w:color w:val="000000"/>
        </w:rPr>
        <w:t xml:space="preserve"> Заключение (резюме) </w:t>
      </w:r>
    </w:p>
    <w:bookmarkEnd w:id="7426"/>
    <w:bookmarkStart w:name="z9050" w:id="7427"/>
    <w:p>
      <w:pPr>
        <w:spacing w:after="0"/>
        <w:ind w:left="0"/>
        <w:jc w:val="both"/>
      </w:pPr>
      <w:r>
        <w:rPr>
          <w:rFonts w:ascii="Times New Roman"/>
          <w:b w:val="false"/>
          <w:i w:val="false"/>
          <w:color w:val="000000"/>
          <w:sz w:val="28"/>
        </w:rPr>
        <w:t>
       </w:t>
      </w:r>
    </w:p>
    <w:bookmarkEnd w:id="7427"/>
    <w:bookmarkStart w:name="z9051" w:id="7428"/>
    <w:p>
      <w:pPr>
        <w:spacing w:after="0"/>
        <w:ind w:left="0"/>
        <w:jc w:val="both"/>
      </w:pPr>
      <w:r>
        <w:rPr>
          <w:rFonts w:ascii="Times New Roman"/>
          <w:b w:val="false"/>
          <w:i w:val="false"/>
          <w:color w:val="000000"/>
          <w:sz w:val="28"/>
        </w:rPr>
        <w:t>
       </w:t>
      </w:r>
    </w:p>
    <w:bookmarkEnd w:id="7428"/>
    <w:bookmarkStart w:name="z9052" w:id="7429"/>
    <w:p>
      <w:pPr>
        <w:spacing w:after="0"/>
        <w:ind w:left="0"/>
        <w:jc w:val="both"/>
      </w:pPr>
      <w:r>
        <w:rPr>
          <w:rFonts w:ascii="Times New Roman"/>
          <w:b w:val="false"/>
          <w:i w:val="false"/>
          <w:color w:val="000000"/>
          <w:sz w:val="28"/>
        </w:rPr>
        <w:t>
       </w:t>
      </w:r>
    </w:p>
    <w:bookmarkEnd w:id="7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22</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9054" w:id="7430"/>
    <w:p>
      <w:pPr>
        <w:spacing w:after="0"/>
        <w:ind w:left="0"/>
        <w:jc w:val="left"/>
      </w:pPr>
      <w:r>
        <w:rPr>
          <w:rFonts w:ascii="Times New Roman"/>
          <w:b/>
          <w:i w:val="false"/>
          <w:color w:val="000000"/>
        </w:rPr>
        <w:t xml:space="preserve"> ФОРМА ЭКСПЕРТНОГО ОТЧЕТА</w:t>
      </w:r>
      <w:r>
        <w:br/>
      </w:r>
      <w:r>
        <w:rPr>
          <w:rFonts w:ascii="Times New Roman"/>
          <w:b/>
          <w:i w:val="false"/>
          <w:color w:val="000000"/>
        </w:rPr>
        <w:t xml:space="preserve">ПО ОЦЕНКЕ РЕЗУЛЬТАТОВ ДОКЛИНИЧЕСКИХ И КЛИНИЧЕСКИХ АСПЕКТОВ ВОСПРОИЗВЕДЕННЫХ ИЛИ ГИБРИДНЫХ ЛЕКАРСТВЕННЫХ СРЕДСТВ </w:t>
      </w:r>
    </w:p>
    <w:bookmarkEnd w:id="7430"/>
    <w:p>
      <w:pPr>
        <w:spacing w:after="0"/>
        <w:ind w:left="0"/>
        <w:jc w:val="both"/>
      </w:pPr>
      <w:r>
        <w:rPr>
          <w:rFonts w:ascii="Times New Roman"/>
          <w:b w:val="false"/>
          <w:i w:val="false"/>
          <w:color w:val="ff0000"/>
          <w:sz w:val="28"/>
        </w:rPr>
        <w:t xml:space="preserve">
      Сноска. Заголовок приложения 22 с изменением, внесенным решением Совета Евразийской экономической комиссии от 05.03.2021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p>
    <w:p>
      <w:pPr>
        <w:spacing w:after="0"/>
        <w:ind w:left="0"/>
        <w:jc w:val="both"/>
      </w:pPr>
      <w:r>
        <w:rPr>
          <w:rFonts w:ascii="Times New Roman"/>
          <w:b w:val="false"/>
          <w:i w:val="false"/>
          <w:color w:val="000000"/>
          <w:sz w:val="28"/>
        </w:rPr>
        <w:t xml:space="preserve">
      Сноска. приложение 22 с изменениями, внесенными решением Совета Евразийской экономической комиссии от 05.03.2021 </w:t>
      </w:r>
      <w:r>
        <w:rPr>
          <w:rFonts w:ascii="Times New Roman"/>
          <w:b w:val="false"/>
          <w:i w:val="false"/>
          <w:color w:val="000000"/>
          <w:sz w:val="28"/>
        </w:rPr>
        <w:t>№ 14</w:t>
      </w:r>
      <w:r>
        <w:rPr>
          <w:rFonts w:ascii="Times New Roman"/>
          <w:b w:val="false"/>
          <w:i w:val="false"/>
          <w:color w:val="000000"/>
          <w:sz w:val="28"/>
        </w:rPr>
        <w:t xml:space="preserve"> (вступает в силу по истечении 6 месяцев с даты его официального опубликования).</w:t>
      </w:r>
    </w:p>
    <w:bookmarkStart w:name="z9055" w:id="7431"/>
    <w:p>
      <w:pPr>
        <w:spacing w:after="0"/>
        <w:ind w:left="0"/>
        <w:jc w:val="both"/>
      </w:pPr>
      <w:r>
        <w:rPr>
          <w:rFonts w:ascii="Times New Roman"/>
          <w:b w:val="false"/>
          <w:i w:val="false"/>
          <w:color w:val="000000"/>
          <w:sz w:val="28"/>
        </w:rPr>
        <w:t>
      Указания по заполнению: при использовании готовых шаблонов текста они выделены в настоящей форме знаками &lt; &gt; и курсивом; фрагменты шаблонов текста, заполнение которых производится путем ввода определенных вариантов текста по указанному свойству (параметру), приведены в фигурных скобках { } с указанием свойства (параметра), который необходимо внести курсивом, пояснения даны курсивом в квадратных скобках [ ].</w:t>
      </w:r>
    </w:p>
    <w:bookmarkEnd w:id="7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057" w:id="7432"/>
    <w:p>
      <w:pPr>
        <w:spacing w:after="0"/>
        <w:ind w:left="0"/>
        <w:jc w:val="left"/>
      </w:pPr>
      <w:r>
        <w:rPr>
          <w:rFonts w:ascii="Times New Roman"/>
          <w:b/>
          <w:i w:val="false"/>
          <w:color w:val="000000"/>
        </w:rPr>
        <w:t xml:space="preserve"> ЭКСПЕРТНЫЙ ОТЧЕТ ПО ОЦЕНКЕ РЕЗУЛЬТАТОВ</w:t>
      </w:r>
      <w:r>
        <w:br/>
      </w:r>
      <w:r>
        <w:rPr>
          <w:rFonts w:ascii="Times New Roman"/>
          <w:b/>
          <w:i w:val="false"/>
          <w:color w:val="000000"/>
        </w:rPr>
        <w:t xml:space="preserve">доклинических и клинических аспектов воспроизведенных или гибридных лекарственных средств </w:t>
      </w:r>
    </w:p>
    <w:bookmarkEnd w:id="7432"/>
    <w:p>
      <w:pPr>
        <w:spacing w:after="0"/>
        <w:ind w:left="0"/>
        <w:jc w:val="both"/>
      </w:pPr>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05.03.2021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6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7433"/>
          <w:p>
            <w:pPr>
              <w:spacing w:after="20"/>
              <w:ind w:left="20"/>
              <w:jc w:val="both"/>
            </w:pPr>
            <w:r>
              <w:rPr>
                <w:rFonts w:ascii="Times New Roman"/>
                <w:b w:val="false"/>
                <w:i w:val="false"/>
                <w:color w:val="000000"/>
                <w:sz w:val="20"/>
              </w:rPr>
              <w:t xml:space="preserve">
Докладчик </w:t>
            </w:r>
          </w:p>
          <w:bookmarkEnd w:id="7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7434"/>
          <w:p>
            <w:pPr>
              <w:spacing w:after="20"/>
              <w:ind w:left="20"/>
              <w:jc w:val="both"/>
            </w:pPr>
            <w:r>
              <w:rPr>
                <w:rFonts w:ascii="Times New Roman"/>
                <w:b w:val="false"/>
                <w:i w:val="false"/>
                <w:color w:val="000000"/>
                <w:sz w:val="20"/>
              </w:rPr>
              <w:t xml:space="preserve">
Содокладчик </w:t>
            </w:r>
          </w:p>
          <w:bookmarkEnd w:id="7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0" w:id="7435"/>
          <w:p>
            <w:pPr>
              <w:spacing w:after="20"/>
              <w:ind w:left="20"/>
              <w:jc w:val="both"/>
            </w:pPr>
            <w:r>
              <w:rPr>
                <w:rFonts w:ascii="Times New Roman"/>
                <w:b w:val="false"/>
                <w:i w:val="false"/>
                <w:color w:val="000000"/>
                <w:sz w:val="20"/>
              </w:rPr>
              <w:t xml:space="preserve">
Начало процедуры </w:t>
            </w:r>
          </w:p>
          <w:bookmarkEnd w:id="7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1" w:id="7436"/>
          <w:p>
            <w:pPr>
              <w:spacing w:after="20"/>
              <w:ind w:left="20"/>
              <w:jc w:val="both"/>
            </w:pPr>
            <w:r>
              <w:rPr>
                <w:rFonts w:ascii="Times New Roman"/>
                <w:b w:val="false"/>
                <w:i w:val="false"/>
                <w:color w:val="000000"/>
                <w:sz w:val="20"/>
              </w:rPr>
              <w:t xml:space="preserve">
Дата настоящего отчета </w:t>
            </w:r>
          </w:p>
          <w:bookmarkEnd w:id="7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2" w:id="7437"/>
          <w:p>
            <w:pPr>
              <w:spacing w:after="20"/>
              <w:ind w:left="20"/>
              <w:jc w:val="both"/>
            </w:pPr>
            <w:r>
              <w:rPr>
                <w:rFonts w:ascii="Times New Roman"/>
                <w:b w:val="false"/>
                <w:i w:val="false"/>
                <w:color w:val="000000"/>
                <w:sz w:val="20"/>
              </w:rPr>
              <w:t xml:space="preserve">
Окончательный срок для представления комментариев </w:t>
            </w:r>
          </w:p>
          <w:bookmarkEnd w:id="7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63" w:id="7438"/>
    <w:p>
      <w:pPr>
        <w:spacing w:after="0"/>
        <w:ind w:left="0"/>
        <w:jc w:val="both"/>
      </w:pPr>
      <w:r>
        <w:rPr>
          <w:rFonts w:ascii="Times New Roman"/>
          <w:b w:val="false"/>
          <w:i w:val="false"/>
          <w:color w:val="000000"/>
          <w:sz w:val="28"/>
        </w:rPr>
        <w:t>
       </w:t>
      </w:r>
    </w:p>
    <w:bookmarkEnd w:id="7438"/>
    <w:bookmarkStart w:name="z9064" w:id="7439"/>
    <w:p>
      <w:pPr>
        <w:spacing w:after="0"/>
        <w:ind w:left="0"/>
        <w:jc w:val="left"/>
      </w:pPr>
      <w:r>
        <w:rPr>
          <w:rFonts w:ascii="Times New Roman"/>
          <w:b/>
          <w:i w:val="false"/>
          <w:color w:val="000000"/>
        </w:rPr>
        <w:t xml:space="preserve"> Административная информация </w:t>
      </w:r>
    </w:p>
    <w:bookmarkEnd w:id="7439"/>
    <w:bookmarkStart w:name="z9065" w:id="7440"/>
    <w:p>
      <w:pPr>
        <w:spacing w:after="0"/>
        <w:ind w:left="0"/>
        <w:jc w:val="both"/>
      </w:pPr>
      <w:r>
        <w:rPr>
          <w:rFonts w:ascii="Times New Roman"/>
          <w:b w:val="false"/>
          <w:i w:val="false"/>
          <w:color w:val="000000"/>
          <w:sz w:val="28"/>
        </w:rPr>
        <w:t>
       </w:t>
      </w:r>
    </w:p>
    <w:bookmarkEnd w:id="7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7441"/>
          <w:p>
            <w:pPr>
              <w:spacing w:after="20"/>
              <w:ind w:left="20"/>
              <w:jc w:val="both"/>
            </w:pPr>
            <w:r>
              <w:rPr>
                <w:rFonts w:ascii="Times New Roman"/>
                <w:b w:val="false"/>
                <w:i w:val="false"/>
                <w:color w:val="000000"/>
                <w:sz w:val="20"/>
              </w:rPr>
              <w:t xml:space="preserve">
Идентификационный номер заявления на регистрацию </w:t>
            </w:r>
          </w:p>
          <w:bookmarkEnd w:id="7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7" w:id="7442"/>
          <w:p>
            <w:pPr>
              <w:spacing w:after="20"/>
              <w:ind w:left="20"/>
              <w:jc w:val="both"/>
            </w:pPr>
            <w:r>
              <w:rPr>
                <w:rFonts w:ascii="Times New Roman"/>
                <w:b w:val="false"/>
                <w:i w:val="false"/>
                <w:color w:val="000000"/>
                <w:sz w:val="20"/>
              </w:rPr>
              <w:t xml:space="preserve">
Торговое наименование лекарственного средства </w:t>
            </w:r>
          </w:p>
          <w:bookmarkEnd w:id="7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7443"/>
          <w:p>
            <w:pPr>
              <w:spacing w:after="20"/>
              <w:ind w:left="20"/>
              <w:jc w:val="both"/>
            </w:pPr>
            <w:r>
              <w:rPr>
                <w:rFonts w:ascii="Times New Roman"/>
                <w:b w:val="false"/>
                <w:i w:val="false"/>
                <w:color w:val="000000"/>
                <w:sz w:val="20"/>
              </w:rPr>
              <w:t xml:space="preserve">
Международное непатентованное наименование (МНН) или общепринятое наименование действующего вещества (веществ) </w:t>
            </w:r>
          </w:p>
          <w:bookmarkEnd w:id="7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9" w:id="7444"/>
          <w:p>
            <w:pPr>
              <w:spacing w:after="20"/>
              <w:ind w:left="20"/>
              <w:jc w:val="both"/>
            </w:pPr>
            <w:r>
              <w:rPr>
                <w:rFonts w:ascii="Times New Roman"/>
                <w:b w:val="false"/>
                <w:i w:val="false"/>
                <w:color w:val="000000"/>
                <w:sz w:val="20"/>
              </w:rPr>
              <w:t xml:space="preserve">
Заявитель </w:t>
            </w:r>
          </w:p>
          <w:bookmarkEnd w:id="7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7445"/>
          <w:p>
            <w:pPr>
              <w:spacing w:after="20"/>
              <w:ind w:left="20"/>
              <w:jc w:val="both"/>
            </w:pPr>
            <w:r>
              <w:rPr>
                <w:rFonts w:ascii="Times New Roman"/>
                <w:b w:val="false"/>
                <w:i w:val="false"/>
                <w:color w:val="000000"/>
                <w:sz w:val="20"/>
              </w:rPr>
              <w:t xml:space="preserve">
Заявленные показания к применению </w:t>
            </w:r>
          </w:p>
          <w:bookmarkEnd w:id="7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1" w:id="7446"/>
          <w:p>
            <w:pPr>
              <w:spacing w:after="20"/>
              <w:ind w:left="20"/>
              <w:jc w:val="both"/>
            </w:pPr>
            <w:r>
              <w:rPr>
                <w:rFonts w:ascii="Times New Roman"/>
                <w:b w:val="false"/>
                <w:i w:val="false"/>
                <w:color w:val="000000"/>
                <w:sz w:val="20"/>
              </w:rPr>
              <w:t xml:space="preserve">
Фармакотерапевтическая группа (АТХ-код) </w:t>
            </w:r>
          </w:p>
          <w:bookmarkEnd w:id="7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2" w:id="7447"/>
          <w:p>
            <w:pPr>
              <w:spacing w:after="20"/>
              <w:ind w:left="20"/>
              <w:jc w:val="both"/>
            </w:pPr>
            <w:r>
              <w:rPr>
                <w:rFonts w:ascii="Times New Roman"/>
                <w:b w:val="false"/>
                <w:i w:val="false"/>
                <w:color w:val="000000"/>
                <w:sz w:val="20"/>
              </w:rPr>
              <w:t xml:space="preserve">
Лекарственная форма и дозировка (дозировки) </w:t>
            </w:r>
          </w:p>
          <w:bookmarkEnd w:id="7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3" w:id="7448"/>
          <w:p>
            <w:pPr>
              <w:spacing w:after="20"/>
              <w:ind w:left="20"/>
              <w:jc w:val="both"/>
            </w:pPr>
            <w:r>
              <w:rPr>
                <w:rFonts w:ascii="Times New Roman"/>
                <w:b w:val="false"/>
                <w:i w:val="false"/>
                <w:color w:val="000000"/>
                <w:sz w:val="20"/>
              </w:rPr>
              <w:t xml:space="preserve">
Эксперты докладчика (внутренний и независимый) </w:t>
            </w:r>
          </w:p>
          <w:bookmarkEnd w:id="7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по модулю 3 (качество): </w:t>
            </w:r>
          </w:p>
          <w:p>
            <w:pPr>
              <w:spacing w:after="20"/>
              <w:ind w:left="20"/>
              <w:jc w:val="both"/>
            </w:pP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4" w:id="7449"/>
          <w:p>
            <w:pPr>
              <w:spacing w:after="20"/>
              <w:ind w:left="20"/>
              <w:jc w:val="both"/>
            </w:pPr>
          </w:p>
          <w:bookmarkEnd w:id="7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по модулю 3 (доклиника): </w:t>
            </w:r>
          </w:p>
          <w:p>
            <w:pPr>
              <w:spacing w:after="20"/>
              <w:ind w:left="20"/>
              <w:jc w:val="both"/>
            </w:pP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7450"/>
          <w:p>
            <w:pPr>
              <w:spacing w:after="20"/>
              <w:ind w:left="20"/>
              <w:jc w:val="both"/>
            </w:pPr>
          </w:p>
          <w:bookmarkEnd w:id="7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по модулю 5 (клиника): </w:t>
            </w:r>
          </w:p>
          <w:p>
            <w:pPr>
              <w:spacing w:after="20"/>
              <w:ind w:left="20"/>
              <w:jc w:val="both"/>
            </w:pP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номер телефона (факса):</w:t>
            </w:r>
          </w:p>
          <w:p>
            <w:pPr>
              <w:spacing w:after="20"/>
              <w:ind w:left="20"/>
              <w:jc w:val="both"/>
            </w:pPr>
            <w:r>
              <w:rPr>
                <w:rFonts w:ascii="Times New Roman"/>
                <w:b w:val="false"/>
                <w:i w:val="false"/>
                <w:color w:val="000000"/>
                <w:sz w:val="20"/>
              </w:rPr>
              <w:t xml:space="preserve">адрес электронной почты: </w:t>
            </w:r>
          </w:p>
        </w:tc>
      </w:tr>
    </w:tbl>
    <w:bookmarkStart w:name="z9076" w:id="7451"/>
    <w:p>
      <w:pPr>
        <w:spacing w:after="0"/>
        <w:ind w:left="0"/>
        <w:jc w:val="both"/>
      </w:pPr>
      <w:r>
        <w:rPr>
          <w:rFonts w:ascii="Times New Roman"/>
          <w:b w:val="false"/>
          <w:i w:val="false"/>
          <w:color w:val="000000"/>
          <w:sz w:val="28"/>
        </w:rPr>
        <w:t>
       </w:t>
      </w:r>
    </w:p>
    <w:bookmarkEnd w:id="7451"/>
    <w:bookmarkStart w:name="z9077" w:id="7452"/>
    <w:p>
      <w:pPr>
        <w:spacing w:after="0"/>
        <w:ind w:left="0"/>
        <w:jc w:val="left"/>
      </w:pPr>
      <w:r>
        <w:rPr>
          <w:rFonts w:ascii="Times New Roman"/>
          <w:b/>
          <w:i w:val="false"/>
          <w:color w:val="000000"/>
        </w:rPr>
        <w:t xml:space="preserve"> Список сокращений </w:t>
      </w:r>
    </w:p>
    <w:bookmarkEnd w:id="7452"/>
    <w:bookmarkStart w:name="z9078" w:id="7453"/>
    <w:p>
      <w:pPr>
        <w:spacing w:after="0"/>
        <w:ind w:left="0"/>
        <w:jc w:val="left"/>
      </w:pPr>
      <w:r>
        <w:rPr>
          <w:rFonts w:ascii="Times New Roman"/>
          <w:b/>
          <w:i w:val="false"/>
          <w:color w:val="000000"/>
        </w:rPr>
        <w:t xml:space="preserve"> 1. Доклиническая оценка </w:t>
      </w:r>
    </w:p>
    <w:bookmarkEnd w:id="7453"/>
    <w:bookmarkStart w:name="z9079" w:id="7454"/>
    <w:p>
      <w:pPr>
        <w:spacing w:after="0"/>
        <w:ind w:left="0"/>
        <w:jc w:val="both"/>
      </w:pPr>
      <w:r>
        <w:rPr>
          <w:rFonts w:ascii="Times New Roman"/>
          <w:b w:val="false"/>
          <w:i w:val="false"/>
          <w:color w:val="000000"/>
          <w:sz w:val="28"/>
        </w:rPr>
        <w:t>
       </w:t>
      </w:r>
    </w:p>
    <w:bookmarkEnd w:id="7454"/>
    <w:bookmarkStart w:name="z9080" w:id="7455"/>
    <w:p>
      <w:pPr>
        <w:spacing w:after="0"/>
        <w:ind w:left="0"/>
        <w:jc w:val="both"/>
      </w:pPr>
      <w:r>
        <w:rPr>
          <w:rFonts w:ascii="Times New Roman"/>
          <w:b w:val="false"/>
          <w:i w:val="false"/>
          <w:color w:val="000000"/>
          <w:sz w:val="28"/>
        </w:rPr>
        <w:t xml:space="preserve">
      &lt;Представлен доклинический обзор по фармакологии, фармакокинетике и токсикологии, который [привести краткую характеристику обзора]. В обзоре приводится обоснование отсутствия необходимости представления дополнительных данных по доклинической фармакологии, фармакокинетике и токсикологии. Доклинические аспекты ОХЛП согласуются с ОХЛП референтного препарата. По результатам экспертной оценки установлена приемлемость профиля примесей.&gt; </w:t>
      </w:r>
    </w:p>
    <w:bookmarkEnd w:id="7455"/>
    <w:bookmarkStart w:name="z9081" w:id="7456"/>
    <w:p>
      <w:pPr>
        <w:spacing w:after="0"/>
        <w:ind w:left="0"/>
        <w:jc w:val="both"/>
      </w:pPr>
      <w:r>
        <w:rPr>
          <w:rFonts w:ascii="Times New Roman"/>
          <w:b w:val="false"/>
          <w:i w:val="false"/>
          <w:color w:val="000000"/>
          <w:sz w:val="28"/>
        </w:rPr>
        <w:t xml:space="preserve">
      &lt;Считаю, что доклинический обзор основан на современных и достаточных данных научной литературы. Необходимость представления дополнительных доклинических данных отсутствует.&gt; </w:t>
      </w:r>
    </w:p>
    <w:bookmarkEnd w:id="7456"/>
    <w:bookmarkStart w:name="z9082" w:id="7457"/>
    <w:p>
      <w:pPr>
        <w:spacing w:after="0"/>
        <w:ind w:left="0"/>
        <w:jc w:val="both"/>
      </w:pPr>
      <w:r>
        <w:rPr>
          <w:rFonts w:ascii="Times New Roman"/>
          <w:b w:val="false"/>
          <w:i w:val="false"/>
          <w:color w:val="000000"/>
          <w:sz w:val="28"/>
        </w:rPr>
        <w:t xml:space="preserve">
      &lt;Считаю, что доклинический обзор по фармакологии, фармакокинетике и токсикологии неприемлем, поскольку [дать комментарий].&gt; </w:t>
      </w:r>
    </w:p>
    <w:bookmarkEnd w:id="7457"/>
    <w:bookmarkStart w:name="z9083" w:id="7458"/>
    <w:p>
      <w:pPr>
        <w:spacing w:after="0"/>
        <w:ind w:left="0"/>
        <w:jc w:val="both"/>
      </w:pPr>
      <w:r>
        <w:rPr>
          <w:rFonts w:ascii="Times New Roman"/>
          <w:b w:val="false"/>
          <w:i w:val="false"/>
          <w:color w:val="000000"/>
          <w:sz w:val="28"/>
        </w:rPr>
        <w:t xml:space="preserve">
      &lt;Резюме литературных источников в отношении доклинических данных [название лекарственного препарата] и обоснование того, что другие [соль, сложный эфир, простой эфир, изомер, смесь изомеров, комплекс, производное] действующего вещества по свойствам значительно не отличается от профиля безопасности и эффективности референтного препарата, [не] представлены и [не] принимаются уполномоченным органом. Это [не] согласуется с соответствующими актами органов Союза, поэтому [не] требуется проведение дополнительных доклинических исследований.&gt; </w:t>
      </w:r>
    </w:p>
    <w:bookmarkEnd w:id="7458"/>
    <w:bookmarkStart w:name="z9084" w:id="7459"/>
    <w:p>
      <w:pPr>
        <w:spacing w:after="0"/>
        <w:ind w:left="0"/>
        <w:jc w:val="both"/>
      </w:pPr>
      <w:r>
        <w:rPr>
          <w:rFonts w:ascii="Times New Roman"/>
          <w:b w:val="false"/>
          <w:i w:val="false"/>
          <w:color w:val="000000"/>
          <w:sz w:val="28"/>
        </w:rPr>
        <w:t>
       </w:t>
      </w:r>
    </w:p>
    <w:bookmarkEnd w:id="7459"/>
    <w:bookmarkStart w:name="z9085" w:id="7460"/>
    <w:p>
      <w:pPr>
        <w:spacing w:after="0"/>
        <w:ind w:left="0"/>
        <w:jc w:val="left"/>
      </w:pPr>
      <w:r>
        <w:rPr>
          <w:rFonts w:ascii="Times New Roman"/>
          <w:b/>
          <w:i w:val="false"/>
          <w:color w:val="000000"/>
        </w:rPr>
        <w:t xml:space="preserve"> Введение</w:t>
      </w:r>
    </w:p>
    <w:bookmarkEnd w:id="7460"/>
    <w:bookmarkStart w:name="z9086" w:id="7461"/>
    <w:p>
      <w:pPr>
        <w:spacing w:after="0"/>
        <w:ind w:left="0"/>
        <w:jc w:val="left"/>
      </w:pPr>
      <w:r>
        <w:rPr>
          <w:rFonts w:ascii="Times New Roman"/>
          <w:b/>
          <w:i w:val="false"/>
          <w:color w:val="000000"/>
        </w:rPr>
        <w:t xml:space="preserve"> 1.1. GLP-аспекты</w:t>
      </w:r>
    </w:p>
    <w:bookmarkEnd w:id="7461"/>
    <w:bookmarkStart w:name="z9087" w:id="7462"/>
    <w:p>
      <w:pPr>
        <w:spacing w:after="0"/>
        <w:ind w:left="0"/>
        <w:jc w:val="left"/>
      </w:pPr>
      <w:r>
        <w:rPr>
          <w:rFonts w:ascii="Times New Roman"/>
          <w:b/>
          <w:i w:val="false"/>
          <w:color w:val="000000"/>
        </w:rPr>
        <w:t xml:space="preserve"> 1.2. Фармакология</w:t>
      </w:r>
    </w:p>
    <w:bookmarkEnd w:id="7462"/>
    <w:bookmarkStart w:name="z9088" w:id="7463"/>
    <w:p>
      <w:pPr>
        <w:spacing w:after="0"/>
        <w:ind w:left="0"/>
        <w:jc w:val="left"/>
      </w:pPr>
      <w:r>
        <w:rPr>
          <w:rFonts w:ascii="Times New Roman"/>
          <w:b/>
          <w:i w:val="false"/>
          <w:color w:val="000000"/>
        </w:rPr>
        <w:t xml:space="preserve"> 1.3. Фармакокинетика</w:t>
      </w:r>
    </w:p>
    <w:bookmarkEnd w:id="7463"/>
    <w:bookmarkStart w:name="z9089" w:id="7464"/>
    <w:p>
      <w:pPr>
        <w:spacing w:after="0"/>
        <w:ind w:left="0"/>
        <w:jc w:val="left"/>
      </w:pPr>
      <w:r>
        <w:rPr>
          <w:rFonts w:ascii="Times New Roman"/>
          <w:b/>
          <w:i w:val="false"/>
          <w:color w:val="000000"/>
        </w:rPr>
        <w:t xml:space="preserve"> 1.4. Токсикология</w:t>
      </w:r>
    </w:p>
    <w:bookmarkEnd w:id="7464"/>
    <w:bookmarkStart w:name="z9090" w:id="7465"/>
    <w:p>
      <w:pPr>
        <w:spacing w:after="0"/>
        <w:ind w:left="0"/>
        <w:jc w:val="left"/>
      </w:pPr>
      <w:r>
        <w:rPr>
          <w:rFonts w:ascii="Times New Roman"/>
          <w:b/>
          <w:i w:val="false"/>
          <w:color w:val="000000"/>
        </w:rPr>
        <w:t xml:space="preserve"> 1.5. Заключение по доклиническим аспектам</w:t>
      </w:r>
    </w:p>
    <w:bookmarkEnd w:id="7465"/>
    <w:bookmarkStart w:name="z9091" w:id="7466"/>
    <w:p>
      <w:pPr>
        <w:spacing w:after="0"/>
        <w:ind w:left="0"/>
        <w:jc w:val="both"/>
      </w:pPr>
      <w:r>
        <w:rPr>
          <w:rFonts w:ascii="Times New Roman"/>
          <w:b w:val="false"/>
          <w:i w:val="false"/>
          <w:color w:val="000000"/>
          <w:sz w:val="28"/>
        </w:rPr>
        <w:t xml:space="preserve">
      &lt;Препятствия к регистрации &lt;торговое наименование&gt;, с доклинической точки зрения отсутствуют.&gt; </w:t>
      </w:r>
    </w:p>
    <w:bookmarkEnd w:id="7466"/>
    <w:bookmarkStart w:name="z9092" w:id="7467"/>
    <w:p>
      <w:pPr>
        <w:spacing w:after="0"/>
        <w:ind w:left="0"/>
        <w:jc w:val="both"/>
      </w:pPr>
      <w:r>
        <w:rPr>
          <w:rFonts w:ascii="Times New Roman"/>
          <w:b w:val="false"/>
          <w:i w:val="false"/>
          <w:color w:val="000000"/>
          <w:sz w:val="28"/>
        </w:rPr>
        <w:t xml:space="preserve">
      &lt;Как указано выше, имеется ряд замечаний, которые необходимо устранить (см. перечень замечаний).&gt; </w:t>
      </w:r>
    </w:p>
    <w:bookmarkEnd w:id="7467"/>
    <w:bookmarkStart w:name="z9093" w:id="7468"/>
    <w:p>
      <w:pPr>
        <w:spacing w:after="0"/>
        <w:ind w:left="0"/>
        <w:jc w:val="both"/>
      </w:pPr>
      <w:r>
        <w:rPr>
          <w:rFonts w:ascii="Times New Roman"/>
          <w:b w:val="false"/>
          <w:i w:val="false"/>
          <w:color w:val="000000"/>
          <w:sz w:val="28"/>
        </w:rPr>
        <w:t xml:space="preserve">
      &lt;Считаю необходимым принять следующие меры, чтобы устранить замечания по доклиническим аспектам [перечислить необходимые меры]:&gt; </w:t>
      </w:r>
    </w:p>
    <w:bookmarkEnd w:id="7468"/>
    <w:bookmarkStart w:name="z9094" w:id="7469"/>
    <w:p>
      <w:pPr>
        <w:spacing w:after="0"/>
        <w:ind w:left="0"/>
        <w:jc w:val="left"/>
      </w:pPr>
      <w:r>
        <w:rPr>
          <w:rFonts w:ascii="Times New Roman"/>
          <w:b/>
          <w:i w:val="false"/>
          <w:color w:val="000000"/>
        </w:rPr>
        <w:t xml:space="preserve"> 2. Клинические аспекты</w:t>
      </w:r>
    </w:p>
    <w:bookmarkEnd w:id="7469"/>
    <w:bookmarkStart w:name="z9095" w:id="7470"/>
    <w:p>
      <w:pPr>
        <w:spacing w:after="0"/>
        <w:ind w:left="0"/>
        <w:jc w:val="left"/>
      </w:pPr>
      <w:r>
        <w:rPr>
          <w:rFonts w:ascii="Times New Roman"/>
          <w:b/>
          <w:i w:val="false"/>
          <w:color w:val="000000"/>
        </w:rPr>
        <w:t xml:space="preserve"> 2.1. Введение</w:t>
      </w:r>
    </w:p>
    <w:bookmarkEnd w:id="7470"/>
    <w:bookmarkStart w:name="z9096" w:id="7471"/>
    <w:p>
      <w:pPr>
        <w:spacing w:after="0"/>
        <w:ind w:left="0"/>
        <w:jc w:val="both"/>
      </w:pPr>
      <w:r>
        <w:rPr>
          <w:rFonts w:ascii="Times New Roman"/>
          <w:b w:val="false"/>
          <w:i w:val="false"/>
          <w:color w:val="000000"/>
          <w:sz w:val="28"/>
        </w:rPr>
        <w:t xml:space="preserve">
      &lt;Экспертиза проведена с использованием Правил проведения исследований биоэквивалентности лекарственных препаратов в рамках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Евразийского экономического союза от 3 ноября 2016 г. № 85, а также [указать наименования иных подходящих обязательных актов и рекомендаций].&gt; </w:t>
      </w:r>
    </w:p>
    <w:bookmarkEnd w:id="7471"/>
    <w:bookmarkStart w:name="z9097" w:id="7472"/>
    <w:p>
      <w:pPr>
        <w:spacing w:after="0"/>
        <w:ind w:left="0"/>
        <w:jc w:val="both"/>
      </w:pPr>
      <w:r>
        <w:rPr>
          <w:rFonts w:ascii="Times New Roman"/>
          <w:b w:val="false"/>
          <w:i w:val="false"/>
          <w:color w:val="000000"/>
          <w:sz w:val="28"/>
        </w:rPr>
        <w:t xml:space="preserve">
      &lt;Заявитель [не] получил научную консультацию уполномоченной экспертной организации, касающуюся клинической разработки. </w:t>
      </w:r>
    </w:p>
    <w:bookmarkEnd w:id="7472"/>
    <w:bookmarkStart w:name="z9098" w:id="7473"/>
    <w:p>
      <w:pPr>
        <w:spacing w:after="0"/>
        <w:ind w:left="0"/>
        <w:jc w:val="both"/>
      </w:pPr>
      <w:r>
        <w:rPr>
          <w:rFonts w:ascii="Times New Roman"/>
          <w:b w:val="false"/>
          <w:i w:val="false"/>
          <w:color w:val="000000"/>
          <w:sz w:val="28"/>
        </w:rPr>
        <w:t xml:space="preserve">
      Данная консультация касалась следующего: [представить резюме]. Заявитель [не] воспользовался данной научной консультацией.&gt; </w:t>
      </w:r>
    </w:p>
    <w:bookmarkEnd w:id="7473"/>
    <w:bookmarkStart w:name="z9099" w:id="7474"/>
    <w:p>
      <w:pPr>
        <w:spacing w:after="0"/>
        <w:ind w:left="0"/>
        <w:jc w:val="left"/>
      </w:pPr>
      <w:r>
        <w:rPr>
          <w:rFonts w:ascii="Times New Roman"/>
          <w:b/>
          <w:i w:val="false"/>
          <w:color w:val="000000"/>
        </w:rPr>
        <w:t xml:space="preserve"> 2.1.1. Аспекты соответствия требованиям правил надлежащей клинической практики Союза</w:t>
      </w:r>
    </w:p>
    <w:bookmarkEnd w:id="7474"/>
    <w:bookmarkStart w:name="z9100" w:id="7475"/>
    <w:p>
      <w:pPr>
        <w:spacing w:after="0"/>
        <w:ind w:left="0"/>
        <w:jc w:val="left"/>
      </w:pPr>
      <w:r>
        <w:rPr>
          <w:rFonts w:ascii="Times New Roman"/>
          <w:b/>
          <w:i w:val="false"/>
          <w:color w:val="000000"/>
        </w:rPr>
        <w:t xml:space="preserve"> 2.2. Биовейверы</w:t>
      </w:r>
    </w:p>
    <w:bookmarkEnd w:id="7475"/>
    <w:bookmarkStart w:name="z9101" w:id="7476"/>
    <w:p>
      <w:pPr>
        <w:spacing w:after="0"/>
        <w:ind w:left="0"/>
        <w:jc w:val="left"/>
      </w:pPr>
      <w:r>
        <w:rPr>
          <w:rFonts w:ascii="Times New Roman"/>
          <w:b/>
          <w:i w:val="false"/>
          <w:color w:val="000000"/>
        </w:rPr>
        <w:t xml:space="preserve"> 2.3. Клиническая фармакология</w:t>
      </w:r>
    </w:p>
    <w:bookmarkEnd w:id="7476"/>
    <w:bookmarkStart w:name="z9102" w:id="7477"/>
    <w:p>
      <w:pPr>
        <w:spacing w:after="0"/>
        <w:ind w:left="0"/>
        <w:jc w:val="left"/>
      </w:pPr>
      <w:r>
        <w:rPr>
          <w:rFonts w:ascii="Times New Roman"/>
          <w:b/>
          <w:i w:val="false"/>
          <w:color w:val="000000"/>
        </w:rPr>
        <w:t xml:space="preserve"> 2.3.1. Фармакокинетика</w:t>
      </w:r>
    </w:p>
    <w:bookmarkEnd w:id="7477"/>
    <w:bookmarkStart w:name="z9103" w:id="7478"/>
    <w:p>
      <w:pPr>
        <w:spacing w:after="0"/>
        <w:ind w:left="0"/>
        <w:jc w:val="both"/>
      </w:pPr>
      <w:r>
        <w:rPr>
          <w:rFonts w:ascii="Times New Roman"/>
          <w:b w:val="false"/>
          <w:i w:val="false"/>
          <w:color w:val="000000"/>
          <w:sz w:val="28"/>
        </w:rPr>
        <w:t>
      &lt;В обоснование заявление представлено [указать количество] исследование(й) биоэквивалентности, [указать количество] фармакодинамических исследований, [указать количество] исследований терапевтической эквивалентности.&gt;</w:t>
      </w:r>
    </w:p>
    <w:bookmarkEnd w:id="7478"/>
    <w:bookmarkStart w:name="z9104" w:id="7479"/>
    <w:p>
      <w:pPr>
        <w:spacing w:after="0"/>
        <w:ind w:left="0"/>
        <w:jc w:val="left"/>
      </w:pPr>
      <w:r>
        <w:rPr>
          <w:rFonts w:ascii="Times New Roman"/>
          <w:b/>
          <w:i w:val="false"/>
          <w:color w:val="000000"/>
        </w:rPr>
        <w:t xml:space="preserve"> Табличный обзор клинических исследований </w:t>
      </w:r>
    </w:p>
    <w:bookmarkEnd w:id="7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5" w:id="7480"/>
          <w:p>
            <w:pPr>
              <w:spacing w:after="20"/>
              <w:ind w:left="20"/>
              <w:jc w:val="both"/>
            </w:pPr>
            <w:r>
              <w:rPr>
                <w:rFonts w:ascii="Times New Roman"/>
                <w:b w:val="false"/>
                <w:i w:val="false"/>
                <w:color w:val="000000"/>
                <w:sz w:val="20"/>
              </w:rPr>
              <w:t xml:space="preserve">
Исследование &lt;номер&gt; и &lt;название&gt; </w:t>
            </w:r>
          </w:p>
          <w:bookmarkEnd w:id="748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7481"/>
          <w:p>
            <w:pPr>
              <w:spacing w:after="20"/>
              <w:ind w:left="20"/>
              <w:jc w:val="both"/>
            </w:pPr>
            <w:r>
              <w:rPr>
                <w:rFonts w:ascii="Times New Roman"/>
                <w:b w:val="false"/>
                <w:i w:val="false"/>
                <w:color w:val="000000"/>
                <w:sz w:val="20"/>
              </w:rPr>
              <w:t xml:space="preserve">
Методы </w:t>
            </w:r>
          </w:p>
          <w:bookmarkEnd w:id="748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7" w:id="7482"/>
          <w:p>
            <w:pPr>
              <w:spacing w:after="20"/>
              <w:ind w:left="20"/>
              <w:jc w:val="both"/>
            </w:pPr>
            <w:r>
              <w:rPr>
                <w:rFonts w:ascii="Times New Roman"/>
                <w:b w:val="false"/>
                <w:i w:val="false"/>
                <w:color w:val="000000"/>
                <w:sz w:val="20"/>
              </w:rPr>
              <w:t xml:space="preserve">
Дизайн исследования: </w:t>
            </w:r>
          </w:p>
          <w:bookmarkEnd w:id="7482"/>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7483"/>
          <w:p>
            <w:pPr>
              <w:spacing w:after="20"/>
              <w:ind w:left="20"/>
              <w:jc w:val="both"/>
            </w:pPr>
            <w:r>
              <w:rPr>
                <w:rFonts w:ascii="Times New Roman"/>
                <w:b w:val="false"/>
                <w:i w:val="false"/>
                <w:color w:val="000000"/>
                <w:sz w:val="20"/>
              </w:rPr>
              <w:t xml:space="preserve">
Комментарий эксперта: </w:t>
            </w:r>
          </w:p>
          <w:bookmarkEnd w:id="748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7484"/>
          <w:p>
            <w:pPr>
              <w:spacing w:after="20"/>
              <w:ind w:left="20"/>
              <w:jc w:val="both"/>
            </w:pPr>
            <w:r>
              <w:rPr>
                <w:rFonts w:ascii="Times New Roman"/>
                <w:b w:val="false"/>
                <w:i w:val="false"/>
                <w:color w:val="000000"/>
                <w:sz w:val="20"/>
              </w:rPr>
              <w:t xml:space="preserve">
Исследуемый препарат и референтный препарат: </w:t>
            </w:r>
          </w:p>
          <w:bookmarkEnd w:id="7484"/>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0" w:id="7485"/>
          <w:p>
            <w:pPr>
              <w:spacing w:after="20"/>
              <w:ind w:left="20"/>
              <w:jc w:val="both"/>
            </w:pPr>
            <w:r>
              <w:rPr>
                <w:rFonts w:ascii="Times New Roman"/>
                <w:b w:val="false"/>
                <w:i w:val="false"/>
                <w:color w:val="000000"/>
                <w:sz w:val="20"/>
              </w:rPr>
              <w:t xml:space="preserve">
Комментарий эксперта: </w:t>
            </w:r>
          </w:p>
          <w:bookmarkEnd w:id="7485"/>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1" w:id="7486"/>
          <w:p>
            <w:pPr>
              <w:spacing w:after="20"/>
              <w:ind w:left="20"/>
              <w:jc w:val="both"/>
            </w:pPr>
            <w:r>
              <w:rPr>
                <w:rFonts w:ascii="Times New Roman"/>
                <w:b w:val="false"/>
                <w:i w:val="false"/>
                <w:color w:val="000000"/>
                <w:sz w:val="20"/>
              </w:rPr>
              <w:t xml:space="preserve">
Изученная популяция (изученные популяции): </w:t>
            </w:r>
          </w:p>
          <w:bookmarkEnd w:id="7486"/>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2" w:id="7487"/>
          <w:p>
            <w:pPr>
              <w:spacing w:after="20"/>
              <w:ind w:left="20"/>
              <w:jc w:val="both"/>
            </w:pPr>
            <w:r>
              <w:rPr>
                <w:rFonts w:ascii="Times New Roman"/>
                <w:b w:val="false"/>
                <w:i w:val="false"/>
                <w:color w:val="000000"/>
                <w:sz w:val="20"/>
              </w:rPr>
              <w:t xml:space="preserve">
Комментарий эксперта: </w:t>
            </w:r>
          </w:p>
          <w:bookmarkEnd w:id="748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3" w:id="7488"/>
          <w:p>
            <w:pPr>
              <w:spacing w:after="20"/>
              <w:ind w:left="20"/>
              <w:jc w:val="both"/>
            </w:pPr>
            <w:r>
              <w:rPr>
                <w:rFonts w:ascii="Times New Roman"/>
                <w:b w:val="false"/>
                <w:i w:val="false"/>
                <w:color w:val="000000"/>
                <w:sz w:val="20"/>
              </w:rPr>
              <w:t xml:space="preserve">
Аналитические методы: </w:t>
            </w:r>
          </w:p>
          <w:bookmarkEnd w:id="748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7489"/>
          <w:p>
            <w:pPr>
              <w:spacing w:after="20"/>
              <w:ind w:left="20"/>
              <w:jc w:val="both"/>
            </w:pPr>
            <w:r>
              <w:rPr>
                <w:rFonts w:ascii="Times New Roman"/>
                <w:b w:val="false"/>
                <w:i w:val="false"/>
                <w:color w:val="000000"/>
                <w:sz w:val="20"/>
              </w:rPr>
              <w:t xml:space="preserve">
Комментарий эксперта: </w:t>
            </w:r>
          </w:p>
          <w:bookmarkEnd w:id="748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5" w:id="7490"/>
          <w:p>
            <w:pPr>
              <w:spacing w:after="20"/>
              <w:ind w:left="20"/>
              <w:jc w:val="both"/>
            </w:pPr>
            <w:r>
              <w:rPr>
                <w:rFonts w:ascii="Times New Roman"/>
                <w:b w:val="false"/>
                <w:i w:val="false"/>
                <w:color w:val="000000"/>
                <w:sz w:val="20"/>
              </w:rPr>
              <w:t xml:space="preserve">
Фармакокинетические переменные: </w:t>
            </w:r>
          </w:p>
          <w:bookmarkEnd w:id="749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6" w:id="7491"/>
          <w:p>
            <w:pPr>
              <w:spacing w:after="20"/>
              <w:ind w:left="20"/>
              <w:jc w:val="both"/>
            </w:pPr>
            <w:r>
              <w:rPr>
                <w:rFonts w:ascii="Times New Roman"/>
                <w:b w:val="false"/>
                <w:i w:val="false"/>
                <w:color w:val="000000"/>
                <w:sz w:val="20"/>
              </w:rPr>
              <w:t xml:space="preserve">
Комментарий эксперта: </w:t>
            </w:r>
          </w:p>
          <w:bookmarkEnd w:id="749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7" w:id="7492"/>
          <w:p>
            <w:pPr>
              <w:spacing w:after="20"/>
              <w:ind w:left="20"/>
              <w:jc w:val="both"/>
            </w:pPr>
            <w:r>
              <w:rPr>
                <w:rFonts w:ascii="Times New Roman"/>
                <w:b w:val="false"/>
                <w:i w:val="false"/>
                <w:color w:val="000000"/>
                <w:sz w:val="20"/>
              </w:rPr>
              <w:t xml:space="preserve">
Статистические методы: </w:t>
            </w:r>
          </w:p>
          <w:bookmarkEnd w:id="7492"/>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8" w:id="7493"/>
          <w:p>
            <w:pPr>
              <w:spacing w:after="20"/>
              <w:ind w:left="20"/>
              <w:jc w:val="both"/>
            </w:pPr>
            <w:r>
              <w:rPr>
                <w:rFonts w:ascii="Times New Roman"/>
                <w:b w:val="false"/>
                <w:i w:val="false"/>
                <w:color w:val="000000"/>
                <w:sz w:val="20"/>
              </w:rPr>
              <w:t xml:space="preserve">
Комментарий эксперта: </w:t>
            </w:r>
          </w:p>
          <w:bookmarkEnd w:id="749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9" w:id="7494"/>
          <w:p>
            <w:pPr>
              <w:spacing w:after="20"/>
              <w:ind w:left="20"/>
              <w:jc w:val="both"/>
            </w:pPr>
            <w:r>
              <w:rPr>
                <w:rFonts w:ascii="Times New Roman"/>
                <w:b w:val="false"/>
                <w:i w:val="false"/>
                <w:color w:val="000000"/>
                <w:sz w:val="20"/>
              </w:rPr>
              <w:t xml:space="preserve">
Результаты: </w:t>
            </w:r>
          </w:p>
          <w:bookmarkEnd w:id="7494"/>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7495"/>
          <w:p>
            <w:pPr>
              <w:spacing w:after="20"/>
              <w:ind w:left="20"/>
              <w:jc w:val="both"/>
            </w:pPr>
            <w:r>
              <w:rPr>
                <w:rFonts w:ascii="Times New Roman"/>
                <w:b w:val="false"/>
                <w:i w:val="false"/>
                <w:color w:val="000000"/>
                <w:sz w:val="20"/>
              </w:rPr>
              <w:t xml:space="preserve">
Таблица X </w:t>
            </w:r>
          </w:p>
          <w:bookmarkEnd w:id="7495"/>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1" w:id="7496"/>
          <w:p>
            <w:pPr>
              <w:spacing w:after="20"/>
              <w:ind w:left="20"/>
              <w:jc w:val="both"/>
            </w:pPr>
            <w:r>
              <w:rPr>
                <w:rFonts w:ascii="Times New Roman"/>
                <w:b w:val="false"/>
                <w:i w:val="false"/>
                <w:color w:val="000000"/>
                <w:sz w:val="20"/>
              </w:rPr>
              <w:t>
Фармакокинетические параметры [указать биообразец]</w:t>
            </w:r>
          </w:p>
          <w:bookmarkEnd w:id="7496"/>
          <w:p>
            <w:pPr>
              <w:spacing w:after="20"/>
              <w:ind w:left="20"/>
              <w:jc w:val="both"/>
            </w:pPr>
            <w:r>
              <w:rPr>
                <w:rFonts w:ascii="Times New Roman"/>
                <w:b w:val="false"/>
                <w:i w:val="false"/>
                <w:color w:val="000000"/>
                <w:sz w:val="20"/>
              </w:rPr>
              <w:t xml:space="preserve">(непреобразованные значения)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7497"/>
          <w:p>
            <w:pPr>
              <w:spacing w:after="20"/>
              <w:ind w:left="20"/>
              <w:jc w:val="both"/>
            </w:pPr>
          </w:p>
          <w:bookmarkEnd w:id="7497"/>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3" w:id="7498"/>
          <w:p>
            <w:pPr>
              <w:spacing w:after="20"/>
              <w:ind w:left="20"/>
              <w:jc w:val="both"/>
            </w:pPr>
          </w:p>
          <w:bookmarkEnd w:id="749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Фармакокинетический параметр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Исследуемый препарат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сравнения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7499"/>
          <w:p>
            <w:pPr>
              <w:spacing w:after="20"/>
              <w:ind w:left="20"/>
              <w:jc w:val="both"/>
            </w:pPr>
          </w:p>
          <w:bookmarkEnd w:id="7499"/>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&lt;арифметическое&gt; &lt;геометрическое&gt; среднее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 откл.&gt; &lt;CV%&gt;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&lt;арифметическое&gt; &lt;геометрическое&gt; среднее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 откл.&gt; &lt;CV%&gt;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5" w:id="7500"/>
          <w:p>
            <w:pPr>
              <w:spacing w:after="20"/>
              <w:ind w:left="20"/>
              <w:jc w:val="both"/>
            </w:pPr>
          </w:p>
          <w:bookmarkEnd w:id="75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&lt;AUC</w:t>
            </w:r>
            <w:r>
              <w:rPr>
                <w:rFonts w:ascii="Times New Roman"/>
                <w:b w:val="false"/>
                <w:i w:val="false"/>
                <w:color w:val="000000"/>
                <w:vertAlign w:val="subscript"/>
              </w:rPr>
              <w:t>(0-t)</w:t>
            </w:r>
            <w:r>
              <w:rPr>
                <w:rFonts w:ascii="Times New Roman"/>
                <w:b w:val="false"/>
                <w:i w:val="false"/>
                <w:color w:val="000000"/>
                <w:sz w:val="20"/>
              </w:rPr>
              <w:t>&gt; &lt;AUC</w:t>
            </w:r>
            <w:r>
              <w:rPr>
                <w:rFonts w:ascii="Times New Roman"/>
                <w:b w:val="false"/>
                <w:i w:val="false"/>
                <w:color w:val="000000"/>
                <w:vertAlign w:val="subscript"/>
              </w:rPr>
              <w:t>(</w:t>
            </w:r>
            <w:r>
              <w:rPr>
                <w:rFonts w:ascii="Times New Roman"/>
                <w:b w:val="false"/>
                <w:i w:val="false"/>
                <w:color w:val="000000"/>
                <w:vertAlign w:val="subscript"/>
              </w:rPr>
              <w:t>0-72 ч)</w:t>
            </w:r>
            <w:r>
              <w:rPr>
                <w:rFonts w:ascii="Times New Roman"/>
                <w:b w:val="false"/>
                <w:i w:val="false"/>
                <w:color w:val="000000"/>
                <w:sz w:val="20"/>
              </w:rPr>
              <w:t xml:space="preserve">&gt;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6" w:id="7501"/>
          <w:p>
            <w:pPr>
              <w:spacing w:after="20"/>
              <w:ind w:left="20"/>
              <w:jc w:val="both"/>
            </w:pPr>
          </w:p>
          <w:bookmarkEnd w:id="75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7" w:id="7502"/>
          <w:p>
            <w:pPr>
              <w:spacing w:after="20"/>
              <w:ind w:left="20"/>
              <w:jc w:val="both"/>
            </w:pPr>
          </w:p>
          <w:bookmarkEnd w:id="75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8" w:id="7503"/>
          <w:p>
            <w:pPr>
              <w:spacing w:after="20"/>
              <w:ind w:left="20"/>
              <w:jc w:val="both"/>
            </w:pPr>
          </w:p>
          <w:bookmarkEnd w:id="75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9" w:id="7504"/>
          <w:p>
            <w:pPr>
              <w:spacing w:after="20"/>
              <w:ind w:left="20"/>
              <w:jc w:val="both"/>
            </w:pPr>
          </w:p>
          <w:bookmarkEnd w:id="75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&lt;AUC</w:t>
            </w:r>
            <w:r>
              <w:rPr>
                <w:rFonts w:ascii="Times New Roman"/>
                <w:b w:val="false"/>
                <w:i w:val="false"/>
                <w:color w:val="000000"/>
                <w:vertAlign w:val="subscript"/>
              </w:rPr>
              <w:t>0-t</w:t>
            </w: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под кривой "концентрация - время от нуля до t"&gt;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0" w:id="7505"/>
          <w:p>
            <w:pPr>
              <w:spacing w:after="20"/>
              <w:ind w:left="20"/>
              <w:jc w:val="both"/>
            </w:pPr>
          </w:p>
          <w:bookmarkEnd w:id="75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&lt;AUC</w:t>
            </w:r>
            <w:r>
              <w:rPr>
                <w:rFonts w:ascii="Times New Roman"/>
                <w:b w:val="false"/>
                <w:i w:val="false"/>
                <w:color w:val="000000"/>
                <w:vertAlign w:val="subscript"/>
              </w:rPr>
              <w:t>0-72 ч</w:t>
            </w: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под кривой "концентрация - время от нуля до 72 часов"&gt;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7506"/>
          <w:p>
            <w:pPr>
              <w:spacing w:after="20"/>
              <w:ind w:left="20"/>
              <w:jc w:val="both"/>
            </w:pPr>
          </w:p>
          <w:bookmarkEnd w:id="75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под кривой "концентрация - время от нуля до бесконечности"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2" w:id="7507"/>
          <w:p>
            <w:pPr>
              <w:spacing w:after="20"/>
              <w:ind w:left="20"/>
              <w:jc w:val="both"/>
            </w:pPr>
          </w:p>
          <w:bookmarkEnd w:id="75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плазменная концентрация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3" w:id="7508"/>
          <w:p>
            <w:pPr>
              <w:spacing w:after="20"/>
              <w:ind w:left="20"/>
              <w:jc w:val="both"/>
            </w:pPr>
          </w:p>
          <w:bookmarkEnd w:id="75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достижения максимальной концентрации (* - медиана, размах)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4" w:id="7509"/>
          <w:p>
            <w:pPr>
              <w:spacing w:after="20"/>
              <w:ind w:left="20"/>
              <w:jc w:val="both"/>
            </w:pPr>
          </w:p>
          <w:bookmarkEnd w:id="750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7510"/>
          <w:p>
            <w:pPr>
              <w:spacing w:after="20"/>
              <w:ind w:left="20"/>
              <w:jc w:val="both"/>
            </w:pPr>
            <w:r>
              <w:rPr>
                <w:rFonts w:ascii="Times New Roman"/>
                <w:b w:val="false"/>
                <w:i w:val="false"/>
                <w:color w:val="000000"/>
                <w:sz w:val="20"/>
              </w:rPr>
              <w:t xml:space="preserve">
Таблица X </w:t>
            </w:r>
          </w:p>
          <w:bookmarkEnd w:id="751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6" w:id="7511"/>
          <w:p>
            <w:pPr>
              <w:spacing w:after="20"/>
              <w:ind w:left="20"/>
              <w:jc w:val="both"/>
            </w:pPr>
            <w:r>
              <w:rPr>
                <w:rFonts w:ascii="Times New Roman"/>
                <w:b w:val="false"/>
                <w:i w:val="false"/>
                <w:color w:val="000000"/>
                <w:sz w:val="20"/>
              </w:rPr>
              <w:t>
Фармакокинетические параметры [указать биообразец]</w:t>
            </w:r>
          </w:p>
          <w:bookmarkEnd w:id="7511"/>
          <w:p>
            <w:pPr>
              <w:spacing w:after="20"/>
              <w:ind w:left="20"/>
              <w:jc w:val="both"/>
            </w:pPr>
            <w:r>
              <w:rPr>
                <w:rFonts w:ascii="Times New Roman"/>
                <w:b w:val="false"/>
                <w:i w:val="false"/>
                <w:color w:val="000000"/>
                <w:sz w:val="20"/>
              </w:rPr>
              <w:t xml:space="preserve">(лог-преобразованные значения)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7512"/>
          <w:p>
            <w:pPr>
              <w:spacing w:after="20"/>
              <w:ind w:left="20"/>
              <w:jc w:val="both"/>
            </w:pPr>
          </w:p>
          <w:bookmarkEnd w:id="7512"/>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7513"/>
          <w:p>
            <w:pPr>
              <w:spacing w:after="20"/>
              <w:ind w:left="20"/>
              <w:jc w:val="both"/>
            </w:pPr>
          </w:p>
          <w:bookmarkEnd w:id="7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Фармакокинетический параметр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геометрических средних исследуемого ЛП и референтного ЛП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Доверительные интервалы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CV% &lt;*&gt;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9" w:id="7514"/>
          <w:p>
            <w:pPr>
              <w:spacing w:after="20"/>
              <w:ind w:left="20"/>
              <w:jc w:val="both"/>
            </w:pPr>
          </w:p>
          <w:bookmarkEnd w:id="7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&lt;AUC</w:t>
            </w:r>
            <w:r>
              <w:rPr>
                <w:rFonts w:ascii="Times New Roman"/>
                <w:b w:val="false"/>
                <w:i w:val="false"/>
                <w:color w:val="000000"/>
                <w:vertAlign w:val="subscript"/>
              </w:rPr>
              <w:t>(0-t)</w:t>
            </w:r>
            <w:r>
              <w:rPr>
                <w:rFonts w:ascii="Times New Roman"/>
                <w:b w:val="false"/>
                <w:i w:val="false"/>
                <w:color w:val="000000"/>
                <w:sz w:val="20"/>
              </w:rPr>
              <w:t>&gt;</w:t>
            </w:r>
          </w:p>
          <w:p>
            <w:pPr>
              <w:spacing w:after="20"/>
              <w:ind w:left="20"/>
              <w:jc w:val="both"/>
            </w:pPr>
            <w:r>
              <w:rPr>
                <w:rFonts w:ascii="Times New Roman"/>
                <w:b w:val="false"/>
                <w:i w:val="false"/>
                <w:color w:val="000000"/>
                <w:sz w:val="20"/>
              </w:rPr>
              <w:t>&lt;AUC</w:t>
            </w:r>
            <w:r>
              <w:rPr>
                <w:rFonts w:ascii="Times New Roman"/>
                <w:b w:val="false"/>
                <w:i w:val="false"/>
                <w:color w:val="000000"/>
                <w:vertAlign w:val="subscript"/>
              </w:rPr>
              <w:t>(</w:t>
            </w:r>
            <w:r>
              <w:rPr>
                <w:rFonts w:ascii="Times New Roman"/>
                <w:b w:val="false"/>
                <w:i w:val="false"/>
                <w:color w:val="000000"/>
                <w:vertAlign w:val="subscript"/>
              </w:rPr>
              <w:t>0-72 ч)</w:t>
            </w:r>
            <w:r>
              <w:rPr>
                <w:rFonts w:ascii="Times New Roman"/>
                <w:b w:val="false"/>
                <w:i w:val="false"/>
                <w:color w:val="000000"/>
                <w:sz w:val="20"/>
              </w:rPr>
              <w:t xml:space="preserve">&gt;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7515"/>
          <w:p>
            <w:pPr>
              <w:spacing w:after="20"/>
              <w:ind w:left="20"/>
              <w:jc w:val="both"/>
            </w:pPr>
          </w:p>
          <w:bookmarkEnd w:id="7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1" w:id="7516"/>
          <w:p>
            <w:pPr>
              <w:spacing w:after="20"/>
              <w:ind w:left="20"/>
              <w:jc w:val="both"/>
            </w:pPr>
          </w:p>
          <w:bookmarkEnd w:id="751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&lt;*&gt; Рассчитанный на основании остаточного среднеквадратичного отклонения (residual mean squares).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7517"/>
          <w:p>
            <w:pPr>
              <w:spacing w:after="20"/>
              <w:ind w:left="20"/>
              <w:jc w:val="both"/>
            </w:pPr>
            <w:r>
              <w:rPr>
                <w:rFonts w:ascii="Times New Roman"/>
                <w:b w:val="false"/>
                <w:i w:val="false"/>
                <w:color w:val="000000"/>
                <w:sz w:val="20"/>
              </w:rPr>
              <w:t xml:space="preserve">
Комментарий эксперта: </w:t>
            </w:r>
          </w:p>
          <w:bookmarkEnd w:id="751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3" w:id="7518"/>
          <w:p>
            <w:pPr>
              <w:spacing w:after="20"/>
              <w:ind w:left="20"/>
              <w:jc w:val="both"/>
            </w:pPr>
            <w:r>
              <w:rPr>
                <w:rFonts w:ascii="Times New Roman"/>
                <w:b w:val="false"/>
                <w:i w:val="false"/>
                <w:color w:val="000000"/>
                <w:sz w:val="20"/>
              </w:rPr>
              <w:t xml:space="preserve">
Данные по безопасности: </w:t>
            </w:r>
          </w:p>
          <w:bookmarkEnd w:id="7518"/>
        </w:tc>
      </w:tr>
    </w:tbl>
    <w:bookmarkStart w:name="z9144" w:id="7519"/>
    <w:p>
      <w:pPr>
        <w:spacing w:after="0"/>
        <w:ind w:left="0"/>
        <w:jc w:val="left"/>
      </w:pPr>
      <w:r>
        <w:rPr>
          <w:rFonts w:ascii="Times New Roman"/>
          <w:b/>
          <w:i w:val="false"/>
          <w:color w:val="000000"/>
        </w:rPr>
        <w:t xml:space="preserve"> Заключение </w:t>
      </w:r>
    </w:p>
    <w:bookmarkEnd w:id="7519"/>
    <w:bookmarkStart w:name="z9145" w:id="7520"/>
    <w:p>
      <w:pPr>
        <w:spacing w:after="0"/>
        <w:ind w:left="0"/>
        <w:jc w:val="both"/>
      </w:pPr>
      <w:r>
        <w:rPr>
          <w:rFonts w:ascii="Times New Roman"/>
          <w:b w:val="false"/>
          <w:i w:val="false"/>
          <w:color w:val="000000"/>
          <w:sz w:val="28"/>
        </w:rPr>
        <w:t>
      &lt;Исходя из представленных результатов исследования (исследований) биоэквивалентности [указать торговое наименование исследованного лекарственного препарата] признается биоэквивалентным [указать наименование референтного препарата].&gt;</w:t>
      </w:r>
    </w:p>
    <w:bookmarkEnd w:id="7520"/>
    <w:bookmarkStart w:name="z9146" w:id="7521"/>
    <w:p>
      <w:pPr>
        <w:spacing w:after="0"/>
        <w:ind w:left="0"/>
        <w:jc w:val="both"/>
      </w:pPr>
      <w:r>
        <w:rPr>
          <w:rFonts w:ascii="Times New Roman"/>
          <w:b w:val="false"/>
          <w:i w:val="false"/>
          <w:color w:val="000000"/>
          <w:sz w:val="28"/>
        </w:rPr>
        <w:t>
      или</w:t>
      </w:r>
    </w:p>
    <w:bookmarkEnd w:id="7521"/>
    <w:bookmarkStart w:name="z9147" w:id="7522"/>
    <w:p>
      <w:pPr>
        <w:spacing w:after="0"/>
        <w:ind w:left="0"/>
        <w:jc w:val="both"/>
      </w:pPr>
      <w:r>
        <w:rPr>
          <w:rFonts w:ascii="Times New Roman"/>
          <w:b w:val="false"/>
          <w:i w:val="false"/>
          <w:color w:val="000000"/>
          <w:sz w:val="28"/>
        </w:rPr>
        <w:t>
      &lt;В связи с [указать основания] [указать (торговое) наименование исследованного лекарственного препарата] признается биоэквивалентным [указать наименование референтного препарата].&gt;</w:t>
      </w:r>
    </w:p>
    <w:bookmarkEnd w:id="7522"/>
    <w:bookmarkStart w:name="z9148" w:id="7523"/>
    <w:p>
      <w:pPr>
        <w:spacing w:after="0"/>
        <w:ind w:left="0"/>
        <w:jc w:val="both"/>
      </w:pPr>
      <w:r>
        <w:rPr>
          <w:rFonts w:ascii="Times New Roman"/>
          <w:b w:val="false"/>
          <w:i w:val="false"/>
          <w:color w:val="000000"/>
          <w:sz w:val="28"/>
        </w:rPr>
        <w:t>
      Если применимо, может быть использована следующая формулировка:</w:t>
      </w:r>
    </w:p>
    <w:bookmarkEnd w:id="7523"/>
    <w:bookmarkStart w:name="z9149" w:id="7524"/>
    <w:p>
      <w:pPr>
        <w:spacing w:after="0"/>
        <w:ind w:left="0"/>
        <w:jc w:val="both"/>
      </w:pPr>
      <w:r>
        <w:rPr>
          <w:rFonts w:ascii="Times New Roman"/>
          <w:b w:val="false"/>
          <w:i w:val="false"/>
          <w:color w:val="000000"/>
          <w:sz w:val="28"/>
        </w:rPr>
        <w:t>
      &lt;Результаты исследования [номер исследования] с препаратом, содержащим [XX мг], [могут (не могут)] быть экстраполированы на другие дозировки [XX мг] в соответствии с условиями, изложенными в Правилах проведения исследований биоэквивалентности лекарственных препаратов в рамках Евразийского экономического союза.&gt;</w:t>
      </w:r>
    </w:p>
    <w:bookmarkEnd w:id="7524"/>
    <w:bookmarkStart w:name="z9150" w:id="7525"/>
    <w:p>
      <w:pPr>
        <w:spacing w:after="0"/>
        <w:ind w:left="0"/>
        <w:jc w:val="both"/>
      </w:pPr>
      <w:r>
        <w:rPr>
          <w:rFonts w:ascii="Times New Roman"/>
          <w:b w:val="false"/>
          <w:i w:val="false"/>
          <w:color w:val="000000"/>
          <w:sz w:val="28"/>
        </w:rPr>
        <w:t>
       </w:t>
      </w:r>
    </w:p>
    <w:bookmarkEnd w:id="7525"/>
    <w:bookmarkStart w:name="z9151" w:id="7526"/>
    <w:p>
      <w:pPr>
        <w:spacing w:after="0"/>
        <w:ind w:left="0"/>
        <w:jc w:val="left"/>
      </w:pPr>
      <w:r>
        <w:rPr>
          <w:rFonts w:ascii="Times New Roman"/>
          <w:b/>
          <w:i w:val="false"/>
          <w:color w:val="000000"/>
        </w:rPr>
        <w:t xml:space="preserve"> 2.3.2. Фармакодинамика </w:t>
      </w:r>
    </w:p>
    <w:bookmarkEnd w:id="7526"/>
    <w:bookmarkStart w:name="z9152" w:id="7527"/>
    <w:p>
      <w:pPr>
        <w:spacing w:after="0"/>
        <w:ind w:left="0"/>
        <w:jc w:val="both"/>
      </w:pPr>
      <w:r>
        <w:rPr>
          <w:rFonts w:ascii="Times New Roman"/>
          <w:b w:val="false"/>
          <w:i w:val="false"/>
          <w:color w:val="000000"/>
          <w:sz w:val="28"/>
        </w:rPr>
        <w:t>
       </w:t>
      </w:r>
    </w:p>
    <w:bookmarkEnd w:id="7527"/>
    <w:bookmarkStart w:name="z9153" w:id="7528"/>
    <w:p>
      <w:pPr>
        <w:spacing w:after="0"/>
        <w:ind w:left="0"/>
        <w:jc w:val="both"/>
      </w:pPr>
      <w:r>
        <w:rPr>
          <w:rFonts w:ascii="Times New Roman"/>
          <w:b w:val="false"/>
          <w:i w:val="false"/>
          <w:color w:val="000000"/>
          <w:sz w:val="28"/>
        </w:rPr>
        <w:t xml:space="preserve">
      &lt;Результаты новых фармакодинамических исследований не представлены, в контексте настоящей заявления подобные исследования не требуются.&gt; </w:t>
      </w:r>
    </w:p>
    <w:bookmarkEnd w:id="7528"/>
    <w:bookmarkStart w:name="z9154" w:id="7529"/>
    <w:p>
      <w:pPr>
        <w:spacing w:after="0"/>
        <w:ind w:left="0"/>
        <w:jc w:val="both"/>
      </w:pPr>
      <w:r>
        <w:rPr>
          <w:rFonts w:ascii="Times New Roman"/>
          <w:b w:val="false"/>
          <w:i w:val="false"/>
          <w:color w:val="000000"/>
          <w:sz w:val="28"/>
        </w:rPr>
        <w:t>
      Комментарий эксперта:</w:t>
      </w:r>
    </w:p>
    <w:bookmarkEnd w:id="7529"/>
    <w:bookmarkStart w:name="z9155" w:id="7530"/>
    <w:p>
      <w:pPr>
        <w:spacing w:after="0"/>
        <w:ind w:left="0"/>
        <w:jc w:val="both"/>
      </w:pPr>
      <w:r>
        <w:rPr>
          <w:rFonts w:ascii="Times New Roman"/>
          <w:b w:val="false"/>
          <w:i w:val="false"/>
          <w:color w:val="000000"/>
          <w:sz w:val="28"/>
        </w:rPr>
        <w:t>
       </w:t>
      </w:r>
    </w:p>
    <w:bookmarkEnd w:id="7530"/>
    <w:bookmarkStart w:name="z9156" w:id="7531"/>
    <w:p>
      <w:pPr>
        <w:spacing w:after="0"/>
        <w:ind w:left="0"/>
        <w:jc w:val="left"/>
      </w:pPr>
      <w:r>
        <w:rPr>
          <w:rFonts w:ascii="Times New Roman"/>
          <w:b/>
          <w:i w:val="false"/>
          <w:color w:val="000000"/>
        </w:rPr>
        <w:t xml:space="preserve"> 2.3.3. Пострегистрационный опыт </w:t>
      </w:r>
    </w:p>
    <w:bookmarkEnd w:id="7531"/>
    <w:bookmarkStart w:name="z9157" w:id="7532"/>
    <w:p>
      <w:pPr>
        <w:spacing w:after="0"/>
        <w:ind w:left="0"/>
        <w:jc w:val="both"/>
      </w:pPr>
      <w:r>
        <w:rPr>
          <w:rFonts w:ascii="Times New Roman"/>
          <w:b w:val="false"/>
          <w:i w:val="false"/>
          <w:color w:val="000000"/>
          <w:sz w:val="28"/>
        </w:rPr>
        <w:t>
       </w:t>
      </w:r>
    </w:p>
    <w:bookmarkEnd w:id="7532"/>
    <w:bookmarkStart w:name="z9158" w:id="7533"/>
    <w:p>
      <w:pPr>
        <w:spacing w:after="0"/>
        <w:ind w:left="0"/>
        <w:jc w:val="both"/>
      </w:pPr>
      <w:r>
        <w:rPr>
          <w:rFonts w:ascii="Times New Roman"/>
          <w:b w:val="false"/>
          <w:i w:val="false"/>
          <w:color w:val="000000"/>
          <w:sz w:val="28"/>
        </w:rPr>
        <w:t xml:space="preserve">
      &lt;Пострегистрационный опыт применения отсутствует. Лекарственный препарат не применялся за пределами Союза.&gt; </w:t>
      </w:r>
    </w:p>
    <w:bookmarkEnd w:id="7533"/>
    <w:bookmarkStart w:name="z9159" w:id="7534"/>
    <w:p>
      <w:pPr>
        <w:spacing w:after="0"/>
        <w:ind w:left="0"/>
        <w:jc w:val="both"/>
      </w:pPr>
      <w:r>
        <w:rPr>
          <w:rFonts w:ascii="Times New Roman"/>
          <w:b w:val="false"/>
          <w:i w:val="false"/>
          <w:color w:val="000000"/>
          <w:sz w:val="28"/>
        </w:rPr>
        <w:t>
       </w:t>
      </w:r>
    </w:p>
    <w:bookmarkEnd w:id="7534"/>
    <w:bookmarkStart w:name="z9160" w:id="7535"/>
    <w:p>
      <w:pPr>
        <w:spacing w:after="0"/>
        <w:ind w:left="0"/>
        <w:jc w:val="left"/>
      </w:pPr>
      <w:r>
        <w:rPr>
          <w:rFonts w:ascii="Times New Roman"/>
          <w:b/>
          <w:i w:val="false"/>
          <w:color w:val="000000"/>
        </w:rPr>
        <w:t xml:space="preserve"> 2.3.4. Обсуждение клинических аспектов</w:t>
      </w:r>
    </w:p>
    <w:bookmarkEnd w:id="7535"/>
    <w:bookmarkStart w:name="z9161" w:id="7536"/>
    <w:p>
      <w:pPr>
        <w:spacing w:after="0"/>
        <w:ind w:left="0"/>
        <w:jc w:val="left"/>
      </w:pPr>
      <w:r>
        <w:rPr>
          <w:rFonts w:ascii="Times New Roman"/>
          <w:b/>
          <w:i w:val="false"/>
          <w:color w:val="000000"/>
        </w:rPr>
        <w:t xml:space="preserve"> 2.3.5. Заключение по клиническим аспектам </w:t>
      </w:r>
    </w:p>
    <w:bookmarkEnd w:id="7536"/>
    <w:bookmarkStart w:name="z9162" w:id="7537"/>
    <w:p>
      <w:pPr>
        <w:spacing w:after="0"/>
        <w:ind w:left="0"/>
        <w:jc w:val="both"/>
      </w:pPr>
      <w:r>
        <w:rPr>
          <w:rFonts w:ascii="Times New Roman"/>
          <w:b w:val="false"/>
          <w:i w:val="false"/>
          <w:color w:val="000000"/>
          <w:sz w:val="28"/>
        </w:rPr>
        <w:t xml:space="preserve">
      &lt;Резюме литературных источников в отношении клинических данных [название лекарственного препарата] и обоснование того, что другие [соль, сложный эфир, простой эфир, изомер, смесь изомеров, комплекс, производное] действующего вещества по свойствам значимо не отличается от профиля безопасности и эффективности референтного препарата, [не] представлено и [не] принимаются уполномоченным органом. Это [не] согласуется с соответствующими правилами Союза, поэтому [не] требуется проведение дополнительных клинических исследований.&gt; </w:t>
      </w:r>
    </w:p>
    <w:bookmarkEnd w:id="7537"/>
    <w:bookmarkStart w:name="z9163" w:id="7538"/>
    <w:p>
      <w:pPr>
        <w:spacing w:after="0"/>
        <w:ind w:left="0"/>
        <w:jc w:val="both"/>
      </w:pPr>
      <w:r>
        <w:rPr>
          <w:rFonts w:ascii="Times New Roman"/>
          <w:b w:val="false"/>
          <w:i w:val="false"/>
          <w:color w:val="000000"/>
          <w:sz w:val="28"/>
        </w:rPr>
        <w:t xml:space="preserve">
      &lt;Считаю необходимым принять следующие меры, чтобы устранить замечания к клиническим аспектам [перечислить необходимые меры]:&gt; </w:t>
      </w:r>
    </w:p>
    <w:bookmarkEnd w:id="7538"/>
    <w:bookmarkStart w:name="z9164" w:id="7539"/>
    <w:p>
      <w:pPr>
        <w:spacing w:after="0"/>
        <w:ind w:left="0"/>
        <w:jc w:val="left"/>
      </w:pPr>
      <w:r>
        <w:rPr>
          <w:rFonts w:ascii="Times New Roman"/>
          <w:b/>
          <w:i w:val="false"/>
          <w:color w:val="000000"/>
        </w:rPr>
        <w:t xml:space="preserve"> 3. Фармаконадзор</w:t>
      </w:r>
    </w:p>
    <w:bookmarkEnd w:id="7539"/>
    <w:bookmarkStart w:name="z9165" w:id="7540"/>
    <w:p>
      <w:pPr>
        <w:spacing w:after="0"/>
        <w:ind w:left="0"/>
        <w:jc w:val="left"/>
      </w:pPr>
      <w:r>
        <w:rPr>
          <w:rFonts w:ascii="Times New Roman"/>
          <w:b/>
          <w:i w:val="false"/>
          <w:color w:val="000000"/>
        </w:rPr>
        <w:t xml:space="preserve"> 3.1. Система фармаконадзора </w:t>
      </w:r>
    </w:p>
    <w:bookmarkEnd w:id="7540"/>
    <w:bookmarkStart w:name="z9166" w:id="7541"/>
    <w:p>
      <w:pPr>
        <w:spacing w:after="0"/>
        <w:ind w:left="0"/>
        <w:jc w:val="both"/>
      </w:pPr>
      <w:r>
        <w:rPr>
          <w:rFonts w:ascii="Times New Roman"/>
          <w:b w:val="false"/>
          <w:i w:val="false"/>
          <w:color w:val="000000"/>
          <w:sz w:val="28"/>
        </w:rPr>
        <w:t xml:space="preserve">
      &lt;Заявитель представил документы, содержащие подробное описание системы фармаконадзора. Представлена декларация, подписанная заявителем и уполномоченным лицом по фармаконадзору, удостоверяющая, что заявитель имеет в своем распоряжении уполномоченное лицо, ответственное за фармаконадзор, и средства, необходимые для уведомления о любой нежелательной реакции, возникающей в Союзе или в третьих странах.&gt; </w:t>
      </w:r>
    </w:p>
    <w:bookmarkEnd w:id="7541"/>
    <w:bookmarkStart w:name="z9167" w:id="7542"/>
    <w:p>
      <w:pPr>
        <w:spacing w:after="0"/>
        <w:ind w:left="0"/>
        <w:jc w:val="both"/>
      </w:pPr>
      <w:r>
        <w:rPr>
          <w:rFonts w:ascii="Times New Roman"/>
          <w:b w:val="false"/>
          <w:i w:val="false"/>
          <w:color w:val="000000"/>
          <w:sz w:val="28"/>
        </w:rPr>
        <w:t xml:space="preserve">
      &lt;Считаю, что система фармаконадзора, описанная заявителем, удовлетворяет требованиям и содержит достаточное подтверждение того, что заявитель имеет в своем распоряжении уполномоченное лицо, ответственное за фармаконадзор, и средства, необходимые для уведомления о любой нежелательной реакции, возникающей в Сообществе или в третьей стране.&gt; </w:t>
      </w:r>
    </w:p>
    <w:bookmarkEnd w:id="7542"/>
    <w:bookmarkStart w:name="z9168" w:id="7543"/>
    <w:p>
      <w:pPr>
        <w:spacing w:after="0"/>
        <w:ind w:left="0"/>
        <w:jc w:val="both"/>
      </w:pPr>
      <w:r>
        <w:rPr>
          <w:rFonts w:ascii="Times New Roman"/>
          <w:b w:val="false"/>
          <w:i w:val="false"/>
          <w:color w:val="000000"/>
          <w:sz w:val="28"/>
        </w:rPr>
        <w:t xml:space="preserve">
      &lt;Считаю, что описанная заявителем система фармаконадзора имеет следующие недостатки: &lt;перечень недостатков&gt; </w:t>
      </w:r>
    </w:p>
    <w:bookmarkEnd w:id="7543"/>
    <w:bookmarkStart w:name="z9169" w:id="7544"/>
    <w:p>
      <w:pPr>
        <w:spacing w:after="0"/>
        <w:ind w:left="0"/>
        <w:jc w:val="both"/>
      </w:pPr>
      <w:r>
        <w:rPr>
          <w:rFonts w:ascii="Times New Roman"/>
          <w:b w:val="false"/>
          <w:i w:val="false"/>
          <w:color w:val="000000"/>
          <w:sz w:val="28"/>
        </w:rPr>
        <w:t xml:space="preserve">
      &lt;При условии устранения заявителем недостатков до начала реализации лекарственного препарата уполномоченный орган может признать систему фармаконадзора как удовлетворяющую требованиям. Заявитель должен обеспечить наличие и функционирование системы фармаконадзора до начала реализации.&gt; </w:t>
      </w:r>
    </w:p>
    <w:bookmarkEnd w:id="7544"/>
    <w:bookmarkStart w:name="z9170" w:id="7545"/>
    <w:p>
      <w:pPr>
        <w:spacing w:after="0"/>
        <w:ind w:left="0"/>
        <w:jc w:val="both"/>
      </w:pPr>
      <w:r>
        <w:rPr>
          <w:rFonts w:ascii="Times New Roman"/>
          <w:b w:val="false"/>
          <w:i w:val="false"/>
          <w:color w:val="000000"/>
          <w:sz w:val="28"/>
        </w:rPr>
        <w:t xml:space="preserve">
      Комментарий эксперта: </w:t>
      </w:r>
    </w:p>
    <w:bookmarkEnd w:id="7545"/>
    <w:bookmarkStart w:name="z9171" w:id="7546"/>
    <w:p>
      <w:pPr>
        <w:spacing w:after="0"/>
        <w:ind w:left="0"/>
        <w:jc w:val="both"/>
      </w:pPr>
      <w:r>
        <w:rPr>
          <w:rFonts w:ascii="Times New Roman"/>
          <w:b w:val="false"/>
          <w:i w:val="false"/>
          <w:color w:val="000000"/>
          <w:sz w:val="28"/>
        </w:rPr>
        <w:t>
       </w:t>
      </w:r>
    </w:p>
    <w:bookmarkEnd w:id="7546"/>
    <w:bookmarkStart w:name="z9172" w:id="7547"/>
    <w:p>
      <w:pPr>
        <w:spacing w:after="0"/>
        <w:ind w:left="0"/>
        <w:jc w:val="left"/>
      </w:pPr>
      <w:r>
        <w:rPr>
          <w:rFonts w:ascii="Times New Roman"/>
          <w:b/>
          <w:i w:val="false"/>
          <w:color w:val="000000"/>
        </w:rPr>
        <w:t xml:space="preserve"> 3.2. План управления рисками </w:t>
      </w:r>
    </w:p>
    <w:bookmarkEnd w:id="7547"/>
    <w:bookmarkStart w:name="z9173" w:id="7548"/>
    <w:p>
      <w:pPr>
        <w:spacing w:after="0"/>
        <w:ind w:left="0"/>
        <w:jc w:val="both"/>
      </w:pPr>
      <w:r>
        <w:rPr>
          <w:rFonts w:ascii="Times New Roman"/>
          <w:b w:val="false"/>
          <w:i w:val="false"/>
          <w:color w:val="000000"/>
          <w:sz w:val="28"/>
        </w:rPr>
        <w:t>
       </w:t>
      </w:r>
    </w:p>
    <w:bookmarkEnd w:id="7548"/>
    <w:bookmarkStart w:name="z9174" w:id="7549"/>
    <w:p>
      <w:pPr>
        <w:spacing w:after="0"/>
        <w:ind w:left="0"/>
        <w:jc w:val="both"/>
      </w:pPr>
      <w:r>
        <w:rPr>
          <w:rFonts w:ascii="Times New Roman"/>
          <w:b w:val="false"/>
          <w:i w:val="false"/>
          <w:color w:val="000000"/>
          <w:sz w:val="28"/>
        </w:rPr>
        <w:t>
      Замечания и (или) сомнения, которые должен учесть эксперт при экспертизе ПУР:</w:t>
      </w:r>
    </w:p>
    <w:bookmarkEnd w:id="7549"/>
    <w:bookmarkStart w:name="z9175" w:id="7550"/>
    <w:p>
      <w:pPr>
        <w:spacing w:after="0"/>
        <w:ind w:left="0"/>
        <w:jc w:val="both"/>
      </w:pPr>
      <w:r>
        <w:rPr>
          <w:rFonts w:ascii="Times New Roman"/>
          <w:b w:val="false"/>
          <w:i w:val="false"/>
          <w:color w:val="000000"/>
          <w:sz w:val="28"/>
        </w:rPr>
        <w:t>
       </w:t>
      </w:r>
    </w:p>
    <w:bookmarkEnd w:id="7550"/>
    <w:bookmarkStart w:name="z9176" w:id="7551"/>
    <w:p>
      <w:pPr>
        <w:spacing w:after="0"/>
        <w:ind w:left="0"/>
        <w:jc w:val="left"/>
      </w:pPr>
      <w:r>
        <w:rPr>
          <w:rFonts w:ascii="Times New Roman"/>
          <w:b/>
          <w:i w:val="false"/>
          <w:color w:val="000000"/>
        </w:rPr>
        <w:t xml:space="preserve"> 4. Перечень замечаний эксперта </w:t>
      </w:r>
    </w:p>
    <w:bookmarkEnd w:id="7551"/>
    <w:bookmarkStart w:name="z9177" w:id="7552"/>
    <w:p>
      <w:pPr>
        <w:spacing w:after="0"/>
        <w:ind w:left="0"/>
        <w:jc w:val="both"/>
      </w:pPr>
      <w:r>
        <w:rPr>
          <w:rFonts w:ascii="Times New Roman"/>
          <w:b w:val="false"/>
          <w:i w:val="false"/>
          <w:color w:val="000000"/>
          <w:sz w:val="28"/>
        </w:rPr>
        <w:t>
       </w:t>
      </w:r>
    </w:p>
    <w:bookmarkEnd w:id="7552"/>
    <w:bookmarkStart w:name="z9178" w:id="7553"/>
    <w:p>
      <w:pPr>
        <w:spacing w:after="0"/>
        <w:ind w:left="0"/>
        <w:jc w:val="both"/>
      </w:pPr>
      <w:r>
        <w:rPr>
          <w:rFonts w:ascii="Times New Roman"/>
          <w:b w:val="false"/>
          <w:i w:val="false"/>
          <w:color w:val="000000"/>
          <w:sz w:val="28"/>
        </w:rPr>
        <w:t>
      Доклинические аспекты:</w:t>
      </w:r>
    </w:p>
    <w:bookmarkEnd w:id="7553"/>
    <w:bookmarkStart w:name="z9179" w:id="7554"/>
    <w:p>
      <w:pPr>
        <w:spacing w:after="0"/>
        <w:ind w:left="0"/>
        <w:jc w:val="both"/>
      </w:pPr>
      <w:r>
        <w:rPr>
          <w:rFonts w:ascii="Times New Roman"/>
          <w:b w:val="false"/>
          <w:i w:val="false"/>
          <w:color w:val="000000"/>
          <w:sz w:val="28"/>
        </w:rPr>
        <w:t>
       </w:t>
      </w:r>
    </w:p>
    <w:bookmarkEnd w:id="7554"/>
    <w:bookmarkStart w:name="z9180" w:id="7555"/>
    <w:p>
      <w:pPr>
        <w:spacing w:after="0"/>
        <w:ind w:left="0"/>
        <w:jc w:val="both"/>
      </w:pPr>
      <w:r>
        <w:rPr>
          <w:rFonts w:ascii="Times New Roman"/>
          <w:b w:val="false"/>
          <w:i w:val="false"/>
          <w:color w:val="000000"/>
          <w:sz w:val="28"/>
        </w:rPr>
        <w:t>
      Критические замечания:</w:t>
      </w:r>
    </w:p>
    <w:bookmarkEnd w:id="7555"/>
    <w:bookmarkStart w:name="z9181" w:id="7556"/>
    <w:p>
      <w:pPr>
        <w:spacing w:after="0"/>
        <w:ind w:left="0"/>
        <w:jc w:val="both"/>
      </w:pPr>
      <w:r>
        <w:rPr>
          <w:rFonts w:ascii="Times New Roman"/>
          <w:b w:val="false"/>
          <w:i w:val="false"/>
          <w:color w:val="000000"/>
          <w:sz w:val="28"/>
        </w:rPr>
        <w:t xml:space="preserve">
      &lt;Отсутствуют.&gt; </w:t>
      </w:r>
    </w:p>
    <w:bookmarkEnd w:id="7556"/>
    <w:bookmarkStart w:name="z9182" w:id="7557"/>
    <w:p>
      <w:pPr>
        <w:spacing w:after="0"/>
        <w:ind w:left="0"/>
        <w:jc w:val="both"/>
      </w:pPr>
      <w:r>
        <w:rPr>
          <w:rFonts w:ascii="Times New Roman"/>
          <w:b w:val="false"/>
          <w:i w:val="false"/>
          <w:color w:val="000000"/>
          <w:sz w:val="28"/>
        </w:rPr>
        <w:t>
      &lt;Фармакология&gt;</w:t>
      </w:r>
    </w:p>
    <w:bookmarkEnd w:id="7557"/>
    <w:bookmarkStart w:name="z9183" w:id="7558"/>
    <w:p>
      <w:pPr>
        <w:spacing w:after="0"/>
        <w:ind w:left="0"/>
        <w:jc w:val="both"/>
      </w:pPr>
      <w:r>
        <w:rPr>
          <w:rFonts w:ascii="Times New Roman"/>
          <w:b w:val="false"/>
          <w:i w:val="false"/>
          <w:color w:val="000000"/>
          <w:sz w:val="28"/>
        </w:rPr>
        <w:t>
      &lt;Фармакокинетика&gt;</w:t>
      </w:r>
    </w:p>
    <w:bookmarkEnd w:id="7558"/>
    <w:bookmarkStart w:name="z9184" w:id="7559"/>
    <w:p>
      <w:pPr>
        <w:spacing w:after="0"/>
        <w:ind w:left="0"/>
        <w:jc w:val="both"/>
      </w:pPr>
      <w:r>
        <w:rPr>
          <w:rFonts w:ascii="Times New Roman"/>
          <w:b w:val="false"/>
          <w:i w:val="false"/>
          <w:color w:val="000000"/>
          <w:sz w:val="28"/>
        </w:rPr>
        <w:t>
      &lt;Токсикология&gt;</w:t>
      </w:r>
    </w:p>
    <w:bookmarkEnd w:id="7559"/>
    <w:bookmarkStart w:name="z9185" w:id="7560"/>
    <w:p>
      <w:pPr>
        <w:spacing w:after="0"/>
        <w:ind w:left="0"/>
        <w:jc w:val="both"/>
      </w:pPr>
      <w:r>
        <w:rPr>
          <w:rFonts w:ascii="Times New Roman"/>
          <w:b w:val="false"/>
          <w:i w:val="false"/>
          <w:color w:val="000000"/>
          <w:sz w:val="28"/>
        </w:rPr>
        <w:t>
       </w:t>
      </w:r>
    </w:p>
    <w:bookmarkEnd w:id="7560"/>
    <w:bookmarkStart w:name="z9186" w:id="7561"/>
    <w:p>
      <w:pPr>
        <w:spacing w:after="0"/>
        <w:ind w:left="0"/>
        <w:jc w:val="both"/>
      </w:pPr>
      <w:r>
        <w:rPr>
          <w:rFonts w:ascii="Times New Roman"/>
          <w:b w:val="false"/>
          <w:i w:val="false"/>
          <w:color w:val="000000"/>
          <w:sz w:val="28"/>
        </w:rPr>
        <w:t>
      Прочие замечания:</w:t>
      </w:r>
    </w:p>
    <w:bookmarkEnd w:id="7561"/>
    <w:bookmarkStart w:name="z9187" w:id="7562"/>
    <w:p>
      <w:pPr>
        <w:spacing w:after="0"/>
        <w:ind w:left="0"/>
        <w:jc w:val="both"/>
      </w:pPr>
      <w:r>
        <w:rPr>
          <w:rFonts w:ascii="Times New Roman"/>
          <w:b w:val="false"/>
          <w:i w:val="false"/>
          <w:color w:val="000000"/>
          <w:sz w:val="28"/>
        </w:rPr>
        <w:t xml:space="preserve">
      &lt;Отсутствуют.&gt; </w:t>
      </w:r>
    </w:p>
    <w:bookmarkEnd w:id="7562"/>
    <w:bookmarkStart w:name="z9188" w:id="7563"/>
    <w:p>
      <w:pPr>
        <w:spacing w:after="0"/>
        <w:ind w:left="0"/>
        <w:jc w:val="both"/>
      </w:pPr>
      <w:r>
        <w:rPr>
          <w:rFonts w:ascii="Times New Roman"/>
          <w:b w:val="false"/>
          <w:i w:val="false"/>
          <w:color w:val="000000"/>
          <w:sz w:val="28"/>
        </w:rPr>
        <w:t>
      &lt;Фармакология&gt;</w:t>
      </w:r>
    </w:p>
    <w:bookmarkEnd w:id="7563"/>
    <w:bookmarkStart w:name="z9189" w:id="7564"/>
    <w:p>
      <w:pPr>
        <w:spacing w:after="0"/>
        <w:ind w:left="0"/>
        <w:jc w:val="both"/>
      </w:pPr>
      <w:r>
        <w:rPr>
          <w:rFonts w:ascii="Times New Roman"/>
          <w:b w:val="false"/>
          <w:i w:val="false"/>
          <w:color w:val="000000"/>
          <w:sz w:val="28"/>
        </w:rPr>
        <w:t>
      &lt;Фармакокинетика&gt;</w:t>
      </w:r>
    </w:p>
    <w:bookmarkEnd w:id="7564"/>
    <w:bookmarkStart w:name="z9190" w:id="7565"/>
    <w:p>
      <w:pPr>
        <w:spacing w:after="0"/>
        <w:ind w:left="0"/>
        <w:jc w:val="both"/>
      </w:pPr>
      <w:r>
        <w:rPr>
          <w:rFonts w:ascii="Times New Roman"/>
          <w:b w:val="false"/>
          <w:i w:val="false"/>
          <w:color w:val="000000"/>
          <w:sz w:val="28"/>
        </w:rPr>
        <w:t>
      &lt;Токсикология&gt;</w:t>
      </w:r>
    </w:p>
    <w:bookmarkEnd w:id="7565"/>
    <w:bookmarkStart w:name="z9191" w:id="7566"/>
    <w:p>
      <w:pPr>
        <w:spacing w:after="0"/>
        <w:ind w:left="0"/>
        <w:jc w:val="both"/>
      </w:pPr>
      <w:r>
        <w:rPr>
          <w:rFonts w:ascii="Times New Roman"/>
          <w:b w:val="false"/>
          <w:i w:val="false"/>
          <w:color w:val="000000"/>
          <w:sz w:val="28"/>
        </w:rPr>
        <w:t>
       </w:t>
      </w:r>
    </w:p>
    <w:bookmarkEnd w:id="7566"/>
    <w:bookmarkStart w:name="z9192" w:id="7567"/>
    <w:p>
      <w:pPr>
        <w:spacing w:after="0"/>
        <w:ind w:left="0"/>
        <w:jc w:val="both"/>
      </w:pPr>
      <w:r>
        <w:rPr>
          <w:rFonts w:ascii="Times New Roman"/>
          <w:b w:val="false"/>
          <w:i w:val="false"/>
          <w:color w:val="000000"/>
          <w:sz w:val="28"/>
        </w:rPr>
        <w:t>
      Клинические аспекты:</w:t>
      </w:r>
    </w:p>
    <w:bookmarkEnd w:id="7567"/>
    <w:bookmarkStart w:name="z9193" w:id="7568"/>
    <w:p>
      <w:pPr>
        <w:spacing w:after="0"/>
        <w:ind w:left="0"/>
        <w:jc w:val="both"/>
      </w:pPr>
      <w:r>
        <w:rPr>
          <w:rFonts w:ascii="Times New Roman"/>
          <w:b w:val="false"/>
          <w:i w:val="false"/>
          <w:color w:val="000000"/>
          <w:sz w:val="28"/>
        </w:rPr>
        <w:t>
       </w:t>
      </w:r>
    </w:p>
    <w:bookmarkEnd w:id="7568"/>
    <w:bookmarkStart w:name="z9194" w:id="7569"/>
    <w:p>
      <w:pPr>
        <w:spacing w:after="0"/>
        <w:ind w:left="0"/>
        <w:jc w:val="both"/>
      </w:pPr>
      <w:r>
        <w:rPr>
          <w:rFonts w:ascii="Times New Roman"/>
          <w:b w:val="false"/>
          <w:i w:val="false"/>
          <w:color w:val="000000"/>
          <w:sz w:val="28"/>
        </w:rPr>
        <w:t>
      Критические замечания:</w:t>
      </w:r>
    </w:p>
    <w:bookmarkEnd w:id="7569"/>
    <w:bookmarkStart w:name="z9195" w:id="7570"/>
    <w:p>
      <w:pPr>
        <w:spacing w:after="0"/>
        <w:ind w:left="0"/>
        <w:jc w:val="both"/>
      </w:pPr>
      <w:r>
        <w:rPr>
          <w:rFonts w:ascii="Times New Roman"/>
          <w:b w:val="false"/>
          <w:i w:val="false"/>
          <w:color w:val="000000"/>
          <w:sz w:val="28"/>
        </w:rPr>
        <w:t xml:space="preserve">
      &lt;Отсутствуют.&gt; </w:t>
      </w:r>
    </w:p>
    <w:bookmarkEnd w:id="7570"/>
    <w:bookmarkStart w:name="z9196" w:id="7571"/>
    <w:p>
      <w:pPr>
        <w:spacing w:after="0"/>
        <w:ind w:left="0"/>
        <w:jc w:val="both"/>
      </w:pPr>
      <w:r>
        <w:rPr>
          <w:rFonts w:ascii="Times New Roman"/>
          <w:b w:val="false"/>
          <w:i w:val="false"/>
          <w:color w:val="000000"/>
          <w:sz w:val="28"/>
        </w:rPr>
        <w:t>
      &lt;Фармакокинетика&gt;</w:t>
      </w:r>
    </w:p>
    <w:bookmarkEnd w:id="7571"/>
    <w:bookmarkStart w:name="z9197" w:id="7572"/>
    <w:p>
      <w:pPr>
        <w:spacing w:after="0"/>
        <w:ind w:left="0"/>
        <w:jc w:val="both"/>
      </w:pPr>
      <w:r>
        <w:rPr>
          <w:rFonts w:ascii="Times New Roman"/>
          <w:b w:val="false"/>
          <w:i w:val="false"/>
          <w:color w:val="000000"/>
          <w:sz w:val="28"/>
        </w:rPr>
        <w:t>
      &lt;Система фармаконадзора&gt;</w:t>
      </w:r>
    </w:p>
    <w:bookmarkEnd w:id="7572"/>
    <w:bookmarkStart w:name="z9198" w:id="7573"/>
    <w:p>
      <w:pPr>
        <w:spacing w:after="0"/>
        <w:ind w:left="0"/>
        <w:jc w:val="both"/>
      </w:pPr>
      <w:r>
        <w:rPr>
          <w:rFonts w:ascii="Times New Roman"/>
          <w:b w:val="false"/>
          <w:i w:val="false"/>
          <w:color w:val="000000"/>
          <w:sz w:val="28"/>
        </w:rPr>
        <w:t>
      &lt;План управления рисками&gt;</w:t>
      </w:r>
    </w:p>
    <w:bookmarkEnd w:id="7573"/>
    <w:bookmarkStart w:name="z9199" w:id="7574"/>
    <w:p>
      <w:pPr>
        <w:spacing w:after="0"/>
        <w:ind w:left="0"/>
        <w:jc w:val="both"/>
      </w:pPr>
      <w:r>
        <w:rPr>
          <w:rFonts w:ascii="Times New Roman"/>
          <w:b w:val="false"/>
          <w:i w:val="false"/>
          <w:color w:val="000000"/>
          <w:sz w:val="28"/>
        </w:rPr>
        <w:t>
       </w:t>
      </w:r>
    </w:p>
    <w:bookmarkEnd w:id="7574"/>
    <w:bookmarkStart w:name="z9200" w:id="7575"/>
    <w:p>
      <w:pPr>
        <w:spacing w:after="0"/>
        <w:ind w:left="0"/>
        <w:jc w:val="both"/>
      </w:pPr>
      <w:r>
        <w:rPr>
          <w:rFonts w:ascii="Times New Roman"/>
          <w:b w:val="false"/>
          <w:i w:val="false"/>
          <w:color w:val="000000"/>
          <w:sz w:val="28"/>
        </w:rPr>
        <w:t>
      Прочие замечания:</w:t>
      </w:r>
    </w:p>
    <w:bookmarkEnd w:id="7575"/>
    <w:bookmarkStart w:name="z9201" w:id="7576"/>
    <w:p>
      <w:pPr>
        <w:spacing w:after="0"/>
        <w:ind w:left="0"/>
        <w:jc w:val="both"/>
      </w:pPr>
      <w:r>
        <w:rPr>
          <w:rFonts w:ascii="Times New Roman"/>
          <w:b w:val="false"/>
          <w:i w:val="false"/>
          <w:color w:val="000000"/>
          <w:sz w:val="28"/>
        </w:rPr>
        <w:t xml:space="preserve">
      &lt;Отсутствуют.&gt; </w:t>
      </w:r>
    </w:p>
    <w:bookmarkEnd w:id="7576"/>
    <w:bookmarkStart w:name="z9202" w:id="7577"/>
    <w:p>
      <w:pPr>
        <w:spacing w:after="0"/>
        <w:ind w:left="0"/>
        <w:jc w:val="both"/>
      </w:pPr>
      <w:r>
        <w:rPr>
          <w:rFonts w:ascii="Times New Roman"/>
          <w:b w:val="false"/>
          <w:i w:val="false"/>
          <w:color w:val="000000"/>
          <w:sz w:val="28"/>
        </w:rPr>
        <w:t>
      &lt;Фармакокинетика&gt;</w:t>
      </w:r>
    </w:p>
    <w:bookmarkEnd w:id="7577"/>
    <w:bookmarkStart w:name="z9203" w:id="7578"/>
    <w:p>
      <w:pPr>
        <w:spacing w:after="0"/>
        <w:ind w:left="0"/>
        <w:jc w:val="both"/>
      </w:pPr>
      <w:r>
        <w:rPr>
          <w:rFonts w:ascii="Times New Roman"/>
          <w:b w:val="false"/>
          <w:i w:val="false"/>
          <w:color w:val="000000"/>
          <w:sz w:val="28"/>
        </w:rPr>
        <w:t>
      &lt;Система фармаконадзора&gt;</w:t>
      </w:r>
    </w:p>
    <w:bookmarkEnd w:id="7578"/>
    <w:bookmarkStart w:name="z9204" w:id="7579"/>
    <w:p>
      <w:pPr>
        <w:spacing w:after="0"/>
        <w:ind w:left="0"/>
        <w:jc w:val="both"/>
      </w:pPr>
      <w:r>
        <w:rPr>
          <w:rFonts w:ascii="Times New Roman"/>
          <w:b w:val="false"/>
          <w:i w:val="false"/>
          <w:color w:val="000000"/>
          <w:sz w:val="28"/>
        </w:rPr>
        <w:t>
      &lt;План управления рисками&gt;</w:t>
      </w:r>
    </w:p>
    <w:bookmarkEnd w:id="7579"/>
    <w:bookmarkStart w:name="z9205" w:id="7580"/>
    <w:p>
      <w:pPr>
        <w:spacing w:after="0"/>
        <w:ind w:left="0"/>
        <w:jc w:val="both"/>
      </w:pPr>
      <w:r>
        <w:rPr>
          <w:rFonts w:ascii="Times New Roman"/>
          <w:b w:val="false"/>
          <w:i w:val="false"/>
          <w:color w:val="000000"/>
          <w:sz w:val="28"/>
        </w:rPr>
        <w:t>
       </w:t>
      </w:r>
    </w:p>
    <w:bookmarkEnd w:id="7580"/>
    <w:bookmarkStart w:name="z9206" w:id="7581"/>
    <w:p>
      <w:pPr>
        <w:spacing w:after="0"/>
        <w:ind w:left="0"/>
        <w:jc w:val="both"/>
      </w:pPr>
      <w:r>
        <w:rPr>
          <w:rFonts w:ascii="Times New Roman"/>
          <w:b w:val="false"/>
          <w:i w:val="false"/>
          <w:color w:val="000000"/>
          <w:sz w:val="28"/>
        </w:rPr>
        <w:t>
      Рекомендации:</w:t>
      </w:r>
    </w:p>
    <w:bookmarkEnd w:id="7581"/>
    <w:bookmarkStart w:name="z9207" w:id="7582"/>
    <w:p>
      <w:pPr>
        <w:spacing w:after="0"/>
        <w:ind w:left="0"/>
        <w:jc w:val="both"/>
      </w:pPr>
      <w:r>
        <w:rPr>
          <w:rFonts w:ascii="Times New Roman"/>
          <w:b w:val="false"/>
          <w:i w:val="false"/>
          <w:color w:val="000000"/>
          <w:sz w:val="28"/>
        </w:rPr>
        <w:t>
       </w:t>
      </w:r>
    </w:p>
    <w:bookmarkEnd w:id="7582"/>
    <w:bookmarkStart w:name="z9208" w:id="7583"/>
    <w:p>
      <w:pPr>
        <w:spacing w:after="0"/>
        <w:ind w:left="0"/>
        <w:jc w:val="left"/>
      </w:pPr>
      <w:r>
        <w:rPr>
          <w:rFonts w:ascii="Times New Roman"/>
          <w:b/>
          <w:i w:val="false"/>
          <w:color w:val="000000"/>
        </w:rPr>
        <w:t xml:space="preserve"> 5. Рекомендуемые экспертом условия, выполнение которых необходимо после получения заявителем регистрационного удостоверения и утверждения общей</w:t>
      </w:r>
      <w:r>
        <w:br/>
      </w:r>
      <w:r>
        <w:rPr>
          <w:rFonts w:ascii="Times New Roman"/>
          <w:b/>
          <w:i w:val="false"/>
          <w:color w:val="000000"/>
        </w:rPr>
        <w:t>характеристики лекарственного препарата, инструкции по медицинскому применению (листка-вкладыша) и дизайна упаковки лекарственного препарата</w:t>
      </w:r>
    </w:p>
    <w:bookmarkEnd w:id="7583"/>
    <w:bookmarkStart w:name="z9209" w:id="7584"/>
    <w:p>
      <w:pPr>
        <w:spacing w:after="0"/>
        <w:ind w:left="0"/>
        <w:jc w:val="left"/>
      </w:pPr>
      <w:r>
        <w:rPr>
          <w:rFonts w:ascii="Times New Roman"/>
          <w:b/>
          <w:i w:val="false"/>
          <w:color w:val="000000"/>
        </w:rPr>
        <w:t xml:space="preserve"> 6. Список литературы </w:t>
      </w:r>
    </w:p>
    <w:bookmarkEnd w:id="7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23</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 средств</w:t>
            </w:r>
            <w:r>
              <w:br/>
            </w:r>
            <w:r>
              <w:rPr>
                <w:rFonts w:ascii="Times New Roman"/>
                <w:b w:val="false"/>
                <w:i w:val="false"/>
                <w:color w:val="000000"/>
                <w:sz w:val="20"/>
              </w:rPr>
              <w:t xml:space="preserve">для медицинского применения </w:t>
            </w:r>
          </w:p>
        </w:tc>
      </w:tr>
    </w:tbl>
    <w:bookmarkStart w:name="z9211" w:id="7585"/>
    <w:p>
      <w:pPr>
        <w:spacing w:after="0"/>
        <w:ind w:left="0"/>
        <w:jc w:val="left"/>
      </w:pPr>
      <w:r>
        <w:rPr>
          <w:rFonts w:ascii="Times New Roman"/>
          <w:b/>
          <w:i w:val="false"/>
          <w:color w:val="000000"/>
        </w:rPr>
        <w:t xml:space="preserve"> УКАЗАНИЯ</w:t>
      </w:r>
      <w:r>
        <w:br/>
      </w:r>
      <w:r>
        <w:rPr>
          <w:rFonts w:ascii="Times New Roman"/>
          <w:b/>
          <w:i w:val="false"/>
          <w:color w:val="000000"/>
        </w:rPr>
        <w:t xml:space="preserve">ПО СОСТАВЛЕНИЮ ЭКСПЕРТНОГО ОТЧЕТА ПО ОЦЕНКЕ РЕЗУЛЬТАТОВ ДОКЛИНИЧЕСКИХ И КЛИНИЧЕСКИХ АСПЕКТОВ ВОСПРОИЗВЕДЕННЫХ ЛЕКАРСТВЕННЫХ СРЕДСТВ </w:t>
      </w:r>
    </w:p>
    <w:bookmarkEnd w:id="7585"/>
    <w:bookmarkStart w:name="z9212" w:id="7586"/>
    <w:p>
      <w:pPr>
        <w:spacing w:after="0"/>
        <w:ind w:left="0"/>
        <w:jc w:val="both"/>
      </w:pPr>
      <w:r>
        <w:rPr>
          <w:rFonts w:ascii="Times New Roman"/>
          <w:b w:val="false"/>
          <w:i w:val="false"/>
          <w:color w:val="000000"/>
          <w:sz w:val="28"/>
        </w:rPr>
        <w:t>
      Настоящие Указания предназначены для первичной экспертизы заявления на регистрацию воспроизведенного лекарственного препарата.</w:t>
      </w:r>
    </w:p>
    <w:bookmarkEnd w:id="7586"/>
    <w:bookmarkStart w:name="z9213" w:id="7587"/>
    <w:p>
      <w:pPr>
        <w:spacing w:after="0"/>
        <w:ind w:left="0"/>
        <w:jc w:val="both"/>
      </w:pPr>
      <w:r>
        <w:rPr>
          <w:rFonts w:ascii="Times New Roman"/>
          <w:b w:val="false"/>
          <w:i w:val="false"/>
          <w:color w:val="000000"/>
          <w:sz w:val="28"/>
        </w:rPr>
        <w:t>
      Основой такой экспертизы, как правило, является оценка подтверждения биоэквивалентности. Если помимо результатов исследований биоэквивалентности представлены доклинические данные, например, с целью квалификации примесей или в качестве обоснования использования новой соли, необходимо провести экспертизу доклинических данных. По аналогии могут быть представлены дополнительные клинические данные (например, результаты исследований терапевтической эквивалентности), требующие проведения клинической экспертизы. В этих случаях данный отчет необходимо дополнить соответствующими заголовками из соответствующих форм экспертного отчета по экспертизе полных регистрационных досье.</w:t>
      </w:r>
    </w:p>
    <w:bookmarkEnd w:id="7587"/>
    <w:bookmarkStart w:name="z9214" w:id="7588"/>
    <w:p>
      <w:pPr>
        <w:spacing w:after="0"/>
        <w:ind w:left="0"/>
        <w:jc w:val="both"/>
      </w:pPr>
      <w:r>
        <w:rPr>
          <w:rFonts w:ascii="Times New Roman"/>
          <w:b w:val="false"/>
          <w:i w:val="false"/>
          <w:color w:val="000000"/>
          <w:sz w:val="28"/>
        </w:rPr>
        <w:t>
      Воспроизведенный лекарственный препарат имеет такой же количественный и качественный состав действующих веществ и ту же лекарственную форму, что и референтный препарат, и его биоэквивалентность референтному лекарственному препарату подтверждается соответствующими исследованиями биодоступности.</w:t>
      </w:r>
    </w:p>
    <w:bookmarkEnd w:id="7588"/>
    <w:bookmarkStart w:name="z9215" w:id="7589"/>
    <w:p>
      <w:pPr>
        <w:spacing w:after="0"/>
        <w:ind w:left="0"/>
        <w:jc w:val="both"/>
      </w:pPr>
      <w:r>
        <w:rPr>
          <w:rFonts w:ascii="Times New Roman"/>
          <w:b w:val="false"/>
          <w:i w:val="false"/>
          <w:color w:val="000000"/>
          <w:sz w:val="28"/>
        </w:rPr>
        <w:t>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(или) эффективность существенно не отличаются. В таких случаях заявитель должен представить дополнительные сведения, содержащие подтверждение безопасности и (или) эффективности других солей, сложных эфиров или иных производных действующего вещества. Различные лекарственные формы для приема внутрь с немедленным высвобождением признаются в рамках исследований биодоступности одной и той же лекарственной формой.</w:t>
      </w:r>
    </w:p>
    <w:bookmarkEnd w:id="7589"/>
    <w:bookmarkStart w:name="z9216" w:id="7590"/>
    <w:p>
      <w:pPr>
        <w:spacing w:after="0"/>
        <w:ind w:left="0"/>
        <w:jc w:val="both"/>
      </w:pPr>
      <w:r>
        <w:rPr>
          <w:rFonts w:ascii="Times New Roman"/>
          <w:b w:val="false"/>
          <w:i w:val="false"/>
          <w:color w:val="000000"/>
          <w:sz w:val="28"/>
        </w:rPr>
        <w:t>
      Целью регистрации лекарственного препарата как воспроизведенного является проведение экспертизы возможности исключить проведение повторных и излишних испытаний и исследований.</w:t>
      </w:r>
    </w:p>
    <w:bookmarkEnd w:id="7590"/>
    <w:bookmarkStart w:name="z9217" w:id="7591"/>
    <w:p>
      <w:pPr>
        <w:spacing w:after="0"/>
        <w:ind w:left="0"/>
        <w:jc w:val="both"/>
      </w:pPr>
      <w:r>
        <w:rPr>
          <w:rFonts w:ascii="Times New Roman"/>
          <w:b w:val="false"/>
          <w:i w:val="false"/>
          <w:color w:val="000000"/>
          <w:sz w:val="28"/>
        </w:rPr>
        <w:t>
      Исследования биоэквивалентности у человека могут не требоваться, если заявитель подтверждает, что воспроизведенный препарат удовлетворяет соответствующим критериям, освобождающим от необходимости проведения таких исследований, описанных в правилах проведения исследований биоэквивалентности воспроизведенных лекарственных препаратов Евразийского экономического союза (далее - Союз).</w:t>
      </w:r>
    </w:p>
    <w:bookmarkEnd w:id="7591"/>
    <w:bookmarkStart w:name="z9218" w:id="7592"/>
    <w:p>
      <w:pPr>
        <w:spacing w:after="0"/>
        <w:ind w:left="0"/>
        <w:jc w:val="left"/>
      </w:pPr>
      <w:r>
        <w:rPr>
          <w:rFonts w:ascii="Times New Roman"/>
          <w:b/>
          <w:i w:val="false"/>
          <w:color w:val="000000"/>
        </w:rPr>
        <w:t xml:space="preserve"> 1. Доклиническая оценка</w:t>
      </w:r>
    </w:p>
    <w:bookmarkEnd w:id="7592"/>
    <w:bookmarkStart w:name="z9219" w:id="7593"/>
    <w:p>
      <w:pPr>
        <w:spacing w:after="0"/>
        <w:ind w:left="0"/>
        <w:jc w:val="left"/>
      </w:pPr>
      <w:r>
        <w:rPr>
          <w:rFonts w:ascii="Times New Roman"/>
          <w:b/>
          <w:i w:val="false"/>
          <w:color w:val="000000"/>
        </w:rPr>
        <w:t xml:space="preserve"> Для заявок на регистрацию воспроизведенных лекарственных препаратов без доклинических данных</w:t>
      </w:r>
    </w:p>
    <w:bookmarkEnd w:id="7593"/>
    <w:bookmarkStart w:name="z9220" w:id="7594"/>
    <w:p>
      <w:pPr>
        <w:spacing w:after="0"/>
        <w:ind w:left="0"/>
        <w:jc w:val="both"/>
      </w:pPr>
      <w:r>
        <w:rPr>
          <w:rFonts w:ascii="Times New Roman"/>
          <w:b w:val="false"/>
          <w:i w:val="false"/>
          <w:color w:val="000000"/>
          <w:sz w:val="28"/>
        </w:rPr>
        <w:t>
      Сформулируйте запись по форме, приведенной ниже, если не представлены новые доклинические данные.</w:t>
      </w:r>
    </w:p>
    <w:bookmarkEnd w:id="7594"/>
    <w:bookmarkStart w:name="z9221" w:id="7595"/>
    <w:p>
      <w:pPr>
        <w:spacing w:after="0"/>
        <w:ind w:left="0"/>
        <w:jc w:val="both"/>
      </w:pPr>
      <w:r>
        <w:rPr>
          <w:rFonts w:ascii="Times New Roman"/>
          <w:b w:val="false"/>
          <w:i w:val="false"/>
          <w:color w:val="000000"/>
          <w:sz w:val="28"/>
        </w:rPr>
        <w:t>
      &lt;Представлен доклинический обзор по фармакологии, фармакокинетике и токсикологии, который [привести краткую характеристику обзора]. В обзоре приводится обоснование отсутствия необходимости представления дополнительных данных по доклинической фармакологии, фармакокинетике и токсикологии. Доклинические аспекты ОХЛП согласуются с ОХЛП референтного препарата. По результатам экспертной оценки установлена приемлемость профиля примесей.&gt;</w:t>
      </w:r>
    </w:p>
    <w:bookmarkEnd w:id="7595"/>
    <w:bookmarkStart w:name="z9222" w:id="7596"/>
    <w:p>
      <w:pPr>
        <w:spacing w:after="0"/>
        <w:ind w:left="0"/>
        <w:jc w:val="both"/>
      </w:pPr>
      <w:r>
        <w:rPr>
          <w:rFonts w:ascii="Times New Roman"/>
          <w:b w:val="false"/>
          <w:i w:val="false"/>
          <w:color w:val="000000"/>
          <w:sz w:val="28"/>
        </w:rPr>
        <w:t>
      Заключение следует сформулировать, используя один из следующих возможных вариантов:</w:t>
      </w:r>
    </w:p>
    <w:bookmarkEnd w:id="7596"/>
    <w:bookmarkStart w:name="z9223" w:id="7597"/>
    <w:p>
      <w:pPr>
        <w:spacing w:after="0"/>
        <w:ind w:left="0"/>
        <w:jc w:val="both"/>
      </w:pPr>
      <w:r>
        <w:rPr>
          <w:rFonts w:ascii="Times New Roman"/>
          <w:b w:val="false"/>
          <w:i w:val="false"/>
          <w:color w:val="000000"/>
          <w:sz w:val="28"/>
        </w:rPr>
        <w:t>
      &lt;Считаю, что доклинический обзор основан на современных и достаточных данных научной литературы. Необходимость представления дополнительных доклинических данных отсутствует.&gt;</w:t>
      </w:r>
    </w:p>
    <w:bookmarkEnd w:id="7597"/>
    <w:bookmarkStart w:name="z9224" w:id="7598"/>
    <w:p>
      <w:pPr>
        <w:spacing w:after="0"/>
        <w:ind w:left="0"/>
        <w:jc w:val="both"/>
      </w:pPr>
      <w:r>
        <w:rPr>
          <w:rFonts w:ascii="Times New Roman"/>
          <w:b w:val="false"/>
          <w:i w:val="false"/>
          <w:color w:val="000000"/>
          <w:sz w:val="28"/>
        </w:rPr>
        <w:t>
      &lt;Считаю, что доклинический обзор по фармакологии, фармакокинетике и токсикологии неприемлем, поскольку [дать комментарий].&gt;</w:t>
      </w:r>
    </w:p>
    <w:bookmarkEnd w:id="7598"/>
    <w:bookmarkStart w:name="z9225" w:id="7599"/>
    <w:p>
      <w:pPr>
        <w:spacing w:after="0"/>
        <w:ind w:left="0"/>
        <w:jc w:val="both"/>
      </w:pPr>
      <w:r>
        <w:rPr>
          <w:rFonts w:ascii="Times New Roman"/>
          <w:b w:val="false"/>
          <w:i w:val="false"/>
          <w:color w:val="000000"/>
          <w:sz w:val="28"/>
        </w:rPr>
        <w:t>
      Если выбран второй вариант, следует представить подробное описание недостающих сведений, влияние, которое оказывает отсутствие таких сведений, и все возможные запросы о представлении дополнительных данных. Затем их следует преобразовать в проект перечня замечаний (раздел 4).</w:t>
      </w:r>
    </w:p>
    <w:bookmarkEnd w:id="7599"/>
    <w:bookmarkStart w:name="z9226" w:id="7600"/>
    <w:p>
      <w:pPr>
        <w:spacing w:after="0"/>
        <w:ind w:left="0"/>
        <w:jc w:val="both"/>
      </w:pPr>
      <w:r>
        <w:rPr>
          <w:rFonts w:ascii="Times New Roman"/>
          <w:b w:val="false"/>
          <w:i w:val="false"/>
          <w:color w:val="000000"/>
          <w:sz w:val="28"/>
        </w:rPr>
        <w:t>
      Если воспроизведенный препарат содержит другую соль, сложные или простые эфиры, изомеры (энантиомеры), смеси изомеров, комплексы или производные действующего вещества, необходимо включить соответствующее указание на это.</w:t>
      </w:r>
    </w:p>
    <w:bookmarkEnd w:id="7600"/>
    <w:bookmarkStart w:name="z9227" w:id="7601"/>
    <w:p>
      <w:pPr>
        <w:spacing w:after="0"/>
        <w:ind w:left="0"/>
        <w:jc w:val="both"/>
      </w:pPr>
      <w:r>
        <w:rPr>
          <w:rFonts w:ascii="Times New Roman"/>
          <w:b w:val="false"/>
          <w:i w:val="false"/>
          <w:color w:val="000000"/>
          <w:sz w:val="28"/>
        </w:rPr>
        <w:t>
      &lt;Резюме литературных источников в отношении доклинических данных [название лекарственного препарата] и обоснование того, что другая [соль, сложный эфир, простой эфир, изомер, смесь изомеров, комплекс, производное] действующего вещества по свойствам значимо не отличается от профиля безопасности и эффективности референтного препарата, [не] представлено и [не] принимается уполномоченным органом. Это [не] согласуется с соответствующими правилами Союза, поэтому [не] требуется проведение дополнительных доклинических исследований.&gt;</w:t>
      </w:r>
    </w:p>
    <w:bookmarkEnd w:id="7601"/>
    <w:bookmarkStart w:name="z9228" w:id="7602"/>
    <w:p>
      <w:pPr>
        <w:spacing w:after="0"/>
        <w:ind w:left="0"/>
        <w:jc w:val="left"/>
      </w:pPr>
      <w:r>
        <w:rPr>
          <w:rFonts w:ascii="Times New Roman"/>
          <w:b/>
          <w:i w:val="false"/>
          <w:color w:val="000000"/>
        </w:rPr>
        <w:t xml:space="preserve"> Для заявок на регистрацию воспроизведенных лекарственных препаратов с доклиническими данными</w:t>
      </w:r>
    </w:p>
    <w:bookmarkEnd w:id="7602"/>
    <w:bookmarkStart w:name="z9229" w:id="7603"/>
    <w:p>
      <w:pPr>
        <w:spacing w:after="0"/>
        <w:ind w:left="0"/>
        <w:jc w:val="both"/>
      </w:pPr>
      <w:r>
        <w:rPr>
          <w:rFonts w:ascii="Times New Roman"/>
          <w:b w:val="false"/>
          <w:i w:val="false"/>
          <w:color w:val="000000"/>
          <w:sz w:val="28"/>
        </w:rPr>
        <w:t>
      В отдельных случаях новые доклинические данные представляют с целью квалификации примесей, обоснования использования новой соли или вследствие появления новых доклинических данных в связи с обновлением или в рамках существующего клинического опыта, например, в отношении беременности, лактации, влияния на интервал QT и т.д., которые могут влиять на общую характеристику лекарственного препарата (далее - ОХЛП). В таком случае необходимо провести новую экспертизу доклинических данных. Допускается привести и при необходимости прокомментировать такие особенности, как недавно опубликованные и клинически значимые данные на животных, представленные в обзоре.</w:t>
      </w:r>
    </w:p>
    <w:bookmarkEnd w:id="7603"/>
    <w:bookmarkStart w:name="z9230" w:id="7604"/>
    <w:p>
      <w:pPr>
        <w:spacing w:after="0"/>
        <w:ind w:left="0"/>
        <w:jc w:val="both"/>
      </w:pPr>
      <w:r>
        <w:rPr>
          <w:rFonts w:ascii="Times New Roman"/>
          <w:b w:val="false"/>
          <w:i w:val="false"/>
          <w:color w:val="000000"/>
          <w:sz w:val="28"/>
        </w:rPr>
        <w:t>
      В целях описания этих сведений следует использовать соответствующие заголовки ("Фармакология", "Фармакокинетика", "Токсикология") формы экспертного отчета для полных регистрационных досье. Приведенная ниже структура содержит лишь заголовки верхнего уровня, необходимо добавить соответствующие подзаголовки. Кроме того, экспертиза может влиять на разделы 4.6 и 5.3 ОХЛП (токсикология, мутагенность, канцерогенность, репродуктивная токсичность: тератогенность, беременность, грудное вскармливание), которые следует указать в данном разделе.</w:t>
      </w:r>
    </w:p>
    <w:bookmarkEnd w:id="7604"/>
    <w:bookmarkStart w:name="z9231" w:id="7605"/>
    <w:p>
      <w:pPr>
        <w:spacing w:after="0"/>
        <w:ind w:left="0"/>
        <w:jc w:val="left"/>
      </w:pPr>
      <w:r>
        <w:rPr>
          <w:rFonts w:ascii="Times New Roman"/>
          <w:b/>
          <w:i w:val="false"/>
          <w:color w:val="000000"/>
        </w:rPr>
        <w:t xml:space="preserve"> 1.5. Заключение по доклиническим аспектам </w:t>
      </w:r>
    </w:p>
    <w:bookmarkEnd w:id="7605"/>
    <w:bookmarkStart w:name="z9232" w:id="7606"/>
    <w:p>
      <w:pPr>
        <w:spacing w:after="0"/>
        <w:ind w:left="0"/>
        <w:jc w:val="both"/>
      </w:pPr>
      <w:r>
        <w:rPr>
          <w:rFonts w:ascii="Times New Roman"/>
          <w:b w:val="false"/>
          <w:i w:val="false"/>
          <w:color w:val="000000"/>
          <w:sz w:val="28"/>
        </w:rPr>
        <w:t>
      Если представлены новые доклинические данные, необходимо составить соответствующее заключение.</w:t>
      </w:r>
    </w:p>
    <w:bookmarkEnd w:id="7606"/>
    <w:bookmarkStart w:name="z9233" w:id="7607"/>
    <w:p>
      <w:pPr>
        <w:spacing w:after="0"/>
        <w:ind w:left="0"/>
        <w:jc w:val="both"/>
      </w:pPr>
      <w:r>
        <w:rPr>
          <w:rFonts w:ascii="Times New Roman"/>
          <w:b w:val="false"/>
          <w:i w:val="false"/>
          <w:color w:val="000000"/>
          <w:sz w:val="28"/>
        </w:rPr>
        <w:t>
      ОХЛП воспроизведенного препарата должна быть в целом идентична ОХЛП референтного препарата. Следует указать наличие идентичности ОХЛП воспроизведенного и референтного препарата. При наличии различий их следует перечислить в данном разделе и указать их обоснованность.</w:t>
      </w:r>
    </w:p>
    <w:bookmarkEnd w:id="7607"/>
    <w:bookmarkStart w:name="z9234" w:id="7608"/>
    <w:p>
      <w:pPr>
        <w:spacing w:after="0"/>
        <w:ind w:left="0"/>
        <w:jc w:val="both"/>
      </w:pPr>
      <w:r>
        <w:rPr>
          <w:rFonts w:ascii="Times New Roman"/>
          <w:b w:val="false"/>
          <w:i w:val="false"/>
          <w:color w:val="000000"/>
          <w:sz w:val="28"/>
        </w:rPr>
        <w:t>
      Вопросы, требующие пояснения, следует включить в оценку соотношения пользы-риска клинической части настоящего отчета и перечислить в перечне замечаний.</w:t>
      </w:r>
    </w:p>
    <w:bookmarkEnd w:id="7608"/>
    <w:bookmarkStart w:name="z9235" w:id="7609"/>
    <w:p>
      <w:pPr>
        <w:spacing w:after="0"/>
        <w:ind w:left="0"/>
        <w:jc w:val="both"/>
      </w:pPr>
      <w:r>
        <w:rPr>
          <w:rFonts w:ascii="Times New Roman"/>
          <w:b w:val="false"/>
          <w:i w:val="false"/>
          <w:color w:val="000000"/>
          <w:sz w:val="28"/>
        </w:rPr>
        <w:t>
      В конце подраздела следует сделать заключение, используя один из следующих вариантов:</w:t>
      </w:r>
    </w:p>
    <w:bookmarkEnd w:id="7609"/>
    <w:bookmarkStart w:name="z9236" w:id="7610"/>
    <w:p>
      <w:pPr>
        <w:spacing w:after="0"/>
        <w:ind w:left="0"/>
        <w:jc w:val="both"/>
      </w:pPr>
      <w:r>
        <w:rPr>
          <w:rFonts w:ascii="Times New Roman"/>
          <w:b w:val="false"/>
          <w:i w:val="false"/>
          <w:color w:val="000000"/>
          <w:sz w:val="28"/>
        </w:rPr>
        <w:t>
      &lt;Препятствия к регистрации &lt;торговое наименование&gt; с доклинической точки зрения отсутствуют.&gt;</w:t>
      </w:r>
    </w:p>
    <w:bookmarkEnd w:id="7610"/>
    <w:bookmarkStart w:name="z9237" w:id="7611"/>
    <w:p>
      <w:pPr>
        <w:spacing w:after="0"/>
        <w:ind w:left="0"/>
        <w:jc w:val="both"/>
      </w:pPr>
      <w:r>
        <w:rPr>
          <w:rFonts w:ascii="Times New Roman"/>
          <w:b w:val="false"/>
          <w:i w:val="false"/>
          <w:color w:val="000000"/>
          <w:sz w:val="28"/>
        </w:rPr>
        <w:t>
      или</w:t>
      </w:r>
    </w:p>
    <w:bookmarkEnd w:id="7611"/>
    <w:bookmarkStart w:name="z9238" w:id="7612"/>
    <w:p>
      <w:pPr>
        <w:spacing w:after="0"/>
        <w:ind w:left="0"/>
        <w:jc w:val="both"/>
      </w:pPr>
      <w:r>
        <w:rPr>
          <w:rFonts w:ascii="Times New Roman"/>
          <w:b w:val="false"/>
          <w:i w:val="false"/>
          <w:color w:val="000000"/>
          <w:sz w:val="28"/>
        </w:rPr>
        <w:t>
      &lt;Как указано выше, имеется ряд замечаний, которые необходимо устранить (см. перечень замечаний)&gt;</w:t>
      </w:r>
    </w:p>
    <w:bookmarkEnd w:id="7612"/>
    <w:bookmarkStart w:name="z9239" w:id="7613"/>
    <w:p>
      <w:pPr>
        <w:spacing w:after="0"/>
        <w:ind w:left="0"/>
        <w:jc w:val="both"/>
      </w:pPr>
      <w:r>
        <w:rPr>
          <w:rFonts w:ascii="Times New Roman"/>
          <w:b w:val="false"/>
          <w:i w:val="false"/>
          <w:color w:val="000000"/>
          <w:sz w:val="28"/>
        </w:rPr>
        <w:t>
      Обязательства для заявителя принять пострегистрационные меры: При наличии замечаний по доклиническим вопросам, они подлежат включению в ОХЛП, регистрационное удостоверение и единый реестр как отдельный раздел в качестве условий регистрации. Следует надлежащим образом обосновать каждую меру, определенную в качестве такого условия, а именно, следует объяснить необходимость включения такого условия в контексте положительного соотношения польза-риск:</w:t>
      </w:r>
    </w:p>
    <w:bookmarkEnd w:id="7613"/>
    <w:bookmarkStart w:name="z9240" w:id="7614"/>
    <w:p>
      <w:pPr>
        <w:spacing w:after="0"/>
        <w:ind w:left="0"/>
        <w:jc w:val="both"/>
      </w:pPr>
      <w:r>
        <w:rPr>
          <w:rFonts w:ascii="Times New Roman"/>
          <w:b w:val="false"/>
          <w:i w:val="false"/>
          <w:color w:val="000000"/>
          <w:sz w:val="28"/>
        </w:rPr>
        <w:t>
      &lt;Считаю необходимым принять следующие меры, чтобы устранить замечания по доклиническим аспектам [перечислить необходимые меры]:&gt;</w:t>
      </w:r>
    </w:p>
    <w:bookmarkEnd w:id="7614"/>
    <w:bookmarkStart w:name="z9241" w:id="7615"/>
    <w:p>
      <w:pPr>
        <w:spacing w:after="0"/>
        <w:ind w:left="0"/>
        <w:jc w:val="left"/>
      </w:pPr>
      <w:r>
        <w:rPr>
          <w:rFonts w:ascii="Times New Roman"/>
          <w:b/>
          <w:i w:val="false"/>
          <w:color w:val="000000"/>
        </w:rPr>
        <w:t xml:space="preserve"> 2. Клинические аспекты</w:t>
      </w:r>
    </w:p>
    <w:bookmarkEnd w:id="7615"/>
    <w:bookmarkStart w:name="z9242" w:id="7616"/>
    <w:p>
      <w:pPr>
        <w:spacing w:after="0"/>
        <w:ind w:left="0"/>
        <w:jc w:val="left"/>
      </w:pPr>
      <w:r>
        <w:rPr>
          <w:rFonts w:ascii="Times New Roman"/>
          <w:b/>
          <w:i w:val="false"/>
          <w:color w:val="000000"/>
        </w:rPr>
        <w:t xml:space="preserve"> 2.1. Введение</w:t>
      </w:r>
    </w:p>
    <w:bookmarkEnd w:id="7616"/>
    <w:bookmarkStart w:name="z9243" w:id="7617"/>
    <w:p>
      <w:pPr>
        <w:spacing w:after="0"/>
        <w:ind w:left="0"/>
        <w:jc w:val="both"/>
      </w:pPr>
      <w:r>
        <w:rPr>
          <w:rFonts w:ascii="Times New Roman"/>
          <w:b w:val="false"/>
          <w:i w:val="false"/>
          <w:color w:val="000000"/>
          <w:sz w:val="28"/>
        </w:rPr>
        <w:t>
      Следует описать показания к применению и режим дозирования (разделы 4.1 и 4.2 ОХЛП), фармакодинамику и фармакокинетику действующего вещества, ФК-резюме действующего вещества и препарата (данные об абсорбции, распределении, метаболизме, выведении, представляющие особый интерес для исследований биоэквивалентности (линейность, время элиминации и т.д.)) (в том числе с использованием таких руководств, как Goodman &amp; Gilman, Martindale и т.д.).</w:t>
      </w:r>
    </w:p>
    <w:bookmarkEnd w:id="7617"/>
    <w:bookmarkStart w:name="z9244" w:id="7618"/>
    <w:p>
      <w:pPr>
        <w:spacing w:after="0"/>
        <w:ind w:left="0"/>
        <w:jc w:val="both"/>
      </w:pPr>
      <w:r>
        <w:rPr>
          <w:rFonts w:ascii="Times New Roman"/>
          <w:b w:val="false"/>
          <w:i w:val="false"/>
          <w:color w:val="000000"/>
          <w:sz w:val="28"/>
        </w:rPr>
        <w:t>
      В конце данного подраздела следует привести резюмирующую формулировку по формату, представленному ниже.</w:t>
      </w:r>
    </w:p>
    <w:bookmarkEnd w:id="7618"/>
    <w:bookmarkStart w:name="z9245" w:id="7619"/>
    <w:p>
      <w:pPr>
        <w:spacing w:after="0"/>
        <w:ind w:left="0"/>
        <w:jc w:val="both"/>
      </w:pPr>
      <w:r>
        <w:rPr>
          <w:rFonts w:ascii="Times New Roman"/>
          <w:b w:val="false"/>
          <w:i w:val="false"/>
          <w:color w:val="000000"/>
          <w:sz w:val="28"/>
        </w:rPr>
        <w:t>
      &lt;Экспертиза проведена с использованием правил проведения исследований биоэквивалентности воспроизведенных лекарственных препаратов Союза, а также [указать наименование иных руководств и рекомендаций].&gt;</w:t>
      </w:r>
    </w:p>
    <w:bookmarkEnd w:id="7619"/>
    <w:bookmarkStart w:name="z9246" w:id="7620"/>
    <w:p>
      <w:pPr>
        <w:spacing w:after="0"/>
        <w:ind w:left="0"/>
        <w:jc w:val="both"/>
      </w:pPr>
      <w:r>
        <w:rPr>
          <w:rFonts w:ascii="Times New Roman"/>
          <w:b w:val="false"/>
          <w:i w:val="false"/>
          <w:color w:val="000000"/>
          <w:sz w:val="28"/>
        </w:rPr>
        <w:t>
      &lt;Заявитель [не] получил научную консультацию уполномоченной экспертной организации, касающуюся клинической разработки.</w:t>
      </w:r>
    </w:p>
    <w:bookmarkEnd w:id="7620"/>
    <w:bookmarkStart w:name="z9247" w:id="7621"/>
    <w:p>
      <w:pPr>
        <w:spacing w:after="0"/>
        <w:ind w:left="0"/>
        <w:jc w:val="both"/>
      </w:pPr>
      <w:r>
        <w:rPr>
          <w:rFonts w:ascii="Times New Roman"/>
          <w:b w:val="false"/>
          <w:i w:val="false"/>
          <w:color w:val="000000"/>
          <w:sz w:val="28"/>
        </w:rPr>
        <w:t>
      Данная консультация касалась следующего: [представить резюме]. Заявитель [не] воспользовался данной научной консультацией.&gt;</w:t>
      </w:r>
    </w:p>
    <w:bookmarkEnd w:id="7621"/>
    <w:bookmarkStart w:name="z9248" w:id="7622"/>
    <w:p>
      <w:pPr>
        <w:spacing w:after="0"/>
        <w:ind w:left="0"/>
        <w:jc w:val="left"/>
      </w:pPr>
      <w:r>
        <w:rPr>
          <w:rFonts w:ascii="Times New Roman"/>
          <w:b/>
          <w:i w:val="false"/>
          <w:color w:val="000000"/>
        </w:rPr>
        <w:t xml:space="preserve"> 2.1.1. Аспекты соответствия требованиям правил надлежащей клинической практики Союза</w:t>
      </w:r>
    </w:p>
    <w:bookmarkEnd w:id="7622"/>
    <w:bookmarkStart w:name="z9249" w:id="7623"/>
    <w:p>
      <w:pPr>
        <w:spacing w:after="0"/>
        <w:ind w:left="0"/>
        <w:jc w:val="both"/>
      </w:pPr>
      <w:r>
        <w:rPr>
          <w:rFonts w:ascii="Times New Roman"/>
          <w:b w:val="false"/>
          <w:i w:val="false"/>
          <w:color w:val="000000"/>
          <w:sz w:val="28"/>
        </w:rPr>
        <w:t>
      В данном разделе и разделе 3.1, а также в модуле "Общее описание" экспертного отчета необходимо отразить вопросы, касающиеся соответствия требованиям правил надлежащей клинической практики Союза.</w:t>
      </w:r>
    </w:p>
    <w:bookmarkEnd w:id="7623"/>
    <w:bookmarkStart w:name="z9250" w:id="7624"/>
    <w:p>
      <w:pPr>
        <w:spacing w:after="0"/>
        <w:ind w:left="0"/>
        <w:jc w:val="both"/>
      </w:pPr>
      <w:r>
        <w:rPr>
          <w:rFonts w:ascii="Times New Roman"/>
          <w:b w:val="false"/>
          <w:i w:val="false"/>
          <w:color w:val="000000"/>
          <w:sz w:val="28"/>
        </w:rPr>
        <w:t>
      В данном разделе необходимо рассмотреть:</w:t>
      </w:r>
    </w:p>
    <w:bookmarkEnd w:id="7624"/>
    <w:bookmarkStart w:name="z9251" w:id="7625"/>
    <w:p>
      <w:pPr>
        <w:spacing w:after="0"/>
        <w:ind w:left="0"/>
        <w:jc w:val="both"/>
      </w:pPr>
      <w:r>
        <w:rPr>
          <w:rFonts w:ascii="Times New Roman"/>
          <w:b w:val="false"/>
          <w:i w:val="false"/>
          <w:color w:val="000000"/>
          <w:sz w:val="28"/>
        </w:rPr>
        <w:t>
      все сомнения, возникшие в ходе экспертизы относительно соблюдения правил надлежащей клинической практики и связанных регуляторных и этических требований (правильность данных, соблюдение протокола и соблюдение этических аспектов);</w:t>
      </w:r>
    </w:p>
    <w:bookmarkEnd w:id="7625"/>
    <w:bookmarkStart w:name="z9252" w:id="7626"/>
    <w:p>
      <w:pPr>
        <w:spacing w:after="0"/>
        <w:ind w:left="0"/>
        <w:jc w:val="both"/>
      </w:pPr>
      <w:r>
        <w:rPr>
          <w:rFonts w:ascii="Times New Roman"/>
          <w:b w:val="false"/>
          <w:i w:val="false"/>
          <w:color w:val="000000"/>
          <w:sz w:val="28"/>
        </w:rPr>
        <w:t>
      соблюдение этических стандартов клинических исследований, предусмотренных правилами надлежащей клинической практики Союза, или их эквивалента;</w:t>
      </w:r>
    </w:p>
    <w:bookmarkEnd w:id="7626"/>
    <w:bookmarkStart w:name="z9253" w:id="7627"/>
    <w:p>
      <w:pPr>
        <w:spacing w:after="0"/>
        <w:ind w:left="0"/>
        <w:jc w:val="both"/>
      </w:pPr>
      <w:r>
        <w:rPr>
          <w:rFonts w:ascii="Times New Roman"/>
          <w:b w:val="false"/>
          <w:i w:val="false"/>
          <w:color w:val="000000"/>
          <w:sz w:val="28"/>
        </w:rPr>
        <w:t>
      целесообразность проведения инспекции на соответствие Правил надлежащей клинической практики, исходя из Правил регистрации и экспертизы.</w:t>
      </w:r>
    </w:p>
    <w:bookmarkEnd w:id="7627"/>
    <w:bookmarkStart w:name="z9254" w:id="7628"/>
    <w:p>
      <w:pPr>
        <w:spacing w:after="0"/>
        <w:ind w:left="0"/>
        <w:jc w:val="both"/>
      </w:pPr>
      <w:r>
        <w:rPr>
          <w:rFonts w:ascii="Times New Roman"/>
          <w:b w:val="false"/>
          <w:i w:val="false"/>
          <w:color w:val="000000"/>
          <w:sz w:val="28"/>
        </w:rPr>
        <w:t>
      Принятие решения о необходимости проведения инспекции осуществляется на основе комбинации критических факторов (приведенных в настоящих Правилах) с учетом оценки всего регистрационного досье. Перечень критических факторов не является исчерпывающими, значимость каждого фактора в отношении принятия решения о необходимости проведения внеплановой инспекции на соответствие требованиям правил надлежащей клинической практики Союза может существенно различаться в зависимости от многих факторов.</w:t>
      </w:r>
    </w:p>
    <w:bookmarkEnd w:id="7628"/>
    <w:bookmarkStart w:name="z9255" w:id="7629"/>
    <w:p>
      <w:pPr>
        <w:spacing w:after="0"/>
        <w:ind w:left="0"/>
        <w:jc w:val="both"/>
      </w:pPr>
      <w:r>
        <w:rPr>
          <w:rFonts w:ascii="Times New Roman"/>
          <w:b w:val="false"/>
          <w:i w:val="false"/>
          <w:color w:val="000000"/>
          <w:sz w:val="28"/>
        </w:rPr>
        <w:t>
      Подробная информация о факторах, обуславливающих необходимость проведения инспекции, приведена в настоящих Правилах и Правилах проведения фармацевтических инспекций Союза.</w:t>
      </w:r>
    </w:p>
    <w:bookmarkEnd w:id="7629"/>
    <w:bookmarkStart w:name="z9256" w:id="7630"/>
    <w:p>
      <w:pPr>
        <w:spacing w:after="0"/>
        <w:ind w:left="0"/>
        <w:jc w:val="both"/>
      </w:pPr>
      <w:r>
        <w:rPr>
          <w:rFonts w:ascii="Times New Roman"/>
          <w:b w:val="false"/>
          <w:i w:val="false"/>
          <w:color w:val="000000"/>
          <w:sz w:val="28"/>
        </w:rPr>
        <w:t>
      Для запроса о проведении инспекции на соответствие требованиям Правил надлежащей клинической практики Союза необходимо:</w:t>
      </w:r>
    </w:p>
    <w:bookmarkEnd w:id="7630"/>
    <w:bookmarkStart w:name="z9257" w:id="7631"/>
    <w:p>
      <w:pPr>
        <w:spacing w:after="0"/>
        <w:ind w:left="0"/>
        <w:jc w:val="both"/>
      </w:pPr>
      <w:r>
        <w:rPr>
          <w:rFonts w:ascii="Times New Roman"/>
          <w:b w:val="false"/>
          <w:i w:val="false"/>
          <w:color w:val="000000"/>
          <w:sz w:val="28"/>
        </w:rPr>
        <w:t>
      обратиться в национальный фармацевтический инспекторат;</w:t>
      </w:r>
    </w:p>
    <w:bookmarkEnd w:id="7631"/>
    <w:bookmarkStart w:name="z9258" w:id="7632"/>
    <w:p>
      <w:pPr>
        <w:spacing w:after="0"/>
        <w:ind w:left="0"/>
        <w:jc w:val="both"/>
      </w:pPr>
      <w:r>
        <w:rPr>
          <w:rFonts w:ascii="Times New Roman"/>
          <w:b w:val="false"/>
          <w:i w:val="false"/>
          <w:color w:val="000000"/>
          <w:sz w:val="28"/>
        </w:rPr>
        <w:t>
      определить вместе с инспекторатом исследования, объекты и специфические вопросы или проблемы, имеющие отношение к проведению инспекции;</w:t>
      </w:r>
    </w:p>
    <w:bookmarkEnd w:id="7632"/>
    <w:bookmarkStart w:name="z9259" w:id="7633"/>
    <w:p>
      <w:pPr>
        <w:spacing w:after="0"/>
        <w:ind w:left="0"/>
        <w:jc w:val="both"/>
      </w:pPr>
      <w:r>
        <w:rPr>
          <w:rFonts w:ascii="Times New Roman"/>
          <w:b w:val="false"/>
          <w:i w:val="false"/>
          <w:color w:val="000000"/>
          <w:sz w:val="28"/>
        </w:rPr>
        <w:t>
      подготовить официальный запрос на проведение инспекции, который подается на рассмотрение инспекторов и дальнейшее согласование с уполномоченными экспертными организациями государств - членов Союза, после чего запрос утверждается уполномоченными органами и включается в план инспекций (90 или 120 день).</w:t>
      </w:r>
    </w:p>
    <w:bookmarkEnd w:id="7633"/>
    <w:bookmarkStart w:name="z9260" w:id="7634"/>
    <w:p>
      <w:pPr>
        <w:spacing w:after="0"/>
        <w:ind w:left="0"/>
        <w:jc w:val="left"/>
      </w:pPr>
      <w:r>
        <w:rPr>
          <w:rFonts w:ascii="Times New Roman"/>
          <w:b/>
          <w:i w:val="false"/>
          <w:color w:val="000000"/>
        </w:rPr>
        <w:t xml:space="preserve"> 2.2. Биовейверы </w:t>
      </w:r>
    </w:p>
    <w:bookmarkEnd w:id="7634"/>
    <w:bookmarkStart w:name="z9261" w:id="7635"/>
    <w:p>
      <w:pPr>
        <w:spacing w:after="0"/>
        <w:ind w:left="0"/>
        <w:jc w:val="both"/>
      </w:pPr>
      <w:r>
        <w:rPr>
          <w:rFonts w:ascii="Times New Roman"/>
          <w:b w:val="false"/>
          <w:i w:val="false"/>
          <w:color w:val="000000"/>
          <w:sz w:val="28"/>
        </w:rPr>
        <w:t>
      В данном разделе следует описать 2 разновидности биовейвера:</w:t>
      </w:r>
    </w:p>
    <w:bookmarkEnd w:id="7635"/>
    <w:bookmarkStart w:name="z9262" w:id="7636"/>
    <w:p>
      <w:pPr>
        <w:spacing w:after="0"/>
        <w:ind w:left="0"/>
        <w:jc w:val="both"/>
      </w:pPr>
      <w:r>
        <w:rPr>
          <w:rFonts w:ascii="Times New Roman"/>
          <w:b w:val="false"/>
          <w:i w:val="false"/>
          <w:color w:val="000000"/>
          <w:sz w:val="28"/>
        </w:rPr>
        <w:t>
      биовейвер для дозировки(-ок);</w:t>
      </w:r>
    </w:p>
    <w:bookmarkEnd w:id="7636"/>
    <w:bookmarkStart w:name="z9263" w:id="7637"/>
    <w:p>
      <w:pPr>
        <w:spacing w:after="0"/>
        <w:ind w:left="0"/>
        <w:jc w:val="both"/>
      </w:pPr>
      <w:r>
        <w:rPr>
          <w:rFonts w:ascii="Times New Roman"/>
          <w:b w:val="false"/>
          <w:i w:val="false"/>
          <w:color w:val="000000"/>
          <w:sz w:val="28"/>
        </w:rPr>
        <w:t>
      биовейвер на основании БСК.</w:t>
      </w:r>
    </w:p>
    <w:bookmarkEnd w:id="7637"/>
    <w:bookmarkStart w:name="z9264" w:id="7638"/>
    <w:p>
      <w:pPr>
        <w:spacing w:after="0"/>
        <w:ind w:left="0"/>
        <w:jc w:val="both"/>
      </w:pPr>
      <w:r>
        <w:rPr>
          <w:rFonts w:ascii="Times New Roman"/>
          <w:b w:val="false"/>
          <w:i w:val="false"/>
          <w:color w:val="000000"/>
          <w:sz w:val="28"/>
        </w:rPr>
        <w:t>
      Необходимо учесть соответствующие требования Правил проведения исследования биоэквивалентности воспроизведенных лекарственных средств Союза.</w:t>
      </w:r>
    </w:p>
    <w:bookmarkEnd w:id="7638"/>
    <w:bookmarkStart w:name="z9265" w:id="7639"/>
    <w:p>
      <w:pPr>
        <w:spacing w:after="0"/>
        <w:ind w:left="0"/>
        <w:jc w:val="both"/>
      </w:pPr>
      <w:r>
        <w:rPr>
          <w:rFonts w:ascii="Times New Roman"/>
          <w:b w:val="false"/>
          <w:i w:val="false"/>
          <w:color w:val="000000"/>
          <w:sz w:val="28"/>
        </w:rPr>
        <w:t>
      Данный раздел следует использовать для оценки обоснования отказа от проведения исследований биоэквивалентности, например, в отношении определенных лекарственных форм в соответствии с указанными правилами.</w:t>
      </w:r>
    </w:p>
    <w:bookmarkEnd w:id="7639"/>
    <w:bookmarkStart w:name="z9266" w:id="7640"/>
    <w:p>
      <w:pPr>
        <w:spacing w:after="0"/>
        <w:ind w:left="0"/>
        <w:jc w:val="left"/>
      </w:pPr>
      <w:r>
        <w:rPr>
          <w:rFonts w:ascii="Times New Roman"/>
          <w:b/>
          <w:i w:val="false"/>
          <w:color w:val="000000"/>
        </w:rPr>
        <w:t xml:space="preserve"> 2.3. Клиническая фармакология</w:t>
      </w:r>
    </w:p>
    <w:bookmarkEnd w:id="7640"/>
    <w:bookmarkStart w:name="z9267" w:id="7641"/>
    <w:p>
      <w:pPr>
        <w:spacing w:after="0"/>
        <w:ind w:left="0"/>
        <w:jc w:val="left"/>
      </w:pPr>
      <w:r>
        <w:rPr>
          <w:rFonts w:ascii="Times New Roman"/>
          <w:b/>
          <w:i w:val="false"/>
          <w:color w:val="000000"/>
        </w:rPr>
        <w:t xml:space="preserve"> 2.3.1. Фармакокинетика </w:t>
      </w:r>
    </w:p>
    <w:bookmarkEnd w:id="7641"/>
    <w:bookmarkStart w:name="z9268" w:id="7642"/>
    <w:p>
      <w:pPr>
        <w:spacing w:after="0"/>
        <w:ind w:left="0"/>
        <w:jc w:val="both"/>
      </w:pPr>
      <w:r>
        <w:rPr>
          <w:rFonts w:ascii="Times New Roman"/>
          <w:b w:val="false"/>
          <w:i w:val="false"/>
          <w:color w:val="000000"/>
          <w:sz w:val="28"/>
        </w:rPr>
        <w:t>
      &lt;В обоснование заявление представлено [указать количество] исследование(й) биоэквивалентности, [указать количество] фармакодинамических исследований, [указать количество] исследований терапевтической эквивалентности.&gt;</w:t>
      </w:r>
    </w:p>
    <w:bookmarkEnd w:id="7642"/>
    <w:bookmarkStart w:name="z9269" w:id="7643"/>
    <w:p>
      <w:pPr>
        <w:spacing w:after="0"/>
        <w:ind w:left="0"/>
        <w:jc w:val="both"/>
      </w:pPr>
      <w:r>
        <w:rPr>
          <w:rFonts w:ascii="Times New Roman"/>
          <w:b w:val="false"/>
          <w:i w:val="false"/>
          <w:color w:val="000000"/>
          <w:sz w:val="28"/>
        </w:rPr>
        <w:t>
      Следует привести оценку обоснованности представления нескольких исследований биоэквивалентности. Если проведено несколько клинических исследований, каждое такое исследование необходимо описать отдельно, используя приведенную ниже структуру в форме таблицы.</w:t>
      </w:r>
    </w:p>
    <w:bookmarkEnd w:id="7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9271" w:id="7644"/>
    <w:p>
      <w:pPr>
        <w:spacing w:after="0"/>
        <w:ind w:left="0"/>
        <w:jc w:val="left"/>
      </w:pPr>
      <w:r>
        <w:rPr>
          <w:rFonts w:ascii="Times New Roman"/>
          <w:b/>
          <w:i w:val="false"/>
          <w:color w:val="000000"/>
        </w:rPr>
        <w:t xml:space="preserve"> Табличный обзор клинических исследований </w:t>
      </w:r>
    </w:p>
    <w:bookmarkEnd w:id="7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2" w:id="7645"/>
          <w:p>
            <w:pPr>
              <w:spacing w:after="20"/>
              <w:ind w:left="20"/>
              <w:jc w:val="both"/>
            </w:pPr>
            <w:r>
              <w:rPr>
                <w:rFonts w:ascii="Times New Roman"/>
                <w:b w:val="false"/>
                <w:i w:val="false"/>
                <w:color w:val="000000"/>
                <w:sz w:val="20"/>
              </w:rPr>
              <w:t xml:space="preserve">
Исследование &lt;номер&gt;: &lt;название&gt; </w:t>
            </w:r>
          </w:p>
          <w:bookmarkEnd w:id="764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7646"/>
          <w:p>
            <w:pPr>
              <w:spacing w:after="20"/>
              <w:ind w:left="20"/>
              <w:jc w:val="both"/>
            </w:pPr>
            <w:r>
              <w:rPr>
                <w:rFonts w:ascii="Times New Roman"/>
                <w:b w:val="false"/>
                <w:i w:val="false"/>
                <w:color w:val="000000"/>
                <w:sz w:val="20"/>
              </w:rPr>
              <w:t xml:space="preserve">
Методы </w:t>
            </w:r>
          </w:p>
          <w:bookmarkEnd w:id="764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4" w:id="7647"/>
          <w:p>
            <w:pPr>
              <w:spacing w:after="20"/>
              <w:ind w:left="20"/>
              <w:jc w:val="both"/>
            </w:pPr>
            <w:r>
              <w:rPr>
                <w:rFonts w:ascii="Times New Roman"/>
                <w:b w:val="false"/>
                <w:i w:val="false"/>
                <w:color w:val="000000"/>
                <w:sz w:val="20"/>
              </w:rPr>
              <w:t>
Дизайн исследования</w:t>
            </w:r>
          </w:p>
          <w:bookmarkEnd w:id="7647"/>
          <w:p>
            <w:pPr>
              <w:spacing w:after="20"/>
              <w:ind w:left="20"/>
              <w:jc w:val="both"/>
            </w:pPr>
            <w:r>
              <w:rPr>
                <w:rFonts w:ascii="Times New Roman"/>
                <w:b w:val="false"/>
                <w:i w:val="false"/>
                <w:color w:val="000000"/>
                <w:sz w:val="20"/>
              </w:rPr>
              <w:t>Подробное описание дизайна исследования, включая процедуры приема препарата (натощак или после еды), отмывочный период, характеристика пищи в условиях после еды (натощак), компоненты пищи (в исследованиях с приемом после еды), многократное (однократное) введение, принятая доза, отмывочный период, ослепление, перекрест, рандомизация, схема отбора образцов, анализируемое соединение (исходное вещество и (или) метаболиты) и биоматериал (плазма, моча и др.).</w:t>
            </w:r>
          </w:p>
          <w:p>
            <w:pPr>
              <w:spacing w:after="20"/>
              <w:ind w:left="20"/>
              <w:jc w:val="both"/>
            </w:pPr>
            <w:r>
              <w:rPr>
                <w:rFonts w:ascii="Times New Roman"/>
                <w:b w:val="false"/>
                <w:i w:val="false"/>
                <w:color w:val="000000"/>
                <w:sz w:val="20"/>
              </w:rPr>
              <w:t>Если исследование проведено в стационарном (равновесном) состоянии - соответствующие сведения (многократный прием).</w:t>
            </w:r>
          </w:p>
          <w:p>
            <w:pPr>
              <w:spacing w:after="20"/>
              <w:ind w:left="20"/>
              <w:jc w:val="both"/>
            </w:pPr>
            <w:r>
              <w:rPr>
                <w:rFonts w:ascii="Times New Roman"/>
                <w:b w:val="false"/>
                <w:i w:val="false"/>
                <w:color w:val="000000"/>
                <w:sz w:val="20"/>
              </w:rPr>
              <w:t>Номер протокола, продолжительность исследования, сведения об исследователе, исследовательском центре, биоаналитическом центре, биостатистике и (или) биостатистическом центре.</w:t>
            </w:r>
          </w:p>
          <w:p>
            <w:pPr>
              <w:spacing w:after="20"/>
              <w:ind w:left="20"/>
              <w:jc w:val="both"/>
            </w:pPr>
            <w:r>
              <w:rPr>
                <w:rFonts w:ascii="Times New Roman"/>
                <w:b w:val="false"/>
                <w:i w:val="false"/>
                <w:color w:val="000000"/>
                <w:sz w:val="20"/>
              </w:rPr>
              <w:t>Комментарий эксперта</w:t>
            </w:r>
          </w:p>
          <w:p>
            <w:pPr>
              <w:spacing w:after="20"/>
              <w:ind w:left="20"/>
              <w:jc w:val="both"/>
            </w:pPr>
            <w:r>
              <w:rPr>
                <w:rFonts w:ascii="Times New Roman"/>
                <w:b w:val="false"/>
                <w:i w:val="false"/>
                <w:color w:val="000000"/>
                <w:sz w:val="20"/>
              </w:rPr>
              <w:t xml:space="preserve">Критическая оценка приемлемости дизайна исследования.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7648"/>
          <w:p>
            <w:pPr>
              <w:spacing w:after="20"/>
              <w:ind w:left="20"/>
              <w:jc w:val="both"/>
            </w:pPr>
            <w:r>
              <w:rPr>
                <w:rFonts w:ascii="Times New Roman"/>
                <w:b w:val="false"/>
                <w:i w:val="false"/>
                <w:color w:val="000000"/>
                <w:sz w:val="20"/>
              </w:rPr>
              <w:t>
Исследуемый препарат и референтный препарат</w:t>
            </w:r>
          </w:p>
          <w:bookmarkEnd w:id="7648"/>
          <w:p>
            <w:pPr>
              <w:spacing w:after="20"/>
              <w:ind w:left="20"/>
              <w:jc w:val="both"/>
            </w:pPr>
            <w:r>
              <w:rPr>
                <w:rFonts w:ascii="Times New Roman"/>
                <w:b w:val="false"/>
                <w:i w:val="false"/>
                <w:color w:val="000000"/>
                <w:sz w:val="20"/>
              </w:rPr>
              <w:t>Необходимо в табличной форме представить подробные сведения о референтном препарате (наименование): дозировка, лекарственная форма, держатель регистрационного удостоверения, дата регистрации в рамках Союза и подробные сведения (такие как номер серии и страна производства) о сериях, использованных в клинических исследованиях.</w:t>
            </w:r>
          </w:p>
          <w:p>
            <w:pPr>
              <w:spacing w:after="20"/>
              <w:ind w:left="20"/>
              <w:jc w:val="both"/>
            </w:pPr>
            <w:r>
              <w:rPr>
                <w:rFonts w:ascii="Times New Roman"/>
                <w:b w:val="false"/>
                <w:i w:val="false"/>
                <w:color w:val="000000"/>
                <w:sz w:val="20"/>
              </w:rPr>
              <w:t xml:space="preserve">Необходимо указать следующие сведения: номинальная дозировка исследуемого препарата и референтного препарата, а также фактическое содержание действующего вещества по протоколу испытаний (сертификату анализа) обоих препаратов, использованных в исследовании биоэквивалентности, размер серии исследуемого препарата (в рамках проведенного исследования) и предполагаемый размер его промышленной серии. </w:t>
            </w:r>
          </w:p>
        </w:tc>
      </w:tr>
    </w:tbl>
    <w:bookmarkStart w:name="z9276" w:id="7649"/>
    <w:p>
      <w:pPr>
        <w:spacing w:after="0"/>
        <w:ind w:left="0"/>
        <w:jc w:val="both"/>
      </w:pPr>
      <w:r>
        <w:rPr>
          <w:rFonts w:ascii="Times New Roman"/>
          <w:b w:val="false"/>
          <w:i w:val="false"/>
          <w:color w:val="000000"/>
          <w:sz w:val="28"/>
        </w:rPr>
        <w:t>
       </w:t>
      </w:r>
    </w:p>
    <w:bookmarkEnd w:id="7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7650"/>
          <w:p>
            <w:pPr>
              <w:spacing w:after="20"/>
              <w:ind w:left="20"/>
              <w:jc w:val="both"/>
            </w:pPr>
            <w:r>
              <w:rPr>
                <w:rFonts w:ascii="Times New Roman"/>
                <w:b w:val="false"/>
                <w:i w:val="false"/>
                <w:color w:val="000000"/>
                <w:sz w:val="20"/>
              </w:rPr>
              <w:t>
Комментарий эксперта</w:t>
            </w:r>
          </w:p>
          <w:bookmarkEnd w:id="7650"/>
          <w:p>
            <w:pPr>
              <w:spacing w:after="20"/>
              <w:ind w:left="20"/>
              <w:jc w:val="both"/>
            </w:pPr>
            <w:r>
              <w:rPr>
                <w:rFonts w:ascii="Times New Roman"/>
                <w:b w:val="false"/>
                <w:i w:val="false"/>
                <w:color w:val="000000"/>
                <w:sz w:val="20"/>
              </w:rPr>
              <w:t xml:space="preserve">Необходимо указать, представлены ли требуемые данные, идентичен ли исследуемый препарат по составу и методу производства препарату, заявленному на регистрацию.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8" w:id="7651"/>
          <w:p>
            <w:pPr>
              <w:spacing w:after="20"/>
              <w:ind w:left="20"/>
              <w:jc w:val="both"/>
            </w:pPr>
            <w:r>
              <w:rPr>
                <w:rFonts w:ascii="Times New Roman"/>
                <w:b w:val="false"/>
                <w:i w:val="false"/>
                <w:color w:val="000000"/>
                <w:sz w:val="20"/>
              </w:rPr>
              <w:t>
Изученные популяции</w:t>
            </w:r>
          </w:p>
          <w:bookmarkEnd w:id="7651"/>
          <w:p>
            <w:pPr>
              <w:spacing w:after="20"/>
              <w:ind w:left="20"/>
              <w:jc w:val="both"/>
            </w:pPr>
            <w:r>
              <w:rPr>
                <w:rFonts w:ascii="Times New Roman"/>
                <w:b w:val="false"/>
                <w:i w:val="false"/>
                <w:color w:val="000000"/>
                <w:sz w:val="20"/>
              </w:rPr>
              <w:t>Следует указать количество субъектов, включенных в исследование, в ФК- и статистический анализ, выбывших (с подробным описанием причины), привести их этническую принадлежность, пол, возраст, состояние здоровья и т.д.</w:t>
            </w:r>
          </w:p>
          <w:p>
            <w:pPr>
              <w:spacing w:after="20"/>
              <w:ind w:left="20"/>
              <w:jc w:val="both"/>
            </w:pPr>
            <w:r>
              <w:rPr>
                <w:rFonts w:ascii="Times New Roman"/>
                <w:b w:val="false"/>
                <w:i w:val="false"/>
                <w:color w:val="000000"/>
                <w:sz w:val="20"/>
              </w:rPr>
              <w:t>Комментарий эксперта</w:t>
            </w:r>
          </w:p>
          <w:p>
            <w:pPr>
              <w:spacing w:after="20"/>
              <w:ind w:left="20"/>
              <w:jc w:val="both"/>
            </w:pPr>
            <w:r>
              <w:rPr>
                <w:rFonts w:ascii="Times New Roman"/>
                <w:b w:val="false"/>
                <w:i w:val="false"/>
                <w:color w:val="000000"/>
                <w:sz w:val="20"/>
              </w:rPr>
              <w:t xml:space="preserve">Необходимо указать, соответствует ли выбор субъектов правилам исследований воспроизведенных лекарственных препаратов Союза, соблюдены ли критерии включения (невключения), правилен ли расчет размера выборки, оценить влияние этнической принадлежности, пола, возраста, состояния здоровья и т.д. Оцените обнаруженные отклонения (нарушения) протокола.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9" w:id="7652"/>
          <w:p>
            <w:pPr>
              <w:spacing w:after="20"/>
              <w:ind w:left="20"/>
              <w:jc w:val="both"/>
            </w:pPr>
            <w:r>
              <w:rPr>
                <w:rFonts w:ascii="Times New Roman"/>
                <w:b w:val="false"/>
                <w:i w:val="false"/>
                <w:color w:val="000000"/>
                <w:sz w:val="20"/>
              </w:rPr>
              <w:t>
Аналитические методы</w:t>
            </w:r>
          </w:p>
          <w:bookmarkEnd w:id="7652"/>
          <w:p>
            <w:pPr>
              <w:spacing w:after="20"/>
              <w:ind w:left="20"/>
              <w:jc w:val="both"/>
            </w:pPr>
            <w:r>
              <w:rPr>
                <w:rFonts w:ascii="Times New Roman"/>
                <w:b w:val="false"/>
                <w:i w:val="false"/>
                <w:color w:val="000000"/>
                <w:sz w:val="20"/>
              </w:rPr>
              <w:t>Подробное описание использованных аналитических методов с акцентом на характеристику валидации методики и контроль качества выполнения анализов. Представьте все сведения, значимые для экспертизы отчета по валидации биоаналитической методики, в соответствии с правилами исследований воспроизведенных лекарственных препаратов Союза.</w:t>
            </w:r>
          </w:p>
          <w:p>
            <w:pPr>
              <w:spacing w:after="20"/>
              <w:ind w:left="20"/>
              <w:jc w:val="both"/>
            </w:pPr>
            <w:r>
              <w:rPr>
                <w:rFonts w:ascii="Times New Roman"/>
                <w:b w:val="false"/>
                <w:i w:val="false"/>
                <w:color w:val="000000"/>
                <w:sz w:val="20"/>
              </w:rPr>
              <w:t>Комментарий эксперта</w:t>
            </w:r>
          </w:p>
          <w:p>
            <w:pPr>
              <w:spacing w:after="20"/>
              <w:ind w:left="20"/>
              <w:jc w:val="both"/>
            </w:pPr>
            <w:r>
              <w:rPr>
                <w:rFonts w:ascii="Times New Roman"/>
                <w:b w:val="false"/>
                <w:i w:val="false"/>
                <w:color w:val="000000"/>
                <w:sz w:val="20"/>
              </w:rPr>
              <w:t xml:space="preserve">Укажите, является ли аналитический метод приемлемым, валидированным, удовлетворительна ли работа с образцами. Оцените обнаруженные отклонения (нарушения) протокола.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0" w:id="7653"/>
          <w:p>
            <w:pPr>
              <w:spacing w:after="20"/>
              <w:ind w:left="20"/>
              <w:jc w:val="both"/>
            </w:pPr>
            <w:r>
              <w:rPr>
                <w:rFonts w:ascii="Times New Roman"/>
                <w:b w:val="false"/>
                <w:i w:val="false"/>
                <w:color w:val="000000"/>
                <w:sz w:val="20"/>
              </w:rPr>
              <w:t>
Фармакокинетические переменные</w:t>
            </w:r>
          </w:p>
          <w:bookmarkEnd w:id="7653"/>
          <w:p>
            <w:pPr>
              <w:spacing w:after="20"/>
              <w:ind w:left="20"/>
              <w:jc w:val="both"/>
            </w:pPr>
            <w:r>
              <w:rPr>
                <w:rFonts w:ascii="Times New Roman"/>
                <w:b w:val="false"/>
                <w:i w:val="false"/>
                <w:color w:val="000000"/>
                <w:sz w:val="20"/>
              </w:rPr>
              <w:t>Обобщите фармакокинетические параметры и методы их расчета (немодельные (модельные), программное обеспечение для ФК-анализа. Выбор первичных и вторичных конечных точек).</w:t>
            </w:r>
          </w:p>
          <w:p>
            <w:pPr>
              <w:spacing w:after="20"/>
              <w:ind w:left="20"/>
              <w:jc w:val="both"/>
            </w:pPr>
            <w:r>
              <w:rPr>
                <w:rFonts w:ascii="Times New Roman"/>
                <w:b w:val="false"/>
                <w:i w:val="false"/>
                <w:color w:val="000000"/>
                <w:sz w:val="20"/>
              </w:rPr>
              <w:t>Комментарий эксперта</w:t>
            </w:r>
          </w:p>
          <w:p>
            <w:pPr>
              <w:spacing w:after="20"/>
              <w:ind w:left="20"/>
              <w:jc w:val="both"/>
            </w:pPr>
            <w:r>
              <w:rPr>
                <w:rFonts w:ascii="Times New Roman"/>
                <w:b w:val="false"/>
                <w:i w:val="false"/>
                <w:color w:val="000000"/>
                <w:sz w:val="20"/>
              </w:rPr>
              <w:t xml:space="preserve">Оцените правильность фармакокинетических параметров и методов их расчета.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7654"/>
          <w:p>
            <w:pPr>
              <w:spacing w:after="20"/>
              <w:ind w:left="20"/>
              <w:jc w:val="both"/>
            </w:pPr>
            <w:r>
              <w:rPr>
                <w:rFonts w:ascii="Times New Roman"/>
                <w:b w:val="false"/>
                <w:i w:val="false"/>
                <w:color w:val="000000"/>
                <w:sz w:val="20"/>
              </w:rPr>
              <w:t>
Статистические методы</w:t>
            </w:r>
          </w:p>
          <w:bookmarkEnd w:id="7654"/>
          <w:p>
            <w:pPr>
              <w:spacing w:after="20"/>
              <w:ind w:left="20"/>
              <w:jc w:val="both"/>
            </w:pPr>
            <w:r>
              <w:rPr>
                <w:rFonts w:ascii="Times New Roman"/>
                <w:b w:val="false"/>
                <w:i w:val="false"/>
                <w:color w:val="000000"/>
                <w:sz w:val="20"/>
              </w:rPr>
              <w:t>Описание статистических методов, включая заранее заданные критерии приемлемости.</w:t>
            </w:r>
          </w:p>
          <w:p>
            <w:pPr>
              <w:spacing w:after="20"/>
              <w:ind w:left="20"/>
              <w:jc w:val="both"/>
            </w:pPr>
            <w:r>
              <w:rPr>
                <w:rFonts w:ascii="Times New Roman"/>
                <w:b w:val="false"/>
                <w:i w:val="false"/>
                <w:color w:val="000000"/>
                <w:sz w:val="20"/>
              </w:rPr>
              <w:t>Комментарий эксперта</w:t>
            </w:r>
          </w:p>
          <w:p>
            <w:pPr>
              <w:spacing w:after="20"/>
              <w:ind w:left="20"/>
              <w:jc w:val="both"/>
            </w:pPr>
            <w:r>
              <w:rPr>
                <w:rFonts w:ascii="Times New Roman"/>
                <w:b w:val="false"/>
                <w:i w:val="false"/>
                <w:color w:val="000000"/>
                <w:sz w:val="20"/>
              </w:rPr>
              <w:t xml:space="preserve">Оцените правильность выбранных статистик, приемлемость методов (преобразования, параметрические тесты, работа с отсутствующими значениями, выбросы, основание для заключения о биоэквивалентности, наличие выявленных отклонений (нарушений) протокола, обоснованность расширения критериев приемлемости).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7655"/>
          <w:p>
            <w:pPr>
              <w:spacing w:after="20"/>
              <w:ind w:left="20"/>
              <w:jc w:val="both"/>
            </w:pPr>
            <w:r>
              <w:rPr>
                <w:rFonts w:ascii="Times New Roman"/>
                <w:b w:val="false"/>
                <w:i w:val="false"/>
                <w:color w:val="000000"/>
                <w:sz w:val="20"/>
              </w:rPr>
              <w:t>
Результаты</w:t>
            </w:r>
          </w:p>
          <w:bookmarkEnd w:id="7655"/>
          <w:p>
            <w:pPr>
              <w:spacing w:after="20"/>
              <w:ind w:left="20"/>
              <w:jc w:val="both"/>
            </w:pPr>
            <w:r>
              <w:rPr>
                <w:rFonts w:ascii="Times New Roman"/>
                <w:b w:val="false"/>
                <w:i w:val="false"/>
                <w:color w:val="000000"/>
                <w:sz w:val="20"/>
              </w:rPr>
              <w:t xml:space="preserve">Обобщите соответствующие данные для оценки биоэквивалентности в приведенных ниже таблицах, но не копируйте подробные статистические расчеты из отчета о клиническом исследовании.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3" w:id="7656"/>
          <w:p>
            <w:pPr>
              <w:spacing w:after="20"/>
              <w:ind w:left="20"/>
              <w:jc w:val="both"/>
            </w:pPr>
          </w:p>
          <w:bookmarkEnd w:id="765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X. Фармакокинетические параметры [указать биообразец]</w:t>
            </w:r>
          </w:p>
          <w:p>
            <w:pPr>
              <w:spacing w:after="20"/>
              <w:ind w:left="20"/>
              <w:jc w:val="both"/>
            </w:pPr>
            <w:r>
              <w:rPr>
                <w:rFonts w:ascii="Times New Roman"/>
                <w:b w:val="false"/>
                <w:i w:val="false"/>
                <w:color w:val="000000"/>
                <w:sz w:val="20"/>
              </w:rPr>
              <w:t xml:space="preserve">(непреобразованные значения)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7657"/>
          <w:p>
            <w:pPr>
              <w:spacing w:after="20"/>
              <w:ind w:left="20"/>
              <w:jc w:val="both"/>
            </w:pPr>
          </w:p>
          <w:bookmarkEnd w:id="765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Фармакокинетический параметр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Исследуемый препарат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сравнения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5" w:id="7658"/>
          <w:p>
            <w:pPr>
              <w:spacing w:after="20"/>
              <w:ind w:left="20"/>
              <w:jc w:val="both"/>
            </w:pPr>
          </w:p>
          <w:bookmarkEnd w:id="7658"/>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&lt;арифметическое&gt; &lt;геометрическое&gt; среднее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 сткл&gt; &lt;CV%&gt;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&lt;арифметическое&gt; &lt;геометрическое&gt; среднее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&lt;Ст. откл.&gt; &lt;CV%&gt;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7659"/>
          <w:p>
            <w:pPr>
              <w:spacing w:after="20"/>
              <w:ind w:left="20"/>
              <w:jc w:val="both"/>
            </w:pPr>
          </w:p>
          <w:bookmarkEnd w:id="76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&lt;AUC</w:t>
            </w:r>
            <w:r>
              <w:rPr>
                <w:rFonts w:ascii="Times New Roman"/>
                <w:b w:val="false"/>
                <w:i w:val="false"/>
                <w:color w:val="000000"/>
                <w:vertAlign w:val="subscript"/>
              </w:rPr>
              <w:t>(0-t)</w:t>
            </w:r>
            <w:r>
              <w:rPr>
                <w:rFonts w:ascii="Times New Roman"/>
                <w:b w:val="false"/>
                <w:i w:val="false"/>
                <w:color w:val="000000"/>
                <w:sz w:val="20"/>
              </w:rPr>
              <w:t>&gt; &lt;AUC</w:t>
            </w:r>
            <w:r>
              <w:rPr>
                <w:rFonts w:ascii="Times New Roman"/>
                <w:b w:val="false"/>
                <w:i w:val="false"/>
                <w:color w:val="000000"/>
                <w:vertAlign w:val="subscript"/>
              </w:rPr>
              <w:t>(</w:t>
            </w:r>
            <w:r>
              <w:rPr>
                <w:rFonts w:ascii="Times New Roman"/>
                <w:b w:val="false"/>
                <w:i w:val="false"/>
                <w:color w:val="000000"/>
                <w:vertAlign w:val="subscript"/>
              </w:rPr>
              <w:t>0-72 ч)</w:t>
            </w:r>
            <w:r>
              <w:rPr>
                <w:rFonts w:ascii="Times New Roman"/>
                <w:b w:val="false"/>
                <w:i w:val="false"/>
                <w:color w:val="000000"/>
                <w:sz w:val="20"/>
              </w:rPr>
              <w:t xml:space="preserve">&gt;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7" w:id="7660"/>
          <w:p>
            <w:pPr>
              <w:spacing w:after="20"/>
              <w:ind w:left="20"/>
              <w:jc w:val="both"/>
            </w:pPr>
          </w:p>
          <w:bookmarkEnd w:id="76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8" w:id="7661"/>
          <w:p>
            <w:pPr>
              <w:spacing w:after="20"/>
              <w:ind w:left="20"/>
              <w:jc w:val="both"/>
            </w:pPr>
          </w:p>
          <w:bookmarkEnd w:id="76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9" w:id="7662"/>
          <w:p>
            <w:pPr>
              <w:spacing w:after="20"/>
              <w:ind w:left="20"/>
              <w:jc w:val="both"/>
            </w:pPr>
          </w:p>
          <w:bookmarkEnd w:id="76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0" w:id="7663"/>
          <w:p>
            <w:pPr>
              <w:spacing w:after="20"/>
              <w:ind w:left="20"/>
              <w:jc w:val="both"/>
            </w:pPr>
          </w:p>
          <w:bookmarkEnd w:id="76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&lt;AUC</w:t>
            </w:r>
            <w:r>
              <w:rPr>
                <w:rFonts w:ascii="Times New Roman"/>
                <w:b w:val="false"/>
                <w:i w:val="false"/>
                <w:color w:val="000000"/>
                <w:vertAlign w:val="subscript"/>
              </w:rPr>
              <w:t>0-t</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под кривой "концентрация - время от нуля до t"&gt;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1" w:id="7664"/>
          <w:p>
            <w:pPr>
              <w:spacing w:after="20"/>
              <w:ind w:left="20"/>
              <w:jc w:val="both"/>
            </w:pPr>
          </w:p>
          <w:bookmarkEnd w:id="76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&lt;AUC</w:t>
            </w:r>
            <w:r>
              <w:rPr>
                <w:rFonts w:ascii="Times New Roman"/>
                <w:b w:val="false"/>
                <w:i w:val="false"/>
                <w:color w:val="000000"/>
                <w:vertAlign w:val="subscript"/>
              </w:rPr>
              <w:t>0-72 ч</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под кривой "концентрация - время от нуля до 72 часов"&gt;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2" w:id="7665"/>
          <w:p>
            <w:pPr>
              <w:spacing w:after="20"/>
              <w:ind w:left="20"/>
              <w:jc w:val="both"/>
            </w:pPr>
          </w:p>
          <w:bookmarkEnd w:id="76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под кривой "концентрация - время от нуля до бесконечности"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7666"/>
          <w:p>
            <w:pPr>
              <w:spacing w:after="20"/>
              <w:ind w:left="20"/>
              <w:jc w:val="both"/>
            </w:pPr>
          </w:p>
          <w:bookmarkEnd w:id="76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плазменная концентрация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7667"/>
          <w:p>
            <w:pPr>
              <w:spacing w:after="20"/>
              <w:ind w:left="20"/>
              <w:jc w:val="both"/>
            </w:pPr>
          </w:p>
          <w:bookmarkEnd w:id="76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достижения максимальной концентрации (&lt;*&gt; - медиана, размах)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5" w:id="7668"/>
          <w:p>
            <w:pPr>
              <w:spacing w:after="20"/>
              <w:ind w:left="20"/>
              <w:jc w:val="both"/>
            </w:pPr>
            <w:r>
              <w:rPr>
                <w:rFonts w:ascii="Times New Roman"/>
                <w:b w:val="false"/>
                <w:i w:val="false"/>
                <w:color w:val="000000"/>
                <w:sz w:val="20"/>
              </w:rPr>
              <w:t>
Таблица X. Фармакокинетические параметры [указать биообразец]</w:t>
            </w:r>
          </w:p>
          <w:bookmarkEnd w:id="7668"/>
          <w:p>
            <w:pPr>
              <w:spacing w:after="20"/>
              <w:ind w:left="20"/>
              <w:jc w:val="both"/>
            </w:pPr>
            <w:r>
              <w:rPr>
                <w:rFonts w:ascii="Times New Roman"/>
                <w:b w:val="false"/>
                <w:i w:val="false"/>
                <w:color w:val="000000"/>
                <w:sz w:val="20"/>
              </w:rPr>
              <w:t xml:space="preserve">(лог-преобразованные значения)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6" w:id="7669"/>
          <w:p>
            <w:pPr>
              <w:spacing w:after="20"/>
              <w:ind w:left="20"/>
              <w:jc w:val="both"/>
            </w:pPr>
          </w:p>
          <w:bookmarkEnd w:id="7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Фармакокинетический параметр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геометрических средних исследуемого ЛП к референтному ЛП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Доверительные интервалы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CV% &lt;*&gt;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7" w:id="7670"/>
          <w:p>
            <w:pPr>
              <w:spacing w:after="20"/>
              <w:ind w:left="20"/>
              <w:jc w:val="both"/>
            </w:pPr>
          </w:p>
          <w:bookmarkEnd w:id="7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&lt;AUC</w:t>
            </w:r>
            <w:r>
              <w:rPr>
                <w:rFonts w:ascii="Times New Roman"/>
                <w:b w:val="false"/>
                <w:i w:val="false"/>
                <w:color w:val="000000"/>
                <w:vertAlign w:val="subscript"/>
              </w:rPr>
              <w:t>(0-t)</w:t>
            </w:r>
            <w:r>
              <w:rPr>
                <w:rFonts w:ascii="Times New Roman"/>
                <w:b w:val="false"/>
                <w:i w:val="false"/>
                <w:color w:val="000000"/>
                <w:sz w:val="20"/>
              </w:rPr>
              <w:t>&gt;</w:t>
            </w:r>
          </w:p>
          <w:p>
            <w:pPr>
              <w:spacing w:after="20"/>
              <w:ind w:left="20"/>
              <w:jc w:val="both"/>
            </w:pPr>
            <w:r>
              <w:rPr>
                <w:rFonts w:ascii="Times New Roman"/>
                <w:b w:val="false"/>
                <w:i w:val="false"/>
                <w:color w:val="000000"/>
                <w:sz w:val="20"/>
              </w:rPr>
              <w:t>&lt;AUC</w:t>
            </w:r>
            <w:r>
              <w:rPr>
                <w:rFonts w:ascii="Times New Roman"/>
                <w:b w:val="false"/>
                <w:i w:val="false"/>
                <w:color w:val="000000"/>
                <w:vertAlign w:val="subscript"/>
              </w:rPr>
              <w:t>(</w:t>
            </w:r>
            <w:r>
              <w:rPr>
                <w:rFonts w:ascii="Times New Roman"/>
                <w:b w:val="false"/>
                <w:i w:val="false"/>
                <w:color w:val="000000"/>
                <w:vertAlign w:val="subscript"/>
              </w:rPr>
              <w:t>0-72 ч)</w:t>
            </w:r>
            <w:r>
              <w:rPr>
                <w:rFonts w:ascii="Times New Roman"/>
                <w:b w:val="false"/>
                <w:i w:val="false"/>
                <w:color w:val="000000"/>
                <w:sz w:val="20"/>
              </w:rPr>
              <w:t xml:space="preserve">&gt;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8" w:id="7671"/>
          <w:p>
            <w:pPr>
              <w:spacing w:after="20"/>
              <w:ind w:left="20"/>
              <w:jc w:val="both"/>
            </w:pPr>
          </w:p>
          <w:bookmarkEnd w:id="7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9" w:id="7672"/>
          <w:p>
            <w:pPr>
              <w:spacing w:after="20"/>
              <w:ind w:left="20"/>
              <w:jc w:val="both"/>
            </w:pPr>
          </w:p>
          <w:bookmarkEnd w:id="767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&lt;*&gt; Рассчитанный на основании остаточного среднеквадратичного отклонения (residual mean squares).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0" w:id="7673"/>
          <w:p>
            <w:pPr>
              <w:spacing w:after="20"/>
              <w:ind w:left="20"/>
              <w:jc w:val="both"/>
            </w:pPr>
            <w:r>
              <w:rPr>
                <w:rFonts w:ascii="Times New Roman"/>
                <w:b w:val="false"/>
                <w:i w:val="false"/>
                <w:color w:val="000000"/>
                <w:sz w:val="20"/>
              </w:rPr>
              <w:t xml:space="preserve">
Если проведены исследования в равновесном состоянии, необходимо составить аналогичные таблицы с указанием следующих параметров: </w:t>
            </w:r>
          </w:p>
          <w:bookmarkEnd w:id="7673"/>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C</w:t>
            </w:r>
            <w:r>
              <w:rPr>
                <w:rFonts w:ascii="Times New Roman"/>
                <w:b w:val="false"/>
                <w:i w:val="false"/>
                <w:color w:val="000000"/>
                <w:vertAlign w:val="subscript"/>
              </w:rPr>
              <w:t>min</w:t>
            </w:r>
            <w:r>
              <w:rPr>
                <w:rFonts w:ascii="Times New Roman"/>
                <w:b w:val="false"/>
                <w:i w:val="false"/>
                <w:color w:val="000000"/>
                <w:sz w:val="20"/>
              </w:rPr>
              <w:t xml:space="preserve"> и индекс флуктуации (флуктуация между максимумом и минимумом, %).</w:t>
            </w:r>
          </w:p>
          <w:p>
            <w:pPr>
              <w:spacing w:after="20"/>
              <w:ind w:left="20"/>
              <w:jc w:val="both"/>
            </w:pPr>
          </w:p>
          <w:p>
            <w:pPr>
              <w:spacing w:after="20"/>
              <w:ind w:left="20"/>
              <w:jc w:val="both"/>
            </w:pPr>
            <w:r>
              <w:rPr>
                <w:rFonts w:ascii="Times New Roman"/>
                <w:b w:val="false"/>
                <w:i w:val="false"/>
                <w:color w:val="000000"/>
                <w:sz w:val="20"/>
              </w:rPr>
              <w:t xml:space="preserve">
Комментарий эксперта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7674"/>
          <w:p>
            <w:pPr>
              <w:spacing w:after="20"/>
              <w:ind w:left="20"/>
              <w:jc w:val="both"/>
            </w:pPr>
            <w:r>
              <w:rPr>
                <w:rFonts w:ascii="Times New Roman"/>
                <w:b w:val="false"/>
                <w:i w:val="false"/>
                <w:color w:val="000000"/>
                <w:sz w:val="20"/>
              </w:rPr>
              <w:t>
Данные по безопасности</w:t>
            </w:r>
          </w:p>
          <w:bookmarkEnd w:id="7674"/>
          <w:p>
            <w:pPr>
              <w:spacing w:after="20"/>
              <w:ind w:left="20"/>
              <w:jc w:val="both"/>
            </w:pPr>
            <w:r>
              <w:rPr>
                <w:rFonts w:ascii="Times New Roman"/>
                <w:b w:val="false"/>
                <w:i w:val="false"/>
                <w:color w:val="000000"/>
                <w:sz w:val="20"/>
              </w:rPr>
              <w:t xml:space="preserve">Следует составить краткое резюме нежелательных явлений, отмеченных в исследовании биоэквивалентности. Не требуется делать заключение на основании сравнения этих данных для исследуемого и референтного препаратов. </w:t>
            </w:r>
          </w:p>
        </w:tc>
      </w:tr>
    </w:tbl>
    <w:bookmarkStart w:name="z9303" w:id="7675"/>
    <w:p>
      <w:pPr>
        <w:spacing w:after="0"/>
        <w:ind w:left="0"/>
        <w:jc w:val="left"/>
      </w:pPr>
      <w:r>
        <w:rPr>
          <w:rFonts w:ascii="Times New Roman"/>
          <w:b/>
          <w:i w:val="false"/>
          <w:color w:val="000000"/>
        </w:rPr>
        <w:t xml:space="preserve"> Заключение: </w:t>
      </w:r>
    </w:p>
    <w:bookmarkEnd w:id="7675"/>
    <w:bookmarkStart w:name="z9304" w:id="7676"/>
    <w:p>
      <w:pPr>
        <w:spacing w:after="0"/>
        <w:ind w:left="0"/>
        <w:jc w:val="both"/>
      </w:pPr>
      <w:r>
        <w:rPr>
          <w:rFonts w:ascii="Times New Roman"/>
          <w:b w:val="false"/>
          <w:i w:val="false"/>
          <w:color w:val="000000"/>
          <w:sz w:val="28"/>
        </w:rPr>
        <w:t>
      &lt;Исходя из представленных результатов исследования(й) биоэквивалентности [указать торговое наименование исследованного лекарственного препарата] признается биоэквивалентным [указать наименование референтного препарата].&gt;</w:t>
      </w:r>
    </w:p>
    <w:bookmarkEnd w:id="7676"/>
    <w:bookmarkStart w:name="z9305" w:id="7677"/>
    <w:p>
      <w:pPr>
        <w:spacing w:after="0"/>
        <w:ind w:left="0"/>
        <w:jc w:val="both"/>
      </w:pPr>
      <w:r>
        <w:rPr>
          <w:rFonts w:ascii="Times New Roman"/>
          <w:b w:val="false"/>
          <w:i w:val="false"/>
          <w:color w:val="000000"/>
          <w:sz w:val="28"/>
        </w:rPr>
        <w:t>
      или</w:t>
      </w:r>
    </w:p>
    <w:bookmarkEnd w:id="7677"/>
    <w:bookmarkStart w:name="z9306" w:id="7678"/>
    <w:p>
      <w:pPr>
        <w:spacing w:after="0"/>
        <w:ind w:left="0"/>
        <w:jc w:val="both"/>
      </w:pPr>
      <w:r>
        <w:rPr>
          <w:rFonts w:ascii="Times New Roman"/>
          <w:b w:val="false"/>
          <w:i w:val="false"/>
          <w:color w:val="000000"/>
          <w:sz w:val="28"/>
        </w:rPr>
        <w:t>
      &lt;В связи с [указать основания] [указать торговое наименование исследованного лекарственного препарата] признается биоэквивалентным [указать наименование референтного препарата].&gt;</w:t>
      </w:r>
    </w:p>
    <w:bookmarkEnd w:id="7678"/>
    <w:bookmarkStart w:name="z9307" w:id="7679"/>
    <w:p>
      <w:pPr>
        <w:spacing w:after="0"/>
        <w:ind w:left="0"/>
        <w:jc w:val="both"/>
      </w:pPr>
      <w:r>
        <w:rPr>
          <w:rFonts w:ascii="Times New Roman"/>
          <w:b w:val="false"/>
          <w:i w:val="false"/>
          <w:color w:val="000000"/>
          <w:sz w:val="28"/>
        </w:rPr>
        <w:t>
      Если применимо, может быть использована следующая формулировка:</w:t>
      </w:r>
    </w:p>
    <w:bookmarkEnd w:id="7679"/>
    <w:bookmarkStart w:name="z9308" w:id="7680"/>
    <w:p>
      <w:pPr>
        <w:spacing w:after="0"/>
        <w:ind w:left="0"/>
        <w:jc w:val="both"/>
      </w:pPr>
      <w:r>
        <w:rPr>
          <w:rFonts w:ascii="Times New Roman"/>
          <w:b w:val="false"/>
          <w:i w:val="false"/>
          <w:color w:val="000000"/>
          <w:sz w:val="28"/>
        </w:rPr>
        <w:t>
      &lt;Результаты исследования [номер исследования] с препаратом, содержащим [XX мг], [могут (не могут)] быть экстраполированы на другие дозировки [XX мг], в соответствии с условиями, изложенными в правилах проведения исследований воспроизведенных лекарственных препаратов Союза.&gt;</w:t>
      </w:r>
    </w:p>
    <w:bookmarkEnd w:id="7680"/>
    <w:bookmarkStart w:name="z9309" w:id="7681"/>
    <w:p>
      <w:pPr>
        <w:spacing w:after="0"/>
        <w:ind w:left="0"/>
        <w:jc w:val="left"/>
      </w:pPr>
      <w:r>
        <w:rPr>
          <w:rFonts w:ascii="Times New Roman"/>
          <w:b/>
          <w:i w:val="false"/>
          <w:color w:val="000000"/>
        </w:rPr>
        <w:t xml:space="preserve"> 2.3.2. Фармакодинамика </w:t>
      </w:r>
    </w:p>
    <w:bookmarkEnd w:id="7681"/>
    <w:bookmarkStart w:name="z9310" w:id="7682"/>
    <w:p>
      <w:pPr>
        <w:spacing w:after="0"/>
        <w:ind w:left="0"/>
        <w:jc w:val="both"/>
      </w:pPr>
      <w:r>
        <w:rPr>
          <w:rFonts w:ascii="Times New Roman"/>
          <w:b w:val="false"/>
          <w:i w:val="false"/>
          <w:color w:val="000000"/>
          <w:sz w:val="28"/>
        </w:rPr>
        <w:t>
      Следует использовать стандартную формулировку.</w:t>
      </w:r>
    </w:p>
    <w:bookmarkEnd w:id="7682"/>
    <w:bookmarkStart w:name="z9311" w:id="7683"/>
    <w:p>
      <w:pPr>
        <w:spacing w:after="0"/>
        <w:ind w:left="0"/>
        <w:jc w:val="both"/>
      </w:pPr>
      <w:r>
        <w:rPr>
          <w:rFonts w:ascii="Times New Roman"/>
          <w:b w:val="false"/>
          <w:i w:val="false"/>
          <w:color w:val="000000"/>
          <w:sz w:val="28"/>
        </w:rPr>
        <w:t>
      &lt;Результаты новых фармакодинамических исследований не представлены, в контексте настоящего заявления подобные исследования не требуются.&gt;</w:t>
      </w:r>
    </w:p>
    <w:bookmarkEnd w:id="7683"/>
    <w:bookmarkStart w:name="z9312" w:id="7684"/>
    <w:p>
      <w:pPr>
        <w:spacing w:after="0"/>
        <w:ind w:left="0"/>
        <w:jc w:val="both"/>
      </w:pPr>
      <w:r>
        <w:rPr>
          <w:rFonts w:ascii="Times New Roman"/>
          <w:b w:val="false"/>
          <w:i w:val="false"/>
          <w:color w:val="000000"/>
          <w:sz w:val="28"/>
        </w:rPr>
        <w:t>
      Как правило, новые данные не требуются и не подаются. Однако, если биоэквивалентность невозможно подтвердить в рамках фармакокинетических исследований, их представление необходимо в целях подтверждения терапевтической эквивалентности.</w:t>
      </w:r>
    </w:p>
    <w:bookmarkEnd w:id="7684"/>
    <w:bookmarkStart w:name="z9313" w:id="7685"/>
    <w:p>
      <w:pPr>
        <w:spacing w:after="0"/>
        <w:ind w:left="0"/>
        <w:jc w:val="left"/>
      </w:pPr>
      <w:r>
        <w:rPr>
          <w:rFonts w:ascii="Times New Roman"/>
          <w:b/>
          <w:i w:val="false"/>
          <w:color w:val="000000"/>
        </w:rPr>
        <w:t xml:space="preserve"> 2.3.3. Пострегистрационный опыт </w:t>
      </w:r>
    </w:p>
    <w:bookmarkEnd w:id="7685"/>
    <w:bookmarkStart w:name="z9314" w:id="7686"/>
    <w:p>
      <w:pPr>
        <w:spacing w:after="0"/>
        <w:ind w:left="0"/>
        <w:jc w:val="both"/>
      </w:pPr>
      <w:r>
        <w:rPr>
          <w:rFonts w:ascii="Times New Roman"/>
          <w:b w:val="false"/>
          <w:i w:val="false"/>
          <w:color w:val="000000"/>
          <w:sz w:val="28"/>
        </w:rPr>
        <w:t>
      Оцените представленные данные по безопасности (если препарат зарегистрирован за пределами Союза). Следует принимать во внимание, что эти сведения касаются лекарственного препарата, а не его действующего вещества.</w:t>
      </w:r>
    </w:p>
    <w:bookmarkEnd w:id="7686"/>
    <w:bookmarkStart w:name="z9315" w:id="7687"/>
    <w:p>
      <w:pPr>
        <w:spacing w:after="0"/>
        <w:ind w:left="0"/>
        <w:jc w:val="both"/>
      </w:pPr>
      <w:r>
        <w:rPr>
          <w:rFonts w:ascii="Times New Roman"/>
          <w:b w:val="false"/>
          <w:i w:val="false"/>
          <w:color w:val="000000"/>
          <w:sz w:val="28"/>
        </w:rPr>
        <w:t>
      Как правило, можно ограничиться следующей формулировкой:</w:t>
      </w:r>
    </w:p>
    <w:bookmarkEnd w:id="7687"/>
    <w:bookmarkStart w:name="z9316" w:id="7688"/>
    <w:p>
      <w:pPr>
        <w:spacing w:after="0"/>
        <w:ind w:left="0"/>
        <w:jc w:val="both"/>
      </w:pPr>
      <w:r>
        <w:rPr>
          <w:rFonts w:ascii="Times New Roman"/>
          <w:b w:val="false"/>
          <w:i w:val="false"/>
          <w:color w:val="000000"/>
          <w:sz w:val="28"/>
        </w:rPr>
        <w:t>
      &lt;Пострегистрационный опыт применения отсутствует. Лекарственный препарат не применялся за пределами Союза.&gt;</w:t>
      </w:r>
    </w:p>
    <w:bookmarkEnd w:id="7688"/>
    <w:bookmarkStart w:name="z9317" w:id="7689"/>
    <w:p>
      <w:pPr>
        <w:spacing w:after="0"/>
        <w:ind w:left="0"/>
        <w:jc w:val="left"/>
      </w:pPr>
      <w:r>
        <w:rPr>
          <w:rFonts w:ascii="Times New Roman"/>
          <w:b/>
          <w:i w:val="false"/>
          <w:color w:val="000000"/>
        </w:rPr>
        <w:t xml:space="preserve"> 2.3.4. Обсуждение клинических аспектов </w:t>
      </w:r>
    </w:p>
    <w:bookmarkEnd w:id="7689"/>
    <w:bookmarkStart w:name="z9318" w:id="7690"/>
    <w:p>
      <w:pPr>
        <w:spacing w:after="0"/>
        <w:ind w:left="0"/>
        <w:jc w:val="both"/>
      </w:pPr>
      <w:r>
        <w:rPr>
          <w:rFonts w:ascii="Times New Roman"/>
          <w:b w:val="false"/>
          <w:i w:val="false"/>
          <w:color w:val="000000"/>
          <w:sz w:val="28"/>
        </w:rPr>
        <w:t>
      Обсудите критические элементы дизайна, особенно если они отличаются от стандартного перекрестного дизайна, например, параллельный дизайн, прием после еды, исследование у пациентов и т.д. Необходимо проанализировать выбор исследуемого вещества (исходное соединение или метаболит), а также биоаналитического метода. Кроме того, укажите заранее выбранные критерии признания биоэквивалентности, особенно если было совершено масштабирование в отношении высоковариабельных препаратов (например, использовался ли повторный дизайн для оценки коэффициента вариабельности) или в отношении препаратов с узким терапевтическим диапазоном.</w:t>
      </w:r>
    </w:p>
    <w:bookmarkEnd w:id="7690"/>
    <w:bookmarkStart w:name="z9319" w:id="7691"/>
    <w:p>
      <w:pPr>
        <w:spacing w:after="0"/>
        <w:ind w:left="0"/>
        <w:jc w:val="both"/>
      </w:pPr>
      <w:r>
        <w:rPr>
          <w:rFonts w:ascii="Times New Roman"/>
          <w:b w:val="false"/>
          <w:i w:val="false"/>
          <w:color w:val="000000"/>
          <w:sz w:val="28"/>
        </w:rPr>
        <w:t>
      Следует указать, выдержали ли результаты заранее установленные критерии признания биоэквивалентности. Необходимо обобщить все замечания в отношении проведения исследования (например, выбывание (замена) субъектов). Если проведено несколько исследований с референтным препаратом, оцените согласованность полученных данных.</w:t>
      </w:r>
    </w:p>
    <w:bookmarkEnd w:id="7691"/>
    <w:bookmarkStart w:name="z9320" w:id="7692"/>
    <w:p>
      <w:pPr>
        <w:spacing w:after="0"/>
        <w:ind w:left="0"/>
        <w:jc w:val="both"/>
      </w:pPr>
      <w:r>
        <w:rPr>
          <w:rFonts w:ascii="Times New Roman"/>
          <w:b w:val="false"/>
          <w:i w:val="false"/>
          <w:color w:val="000000"/>
          <w:sz w:val="28"/>
        </w:rPr>
        <w:t>
      Все сомнения относительно несоответствия исследования требованиям правил надлежащей клинической практики Союза (GCP) необходимо четко описать и оценить.</w:t>
      </w:r>
    </w:p>
    <w:bookmarkEnd w:id="7692"/>
    <w:bookmarkStart w:name="z9321" w:id="7693"/>
    <w:p>
      <w:pPr>
        <w:spacing w:after="0"/>
        <w:ind w:left="0"/>
        <w:jc w:val="left"/>
      </w:pPr>
      <w:r>
        <w:rPr>
          <w:rFonts w:ascii="Times New Roman"/>
          <w:b/>
          <w:i w:val="false"/>
          <w:color w:val="000000"/>
        </w:rPr>
        <w:t xml:space="preserve"> 2.3.5. Заключение по клиническим аспектам </w:t>
      </w:r>
    </w:p>
    <w:bookmarkEnd w:id="7693"/>
    <w:bookmarkStart w:name="z9322" w:id="7694"/>
    <w:p>
      <w:pPr>
        <w:spacing w:after="0"/>
        <w:ind w:left="0"/>
        <w:jc w:val="both"/>
      </w:pPr>
      <w:r>
        <w:rPr>
          <w:rFonts w:ascii="Times New Roman"/>
          <w:b w:val="false"/>
          <w:i w:val="false"/>
          <w:color w:val="000000"/>
          <w:sz w:val="28"/>
        </w:rPr>
        <w:t>
      Следует сделать заключение по клиническим аспектам и перенести замечания в перечень замечаний.</w:t>
      </w:r>
    </w:p>
    <w:bookmarkEnd w:id="7694"/>
    <w:bookmarkStart w:name="z9323" w:id="7695"/>
    <w:p>
      <w:pPr>
        <w:spacing w:after="0"/>
        <w:ind w:left="0"/>
        <w:jc w:val="both"/>
      </w:pPr>
      <w:r>
        <w:rPr>
          <w:rFonts w:ascii="Times New Roman"/>
          <w:b w:val="false"/>
          <w:i w:val="false"/>
          <w:color w:val="000000"/>
          <w:sz w:val="28"/>
        </w:rPr>
        <w:t>
      Если воспроизведенный препарат содержит другую соль, простые или сложные эфиры, изомеры, смеси изомеров, комплексы или производные фармацевтической субстанции, следует сделать соответствующее указание:</w:t>
      </w:r>
    </w:p>
    <w:bookmarkEnd w:id="7695"/>
    <w:bookmarkStart w:name="z9324" w:id="7696"/>
    <w:p>
      <w:pPr>
        <w:spacing w:after="0"/>
        <w:ind w:left="0"/>
        <w:jc w:val="both"/>
      </w:pPr>
      <w:r>
        <w:rPr>
          <w:rFonts w:ascii="Times New Roman"/>
          <w:b w:val="false"/>
          <w:i w:val="false"/>
          <w:color w:val="000000"/>
          <w:sz w:val="28"/>
        </w:rPr>
        <w:t>
      &lt;Резюме литературных источников в отношении клинических данных [название лекарственного препарата] и обоснование того, что другая [соль, сложный эфир, простой эфир, изомер, смесь изомеров, комплекс, производное] действующего вещества по свойствам значимо не отличается от профиля безопасности и эффективности референтного препарата, [не] представлены и [не] принимаются уполномоченным органом. Это [не] согласуется с соответствующими правилами Союза, поэтому [не] требуется проведение дополнительных клинических исследований.&gt;</w:t>
      </w:r>
    </w:p>
    <w:bookmarkEnd w:id="7696"/>
    <w:bookmarkStart w:name="z9325" w:id="7697"/>
    <w:p>
      <w:pPr>
        <w:spacing w:after="0"/>
        <w:ind w:left="0"/>
        <w:jc w:val="both"/>
      </w:pPr>
      <w:r>
        <w:rPr>
          <w:rFonts w:ascii="Times New Roman"/>
          <w:b w:val="false"/>
          <w:i w:val="false"/>
          <w:color w:val="000000"/>
          <w:sz w:val="28"/>
        </w:rPr>
        <w:t>
      Обязательства для заявителя принять пострегистрационные меры: В отдельных случаях клинические данные, которые являются ключевыми для оценки соотношения польза-риск, могут быть затребованы экспертом как одно из условий регистрации. Запрос экспертом таких данных в пострегистрационном периоде выполняется в виде нижеследующей формулировки и включается в состав ОХЛП как отдельный раздел в качестве условий регистрации. Следует надлежащим образом обосновать каждый запрос, определенный в качестве такого условия, а именно, следует объяснить необходимость включения такого условия в контексте положительного соотношения польза-риск:</w:t>
      </w:r>
    </w:p>
    <w:bookmarkEnd w:id="7697"/>
    <w:bookmarkStart w:name="z9326" w:id="7698"/>
    <w:p>
      <w:pPr>
        <w:spacing w:after="0"/>
        <w:ind w:left="0"/>
        <w:jc w:val="both"/>
      </w:pPr>
      <w:r>
        <w:rPr>
          <w:rFonts w:ascii="Times New Roman"/>
          <w:b w:val="false"/>
          <w:i w:val="false"/>
          <w:color w:val="000000"/>
          <w:sz w:val="28"/>
        </w:rPr>
        <w:t>
      &lt;Считаю необходимым принять следующие меры, чтобы устранить замечания по клиническим аспектам [перечислить необходимые меры]:&gt;</w:t>
      </w:r>
    </w:p>
    <w:bookmarkEnd w:id="7698"/>
    <w:bookmarkStart w:name="z9327" w:id="7699"/>
    <w:p>
      <w:pPr>
        <w:spacing w:after="0"/>
        <w:ind w:left="0"/>
        <w:jc w:val="left"/>
      </w:pPr>
      <w:r>
        <w:rPr>
          <w:rFonts w:ascii="Times New Roman"/>
          <w:b/>
          <w:i w:val="false"/>
          <w:color w:val="000000"/>
        </w:rPr>
        <w:t xml:space="preserve"> 3. Фармаконадзор</w:t>
      </w:r>
    </w:p>
    <w:bookmarkEnd w:id="7699"/>
    <w:bookmarkStart w:name="z9328" w:id="7700"/>
    <w:p>
      <w:pPr>
        <w:spacing w:after="0"/>
        <w:ind w:left="0"/>
        <w:jc w:val="left"/>
      </w:pPr>
      <w:r>
        <w:rPr>
          <w:rFonts w:ascii="Times New Roman"/>
          <w:b/>
          <w:i w:val="false"/>
          <w:color w:val="000000"/>
        </w:rPr>
        <w:t xml:space="preserve"> 3.6. Система фармаконадзора </w:t>
      </w:r>
    </w:p>
    <w:bookmarkEnd w:id="7700"/>
    <w:bookmarkStart w:name="z9329" w:id="7701"/>
    <w:p>
      <w:pPr>
        <w:spacing w:after="0"/>
        <w:ind w:left="0"/>
        <w:jc w:val="both"/>
      </w:pPr>
      <w:r>
        <w:rPr>
          <w:rFonts w:ascii="Times New Roman"/>
          <w:b w:val="false"/>
          <w:i w:val="false"/>
          <w:color w:val="000000"/>
          <w:sz w:val="28"/>
        </w:rPr>
        <w:t>
      &lt;Заявитель представил документы, содержащие подробное описание системы фармаконадзора. Представлена декларация, подписанная заявителем и уполномоченным лицом по фармаконадзору, удостоверяющая, что заявитель имеет в своем распоряжении уполномоченное лицо, ответственное за фармаконадзор, и средства, необходимые для уведомления о любой нежелательной реакции, возникающей в Союзе или в государствах, не являющихся членами Союза.&gt;</w:t>
      </w:r>
    </w:p>
    <w:bookmarkEnd w:id="7701"/>
    <w:bookmarkStart w:name="z9330" w:id="7702"/>
    <w:p>
      <w:pPr>
        <w:spacing w:after="0"/>
        <w:ind w:left="0"/>
        <w:jc w:val="both"/>
      </w:pPr>
      <w:r>
        <w:rPr>
          <w:rFonts w:ascii="Times New Roman"/>
          <w:b w:val="false"/>
          <w:i w:val="false"/>
          <w:color w:val="000000"/>
          <w:sz w:val="28"/>
        </w:rPr>
        <w:t>
      &lt;Считаю, что система фармаконадзора, описанная заявителем, удовлетворяет требованиям и содержит достаточное подтверждение того, что заявитель имеет в своем распоряжении уполномоченное лицо, ответственное за фармаконадзор, и средства, необходимые для уведомления о любой нежелательной реакции, возникающей в Союзе или в третьей стране.&gt;</w:t>
      </w:r>
    </w:p>
    <w:bookmarkEnd w:id="7702"/>
    <w:bookmarkStart w:name="z9331" w:id="7703"/>
    <w:p>
      <w:pPr>
        <w:spacing w:after="0"/>
        <w:ind w:left="0"/>
        <w:jc w:val="both"/>
      </w:pPr>
      <w:r>
        <w:rPr>
          <w:rFonts w:ascii="Times New Roman"/>
          <w:b w:val="false"/>
          <w:i w:val="false"/>
          <w:color w:val="000000"/>
          <w:sz w:val="28"/>
        </w:rPr>
        <w:t>
      &lt;Считаю, что описанная заявителем система фармаконадзора имеет следующие недостатки [перечень недостатков]:</w:t>
      </w:r>
    </w:p>
    <w:bookmarkEnd w:id="7703"/>
    <w:bookmarkStart w:name="z9332" w:id="7704"/>
    <w:p>
      <w:pPr>
        <w:spacing w:after="0"/>
        <w:ind w:left="0"/>
        <w:jc w:val="both"/>
      </w:pPr>
      <w:r>
        <w:rPr>
          <w:rFonts w:ascii="Times New Roman"/>
          <w:b w:val="false"/>
          <w:i w:val="false"/>
          <w:color w:val="000000"/>
          <w:sz w:val="28"/>
        </w:rPr>
        <w:t>
      &lt;При условии устранения заявителем недостатков до начала реализации лекарственного препарата уполномоченный орган может признать систему фармаконадзора удовлетворяющей требованиям. Заявитель должен обеспечить наличие и функционирование системы фармаконадзора до начала реализации.&gt;</w:t>
      </w:r>
    </w:p>
    <w:bookmarkEnd w:id="7704"/>
    <w:bookmarkStart w:name="z9333" w:id="7705"/>
    <w:p>
      <w:pPr>
        <w:spacing w:after="0"/>
        <w:ind w:left="0"/>
        <w:jc w:val="left"/>
      </w:pPr>
      <w:r>
        <w:rPr>
          <w:rFonts w:ascii="Times New Roman"/>
          <w:b/>
          <w:i w:val="false"/>
          <w:color w:val="000000"/>
        </w:rPr>
        <w:t xml:space="preserve"> 3.7. План управления рисками </w:t>
      </w:r>
    </w:p>
    <w:bookmarkEnd w:id="7705"/>
    <w:bookmarkStart w:name="z9334" w:id="7706"/>
    <w:p>
      <w:pPr>
        <w:spacing w:after="0"/>
        <w:ind w:left="0"/>
        <w:jc w:val="both"/>
      </w:pPr>
      <w:r>
        <w:rPr>
          <w:rFonts w:ascii="Times New Roman"/>
          <w:b w:val="false"/>
          <w:i w:val="false"/>
          <w:color w:val="000000"/>
          <w:sz w:val="28"/>
        </w:rPr>
        <w:t>
      Эксперт должен завершить первую общую экспертизу досье и привести все основные замечания к плану управления рисками (ПУР) до первого запроса дополнительной информации или пояснений. Целесообразно отметить конкретные замечания и сомнения, выявленные в ходе экспертизы досье, которые могут повлиять на ПУР. К ним относятся определенные данные доклинической безопасности, пробелы в данных клинической фармакологии, потенциальные сигналы безопасности по данным клинических исследования и т.д. На этой стадии особенно важно выявить опасения в отношении безопасности (важные идентифицированные риски, важные потенциальные риски, важная недостающая информация). Особенно важно, если данные вопросы не были обозначены заявителем в досье и (или) не были отражены в ПУР.</w:t>
      </w:r>
    </w:p>
    <w:bookmarkEnd w:id="7706"/>
    <w:bookmarkStart w:name="z9335" w:id="7707"/>
    <w:p>
      <w:pPr>
        <w:spacing w:after="0"/>
        <w:ind w:left="0"/>
        <w:jc w:val="left"/>
      </w:pPr>
      <w:r>
        <w:rPr>
          <w:rFonts w:ascii="Times New Roman"/>
          <w:b/>
          <w:i w:val="false"/>
          <w:color w:val="000000"/>
        </w:rPr>
        <w:t xml:space="preserve"> Замечания и (или) сомнения, которые должен учесть эксперт при экспертизе ПУР: </w:t>
      </w:r>
    </w:p>
    <w:bookmarkEnd w:id="7707"/>
    <w:bookmarkStart w:name="z9336" w:id="7708"/>
    <w:p>
      <w:pPr>
        <w:spacing w:after="0"/>
        <w:ind w:left="0"/>
        <w:jc w:val="both"/>
      </w:pPr>
      <w:r>
        <w:rPr>
          <w:rFonts w:ascii="Times New Roman"/>
          <w:b w:val="false"/>
          <w:i w:val="false"/>
          <w:color w:val="000000"/>
          <w:sz w:val="28"/>
        </w:rPr>
        <w:t>
      Следует указать замечания и сомнения, которые выявлены в рамках проведения общей экспертизы досье и которые должен рассмотреть специалист в области фармаконадзора при экспертизе плана управления рисками.</w:t>
      </w:r>
    </w:p>
    <w:bookmarkEnd w:id="7708"/>
    <w:bookmarkStart w:name="z9337" w:id="7709"/>
    <w:p>
      <w:pPr>
        <w:spacing w:after="0"/>
        <w:ind w:left="0"/>
        <w:jc w:val="left"/>
      </w:pPr>
      <w:r>
        <w:rPr>
          <w:rFonts w:ascii="Times New Roman"/>
          <w:b/>
          <w:i w:val="false"/>
          <w:color w:val="000000"/>
        </w:rPr>
        <w:t xml:space="preserve"> 4. Перечень замечаний эксперта </w:t>
      </w:r>
    </w:p>
    <w:bookmarkEnd w:id="7709"/>
    <w:bookmarkStart w:name="z9338" w:id="7710"/>
    <w:p>
      <w:pPr>
        <w:spacing w:after="0"/>
        <w:ind w:left="0"/>
        <w:jc w:val="both"/>
      </w:pPr>
      <w:r>
        <w:rPr>
          <w:rFonts w:ascii="Times New Roman"/>
          <w:b w:val="false"/>
          <w:i w:val="false"/>
          <w:color w:val="000000"/>
          <w:sz w:val="28"/>
        </w:rPr>
        <w:t>
      Наличие критических замечаний делает невозможным рекомендацию по одобрению заявления на регистрацию лекарственного препарата. Теоретически одно критическое замечание может включать в себя более одного вопроса, поэтому следует использовать параграфы и подзаголовки в данном случае. Важно, чтобы критическое замечание было понятно и четко изложено. Для этого могут понадобиться подробные комментарии со ссылками на подходящие нормативные правовые акты и рекомендации (руководства).</w:t>
      </w:r>
    </w:p>
    <w:bookmarkEnd w:id="7710"/>
    <w:bookmarkStart w:name="z9339" w:id="7711"/>
    <w:p>
      <w:pPr>
        <w:spacing w:after="0"/>
        <w:ind w:left="0"/>
        <w:jc w:val="both"/>
      </w:pPr>
      <w:r>
        <w:rPr>
          <w:rFonts w:ascii="Times New Roman"/>
          <w:b w:val="false"/>
          <w:i w:val="false"/>
          <w:color w:val="000000"/>
          <w:sz w:val="28"/>
        </w:rPr>
        <w:t>
      В идеальном случае, замечание должно включать в себя разъяснение относительно ответа или мер, ожидаемых от заявителя.</w:t>
      </w:r>
    </w:p>
    <w:bookmarkEnd w:id="7711"/>
    <w:bookmarkStart w:name="z9340" w:id="7712"/>
    <w:p>
      <w:pPr>
        <w:spacing w:after="0"/>
        <w:ind w:left="0"/>
        <w:jc w:val="both"/>
      </w:pPr>
      <w:r>
        <w:rPr>
          <w:rFonts w:ascii="Times New Roman"/>
          <w:b w:val="false"/>
          <w:i w:val="false"/>
          <w:color w:val="000000"/>
          <w:sz w:val="28"/>
        </w:rPr>
        <w:t>
      "Прочие замечания" могут повлиять на предлагаемые условия получения регистрационного удостоверения и содержание информации о лекарственном препарате. Эти проблемные вопросы должны быть решены перед одобрением заявления, в противном случае заявление может быть отклонена.</w:t>
      </w:r>
    </w:p>
    <w:bookmarkEnd w:id="7712"/>
    <w:bookmarkStart w:name="z9341" w:id="7713"/>
    <w:p>
      <w:pPr>
        <w:spacing w:after="0"/>
        <w:ind w:left="0"/>
        <w:jc w:val="both"/>
      </w:pPr>
      <w:r>
        <w:rPr>
          <w:rFonts w:ascii="Times New Roman"/>
          <w:b w:val="false"/>
          <w:i w:val="false"/>
          <w:color w:val="000000"/>
          <w:sz w:val="28"/>
        </w:rPr>
        <w:t>
      Данный список замечаний необходимо скопировать в раздел "Общее описание" экспертного отчета.</w:t>
      </w:r>
    </w:p>
    <w:bookmarkEnd w:id="7713"/>
    <w:bookmarkStart w:name="z9342" w:id="7714"/>
    <w:p>
      <w:pPr>
        <w:spacing w:after="0"/>
        <w:ind w:left="0"/>
        <w:jc w:val="left"/>
      </w:pPr>
      <w:r>
        <w:rPr>
          <w:rFonts w:ascii="Times New Roman"/>
          <w:b/>
          <w:i w:val="false"/>
          <w:color w:val="000000"/>
        </w:rPr>
        <w:t xml:space="preserve"> 5. Рекомендуемые экспертом условия, выполнение которых</w:t>
      </w:r>
      <w:r>
        <w:br/>
      </w:r>
      <w:r>
        <w:rPr>
          <w:rFonts w:ascii="Times New Roman"/>
          <w:b/>
          <w:i w:val="false"/>
          <w:color w:val="000000"/>
        </w:rPr>
        <w:t>необходимо после получения заявителем регистрационного</w:t>
      </w:r>
      <w:r>
        <w:br/>
      </w:r>
      <w:r>
        <w:rPr>
          <w:rFonts w:ascii="Times New Roman"/>
          <w:b/>
          <w:i w:val="false"/>
          <w:color w:val="000000"/>
        </w:rPr>
        <w:t>удостоверения и утверждения общей характеристики</w:t>
      </w:r>
      <w:r>
        <w:br/>
      </w:r>
      <w:r>
        <w:rPr>
          <w:rFonts w:ascii="Times New Roman"/>
          <w:b/>
          <w:i w:val="false"/>
          <w:color w:val="000000"/>
        </w:rPr>
        <w:t>лекарственного препарата, инструкции по медицинскому</w:t>
      </w:r>
      <w:r>
        <w:br/>
      </w:r>
      <w:r>
        <w:rPr>
          <w:rFonts w:ascii="Times New Roman"/>
          <w:b/>
          <w:i w:val="false"/>
          <w:color w:val="000000"/>
        </w:rPr>
        <w:t>применению (листка-вкладыша) и дизайна упаковки</w:t>
      </w:r>
      <w:r>
        <w:br/>
      </w:r>
      <w:r>
        <w:rPr>
          <w:rFonts w:ascii="Times New Roman"/>
          <w:b/>
          <w:i w:val="false"/>
          <w:color w:val="000000"/>
        </w:rPr>
        <w:t>лекарственного препарата</w:t>
      </w:r>
    </w:p>
    <w:bookmarkEnd w:id="7714"/>
    <w:bookmarkStart w:name="z9343" w:id="7715"/>
    <w:p>
      <w:pPr>
        <w:spacing w:after="0"/>
        <w:ind w:left="0"/>
        <w:jc w:val="left"/>
      </w:pPr>
      <w:r>
        <w:rPr>
          <w:rFonts w:ascii="Times New Roman"/>
          <w:b/>
          <w:i w:val="false"/>
          <w:color w:val="000000"/>
        </w:rPr>
        <w:t xml:space="preserve"> 6. Список литературы </w:t>
      </w:r>
    </w:p>
    <w:bookmarkEnd w:id="7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24 </w:t>
            </w:r>
            <w:r>
              <w:br/>
            </w:r>
            <w:r>
              <w:rPr>
                <w:rFonts w:ascii="Times New Roman"/>
                <w:b w:val="false"/>
                <w:i w:val="false"/>
                <w:color w:val="000000"/>
                <w:sz w:val="20"/>
              </w:rPr>
              <w:t xml:space="preserve">к Правилам регистрации и экспертизы лекарственных </w:t>
            </w:r>
            <w:r>
              <w:br/>
            </w:r>
            <w:r>
              <w:rPr>
                <w:rFonts w:ascii="Times New Roman"/>
                <w:b w:val="false"/>
                <w:i w:val="false"/>
                <w:color w:val="000000"/>
                <w:sz w:val="20"/>
              </w:rPr>
              <w:t>средств для медицинского применения</w:t>
            </w:r>
          </w:p>
        </w:tc>
      </w:tr>
    </w:tbl>
    <w:bookmarkStart w:name="z9346" w:id="7716"/>
    <w:p>
      <w:pPr>
        <w:spacing w:after="0"/>
        <w:ind w:left="0"/>
        <w:jc w:val="left"/>
      </w:pPr>
      <w:r>
        <w:rPr>
          <w:rFonts w:ascii="Times New Roman"/>
          <w:b/>
          <w:i w:val="false"/>
          <w:color w:val="000000"/>
        </w:rPr>
        <w:t xml:space="preserve"> ТРЕБОВАНИЯ </w:t>
      </w:r>
      <w:r>
        <w:br/>
      </w:r>
      <w:r>
        <w:rPr>
          <w:rFonts w:ascii="Times New Roman"/>
          <w:b/>
          <w:i w:val="false"/>
          <w:color w:val="000000"/>
        </w:rPr>
        <w:t>к процедуре внесения изменений в регистрационное досье сезонных, пандемических и препандемических (зоонозных) вакцин при изменении штаммового состава вакцин для профилактики гриппа, а также к регистрации сезонных, пандемических и препандемических (зоонозных) вакцин для профилактики гриппа</w:t>
      </w:r>
    </w:p>
    <w:bookmarkEnd w:id="7716"/>
    <w:p>
      <w:pPr>
        <w:spacing w:after="0"/>
        <w:ind w:left="0"/>
        <w:jc w:val="both"/>
      </w:pPr>
      <w:r>
        <w:rPr>
          <w:rFonts w:ascii="Times New Roman"/>
          <w:b w:val="false"/>
          <w:i w:val="false"/>
          <w:color w:val="ff0000"/>
          <w:sz w:val="28"/>
        </w:rPr>
        <w:t xml:space="preserve">
      Сноска. Правила дополнены приложением 24 в соответствии с решением Совета Евразийской экономической комиссии от 14.06.2018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6 месяцев с даты его официального опубликования); с изменениями, внесенными решениями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29.05.2024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347" w:id="7717"/>
    <w:p>
      <w:pPr>
        <w:spacing w:after="0"/>
        <w:ind w:left="0"/>
        <w:jc w:val="left"/>
      </w:pPr>
      <w:r>
        <w:rPr>
          <w:rFonts w:ascii="Times New Roman"/>
          <w:b/>
          <w:i w:val="false"/>
          <w:color w:val="000000"/>
        </w:rPr>
        <w:t xml:space="preserve"> I. Общие положения </w:t>
      </w:r>
    </w:p>
    <w:bookmarkEnd w:id="7717"/>
    <w:p>
      <w:pPr>
        <w:spacing w:after="0"/>
        <w:ind w:left="0"/>
        <w:jc w:val="both"/>
      </w:pPr>
      <w:r>
        <w:rPr>
          <w:rFonts w:ascii="Times New Roman"/>
          <w:b w:val="false"/>
          <w:i w:val="false"/>
          <w:color w:val="000000"/>
          <w:sz w:val="28"/>
        </w:rPr>
        <w:t>
      Настоящие Требования распространяются на процедуры регистрации вакцин для профилактики гриппа и определяют единый порядок внесения изменений в регистрационное досье сезонных, пандемических и препандемических (зоонозных) вакцин при изменении (обновлении) штаммового состава вакцин для профилактики гриппа по ускоренной процедуре</w:t>
      </w:r>
      <w:r>
        <w:rPr>
          <w:rFonts w:ascii="Times New Roman"/>
          <w:b w:val="false"/>
          <w:i/>
          <w:color w:val="000000"/>
          <w:sz w:val="28"/>
        </w:rPr>
        <w:t xml:space="preserve">, </w:t>
      </w:r>
      <w:r>
        <w:rPr>
          <w:rFonts w:ascii="Times New Roman"/>
          <w:b w:val="false"/>
          <w:i w:val="false"/>
          <w:color w:val="000000"/>
          <w:sz w:val="28"/>
        </w:rPr>
        <w:t xml:space="preserve">а также регистрации сезонных, пандемических и препандемических (зоонозных) вакцин для профилактики гриппа на таможенной территории Евразийского экономического союза (далее – Союз). </w:t>
      </w:r>
    </w:p>
    <w:p>
      <w:pPr>
        <w:spacing w:after="0"/>
        <w:ind w:left="0"/>
        <w:jc w:val="both"/>
      </w:pPr>
      <w:r>
        <w:rPr>
          <w:rFonts w:ascii="Times New Roman"/>
          <w:b w:val="false"/>
          <w:i w:val="false"/>
          <w:color w:val="000000"/>
          <w:sz w:val="28"/>
        </w:rPr>
        <w:t xml:space="preserve">
      Настоящие Требования неразрывно связаны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утвержденными Решением Совета Евразийской экономической комиссии от 3 ноября 2016 г. № 89. </w:t>
      </w:r>
    </w:p>
    <w:p>
      <w:pPr>
        <w:spacing w:after="0"/>
        <w:ind w:left="0"/>
        <w:jc w:val="both"/>
      </w:pPr>
      <w:r>
        <w:rPr>
          <w:rFonts w:ascii="Times New Roman"/>
          <w:b w:val="false"/>
          <w:i w:val="false"/>
          <w:color w:val="000000"/>
          <w:sz w:val="28"/>
        </w:rPr>
        <w:t xml:space="preserve">
      Настоящие Требования не распространяются на изменения, не связанные с изменением (обновлением) штаммового состава сезонных, пандемических и препандемических (зоонозных) вакцин для профилактики гриппа. </w:t>
      </w:r>
    </w:p>
    <w:bookmarkStart w:name="z9348" w:id="7718"/>
    <w:p>
      <w:pPr>
        <w:spacing w:after="0"/>
        <w:ind w:left="0"/>
        <w:jc w:val="left"/>
      </w:pPr>
      <w:r>
        <w:rPr>
          <w:rFonts w:ascii="Times New Roman"/>
          <w:b/>
          <w:i w:val="false"/>
          <w:color w:val="000000"/>
        </w:rPr>
        <w:t xml:space="preserve"> II. Определения</w:t>
      </w:r>
    </w:p>
    <w:bookmarkEnd w:id="7718"/>
    <w:p>
      <w:pPr>
        <w:spacing w:after="0"/>
        <w:ind w:left="0"/>
        <w:jc w:val="both"/>
      </w:pPr>
      <w:r>
        <w:rPr>
          <w:rFonts w:ascii="Times New Roman"/>
          <w:b w:val="false"/>
          <w:i w:val="false"/>
          <w:color w:val="000000"/>
          <w:sz w:val="28"/>
        </w:rPr>
        <w:t>
      Для целей настоящих Требований используются понятия, которые означают следующее:</w:t>
      </w:r>
    </w:p>
    <w:p>
      <w:pPr>
        <w:spacing w:after="0"/>
        <w:ind w:left="0"/>
        <w:jc w:val="both"/>
      </w:pPr>
      <w:r>
        <w:rPr>
          <w:rFonts w:ascii="Times New Roman"/>
          <w:b w:val="false"/>
          <w:i w:val="false"/>
          <w:color w:val="000000"/>
          <w:sz w:val="28"/>
        </w:rPr>
        <w:t>
      "вакцина готовности к пандемии" – кандидатная вакцина (или технология приготовления вакцины) для профилактики гриппа, разрабатываемая в целях иммунизации населения в случае возникновения гриппа, вызванного пандемическими штаммами вируса гриппа;</w:t>
      </w:r>
    </w:p>
    <w:p>
      <w:pPr>
        <w:spacing w:after="0"/>
        <w:ind w:left="0"/>
        <w:jc w:val="both"/>
      </w:pPr>
      <w:r>
        <w:rPr>
          <w:rFonts w:ascii="Times New Roman"/>
          <w:b w:val="false"/>
          <w:i w:val="false"/>
          <w:color w:val="000000"/>
          <w:sz w:val="28"/>
        </w:rPr>
        <w:t>
      "пандемическая вакцина" – вакцина для профилактики гриппа, предназначенная для иммунизации населения в случае возникновения гриппа, вызванного пандемическими штаммами вируса гриппа;</w:t>
      </w:r>
    </w:p>
    <w:p>
      <w:pPr>
        <w:spacing w:after="0"/>
        <w:ind w:left="0"/>
        <w:jc w:val="both"/>
      </w:pPr>
      <w:r>
        <w:rPr>
          <w:rFonts w:ascii="Times New Roman"/>
          <w:b w:val="false"/>
          <w:i w:val="false"/>
          <w:color w:val="000000"/>
          <w:sz w:val="28"/>
        </w:rPr>
        <w:t>
      "препандемическая (зоонозная) вакцина" – вакцина для профилактики гриппа, предназначенная для иммунизации населения в случае возникновения вспышек гриппа, вызываемого зоонозными штаммами вируса гриппа;</w:t>
      </w:r>
    </w:p>
    <w:p>
      <w:pPr>
        <w:spacing w:after="0"/>
        <w:ind w:left="0"/>
        <w:jc w:val="both"/>
      </w:pPr>
      <w:r>
        <w:rPr>
          <w:rFonts w:ascii="Times New Roman"/>
          <w:b w:val="false"/>
          <w:i w:val="false"/>
          <w:color w:val="000000"/>
          <w:sz w:val="28"/>
        </w:rPr>
        <w:t xml:space="preserve">
      "сезонная вакцина" – вакцина для профилактики гриппа, вызываемого эпидемическими штаммами вируса гриппа, предназначенная для ежегодной иммунизации населения; </w:t>
      </w:r>
    </w:p>
    <w:p>
      <w:pPr>
        <w:spacing w:after="0"/>
        <w:ind w:left="0"/>
        <w:jc w:val="both"/>
      </w:pPr>
      <w:r>
        <w:rPr>
          <w:rFonts w:ascii="Times New Roman"/>
          <w:b w:val="false"/>
          <w:i w:val="false"/>
          <w:color w:val="000000"/>
          <w:sz w:val="28"/>
        </w:rPr>
        <w:t xml:space="preserve">
      "уполномоченный орган (экспертная организация) референтного государства или государств признания" – уполномоченный орган государства – члена Союза в сфере обращения лекарственных средств, в том числе уполномоченный осуществлять регистрацию, подтверждение регистрации (перерегистрацию), внесение изменений в регистрационное досье и иные связанные с регистрацией лекарственных средств для медицинского применения процедуры,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w:t>
      </w:r>
    </w:p>
    <w:bookmarkStart w:name="z9349" w:id="7719"/>
    <w:p>
      <w:pPr>
        <w:spacing w:after="0"/>
        <w:ind w:left="0"/>
        <w:jc w:val="left"/>
      </w:pPr>
      <w:r>
        <w:rPr>
          <w:rFonts w:ascii="Times New Roman"/>
          <w:b/>
          <w:i w:val="false"/>
          <w:color w:val="000000"/>
        </w:rPr>
        <w:t xml:space="preserve"> III. Регуляторные и процедурные требования к регистрации вакцин и внесению изменений в штаммовый состав вакцин для профилактики гриппа </w:t>
      </w:r>
    </w:p>
    <w:bookmarkEnd w:id="7719"/>
    <w:bookmarkStart w:name="z9350" w:id="7720"/>
    <w:p>
      <w:pPr>
        <w:spacing w:after="0"/>
        <w:ind w:left="0"/>
        <w:jc w:val="left"/>
      </w:pPr>
      <w:r>
        <w:rPr>
          <w:rFonts w:ascii="Times New Roman"/>
          <w:b/>
          <w:i w:val="false"/>
          <w:color w:val="000000"/>
        </w:rPr>
        <w:t xml:space="preserve"> 1. Сезонные вакцины для профилактики гриппа </w:t>
      </w:r>
    </w:p>
    <w:bookmarkEnd w:id="7720"/>
    <w:bookmarkStart w:name="z9351" w:id="7721"/>
    <w:p>
      <w:pPr>
        <w:spacing w:after="0"/>
        <w:ind w:left="0"/>
        <w:jc w:val="left"/>
      </w:pPr>
      <w:r>
        <w:rPr>
          <w:rFonts w:ascii="Times New Roman"/>
          <w:b/>
          <w:i w:val="false"/>
          <w:color w:val="000000"/>
        </w:rPr>
        <w:t xml:space="preserve"> 1.1. Требования к заявлению о регистрации вакцины для профилактики гриппа </w:t>
      </w:r>
    </w:p>
    <w:bookmarkEnd w:id="7721"/>
    <w:p>
      <w:pPr>
        <w:spacing w:after="0"/>
        <w:ind w:left="0"/>
        <w:jc w:val="both"/>
      </w:pPr>
      <w:r>
        <w:rPr>
          <w:rFonts w:ascii="Times New Roman"/>
          <w:b w:val="false"/>
          <w:i w:val="false"/>
          <w:color w:val="000000"/>
          <w:sz w:val="28"/>
        </w:rPr>
        <w:t xml:space="preserve">
      К заявлению о регистрации новой сезонной вакцины для профилактики гриппа должен прилагаться комплект документов в соответствии с приложением № 1 к Правилам. </w:t>
      </w:r>
    </w:p>
    <w:bookmarkStart w:name="z9352" w:id="7722"/>
    <w:p>
      <w:pPr>
        <w:spacing w:after="0"/>
        <w:ind w:left="0"/>
        <w:jc w:val="left"/>
      </w:pPr>
      <w:r>
        <w:rPr>
          <w:rFonts w:ascii="Times New Roman"/>
          <w:b/>
          <w:i w:val="false"/>
          <w:color w:val="000000"/>
        </w:rPr>
        <w:t xml:space="preserve"> 1.2. Требования к заявлению об изменении штаммового состава сезонных вакцин для профилактики гриппа </w:t>
      </w:r>
    </w:p>
    <w:bookmarkEnd w:id="7722"/>
    <w:p>
      <w:pPr>
        <w:spacing w:after="0"/>
        <w:ind w:left="0"/>
        <w:jc w:val="both"/>
      </w:pPr>
      <w:r>
        <w:rPr>
          <w:rFonts w:ascii="Times New Roman"/>
          <w:b w:val="false"/>
          <w:i w:val="false"/>
          <w:color w:val="000000"/>
          <w:sz w:val="28"/>
        </w:rPr>
        <w:t>
      Заявитель вправе подать заявление о внесении изменений в штаммовый состав сезонной вакцины для профилактики гриппа после официального уведомления уполномоченного органа (экспертной организацией) государства – члена Союза (далее – государство-член) о начале приема таких заявлений вслед за публикацией ежегодных рекомендаций Всемирной организации здравоохранения (ВОЗ) по вакцинации против гриппа и до окончания предельного срока, определяемого уполномоченным органом (экспертной организацией) референтного государства. При подаче заявления необходимо следовать положениям приложений № 2 и 19 к Правилам.</w:t>
      </w:r>
    </w:p>
    <w:p>
      <w:pPr>
        <w:spacing w:after="0"/>
        <w:ind w:left="0"/>
        <w:jc w:val="both"/>
      </w:pPr>
      <w:r>
        <w:rPr>
          <w:rFonts w:ascii="Times New Roman"/>
          <w:b w:val="false"/>
          <w:i w:val="false"/>
          <w:color w:val="000000"/>
          <w:sz w:val="28"/>
        </w:rPr>
        <w:t xml:space="preserve">
      В графе "Наименование изменения" таблицы в пункте 2 "Вносимые изменения" формы III заявления о внесении изменений в регистрационное досье лекарственного препарата (приложение № 2 к Правилам) необходимо указать: "Ежегодное обновление штамма (штаммов) вакцины для профилактики гриппа". Заявление следует подавать по процедуре изменения II типа Б.I.a.5 (в соответствии с приложением № 19 к Правилам). </w:t>
      </w:r>
    </w:p>
    <w:p>
      <w:pPr>
        <w:spacing w:after="0"/>
        <w:ind w:left="0"/>
        <w:jc w:val="both"/>
      </w:pPr>
      <w:r>
        <w:rPr>
          <w:rFonts w:ascii="Times New Roman"/>
          <w:b w:val="false"/>
          <w:i w:val="false"/>
          <w:color w:val="000000"/>
          <w:sz w:val="28"/>
        </w:rPr>
        <w:t xml:space="preserve">
      В целях ежегодного обновления штамма (штаммов) вакцины для профилактики гриппа в порядке исключения из положений, предусмотренных подразделами 2.3 и 3.3 приложения № 19 к Правилам, применяется процедура экспертизы изменений, затрагивающих изменения активной фармацевтической субстанции, описанная ниже. </w:t>
      </w:r>
    </w:p>
    <w:p>
      <w:pPr>
        <w:spacing w:after="0"/>
        <w:ind w:left="0"/>
        <w:jc w:val="both"/>
      </w:pPr>
      <w:r>
        <w:rPr>
          <w:rFonts w:ascii="Times New Roman"/>
          <w:b w:val="false"/>
          <w:i w:val="false"/>
          <w:color w:val="000000"/>
          <w:sz w:val="28"/>
        </w:rPr>
        <w:t xml:space="preserve">
      В рамках данной процедуры заявителю не допускается вносить какие-либо изменения, а уполномоченным органам (экспертным организациям) референтного государства и государств признания требовать внесения каких-либо изменений в состав регистрационного досье вакцины для профилактики гриппа, за исключением изменений, обусловленных изменением штаммового состава. Изменения, не обусловленные появлением новых штаммов, вносятся в соответствии с разделами II и III приложения № 19 к Правилам. </w:t>
      </w:r>
    </w:p>
    <w:p>
      <w:pPr>
        <w:spacing w:after="0"/>
        <w:ind w:left="0"/>
        <w:jc w:val="both"/>
      </w:pPr>
      <w:r>
        <w:rPr>
          <w:rFonts w:ascii="Times New Roman"/>
          <w:b w:val="false"/>
          <w:i w:val="false"/>
          <w:color w:val="000000"/>
          <w:sz w:val="28"/>
        </w:rPr>
        <w:t xml:space="preserve">
      До подачи заявления об изменении штаммового состава вакцины заявитель вправе заранее обратиться в уполномоченный орган (экспертную организацию) референтного государства с запросом на проведение научных и предрегистрационных консультаций для планирования процедуры экспертизы вносимых изменений, в том числе в случае возможных отклонений от сроков, предусмотренных такой процедурой. </w:t>
      </w:r>
    </w:p>
    <w:bookmarkStart w:name="z9353" w:id="7723"/>
    <w:p>
      <w:pPr>
        <w:spacing w:after="0"/>
        <w:ind w:left="0"/>
        <w:jc w:val="left"/>
      </w:pPr>
      <w:r>
        <w:rPr>
          <w:rFonts w:ascii="Times New Roman"/>
          <w:b/>
          <w:i w:val="false"/>
          <w:color w:val="000000"/>
        </w:rPr>
        <w:t xml:space="preserve"> 1.3. Выбор эпидемически актуальных штаммов вируса гриппа для использования в составе сезонных вакцин для профилактики гриппа</w:t>
      </w:r>
    </w:p>
    <w:bookmarkEnd w:id="7723"/>
    <w:p>
      <w:pPr>
        <w:spacing w:after="0"/>
        <w:ind w:left="0"/>
        <w:jc w:val="both"/>
      </w:pPr>
      <w:r>
        <w:rPr>
          <w:rFonts w:ascii="Times New Roman"/>
          <w:b w:val="false"/>
          <w:i w:val="false"/>
          <w:color w:val="000000"/>
          <w:sz w:val="28"/>
        </w:rPr>
        <w:t xml:space="preserve">
      При подготовке к предстоящему эпидемическому сезону допускается ежегодно вносить изменения в состав зарегистрированных сезонных вакцин для профилактики гриппа с целью замены штамма (штаммов) на основании рекомендаций ВОЗ. При прогнозировании возникновения эпидемических ситуаций по гриппу с циркуляцией штаммов вирусов гриппа, не рекомендованных ВОЗ, государство-член вправе принимать решения о внесении изменений в регистрационное досье вакцин для профилактики гриппа на основании решения уполномоченного органа государства-члена или комиссии по гриппу государства-члена. </w:t>
      </w:r>
    </w:p>
    <w:p>
      <w:pPr>
        <w:spacing w:after="0"/>
        <w:ind w:left="0"/>
        <w:jc w:val="both"/>
      </w:pPr>
      <w:r>
        <w:rPr>
          <w:rFonts w:ascii="Times New Roman"/>
          <w:b w:val="false"/>
          <w:i w:val="false"/>
          <w:color w:val="000000"/>
          <w:sz w:val="28"/>
        </w:rPr>
        <w:t xml:space="preserve">
      Два раза в год (как правило, в феврале – марте для Северного полушария, и в сентябре для Южного полушария) ВОЗ публикует рекомендации относительно штаммов вируса гриппа A и B, которые следует использовать в производстве вакцин для профилактики гриппа, предназначенных для предстоящего эпидемического сезона. </w:t>
      </w:r>
    </w:p>
    <w:bookmarkStart w:name="z9354" w:id="7724"/>
    <w:p>
      <w:pPr>
        <w:spacing w:after="0"/>
        <w:ind w:left="0"/>
        <w:jc w:val="left"/>
      </w:pPr>
      <w:r>
        <w:rPr>
          <w:rFonts w:ascii="Times New Roman"/>
          <w:b/>
          <w:i w:val="false"/>
          <w:color w:val="000000"/>
        </w:rPr>
        <w:t xml:space="preserve"> 1.4. Описание процедуры </w:t>
      </w:r>
    </w:p>
    <w:bookmarkEnd w:id="7724"/>
    <w:bookmarkStart w:name="z9355" w:id="7725"/>
    <w:p>
      <w:pPr>
        <w:spacing w:after="0"/>
        <w:ind w:left="0"/>
        <w:jc w:val="left"/>
      </w:pPr>
      <w:r>
        <w:rPr>
          <w:rFonts w:ascii="Times New Roman"/>
          <w:b/>
          <w:i w:val="false"/>
          <w:color w:val="000000"/>
        </w:rPr>
        <w:t xml:space="preserve"> 1.4.1. Порядок внесения изменений в регистрационное досье вакцины для профилактики гриппа (обновление состава сезонных штаммов) в референтном государстве </w:t>
      </w:r>
    </w:p>
    <w:bookmarkEnd w:id="7725"/>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срок, не превышающий 5 рабочих дней с даты подачи заявления о внесении изменений в регистрационное досье вакцин для профилактики гриппа, проводит оценку полноты, комплектности и правильности оформления представленных документов регистрационного досье вакцин для профилактики гриппа и направляет в экспертную организацию референтного государства заявление и регистрационное досье вакцин для профилактики гриппа (досье на изменение).</w:t>
      </w:r>
    </w:p>
    <w:p>
      <w:pPr>
        <w:spacing w:after="0"/>
        <w:ind w:left="0"/>
        <w:jc w:val="both"/>
      </w:pPr>
      <w:r>
        <w:rPr>
          <w:rFonts w:ascii="Times New Roman"/>
          <w:b w:val="false"/>
          <w:i w:val="false"/>
          <w:color w:val="000000"/>
          <w:sz w:val="28"/>
        </w:rPr>
        <w:t>
      В случае соответствия заявления и регистрационного досье вакцин для профилактики гриппа разделу 5 настоящих Требований уполномоченный орган (экспертная организация) референтного государства инициирует процедуру внесения изменений в регистрационное досье вакцин для профилактики гриппа и уведомляет об этом заявителя. Срок проведения процедуры не должен превышать 30 рабочих дней.</w:t>
      </w:r>
    </w:p>
    <w:p>
      <w:pPr>
        <w:spacing w:after="0"/>
        <w:ind w:left="0"/>
        <w:jc w:val="both"/>
      </w:pPr>
      <w:r>
        <w:rPr>
          <w:rFonts w:ascii="Times New Roman"/>
          <w:b w:val="false"/>
          <w:i w:val="false"/>
          <w:color w:val="000000"/>
          <w:sz w:val="28"/>
        </w:rPr>
        <w:t>
      Экспертная организация референтного государства проводит экспертизу регистрационного досье вакцин для профилактики гриппа в срок, не превышающий 19 рабочих дней со дня уведомления заявителя об инициировании процедуры внесения изменений в регистрационное досье вакцин для профилактики гриппа. По завершении процедуры экспертизы экспертная организация референтного государства составляет экспертный отчет об оценке безопасности, эффективности и качества вакцины для профилактики гриппа (далее – экспертный отчет об оценке).</w:t>
      </w:r>
    </w:p>
    <w:p>
      <w:pPr>
        <w:spacing w:after="0"/>
        <w:ind w:left="0"/>
        <w:jc w:val="both"/>
      </w:pPr>
      <w:r>
        <w:rPr>
          <w:rFonts w:ascii="Times New Roman"/>
          <w:b w:val="false"/>
          <w:i w:val="false"/>
          <w:color w:val="000000"/>
          <w:sz w:val="28"/>
        </w:rPr>
        <w:t xml:space="preserve">
      В течение 19 рабочих дней со дня уведомления заявителя об инициировании процедуры внесения изменений в регистрационное досье вакцин для профилактики гриппа экспертная организация референтного государства вправе запросить представление заявителем дополнительных данных, необходимых для завершения экспертизы. </w:t>
      </w:r>
    </w:p>
    <w:p>
      <w:pPr>
        <w:spacing w:after="0"/>
        <w:ind w:left="0"/>
        <w:jc w:val="both"/>
      </w:pPr>
      <w:r>
        <w:rPr>
          <w:rFonts w:ascii="Times New Roman"/>
          <w:b w:val="false"/>
          <w:i w:val="false"/>
          <w:color w:val="000000"/>
          <w:sz w:val="28"/>
        </w:rPr>
        <w:t>
      При поступлении запроса от уполномоченного органа (экспертной организации) референтного государства заявитель должен представить ему дополнительные данные в течение 7 рабочих дней. Срок ответа заявителя на запрос не включается в общий срок проведения процедуры, указанный в абзаце втором настоящего подраздела. После получения запрошенных дополнительных данных уполномоченный орган (экспертная организация) референтного государства возобновляет процедуру экспертизы.</w:t>
      </w:r>
    </w:p>
    <w:p>
      <w:pPr>
        <w:spacing w:after="0"/>
        <w:ind w:left="0"/>
        <w:jc w:val="both"/>
      </w:pPr>
      <w:r>
        <w:rPr>
          <w:rFonts w:ascii="Times New Roman"/>
          <w:b w:val="false"/>
          <w:i w:val="false"/>
          <w:color w:val="000000"/>
          <w:sz w:val="28"/>
        </w:rPr>
        <w:t>
      Экспертная организация референтного государства проводит экспертизу представленных заявителем дополнительных данных в срок, не превышающий 5 рабочих дней.</w:t>
      </w:r>
    </w:p>
    <w:p>
      <w:pPr>
        <w:spacing w:after="0"/>
        <w:ind w:left="0"/>
        <w:jc w:val="both"/>
      </w:pPr>
      <w:r>
        <w:rPr>
          <w:rFonts w:ascii="Times New Roman"/>
          <w:b w:val="false"/>
          <w:i w:val="false"/>
          <w:color w:val="000000"/>
          <w:sz w:val="28"/>
        </w:rPr>
        <w:t>
      В течение 1 рабочего дня со дня составления экспертного отчета об оценке экспертная организация референтного государства направляет этот отчет заявителю.</w:t>
      </w:r>
    </w:p>
    <w:p>
      <w:pPr>
        <w:spacing w:after="0"/>
        <w:ind w:left="0"/>
        <w:jc w:val="both"/>
      </w:pPr>
      <w:r>
        <w:rPr>
          <w:rFonts w:ascii="Times New Roman"/>
          <w:b w:val="false"/>
          <w:i w:val="false"/>
          <w:color w:val="000000"/>
          <w:sz w:val="28"/>
        </w:rPr>
        <w:t>
      Уполномоченный орган референтного государства в течение 2 рабочих дней принимает решение о разрешении или об отказе во внесении изменений в регистрационное досье вакцин для профилактики гриппа на основании экспертного отчета об оценке, составленного экспертной организацией референтного государства.</w:t>
      </w:r>
    </w:p>
    <w:bookmarkStart w:name="z9356" w:id="7726"/>
    <w:p>
      <w:pPr>
        <w:spacing w:after="0"/>
        <w:ind w:left="0"/>
        <w:jc w:val="left"/>
      </w:pPr>
      <w:r>
        <w:rPr>
          <w:rFonts w:ascii="Times New Roman"/>
          <w:b/>
          <w:i w:val="false"/>
          <w:color w:val="000000"/>
        </w:rPr>
        <w:t xml:space="preserve"> 1.4.2. Порядок внесения изменений в регистрационное досье вакцины для профилактики гриппа (обновление состава сезонных штаммов) в государстве признания </w:t>
      </w:r>
    </w:p>
    <w:bookmarkEnd w:id="7726"/>
    <w:p>
      <w:pPr>
        <w:spacing w:after="0"/>
        <w:ind w:left="0"/>
        <w:jc w:val="both"/>
      </w:pPr>
      <w:r>
        <w:rPr>
          <w:rFonts w:ascii="Times New Roman"/>
          <w:b w:val="false"/>
          <w:i w:val="false"/>
          <w:color w:val="000000"/>
          <w:sz w:val="28"/>
        </w:rPr>
        <w:t xml:space="preserve">
      Заявитель одновременно представляет уполномоченным органам (экспертным организациям) государств признания заявление о внесении изменений в состав регистрационного досье вакцин для профилактики гриппа на бумажном носителе или в виде электронного документа, подписанного электронной подписью, согласно приложению № 2 к Правилам; документы (или электронные документы), подтверждающие оплату сбора (пошлины) за внесение изменений в регистрационное досье вакцин для профилактики гриппа в случаях и порядке, установленных в соответствии с законодательством государств признания. </w:t>
      </w:r>
    </w:p>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уведомляет посредством интегрированной информационной системы Союза (далее – интегрированная система) уполномоченные органы (экспертные организации) государств признания и заявителя о начале процедуры внесения изменений в регистрационное досье вакцин для профилактики гриппа в референтном государстве или об отказе в проведении указанной процедуры.</w:t>
      </w:r>
    </w:p>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2 рабочих дней со дня получения уполномоченными органами (экспертными организациями) государств признания уведомления о начале процедуры внесения изменений в регистрационное досье вакцин для профилактики гриппа предоставляет посредством интегрированной системы доступ к документам, содержащимся в регистрационном досье вакцин для профилактики гриппа.</w:t>
      </w:r>
    </w:p>
    <w:p>
      <w:pPr>
        <w:spacing w:after="0"/>
        <w:ind w:left="0"/>
        <w:jc w:val="both"/>
      </w:pPr>
      <w:r>
        <w:rPr>
          <w:rFonts w:ascii="Times New Roman"/>
          <w:b w:val="false"/>
          <w:i w:val="false"/>
          <w:color w:val="000000"/>
          <w:sz w:val="28"/>
        </w:rPr>
        <w:t>
      Уполномоченный орган (экспертная организация) государства признания в срок, не превышающий 5 рабочих дней со дня получения доступа к документам, содержащимся в регистрационном досье вакцин для профилактики гриппа, проводит оценку полноты, комплектности и правильности оформления представленных документов в соответствии с законодательством своего государства и начинает процедуру внесения изменений в регистрационное досье вакцин для профилактики гриппа. Срок проведения указанной процедуры не должен превышать 27 рабочих дней со дня подачи заявления о внесении изменений в состав регистрационного досье вакцин для профилактики гриппа.</w:t>
      </w:r>
    </w:p>
    <w:p>
      <w:pPr>
        <w:spacing w:after="0"/>
        <w:ind w:left="0"/>
        <w:jc w:val="both"/>
      </w:pPr>
      <w:r>
        <w:rPr>
          <w:rFonts w:ascii="Times New Roman"/>
          <w:b w:val="false"/>
          <w:i w:val="false"/>
          <w:color w:val="000000"/>
          <w:sz w:val="28"/>
        </w:rPr>
        <w:t xml:space="preserve">
      Уполномоченный орган (экспертная организация) референтного государства в течение 17 рабочих дней со дня уведомления заявителя о начале процедуры в референтном государстве подготавливает проект экспертного отчета об оценке и посредством интегрированной системы предоставляет уполномоченным органам (экспертным организациям) государств признания доступ к нему. </w:t>
      </w:r>
    </w:p>
    <w:p>
      <w:pPr>
        <w:spacing w:after="0"/>
        <w:ind w:left="0"/>
        <w:jc w:val="both"/>
      </w:pPr>
      <w:r>
        <w:rPr>
          <w:rFonts w:ascii="Times New Roman"/>
          <w:b w:val="false"/>
          <w:i w:val="false"/>
          <w:color w:val="000000"/>
          <w:sz w:val="28"/>
        </w:rPr>
        <w:t>
      Уполномоченный орган (экспертная организация) государства признания в течение 1 рабочего дня со дня предоставления ему доступа направляет уполномоченному органу (экспертной организации) референтного государства замечания по проекту экспертного отчета об оценке.</w:t>
      </w:r>
    </w:p>
    <w:p>
      <w:pPr>
        <w:spacing w:after="0"/>
        <w:ind w:left="0"/>
        <w:jc w:val="both"/>
      </w:pPr>
      <w:r>
        <w:rPr>
          <w:rFonts w:ascii="Times New Roman"/>
          <w:b w:val="false"/>
          <w:i w:val="false"/>
          <w:color w:val="000000"/>
          <w:sz w:val="28"/>
        </w:rPr>
        <w:t xml:space="preserve">
      Уполномоченный орган (экспертная организация) референтного государства вносит изменения в экспертный отчет об оценке с учетом полученных от уполномоченных органов (экспертных организаций) государств признания замечаний и посредством интегрированной системы предоставляет доступ уполномоченному органу (экспертной организации) государства признания к экспертному отчету об оценке с внесенными изменениями. </w:t>
      </w:r>
    </w:p>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запросить у заявителя дополнительные данные, необходимые для завершения экспертизы с учетом замечаний, полученных от уполномоченных органов (экспертных организаций) государств признания, и посредством интегрированной системы или иным способом сообщает об этом заявителю и уполномоченным органам (экспертным организациям) государств признания.</w:t>
      </w:r>
    </w:p>
    <w:p>
      <w:pPr>
        <w:spacing w:after="0"/>
        <w:ind w:left="0"/>
        <w:jc w:val="both"/>
      </w:pPr>
      <w:r>
        <w:rPr>
          <w:rFonts w:ascii="Times New Roman"/>
          <w:b w:val="false"/>
          <w:i w:val="false"/>
          <w:color w:val="000000"/>
          <w:sz w:val="28"/>
        </w:rPr>
        <w:t>
      Заявитель направляет в уполномоченный орган (экспертную организацию) референтного государства ответ на запрос в течение 7 рабочих дней со дня поступления запроса от уполномоченного органа (экспертной организации) референтного государства. Срок представления заявителем ответа на указанный запрос не включается в общий срок проведения процедуры внесения изменений в регистрационное досье вакцины для профилактики гриппа.</w:t>
      </w:r>
    </w:p>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уведомляет уполномоченные органы (экспертные организации) государств признания о возобновлении процедуры внесения изменений в регистрационное досье вакцин для профилактики гриппа и предоставляет им доступ к запрошенным данным в течение 2 рабочих дней со дня поступления таких данных в уполномоченный орган (экспертную организацию) референтного государства.</w:t>
      </w:r>
    </w:p>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подготавливает проект экспертного отчета об оценке с учетом представленных заявителем дополнительных данных и в течение 5 рабочих дней со дня возобновления экспертизы в референтном государстве посредством интегрированной системы предоставляет уполномоченным органам (экспертным организациям) государств признания доступ к нему.</w:t>
      </w:r>
    </w:p>
    <w:p>
      <w:pPr>
        <w:spacing w:after="0"/>
        <w:ind w:left="0"/>
        <w:jc w:val="both"/>
      </w:pPr>
      <w:r>
        <w:rPr>
          <w:rFonts w:ascii="Times New Roman"/>
          <w:b w:val="false"/>
          <w:i w:val="false"/>
          <w:color w:val="000000"/>
          <w:sz w:val="28"/>
        </w:rPr>
        <w:t>
      Уполномоченный орган (экспертная организация) государства признания принимает решение о внесении изменений в регистрационное досье вакцин для профилактики гриппа или об отказе во внесении в него изменений в течение 2 рабочих дней со дня предоставления уполномоченным органам (экспертным организациям) государств признания доступа к экспертному заключению и посредством интегрированной системы или иным способом уведомляет заявителя и уполномоченный орган (экспертную организацию) референтного государства о принятом решении.</w:t>
      </w:r>
    </w:p>
    <w:p>
      <w:pPr>
        <w:spacing w:after="0"/>
        <w:ind w:left="0"/>
        <w:jc w:val="both"/>
      </w:pPr>
      <w:r>
        <w:rPr>
          <w:rFonts w:ascii="Times New Roman"/>
          <w:b w:val="false"/>
          <w:i w:val="false"/>
          <w:color w:val="000000"/>
          <w:sz w:val="28"/>
        </w:rPr>
        <w:t>
      После принятия уполномоченными органами (экспертными организациями) референтного государства и государства признания решения о внесении изменений в регистрационное досье вакцин для профилактики гриппа и получения соответствующего уведомления заявитель в течение 7 рабочих дней со дня получения им уведомления представляет в уполномоченные органы (экспертные организации) референтного государства и государств признания перевод общей характеристики лекарственного препарата, листка-вкладыша, макетов упаковки вакцины для профилактики гриппа на государственные языки референтного государства и государств признания (при наличии соответствующего требования в законодательстве референтного государства и государств признания).</w:t>
      </w:r>
    </w:p>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доводит до сведения заявителя решение о внесении изменений в регистрационное досье вакцин для профилактики гриппа и выдает ему новые регистрационные документы в срок, не превышающий 40 календарных дней со дня начала проведения процедуры внесения изменений в регистрационное досье вакцин для профилактики гриппа, или в срок, не превышающий 7 рабочих дней со дня возобновления указанной процедуры после представления заявителем ответа на запрос о представлении дополнительных данных, необходимых для завершения экспертизы регистрационного досье вакцин для профилактики гриппа.</w:t>
      </w:r>
    </w:p>
    <w:p>
      <w:pPr>
        <w:spacing w:after="0"/>
        <w:ind w:left="0"/>
        <w:jc w:val="both"/>
      </w:pPr>
      <w:r>
        <w:rPr>
          <w:rFonts w:ascii="Times New Roman"/>
          <w:b w:val="false"/>
          <w:i w:val="false"/>
          <w:color w:val="000000"/>
          <w:sz w:val="28"/>
        </w:rPr>
        <w:t>
      Уполномоченные органы (экспертные организации) государств признания доводят до сведения заявителя решение о внесении изменений в регистрационное досье вакцин для профилактики гриппа и выдают ему новые регистрационные документы в срок, не превышающий 40 календарных дней со дня начала проведения процедуры внесения изменений в регистрационное досье вакцин для профилактики гриппа, или в срок, не превышающий 7 рабочих дней со дня возобновления указанной процедуры после представления заявителем ответа на запрос о представлении дополнительных данных, необходимых для завершения экспертизы регистрационного досье вакцин для профилактики гриппа (при условии представления заявителем документов, необходимых для внесения изменений в регистрационное досье вакцин для профилактики гриппа).</w:t>
      </w:r>
    </w:p>
    <w:p>
      <w:pPr>
        <w:spacing w:after="0"/>
        <w:ind w:left="0"/>
        <w:jc w:val="both"/>
      </w:pPr>
      <w:r>
        <w:rPr>
          <w:rFonts w:ascii="Times New Roman"/>
          <w:b w:val="false"/>
          <w:i w:val="false"/>
          <w:color w:val="000000"/>
          <w:sz w:val="28"/>
        </w:rPr>
        <w:t>
      Уполномоченные органы (экспертные организации) государств признания посредством интегрированной системы размещают сведения о внесении изменений в регистрационное досье вакцин для профилактики гриппа и обновленные документы регистрационного досье вакцин для профилактики грипп в едином реестре зарегистрированных лекарственных средств.</w:t>
      </w:r>
    </w:p>
    <w:p>
      <w:pPr>
        <w:spacing w:after="0"/>
        <w:ind w:left="0"/>
        <w:jc w:val="both"/>
      </w:pPr>
      <w:r>
        <w:rPr>
          <w:rFonts w:ascii="Times New Roman"/>
          <w:b w:val="false"/>
          <w:i w:val="false"/>
          <w:color w:val="000000"/>
          <w:sz w:val="28"/>
        </w:rPr>
        <w:t>
      В случае подготовки экспертного отчета об оценке с отрицательным заключением, на основании которого уполномоченным органом (экспертной организацией) референтного государства будет принято решение об отказе во внесении изменений в регистрационное досье вакцины для профилактики гриппа, указанный уполномоченный орган (экспертная организация) в течение 10 рабочих дней со дня принятия такого решения уведомляет об этом заявителя в электронном и (или) письменном виде.</w:t>
      </w:r>
    </w:p>
    <w:bookmarkStart w:name="z9357" w:id="7727"/>
    <w:p>
      <w:pPr>
        <w:spacing w:after="0"/>
        <w:ind w:left="0"/>
        <w:jc w:val="left"/>
      </w:pPr>
      <w:r>
        <w:rPr>
          <w:rFonts w:ascii="Times New Roman"/>
          <w:b/>
          <w:i w:val="false"/>
          <w:color w:val="000000"/>
        </w:rPr>
        <w:t xml:space="preserve"> 2. Препандемические (зоонозные) вакцины для профилактики гриппа </w:t>
      </w:r>
    </w:p>
    <w:bookmarkEnd w:id="7727"/>
    <w:bookmarkStart w:name="z9358" w:id="7728"/>
    <w:p>
      <w:pPr>
        <w:spacing w:after="0"/>
        <w:ind w:left="0"/>
        <w:jc w:val="left"/>
      </w:pPr>
      <w:r>
        <w:rPr>
          <w:rFonts w:ascii="Times New Roman"/>
          <w:b/>
          <w:i w:val="false"/>
          <w:color w:val="000000"/>
        </w:rPr>
        <w:t xml:space="preserve"> 2.1. Требования к заявлению о регистрации препандемической (зоонозной) вакцины для профилактики гриппа </w:t>
      </w:r>
    </w:p>
    <w:bookmarkEnd w:id="7728"/>
    <w:p>
      <w:pPr>
        <w:spacing w:after="0"/>
        <w:ind w:left="0"/>
        <w:jc w:val="both"/>
      </w:pPr>
      <w:r>
        <w:rPr>
          <w:rFonts w:ascii="Times New Roman"/>
          <w:b w:val="false"/>
          <w:i w:val="false"/>
          <w:color w:val="000000"/>
          <w:sz w:val="28"/>
        </w:rPr>
        <w:t>
      Заявление о регистрации препандемической (зоонозной) вакцины для профилактики гриппа подается в уполномоченный орган (экспертную организацию) референтного государства в соответствии с разделом I и подразделом 12.2 раздела III приложения № 1 к Правилам.</w:t>
      </w:r>
    </w:p>
    <w:bookmarkStart w:name="z9359" w:id="7729"/>
    <w:p>
      <w:pPr>
        <w:spacing w:after="0"/>
        <w:ind w:left="0"/>
        <w:jc w:val="left"/>
      </w:pPr>
      <w:r>
        <w:rPr>
          <w:rFonts w:ascii="Times New Roman"/>
          <w:b/>
          <w:i w:val="false"/>
          <w:color w:val="000000"/>
        </w:rPr>
        <w:t xml:space="preserve"> 2.2. Требования к заявлению о внесении изменений в штаммовый состав препандемической (зоонозной) вакцины для профилактики гриппа</w:t>
      </w:r>
    </w:p>
    <w:bookmarkEnd w:id="7729"/>
    <w:p>
      <w:pPr>
        <w:spacing w:after="0"/>
        <w:ind w:left="0"/>
        <w:jc w:val="both"/>
      </w:pPr>
      <w:r>
        <w:rPr>
          <w:rFonts w:ascii="Times New Roman"/>
          <w:b w:val="false"/>
          <w:i w:val="false"/>
          <w:color w:val="000000"/>
          <w:sz w:val="28"/>
        </w:rPr>
        <w:t>
      Заявление о внесении изменений в штаммовый состав препандемической (зоонозной) вакцины для профилактики гриппа подается в виде изменения в регистрационное досье. Указанное изменение классифицируется как тип II в соответствии с подразделом Б.I.a.5 приложения № 19 к Правилам.</w:t>
      </w:r>
    </w:p>
    <w:bookmarkStart w:name="z9360" w:id="7730"/>
    <w:p>
      <w:pPr>
        <w:spacing w:after="0"/>
        <w:ind w:left="0"/>
        <w:jc w:val="left"/>
      </w:pPr>
      <w:r>
        <w:rPr>
          <w:rFonts w:ascii="Times New Roman"/>
          <w:b/>
          <w:i w:val="false"/>
          <w:color w:val="000000"/>
        </w:rPr>
        <w:t xml:space="preserve"> 3. Пандемические вакцины для профилактики гриппа и вакцины готовности к пандемии </w:t>
      </w:r>
    </w:p>
    <w:bookmarkEnd w:id="7730"/>
    <w:bookmarkStart w:name="z9361" w:id="7731"/>
    <w:p>
      <w:pPr>
        <w:spacing w:after="0"/>
        <w:ind w:left="0"/>
        <w:jc w:val="left"/>
      </w:pPr>
      <w:r>
        <w:rPr>
          <w:rFonts w:ascii="Times New Roman"/>
          <w:b/>
          <w:i w:val="false"/>
          <w:color w:val="000000"/>
        </w:rPr>
        <w:t xml:space="preserve"> 3.1. Требования к заявлению о регистрации вакцины готовности к пандемии </w:t>
      </w:r>
    </w:p>
    <w:bookmarkEnd w:id="7731"/>
    <w:p>
      <w:pPr>
        <w:spacing w:after="0"/>
        <w:ind w:left="0"/>
        <w:jc w:val="both"/>
      </w:pPr>
      <w:r>
        <w:rPr>
          <w:rFonts w:ascii="Times New Roman"/>
          <w:b w:val="false"/>
          <w:i w:val="false"/>
          <w:color w:val="000000"/>
          <w:sz w:val="28"/>
        </w:rPr>
        <w:t>
      В целях подготовки к пандемии производители вакцин подают заявление о регистрации кандидатной пандемической вакцины, содержащей штамм вируса с пандемическим потенциалом (вакцину готовности к пандемии).</w:t>
      </w:r>
    </w:p>
    <w:p>
      <w:pPr>
        <w:spacing w:after="0"/>
        <w:ind w:left="0"/>
        <w:jc w:val="both"/>
      </w:pPr>
      <w:r>
        <w:rPr>
          <w:rFonts w:ascii="Times New Roman"/>
          <w:b w:val="false"/>
          <w:i w:val="false"/>
          <w:color w:val="000000"/>
          <w:sz w:val="28"/>
        </w:rPr>
        <w:t>
      Создание данного типа вакцины предполагает использование концепции макетной вакцины (mock-up). Согласно данной концепции новая регистрируемая вакцина готовности к пандемии и макетная вакцина будут иметь следующие одинаковые характеристики:</w:t>
      </w:r>
    </w:p>
    <w:p>
      <w:pPr>
        <w:spacing w:after="0"/>
        <w:ind w:left="0"/>
        <w:jc w:val="both"/>
      </w:pPr>
      <w:r>
        <w:rPr>
          <w:rFonts w:ascii="Times New Roman"/>
          <w:b w:val="false"/>
          <w:i w:val="false"/>
          <w:color w:val="000000"/>
          <w:sz w:val="28"/>
        </w:rPr>
        <w:t>
      параметры производства;</w:t>
      </w:r>
    </w:p>
    <w:p>
      <w:pPr>
        <w:spacing w:after="0"/>
        <w:ind w:left="0"/>
        <w:jc w:val="both"/>
      </w:pPr>
      <w:r>
        <w:rPr>
          <w:rFonts w:ascii="Times New Roman"/>
          <w:b w:val="false"/>
          <w:i w:val="false"/>
          <w:color w:val="000000"/>
          <w:sz w:val="28"/>
        </w:rPr>
        <w:t>
      технология приготовления;</w:t>
      </w:r>
    </w:p>
    <w:p>
      <w:pPr>
        <w:spacing w:after="0"/>
        <w:ind w:left="0"/>
        <w:jc w:val="both"/>
      </w:pPr>
      <w:r>
        <w:rPr>
          <w:rFonts w:ascii="Times New Roman"/>
          <w:b w:val="false"/>
          <w:i w:val="false"/>
          <w:color w:val="000000"/>
          <w:sz w:val="28"/>
        </w:rPr>
        <w:t>
      состав вакцины, в том числе содержание антигена, вспомогательных веществ, адъюванта (при необходимости) и других компонентов (за исключением штамма (штаммов));</w:t>
      </w:r>
    </w:p>
    <w:p>
      <w:pPr>
        <w:spacing w:after="0"/>
        <w:ind w:left="0"/>
        <w:jc w:val="both"/>
      </w:pPr>
      <w:r>
        <w:rPr>
          <w:rFonts w:ascii="Times New Roman"/>
          <w:b w:val="false"/>
          <w:i w:val="false"/>
          <w:color w:val="000000"/>
          <w:sz w:val="28"/>
        </w:rPr>
        <w:t>
      показатели спецификации и методы контроля качества вакцины готовности к пандемии.</w:t>
      </w:r>
    </w:p>
    <w:p>
      <w:pPr>
        <w:spacing w:after="0"/>
        <w:ind w:left="0"/>
        <w:jc w:val="both"/>
      </w:pPr>
      <w:r>
        <w:rPr>
          <w:rFonts w:ascii="Times New Roman"/>
          <w:b w:val="false"/>
          <w:i w:val="false"/>
          <w:color w:val="000000"/>
          <w:sz w:val="28"/>
        </w:rPr>
        <w:t xml:space="preserve">
      При признании ВОЗ или уполномоченными органами государств-членов пандемической ситуации по гриппу заявитель обязан представить в уполномоченный орган (экспертную организацию) референтного государства заявление о внесении изменений в регистрационное досье вакцины готовности к пандемии (обновление пандемического штамма) в соответствии с пунктом 4.1.3 приложения № 19 к Правилам с целью включения пандемического штамма в вакцину готовности к пандемии (обновление пандемического штамма). </w:t>
      </w:r>
    </w:p>
    <w:bookmarkStart w:name="z9362" w:id="7732"/>
    <w:p>
      <w:pPr>
        <w:spacing w:after="0"/>
        <w:ind w:left="0"/>
        <w:jc w:val="left"/>
      </w:pPr>
      <w:r>
        <w:rPr>
          <w:rFonts w:ascii="Times New Roman"/>
          <w:b/>
          <w:i w:val="false"/>
          <w:color w:val="000000"/>
        </w:rPr>
        <w:t xml:space="preserve"> 3.2. Требования к регистрационному досье вакцины готовности к пандемии в случае угрозы развития пандемической ситуации</w:t>
      </w:r>
    </w:p>
    <w:bookmarkEnd w:id="7732"/>
    <w:p>
      <w:pPr>
        <w:spacing w:after="0"/>
        <w:ind w:left="0"/>
        <w:jc w:val="both"/>
      </w:pPr>
      <w:r>
        <w:rPr>
          <w:rFonts w:ascii="Times New Roman"/>
          <w:b w:val="false"/>
          <w:i w:val="false"/>
          <w:color w:val="000000"/>
          <w:sz w:val="28"/>
        </w:rPr>
        <w:t xml:space="preserve">
      В случае угрозы развития пандемической ситуации регистрационное досье вакцины готовности к пандемии должно содержать данные о потенциальном пандемическом штамме (штаммах) (требования к данным содержатся в разделе 5 настоящих Требований). Заявитель вправе подать регистрационное досье, содержащее только данные о вводимом (вводимых) в состав вакцины штамме (штаммах) и составленное на основе доступных данных, в целях установления пострегистрационных мер (регистрации на условиях вакцины готовности к пандемии) при условии, что в случае угрозы развития пандемической ситуации и после объявления ВОЗ пандемии заявитель гарантирует представление в уполномоченный орган (экспертную организацию) референтного государства результатов клинических исследований и выполнение требований в соответствии с разделом VII Правил. После объявления ВОЗ угрозы пандемии заявителю следует в возможно короткие сроки инициировать консультации с уполномоченными органами государств-членов. </w:t>
      </w:r>
    </w:p>
    <w:bookmarkStart w:name="z9363" w:id="7733"/>
    <w:p>
      <w:pPr>
        <w:spacing w:after="0"/>
        <w:ind w:left="0"/>
        <w:jc w:val="left"/>
      </w:pPr>
      <w:r>
        <w:rPr>
          <w:rFonts w:ascii="Times New Roman"/>
          <w:b/>
          <w:i w:val="false"/>
          <w:color w:val="000000"/>
        </w:rPr>
        <w:t xml:space="preserve"> 3.3. Требования к заявлению о внесении изменений в состав пандемических гриппозных вакцин (изменение пандемического штамма) во время пандемии </w:t>
      </w:r>
    </w:p>
    <w:bookmarkEnd w:id="7733"/>
    <w:p>
      <w:pPr>
        <w:spacing w:after="0"/>
        <w:ind w:left="0"/>
        <w:jc w:val="both"/>
      </w:pPr>
      <w:r>
        <w:rPr>
          <w:rFonts w:ascii="Times New Roman"/>
          <w:b w:val="false"/>
          <w:i w:val="false"/>
          <w:color w:val="000000"/>
          <w:sz w:val="28"/>
        </w:rPr>
        <w:t>
      После официального признания пандемии (объявления ВОЗ в установленном порядке пандемической ситуации или объявления соответствующими уполномоченными органами государств-членов эпидемии, вызванной пандемическим типом вируса гриппа) заявитель вправе представить в уполномоченный орган (экспертную организацию) референтного государства заявление о внесении изменений в состав пандемических гриппозных вакцин (об изменении пандемического штамма) в целях включения объявленного пандемического штамма в пандемическую вакцину (обновление пандемического штамма).</w:t>
      </w:r>
    </w:p>
    <w:p>
      <w:pPr>
        <w:spacing w:after="0"/>
        <w:ind w:left="0"/>
        <w:jc w:val="both"/>
      </w:pPr>
      <w:r>
        <w:rPr>
          <w:rFonts w:ascii="Times New Roman"/>
          <w:b w:val="false"/>
          <w:i w:val="false"/>
          <w:color w:val="000000"/>
          <w:sz w:val="28"/>
        </w:rPr>
        <w:t xml:space="preserve">
      При отсутствии определенных доклинических или клинических данных в отношении объявленного пандемического штамма заявитель обязан представить в уполномоченный орган (экспертную организацию) референтного государства недостающие доклинические и клинические данные в срок, согласованный между заявителем и уполномоченным органом (экспертной организацией) референтного государства. </w:t>
      </w:r>
    </w:p>
    <w:bookmarkStart w:name="z9364" w:id="7734"/>
    <w:p>
      <w:pPr>
        <w:spacing w:after="0"/>
        <w:ind w:left="0"/>
        <w:jc w:val="left"/>
      </w:pPr>
      <w:r>
        <w:rPr>
          <w:rFonts w:ascii="Times New Roman"/>
          <w:b/>
          <w:i w:val="false"/>
          <w:color w:val="000000"/>
        </w:rPr>
        <w:t xml:space="preserve"> 4. Регистрация вакцин во время пандемии </w:t>
      </w:r>
    </w:p>
    <w:bookmarkEnd w:id="7734"/>
    <w:bookmarkStart w:name="z9365" w:id="7735"/>
    <w:p>
      <w:pPr>
        <w:spacing w:after="0"/>
        <w:ind w:left="0"/>
        <w:jc w:val="left"/>
      </w:pPr>
      <w:r>
        <w:rPr>
          <w:rFonts w:ascii="Times New Roman"/>
          <w:b/>
          <w:i w:val="false"/>
          <w:color w:val="000000"/>
        </w:rPr>
        <w:t xml:space="preserve"> 4.1. Экстренная процедура </w:t>
      </w:r>
    </w:p>
    <w:bookmarkEnd w:id="7735"/>
    <w:p>
      <w:pPr>
        <w:spacing w:after="0"/>
        <w:ind w:left="0"/>
        <w:jc w:val="both"/>
      </w:pPr>
      <w:r>
        <w:rPr>
          <w:rFonts w:ascii="Times New Roman"/>
          <w:b w:val="false"/>
          <w:i w:val="false"/>
          <w:color w:val="000000"/>
          <w:sz w:val="28"/>
        </w:rPr>
        <w:t>
      После объявления ВОЗ пандемической ситуации или объявления соответствующими уполномоченными органами государств-членов эпидемии, вызванной пандемическим типом вируса, регистрация новой пандемической вакцины осуществляется в экстренном порядке.</w:t>
      </w:r>
    </w:p>
    <w:p>
      <w:pPr>
        <w:spacing w:after="0"/>
        <w:ind w:left="0"/>
        <w:jc w:val="both"/>
      </w:pPr>
      <w:r>
        <w:rPr>
          <w:rFonts w:ascii="Times New Roman"/>
          <w:b w:val="false"/>
          <w:i w:val="false"/>
          <w:color w:val="000000"/>
          <w:sz w:val="28"/>
        </w:rPr>
        <w:t>
      В случае отсутствия пандемии заявитель вправе представить в уполномоченный орган (экспертную организацию) референтного государства регистрационное досье, содержащее неполные данные, в целях регистрации новой пандемической вакцины при условии, что после объявления ВОЗ пандемии он сможет представить в уполномоченный орган (экспертную организацию) референтного государства недостающие клинические данные и выполнить требования, предъявляемые к регистрации вакцин с установлением пострегистрационных мер (регистрации на условиях) в соответствии с разделом VII Правил. Заявителю необходимо включить в регистрационное досье соответствующее обоснование возможности установления пострегистрационных мер, описание недостающих данных и приложить к нему письменное обязательство их представления в уполномоченный орган (экспертную организацию) референтного государства путем внесения изменений в регистрационное досье вакцин для профилактики гриппа. Заявителю следует в возможно короткие сроки инициировать консультации с уполномоченными органами государств-членов.</w:t>
      </w:r>
    </w:p>
    <w:bookmarkStart w:name="z9366" w:id="7736"/>
    <w:p>
      <w:pPr>
        <w:spacing w:after="0"/>
        <w:ind w:left="0"/>
        <w:jc w:val="left"/>
      </w:pPr>
      <w:r>
        <w:rPr>
          <w:rFonts w:ascii="Times New Roman"/>
          <w:b/>
          <w:i w:val="false"/>
          <w:color w:val="000000"/>
        </w:rPr>
        <w:t xml:space="preserve"> 4.2. Регистрация сезонной или препандемической вакцины для профилактики гриппа в качестве пандемической вакцины для профилактики гриппа</w:t>
      </w:r>
    </w:p>
    <w:bookmarkEnd w:id="7736"/>
    <w:p>
      <w:pPr>
        <w:spacing w:after="0"/>
        <w:ind w:left="0"/>
        <w:jc w:val="both"/>
      </w:pPr>
      <w:r>
        <w:rPr>
          <w:rFonts w:ascii="Times New Roman"/>
          <w:b w:val="false"/>
          <w:i w:val="false"/>
          <w:color w:val="000000"/>
          <w:sz w:val="28"/>
        </w:rPr>
        <w:t>
      В зависимости от условий развития пандемии, складывающейся эпидемиологической обстановки и (или) при отсутствии зарегистрированной вакцины готовности к пандемии разрешается изменять штаммовый состав соответствующей сезонной или препандемической вакцины в соответствии с пунктом 4.1.3 приложения № 19 к Правилам при условии, что внесение таких изменений обеспечит сохранение качества, безопасности и эффективности вакцины для профилактики гриппа и выполнимо с научной точки зрения.</w:t>
      </w:r>
    </w:p>
    <w:p>
      <w:pPr>
        <w:spacing w:after="0"/>
        <w:ind w:left="0"/>
        <w:jc w:val="both"/>
      </w:pPr>
      <w:r>
        <w:rPr>
          <w:rFonts w:ascii="Times New Roman"/>
          <w:b w:val="false"/>
          <w:i w:val="false"/>
          <w:color w:val="000000"/>
          <w:sz w:val="28"/>
        </w:rPr>
        <w:t xml:space="preserve">
      В случае необходимости регистрации сезонной или препандемической вакцины для профилактики гриппа в качестве пандемической вакцины для профилактики гриппа заявителю следует в возможно короткие сроки инициировать консультации с уполномоченными органами (экспертными организациями) государств-членов в целях согласования содержания регистрационного досье сезонной или препандемической вакцины для профилактики гриппа. </w:t>
      </w:r>
    </w:p>
    <w:bookmarkStart w:name="z9367" w:id="7737"/>
    <w:p>
      <w:pPr>
        <w:spacing w:after="0"/>
        <w:ind w:left="0"/>
        <w:jc w:val="left"/>
      </w:pPr>
      <w:r>
        <w:rPr>
          <w:rFonts w:ascii="Times New Roman"/>
          <w:b/>
          <w:i w:val="false"/>
          <w:color w:val="000000"/>
        </w:rPr>
        <w:t xml:space="preserve"> 5. Процедура изменения штаммового состава сезонных вакцин для профилактики гриппа </w:t>
      </w:r>
    </w:p>
    <w:bookmarkEnd w:id="7737"/>
    <w:bookmarkStart w:name="z9368" w:id="7738"/>
    <w:p>
      <w:pPr>
        <w:spacing w:after="0"/>
        <w:ind w:left="0"/>
        <w:jc w:val="left"/>
      </w:pPr>
      <w:r>
        <w:rPr>
          <w:rFonts w:ascii="Times New Roman"/>
          <w:b/>
          <w:i w:val="false"/>
          <w:color w:val="000000"/>
        </w:rPr>
        <w:t xml:space="preserve"> 5.1. Общие требования к процедуре изменения штаммового состава сезонных вакцин для профилактики гриппа </w:t>
      </w:r>
    </w:p>
    <w:bookmarkEnd w:id="7738"/>
    <w:p>
      <w:pPr>
        <w:spacing w:after="0"/>
        <w:ind w:left="0"/>
        <w:jc w:val="both"/>
      </w:pPr>
      <w:r>
        <w:rPr>
          <w:rFonts w:ascii="Times New Roman"/>
          <w:b w:val="false"/>
          <w:i w:val="false"/>
          <w:color w:val="000000"/>
          <w:sz w:val="28"/>
        </w:rPr>
        <w:t>
      Заявление и регистрационное досье сезонных вакцин для профилактики гриппа должны соответствовать требованиям, установленным приложением № 1 к Правилам, и представляться в формате общего технического документа (далее – ОТД).</w:t>
      </w:r>
    </w:p>
    <w:p>
      <w:pPr>
        <w:spacing w:after="0"/>
        <w:ind w:left="0"/>
        <w:jc w:val="both"/>
      </w:pPr>
      <w:r>
        <w:rPr>
          <w:rFonts w:ascii="Times New Roman"/>
          <w:b w:val="false"/>
          <w:i w:val="false"/>
          <w:color w:val="000000"/>
          <w:sz w:val="28"/>
        </w:rPr>
        <w:t>
      Допускается подавать регистрационное досье сезонной вакцины для профилактики гриппа, которое включает в себя только разделы ОТД, которые соответствуют вносимым изменениям и характер которых определен изменением (обновлением) штаммового состава. Отсутствие какого-либо из разделов ОТД или представление ОТД в неполном объеме должно сопровождаться пояснительным документом (с указанием причин отсутствия таких разделов и (или) представления документа в неполном объеме).</w:t>
      </w:r>
    </w:p>
    <w:p>
      <w:pPr>
        <w:spacing w:after="0"/>
        <w:ind w:left="0"/>
        <w:jc w:val="both"/>
      </w:pPr>
      <w:r>
        <w:rPr>
          <w:rFonts w:ascii="Times New Roman"/>
          <w:b w:val="false"/>
          <w:i w:val="false"/>
          <w:color w:val="000000"/>
          <w:sz w:val="28"/>
        </w:rPr>
        <w:t>
      Требования к модулям регистрационного досье сезонных вакцин для профилактики гриппа, установленные подразделами 5.2 – 5.5 настоящих Требований, приведены с указанием номеров разделов ОТД в соответствии со структурой регистрационного досье согласно приложению № 4 к Правилам.</w:t>
      </w:r>
    </w:p>
    <w:bookmarkStart w:name="z9369" w:id="7739"/>
    <w:p>
      <w:pPr>
        <w:spacing w:after="0"/>
        <w:ind w:left="0"/>
        <w:jc w:val="left"/>
      </w:pPr>
      <w:r>
        <w:rPr>
          <w:rFonts w:ascii="Times New Roman"/>
          <w:b/>
          <w:i w:val="false"/>
          <w:color w:val="000000"/>
        </w:rPr>
        <w:t xml:space="preserve"> 5.2.Требования к документам регистрационного досье сезонной инактивированной вакцины для профилактики гриппа при внесении изменений в штаммовый состав сезонных инактивированных вакцин для профилактики гриппа </w:t>
      </w:r>
    </w:p>
    <w:bookmarkEnd w:id="7739"/>
    <w:p>
      <w:pPr>
        <w:spacing w:after="0"/>
        <w:ind w:left="0"/>
        <w:jc w:val="both"/>
      </w:pPr>
      <w:r>
        <w:rPr>
          <w:rFonts w:ascii="Times New Roman"/>
          <w:b w:val="false"/>
          <w:i w:val="false"/>
          <w:color w:val="000000"/>
          <w:sz w:val="28"/>
        </w:rPr>
        <w:t>
      Заявление о внесении изменений в штаммовый состав сезонных инактивированных вакцин для профилактики гриппа представляется вместе с регистрационным досье, которое включает в себя указанные ниже разделы. Любое отклонение от требований (в том числе отсутствие необходимых или дополнительных данных) должно быть обосновано в соответствующем разделе модуля 3 регистрационного досье и соответствующем резюме (обзоре) модуля 2 регистрационного досье и согласовано с уполномоченными органами (экспертными организациями) референтного государства до подачи заявителем заявления в уполномоченный орган (экспертную организацию) референтного государства.</w:t>
      </w:r>
    </w:p>
    <w:p>
      <w:pPr>
        <w:spacing w:after="0"/>
        <w:ind w:left="0"/>
        <w:jc w:val="both"/>
      </w:pPr>
      <w:r>
        <w:rPr>
          <w:rFonts w:ascii="Times New Roman"/>
          <w:b w:val="false"/>
          <w:i w:val="false"/>
          <w:color w:val="000000"/>
          <w:sz w:val="28"/>
        </w:rPr>
        <w:t>
      Модуль 1. Административная информация</w:t>
      </w:r>
    </w:p>
    <w:p>
      <w:pPr>
        <w:spacing w:after="0"/>
        <w:ind w:left="0"/>
        <w:jc w:val="both"/>
      </w:pPr>
      <w:r>
        <w:rPr>
          <w:rFonts w:ascii="Times New Roman"/>
          <w:b w:val="false"/>
          <w:i w:val="false"/>
          <w:color w:val="000000"/>
          <w:sz w:val="28"/>
        </w:rPr>
        <w:t>
      1. Сопроводительное письмо (как при электронном представлении документов в формате ОТД (далее – эОТД))</w:t>
      </w:r>
    </w:p>
    <w:p>
      <w:pPr>
        <w:spacing w:after="0"/>
        <w:ind w:left="0"/>
        <w:jc w:val="both"/>
      </w:pPr>
      <w:r>
        <w:rPr>
          <w:rFonts w:ascii="Times New Roman"/>
          <w:b w:val="false"/>
          <w:i w:val="false"/>
          <w:color w:val="000000"/>
          <w:sz w:val="28"/>
        </w:rPr>
        <w:t>
      1.1. Содержание (не требуется при подаче в формате эОТД)</w:t>
      </w:r>
    </w:p>
    <w:p>
      <w:pPr>
        <w:spacing w:after="0"/>
        <w:ind w:left="0"/>
        <w:jc w:val="both"/>
      </w:pPr>
      <w:r>
        <w:rPr>
          <w:rFonts w:ascii="Times New Roman"/>
          <w:b w:val="false"/>
          <w:i w:val="false"/>
          <w:color w:val="000000"/>
          <w:sz w:val="28"/>
        </w:rPr>
        <w:t xml:space="preserve">
      1.2. Общая документация </w:t>
      </w:r>
    </w:p>
    <w:p>
      <w:pPr>
        <w:spacing w:after="0"/>
        <w:ind w:left="0"/>
        <w:jc w:val="both"/>
      </w:pPr>
      <w:r>
        <w:rPr>
          <w:rFonts w:ascii="Times New Roman"/>
          <w:b w:val="false"/>
          <w:i w:val="false"/>
          <w:color w:val="000000"/>
          <w:sz w:val="28"/>
        </w:rPr>
        <w:t>
      1.2.1. Заявление о внесении изменений</w:t>
      </w:r>
    </w:p>
    <w:p>
      <w:pPr>
        <w:spacing w:after="0"/>
        <w:ind w:left="0"/>
        <w:jc w:val="both"/>
      </w:pPr>
      <w:r>
        <w:rPr>
          <w:rFonts w:ascii="Times New Roman"/>
          <w:b w:val="false"/>
          <w:i w:val="false"/>
          <w:color w:val="000000"/>
          <w:sz w:val="28"/>
        </w:rPr>
        <w:t xml:space="preserve">
      1.2.2. Документы, подтверждающие оплату экспертных работ и (или) сбора за регистрацию (пошлины) в соответствии с законодательством государства-члена, осуществляющего регистрацию </w:t>
      </w:r>
    </w:p>
    <w:p>
      <w:pPr>
        <w:spacing w:after="0"/>
        <w:ind w:left="0"/>
        <w:jc w:val="both"/>
      </w:pPr>
      <w:r>
        <w:rPr>
          <w:rFonts w:ascii="Times New Roman"/>
          <w:b w:val="false"/>
          <w:i w:val="false"/>
          <w:color w:val="000000"/>
          <w:sz w:val="28"/>
        </w:rPr>
        <w:t>
      1.3. Общая характеристика лекарственного препарата, инструкция по медицинскому применению (листок-вкладыш), макеты упаковок</w:t>
      </w:r>
    </w:p>
    <w:p>
      <w:pPr>
        <w:spacing w:after="0"/>
        <w:ind w:left="0"/>
        <w:jc w:val="both"/>
      </w:pPr>
      <w:r>
        <w:rPr>
          <w:rFonts w:ascii="Times New Roman"/>
          <w:b w:val="false"/>
          <w:i w:val="false"/>
          <w:color w:val="000000"/>
          <w:sz w:val="28"/>
        </w:rPr>
        <w:t>
      1.3.1. Проекты общей характеристики лекарственного препарата, инструкции по медицинскому применению (листка-вкладыша) и макетов упаковок, составленные в соответствии с требованиями к инструкции по медицинскому применению лекарственных препаратов и общей характеристике лекарственных препаратов для медицинского применения, утвержденными Решением Совета Евразийской экономической комиссии от 3 ноября 2016 г. № 88 (далее – требования к инструкции по медицинскому применению лекарственных препаратов)</w:t>
      </w:r>
    </w:p>
    <w:p>
      <w:pPr>
        <w:spacing w:after="0"/>
        <w:ind w:left="0"/>
        <w:jc w:val="both"/>
      </w:pPr>
      <w:r>
        <w:rPr>
          <w:rFonts w:ascii="Times New Roman"/>
          <w:b w:val="false"/>
          <w:i w:val="false"/>
          <w:color w:val="000000"/>
          <w:sz w:val="28"/>
        </w:rPr>
        <w:t>
      В тексты допускается вносить изменения, обусловленные исключительно штаммами, использованными в указанном эпидемическом сезоне.</w:t>
      </w:r>
    </w:p>
    <w:p>
      <w:pPr>
        <w:spacing w:after="0"/>
        <w:ind w:left="0"/>
        <w:jc w:val="both"/>
      </w:pPr>
      <w:r>
        <w:rPr>
          <w:rFonts w:ascii="Times New Roman"/>
          <w:b w:val="false"/>
          <w:i w:val="false"/>
          <w:color w:val="000000"/>
          <w:sz w:val="28"/>
        </w:rPr>
        <w:t>
      1.7. Информация о специалистах</w:t>
      </w:r>
    </w:p>
    <w:p>
      <w:pPr>
        <w:spacing w:after="0"/>
        <w:ind w:left="0"/>
        <w:jc w:val="both"/>
      </w:pPr>
      <w:r>
        <w:rPr>
          <w:rFonts w:ascii="Times New Roman"/>
          <w:b w:val="false"/>
          <w:i w:val="false"/>
          <w:color w:val="000000"/>
          <w:sz w:val="28"/>
        </w:rPr>
        <w:t>
      1.7.1. Информация о специалисте, подготовившем резюме по качеству</w:t>
      </w:r>
    </w:p>
    <w:p>
      <w:pPr>
        <w:spacing w:after="0"/>
        <w:ind w:left="0"/>
        <w:jc w:val="both"/>
      </w:pPr>
      <w:r>
        <w:rPr>
          <w:rFonts w:ascii="Times New Roman"/>
          <w:b w:val="false"/>
          <w:i w:val="false"/>
          <w:color w:val="000000"/>
          <w:sz w:val="28"/>
        </w:rPr>
        <w:t>
      Модуль 2. Резюме общего технического документа</w:t>
      </w:r>
    </w:p>
    <w:p>
      <w:pPr>
        <w:spacing w:after="0"/>
        <w:ind w:left="0"/>
        <w:jc w:val="both"/>
      </w:pPr>
      <w:r>
        <w:rPr>
          <w:rFonts w:ascii="Times New Roman"/>
          <w:b w:val="false"/>
          <w:i w:val="false"/>
          <w:color w:val="000000"/>
          <w:sz w:val="28"/>
        </w:rPr>
        <w:t>
      2.1. Содержание модулей 2 – 5</w:t>
      </w:r>
    </w:p>
    <w:p>
      <w:pPr>
        <w:spacing w:after="0"/>
        <w:ind w:left="0"/>
        <w:jc w:val="both"/>
      </w:pPr>
      <w:r>
        <w:rPr>
          <w:rFonts w:ascii="Times New Roman"/>
          <w:b w:val="false"/>
          <w:i w:val="false"/>
          <w:color w:val="000000"/>
          <w:sz w:val="28"/>
        </w:rPr>
        <w:t>
      Содержание модулей 2 – 5 (не требуется при подаче документов в формате эОТД).</w:t>
      </w:r>
    </w:p>
    <w:p>
      <w:pPr>
        <w:spacing w:after="0"/>
        <w:ind w:left="0"/>
        <w:jc w:val="both"/>
      </w:pPr>
      <w:r>
        <w:rPr>
          <w:rFonts w:ascii="Times New Roman"/>
          <w:b w:val="false"/>
          <w:i w:val="false"/>
          <w:color w:val="000000"/>
          <w:sz w:val="28"/>
        </w:rPr>
        <w:t xml:space="preserve">
      2.2. Введение в ОТД </w:t>
      </w:r>
    </w:p>
    <w:p>
      <w:pPr>
        <w:spacing w:after="0"/>
        <w:ind w:left="0"/>
        <w:jc w:val="both"/>
      </w:pPr>
      <w:r>
        <w:rPr>
          <w:rFonts w:ascii="Times New Roman"/>
          <w:b w:val="false"/>
          <w:i w:val="false"/>
          <w:color w:val="000000"/>
          <w:sz w:val="28"/>
        </w:rPr>
        <w:t>
      Обновление или дополнение предыдущего введения (если применимо).</w:t>
      </w:r>
    </w:p>
    <w:p>
      <w:pPr>
        <w:spacing w:after="0"/>
        <w:ind w:left="0"/>
        <w:jc w:val="both"/>
      </w:pPr>
      <w:r>
        <w:rPr>
          <w:rFonts w:ascii="Times New Roman"/>
          <w:b w:val="false"/>
          <w:i w:val="false"/>
          <w:color w:val="000000"/>
          <w:sz w:val="28"/>
        </w:rPr>
        <w:t>
      2.3. Общее резюме по качеству</w:t>
      </w:r>
    </w:p>
    <w:p>
      <w:pPr>
        <w:spacing w:after="0"/>
        <w:ind w:left="0"/>
        <w:jc w:val="both"/>
      </w:pPr>
      <w:r>
        <w:rPr>
          <w:rFonts w:ascii="Times New Roman"/>
          <w:b w:val="false"/>
          <w:i w:val="false"/>
          <w:color w:val="000000"/>
          <w:sz w:val="28"/>
        </w:rPr>
        <w:t>
      Обновление или дополнение предыдущего общего резюме по качеству.</w:t>
      </w:r>
    </w:p>
    <w:p>
      <w:pPr>
        <w:spacing w:after="0"/>
        <w:ind w:left="0"/>
        <w:jc w:val="both"/>
      </w:pPr>
      <w:r>
        <w:rPr>
          <w:rFonts w:ascii="Times New Roman"/>
          <w:b w:val="false"/>
          <w:i w:val="false"/>
          <w:color w:val="000000"/>
          <w:sz w:val="28"/>
        </w:rPr>
        <w:t>
      Модуль 3. Качество</w:t>
      </w:r>
    </w:p>
    <w:p>
      <w:pPr>
        <w:spacing w:after="0"/>
        <w:ind w:left="0"/>
        <w:jc w:val="both"/>
      </w:pPr>
      <w:r>
        <w:rPr>
          <w:rFonts w:ascii="Times New Roman"/>
          <w:b w:val="false"/>
          <w:i w:val="false"/>
          <w:color w:val="000000"/>
          <w:sz w:val="28"/>
        </w:rPr>
        <w:t>
      3.2.S. Активная фармацевтическая субстанция (далее – АФС)</w:t>
      </w:r>
    </w:p>
    <w:p>
      <w:pPr>
        <w:spacing w:after="0"/>
        <w:ind w:left="0"/>
        <w:jc w:val="both"/>
      </w:pPr>
      <w:r>
        <w:rPr>
          <w:rFonts w:ascii="Times New Roman"/>
          <w:b w:val="false"/>
          <w:i w:val="false"/>
          <w:color w:val="000000"/>
          <w:sz w:val="28"/>
        </w:rPr>
        <w:t>
      3.2.S.2. Процесс производства АФС</w:t>
      </w:r>
    </w:p>
    <w:p>
      <w:pPr>
        <w:spacing w:after="0"/>
        <w:ind w:left="0"/>
        <w:jc w:val="both"/>
      </w:pPr>
      <w:r>
        <w:rPr>
          <w:rFonts w:ascii="Times New Roman"/>
          <w:b w:val="false"/>
          <w:i w:val="false"/>
          <w:color w:val="000000"/>
          <w:sz w:val="28"/>
        </w:rPr>
        <w:t>
      3.2.S.2.3. Контроль исходных материалов</w:t>
      </w:r>
    </w:p>
    <w:p>
      <w:pPr>
        <w:spacing w:after="0"/>
        <w:ind w:left="0"/>
        <w:jc w:val="both"/>
      </w:pPr>
      <w:r>
        <w:rPr>
          <w:rFonts w:ascii="Times New Roman"/>
          <w:b w:val="false"/>
          <w:i w:val="false"/>
          <w:color w:val="000000"/>
          <w:sz w:val="28"/>
        </w:rPr>
        <w:t>
      Должен включать:</w:t>
      </w:r>
    </w:p>
    <w:p>
      <w:pPr>
        <w:spacing w:after="0"/>
        <w:ind w:left="0"/>
        <w:jc w:val="both"/>
      </w:pPr>
      <w:r>
        <w:rPr>
          <w:rFonts w:ascii="Times New Roman"/>
          <w:b w:val="false"/>
          <w:i w:val="false"/>
          <w:color w:val="000000"/>
          <w:sz w:val="28"/>
        </w:rPr>
        <w:t>
      посевной материал: история, порядок получения (источник, дата, условия получения), паспорт штамма;</w:t>
      </w:r>
    </w:p>
    <w:p>
      <w:pPr>
        <w:spacing w:after="0"/>
        <w:ind w:left="0"/>
        <w:jc w:val="both"/>
      </w:pPr>
      <w:r>
        <w:rPr>
          <w:rFonts w:ascii="Times New Roman"/>
          <w:b w:val="false"/>
          <w:i w:val="false"/>
          <w:color w:val="000000"/>
          <w:sz w:val="28"/>
        </w:rPr>
        <w:t>
      историю пассирования (количество пассажей, условия пассирования, субстрат культивирования);</w:t>
      </w:r>
    </w:p>
    <w:p>
      <w:pPr>
        <w:spacing w:after="0"/>
        <w:ind w:left="0"/>
        <w:jc w:val="both"/>
      </w:pPr>
      <w:r>
        <w:rPr>
          <w:rFonts w:ascii="Times New Roman"/>
          <w:b w:val="false"/>
          <w:i w:val="false"/>
          <w:color w:val="000000"/>
          <w:sz w:val="28"/>
        </w:rPr>
        <w:t>
      установление характеристик гемагглютинина и нейраминидазы (данные серологических исследований и (или) молекулярно-генетических методов исследования);</w:t>
      </w:r>
    </w:p>
    <w:p>
      <w:pPr>
        <w:spacing w:after="0"/>
        <w:ind w:left="0"/>
        <w:jc w:val="both"/>
      </w:pPr>
      <w:r>
        <w:rPr>
          <w:rFonts w:ascii="Times New Roman"/>
          <w:b w:val="false"/>
          <w:i w:val="false"/>
          <w:color w:val="000000"/>
          <w:sz w:val="28"/>
        </w:rPr>
        <w:t>
      протоколы испытаний (включая результаты испытаний посевного материала).</w:t>
      </w:r>
    </w:p>
    <w:p>
      <w:pPr>
        <w:spacing w:after="0"/>
        <w:ind w:left="0"/>
        <w:jc w:val="both"/>
      </w:pPr>
      <w:r>
        <w:rPr>
          <w:rFonts w:ascii="Times New Roman"/>
          <w:b w:val="false"/>
          <w:i w:val="false"/>
          <w:color w:val="000000"/>
          <w:sz w:val="28"/>
        </w:rPr>
        <w:t>
      3.2.S.2.4. Контроль критических стадий и промежуточной продукции</w:t>
      </w:r>
    </w:p>
    <w:p>
      <w:pPr>
        <w:spacing w:after="0"/>
        <w:ind w:left="0"/>
        <w:jc w:val="both"/>
      </w:pPr>
      <w:r>
        <w:rPr>
          <w:rFonts w:ascii="Times New Roman"/>
          <w:b w:val="false"/>
          <w:i w:val="false"/>
          <w:color w:val="000000"/>
          <w:sz w:val="28"/>
        </w:rPr>
        <w:t>
      3.2.S.2.5. Валидация производственного процесса и (или) его оценка</w:t>
      </w:r>
    </w:p>
    <w:p>
      <w:pPr>
        <w:spacing w:after="0"/>
        <w:ind w:left="0"/>
        <w:jc w:val="both"/>
      </w:pPr>
      <w:r>
        <w:rPr>
          <w:rFonts w:ascii="Times New Roman"/>
          <w:b w:val="false"/>
          <w:i w:val="false"/>
          <w:color w:val="000000"/>
          <w:sz w:val="28"/>
        </w:rPr>
        <w:t>
      Валидация производственного процесса для моновалентных нефасованных продуктов (полуфабрикатов моновакцины) должна предусматривать:</w:t>
      </w:r>
    </w:p>
    <w:p>
      <w:pPr>
        <w:spacing w:after="0"/>
        <w:ind w:left="0"/>
        <w:jc w:val="both"/>
      </w:pPr>
      <w:r>
        <w:rPr>
          <w:rFonts w:ascii="Times New Roman"/>
          <w:b w:val="false"/>
          <w:i w:val="false"/>
          <w:color w:val="000000"/>
          <w:sz w:val="28"/>
        </w:rPr>
        <w:t>
      изменения, специфичные для процесса производства вводимого штамма;</w:t>
      </w:r>
    </w:p>
    <w:p>
      <w:pPr>
        <w:spacing w:after="0"/>
        <w:ind w:left="0"/>
        <w:jc w:val="both"/>
      </w:pPr>
      <w:r>
        <w:rPr>
          <w:rFonts w:ascii="Times New Roman"/>
          <w:b w:val="false"/>
          <w:i w:val="false"/>
          <w:color w:val="000000"/>
          <w:sz w:val="28"/>
        </w:rPr>
        <w:t>
      валидацию критических стадий производства, обусловленных вводимыми в производство штаммами;</w:t>
      </w:r>
    </w:p>
    <w:p>
      <w:pPr>
        <w:spacing w:after="0"/>
        <w:ind w:left="0"/>
        <w:jc w:val="both"/>
      </w:pPr>
      <w:r>
        <w:rPr>
          <w:rFonts w:ascii="Times New Roman"/>
          <w:b w:val="false"/>
          <w:i w:val="false"/>
          <w:color w:val="000000"/>
          <w:sz w:val="28"/>
        </w:rPr>
        <w:t>
      процесс инактивации вируса;</w:t>
      </w:r>
    </w:p>
    <w:p>
      <w:pPr>
        <w:spacing w:after="0"/>
        <w:ind w:left="0"/>
        <w:jc w:val="both"/>
      </w:pPr>
      <w:r>
        <w:rPr>
          <w:rFonts w:ascii="Times New Roman"/>
          <w:b w:val="false"/>
          <w:i w:val="false"/>
          <w:color w:val="000000"/>
          <w:sz w:val="28"/>
        </w:rPr>
        <w:t>
      эффективность расщепления вируса (если применимо).</w:t>
      </w:r>
    </w:p>
    <w:p>
      <w:pPr>
        <w:spacing w:after="0"/>
        <w:ind w:left="0"/>
        <w:jc w:val="both"/>
      </w:pPr>
      <w:r>
        <w:rPr>
          <w:rFonts w:ascii="Times New Roman"/>
          <w:b w:val="false"/>
          <w:i w:val="false"/>
          <w:color w:val="000000"/>
          <w:sz w:val="28"/>
        </w:rPr>
        <w:t>
      3.2.S.3. Описание характеристик АФС</w:t>
      </w:r>
    </w:p>
    <w:p>
      <w:pPr>
        <w:spacing w:after="0"/>
        <w:ind w:left="0"/>
        <w:jc w:val="both"/>
      </w:pPr>
      <w:r>
        <w:rPr>
          <w:rFonts w:ascii="Times New Roman"/>
          <w:b w:val="false"/>
          <w:i w:val="false"/>
          <w:color w:val="000000"/>
          <w:sz w:val="28"/>
        </w:rPr>
        <w:t>
      Выбор исследований по установлению характеристик (распределение по размеру частиц, наличие агрегатов и т. д.).</w:t>
      </w:r>
    </w:p>
    <w:p>
      <w:pPr>
        <w:spacing w:after="0"/>
        <w:ind w:left="0"/>
        <w:jc w:val="both"/>
      </w:pPr>
      <w:r>
        <w:rPr>
          <w:rFonts w:ascii="Times New Roman"/>
          <w:b w:val="false"/>
          <w:i w:val="false"/>
          <w:color w:val="000000"/>
          <w:sz w:val="28"/>
        </w:rPr>
        <w:t>
      3.2.S.4. Контроль качества АФС (моновакцин)</w:t>
      </w:r>
    </w:p>
    <w:p>
      <w:pPr>
        <w:spacing w:after="0"/>
        <w:ind w:left="0"/>
        <w:jc w:val="both"/>
      </w:pPr>
      <w:r>
        <w:rPr>
          <w:rFonts w:ascii="Times New Roman"/>
          <w:b w:val="false"/>
          <w:i w:val="false"/>
          <w:color w:val="000000"/>
          <w:sz w:val="28"/>
        </w:rPr>
        <w:t>
      3.2.S.4.1. Спецификация</w:t>
      </w:r>
    </w:p>
    <w:p>
      <w:pPr>
        <w:spacing w:after="0"/>
        <w:ind w:left="0"/>
        <w:jc w:val="both"/>
      </w:pPr>
      <w:r>
        <w:rPr>
          <w:rFonts w:ascii="Times New Roman"/>
          <w:b w:val="false"/>
          <w:i w:val="false"/>
          <w:color w:val="000000"/>
          <w:sz w:val="28"/>
        </w:rPr>
        <w:t xml:space="preserve">
      Копии утвержденных спецификаций в табличном формате. </w:t>
      </w:r>
    </w:p>
    <w:p>
      <w:pPr>
        <w:spacing w:after="0"/>
        <w:ind w:left="0"/>
        <w:jc w:val="both"/>
      </w:pPr>
      <w:r>
        <w:rPr>
          <w:rFonts w:ascii="Times New Roman"/>
          <w:b w:val="false"/>
          <w:i w:val="false"/>
          <w:color w:val="000000"/>
          <w:sz w:val="28"/>
        </w:rPr>
        <w:t>
      3.2.S.4.2. Аналитические методики</w:t>
      </w:r>
    </w:p>
    <w:p>
      <w:pPr>
        <w:spacing w:after="0"/>
        <w:ind w:left="0"/>
        <w:jc w:val="both"/>
      </w:pPr>
      <w:r>
        <w:rPr>
          <w:rFonts w:ascii="Times New Roman"/>
          <w:b w:val="false"/>
          <w:i w:val="false"/>
          <w:color w:val="000000"/>
          <w:sz w:val="28"/>
        </w:rPr>
        <w:t>
      3.2.S.4.3. Валидация аналитических методик</w:t>
      </w:r>
    </w:p>
    <w:p>
      <w:pPr>
        <w:spacing w:after="0"/>
        <w:ind w:left="0"/>
        <w:jc w:val="both"/>
      </w:pPr>
      <w:r>
        <w:rPr>
          <w:rFonts w:ascii="Times New Roman"/>
          <w:b w:val="false"/>
          <w:i w:val="false"/>
          <w:color w:val="000000"/>
          <w:sz w:val="28"/>
        </w:rPr>
        <w:t>
      Валидация методики одиночной радиальной иммунодиффузии для вводимого штамма (штаммов) с учетом соответствующих стандартных образцов.</w:t>
      </w:r>
    </w:p>
    <w:p>
      <w:pPr>
        <w:spacing w:after="0"/>
        <w:ind w:left="0"/>
        <w:jc w:val="both"/>
      </w:pPr>
      <w:r>
        <w:rPr>
          <w:rFonts w:ascii="Times New Roman"/>
          <w:b w:val="false"/>
          <w:i w:val="false"/>
          <w:color w:val="000000"/>
          <w:sz w:val="28"/>
        </w:rPr>
        <w:t>
      3.2.S.4.4. Анализы серий (результаты анализа серий)</w:t>
      </w:r>
    </w:p>
    <w:p>
      <w:pPr>
        <w:spacing w:after="0"/>
        <w:ind w:left="0"/>
        <w:jc w:val="both"/>
      </w:pPr>
      <w:r>
        <w:rPr>
          <w:rFonts w:ascii="Times New Roman"/>
          <w:b w:val="false"/>
          <w:i w:val="false"/>
          <w:color w:val="000000"/>
          <w:sz w:val="28"/>
        </w:rPr>
        <w:t>
      должны включать следующие результаты испытаний первых трех серий моновалентных нефасованных продуктов (включая показатели подлинности гемагглютинина и нейраминидазы) при условии, что эти продукты получены:</w:t>
      </w:r>
    </w:p>
    <w:p>
      <w:pPr>
        <w:spacing w:after="0"/>
        <w:ind w:left="0"/>
        <w:jc w:val="both"/>
      </w:pPr>
      <w:r>
        <w:rPr>
          <w:rFonts w:ascii="Times New Roman"/>
          <w:b w:val="false"/>
          <w:i w:val="false"/>
          <w:color w:val="000000"/>
          <w:sz w:val="28"/>
        </w:rPr>
        <w:t xml:space="preserve">
      из каждой серии рабочего посевного материала нового главного посевного материала вводимого штамма (штаммов); </w:t>
      </w:r>
    </w:p>
    <w:p>
      <w:pPr>
        <w:spacing w:after="0"/>
        <w:ind w:left="0"/>
        <w:jc w:val="both"/>
      </w:pPr>
      <w:r>
        <w:rPr>
          <w:rFonts w:ascii="Times New Roman"/>
          <w:b w:val="false"/>
          <w:i w:val="false"/>
          <w:color w:val="000000"/>
          <w:sz w:val="28"/>
        </w:rPr>
        <w:t>
      из каждой серии рабочего посевного материала одобренного главного посевного материала вводимого штамма (штаммов) (в случае, если процедура подготовки рабочего посевного материала отличается от процедуры подготовки рабочего посевного материала, регламентированной ранее).</w:t>
      </w:r>
    </w:p>
    <w:p>
      <w:pPr>
        <w:spacing w:after="0"/>
        <w:ind w:left="0"/>
        <w:jc w:val="both"/>
      </w:pPr>
      <w:r>
        <w:rPr>
          <w:rFonts w:ascii="Times New Roman"/>
          <w:b w:val="false"/>
          <w:i w:val="false"/>
          <w:color w:val="000000"/>
          <w:sz w:val="28"/>
        </w:rPr>
        <w:t>
      3.2.S.7. Стабильность</w:t>
      </w:r>
    </w:p>
    <w:p>
      <w:pPr>
        <w:spacing w:after="0"/>
        <w:ind w:left="0"/>
        <w:jc w:val="both"/>
      </w:pPr>
      <w:r>
        <w:rPr>
          <w:rFonts w:ascii="Times New Roman"/>
          <w:b w:val="false"/>
          <w:i w:val="false"/>
          <w:color w:val="000000"/>
          <w:sz w:val="28"/>
        </w:rPr>
        <w:t>
      Испытания АФС на стабильность: необходимо представить результаты испытаний моновалентных нерасфасованных продуктов, если они используются более 1 года.</w:t>
      </w:r>
    </w:p>
    <w:p>
      <w:pPr>
        <w:spacing w:after="0"/>
        <w:ind w:left="0"/>
        <w:jc w:val="both"/>
      </w:pPr>
      <w:r>
        <w:rPr>
          <w:rFonts w:ascii="Times New Roman"/>
          <w:b w:val="false"/>
          <w:i w:val="false"/>
          <w:color w:val="000000"/>
          <w:sz w:val="28"/>
        </w:rPr>
        <w:t>
      3.2.Р. Лекарственный препарат</w:t>
      </w:r>
    </w:p>
    <w:p>
      <w:pPr>
        <w:spacing w:after="0"/>
        <w:ind w:left="0"/>
        <w:jc w:val="both"/>
      </w:pPr>
      <w:r>
        <w:rPr>
          <w:rFonts w:ascii="Times New Roman"/>
          <w:b w:val="false"/>
          <w:i w:val="false"/>
          <w:color w:val="000000"/>
          <w:sz w:val="28"/>
        </w:rPr>
        <w:t>
      3.2.Р.1. Описание и состав лекарственного препарата</w:t>
      </w:r>
    </w:p>
    <w:p>
      <w:pPr>
        <w:spacing w:after="0"/>
        <w:ind w:left="0"/>
        <w:jc w:val="both"/>
      </w:pPr>
      <w:r>
        <w:rPr>
          <w:rFonts w:ascii="Times New Roman"/>
          <w:b w:val="false"/>
          <w:i w:val="false"/>
          <w:color w:val="000000"/>
          <w:sz w:val="28"/>
        </w:rPr>
        <w:t xml:space="preserve">
      Приводится состав вакцины. </w:t>
      </w:r>
    </w:p>
    <w:p>
      <w:pPr>
        <w:spacing w:after="0"/>
        <w:ind w:left="0"/>
        <w:jc w:val="both"/>
      </w:pPr>
      <w:r>
        <w:rPr>
          <w:rFonts w:ascii="Times New Roman"/>
          <w:b w:val="false"/>
          <w:i w:val="false"/>
          <w:color w:val="000000"/>
          <w:sz w:val="28"/>
        </w:rPr>
        <w:t>
      3.2.Р.2. Фармацевтическая разработка</w:t>
      </w:r>
    </w:p>
    <w:p>
      <w:pPr>
        <w:spacing w:after="0"/>
        <w:ind w:left="0"/>
        <w:jc w:val="both"/>
      </w:pPr>
      <w:r>
        <w:rPr>
          <w:rFonts w:ascii="Times New Roman"/>
          <w:b w:val="false"/>
          <w:i w:val="false"/>
          <w:color w:val="000000"/>
          <w:sz w:val="28"/>
        </w:rPr>
        <w:t>
      3.2.Р.2.2.1. Разработка лекарственной формы</w:t>
      </w:r>
    </w:p>
    <w:p>
      <w:pPr>
        <w:spacing w:after="0"/>
        <w:ind w:left="0"/>
        <w:jc w:val="both"/>
      </w:pPr>
      <w:r>
        <w:rPr>
          <w:rFonts w:ascii="Times New Roman"/>
          <w:b w:val="false"/>
          <w:i w:val="false"/>
          <w:color w:val="000000"/>
          <w:sz w:val="28"/>
        </w:rPr>
        <w:t xml:space="preserve">
      Измененный состав вакцины (штаммы нового эпидемического сезона) и, если было выдвинуто требование о проведении клинического исследования с целью обоснования ежегодного обновления, сертификат анализа серии, использованной в клиническом исследовании, по мере подготовки указанного сертификата. </w:t>
      </w:r>
    </w:p>
    <w:p>
      <w:pPr>
        <w:spacing w:after="0"/>
        <w:ind w:left="0"/>
        <w:jc w:val="both"/>
      </w:pPr>
      <w:r>
        <w:rPr>
          <w:rFonts w:ascii="Times New Roman"/>
          <w:b w:val="false"/>
          <w:i w:val="false"/>
          <w:color w:val="000000"/>
          <w:sz w:val="28"/>
        </w:rPr>
        <w:t>
      3.2.Р.3. Процесс производства лекарственного препарата</w:t>
      </w:r>
    </w:p>
    <w:p>
      <w:pPr>
        <w:spacing w:after="0"/>
        <w:ind w:left="0"/>
        <w:jc w:val="both"/>
      </w:pPr>
      <w:r>
        <w:rPr>
          <w:rFonts w:ascii="Times New Roman"/>
          <w:b w:val="false"/>
          <w:i w:val="false"/>
          <w:color w:val="000000"/>
          <w:sz w:val="28"/>
        </w:rPr>
        <w:t>
      3.2.P.3.2. Состав на серию (производственная рецептура)</w:t>
      </w:r>
    </w:p>
    <w:p>
      <w:pPr>
        <w:spacing w:after="0"/>
        <w:ind w:left="0"/>
        <w:jc w:val="both"/>
      </w:pPr>
      <w:r>
        <w:rPr>
          <w:rFonts w:ascii="Times New Roman"/>
          <w:b w:val="false"/>
          <w:i w:val="false"/>
          <w:color w:val="000000"/>
          <w:sz w:val="28"/>
        </w:rPr>
        <w:t>
      3.2.Р.5. Контроль качества лекарственного препарата</w:t>
      </w:r>
    </w:p>
    <w:p>
      <w:pPr>
        <w:spacing w:after="0"/>
        <w:ind w:left="0"/>
        <w:jc w:val="both"/>
      </w:pPr>
      <w:r>
        <w:rPr>
          <w:rFonts w:ascii="Times New Roman"/>
          <w:b w:val="false"/>
          <w:i w:val="false"/>
          <w:color w:val="000000"/>
          <w:sz w:val="28"/>
        </w:rPr>
        <w:t xml:space="preserve">
      3.2.P.5.1. Спецификации </w:t>
      </w:r>
    </w:p>
    <w:p>
      <w:pPr>
        <w:spacing w:after="0"/>
        <w:ind w:left="0"/>
        <w:jc w:val="both"/>
      </w:pPr>
      <w:r>
        <w:rPr>
          <w:rFonts w:ascii="Times New Roman"/>
          <w:b w:val="false"/>
          <w:i w:val="false"/>
          <w:color w:val="000000"/>
          <w:sz w:val="28"/>
        </w:rPr>
        <w:t>
      Копии утвержденных спецификаций и методик определения показателей спецификаций в табличном формате.</w:t>
      </w:r>
    </w:p>
    <w:p>
      <w:pPr>
        <w:spacing w:after="0"/>
        <w:ind w:left="0"/>
        <w:jc w:val="both"/>
      </w:pPr>
      <w:r>
        <w:rPr>
          <w:rFonts w:ascii="Times New Roman"/>
          <w:b w:val="false"/>
          <w:i w:val="false"/>
          <w:color w:val="000000"/>
          <w:sz w:val="28"/>
        </w:rPr>
        <w:t>
      3.2.P.5.3. Валидация аналитических методик</w:t>
      </w:r>
    </w:p>
    <w:p>
      <w:pPr>
        <w:spacing w:after="0"/>
        <w:ind w:left="0"/>
        <w:jc w:val="both"/>
      </w:pPr>
      <w:r>
        <w:rPr>
          <w:rFonts w:ascii="Times New Roman"/>
          <w:b w:val="false"/>
          <w:i w:val="false"/>
          <w:color w:val="000000"/>
          <w:sz w:val="28"/>
        </w:rPr>
        <w:t>
      Валидация методики одиночной радиальной иммунодиффузии для нового штамма (штаммов) (с использованием трехвалентного нерасфасованного продукта или лекарственного препарата).</w:t>
      </w:r>
    </w:p>
    <w:p>
      <w:pPr>
        <w:spacing w:after="0"/>
        <w:ind w:left="0"/>
        <w:jc w:val="both"/>
      </w:pPr>
      <w:r>
        <w:rPr>
          <w:rFonts w:ascii="Times New Roman"/>
          <w:b w:val="false"/>
          <w:i w:val="false"/>
          <w:color w:val="000000"/>
          <w:sz w:val="28"/>
        </w:rPr>
        <w:t>
      3.2.P.8. Стабильность лекарственного препарата:</w:t>
      </w:r>
    </w:p>
    <w:p>
      <w:pPr>
        <w:spacing w:after="0"/>
        <w:ind w:left="0"/>
        <w:jc w:val="both"/>
      </w:pPr>
      <w:r>
        <w:rPr>
          <w:rFonts w:ascii="Times New Roman"/>
          <w:b w:val="false"/>
          <w:i w:val="false"/>
          <w:color w:val="000000"/>
          <w:sz w:val="28"/>
        </w:rPr>
        <w:t>
      данные о стабильности в предыдущем сезоне;</w:t>
      </w:r>
    </w:p>
    <w:p>
      <w:pPr>
        <w:spacing w:after="0"/>
        <w:ind w:left="0"/>
        <w:jc w:val="both"/>
      </w:pPr>
      <w:r>
        <w:rPr>
          <w:rFonts w:ascii="Times New Roman"/>
          <w:b w:val="false"/>
          <w:i w:val="false"/>
          <w:color w:val="000000"/>
          <w:sz w:val="28"/>
        </w:rPr>
        <w:t>
      обязательство по исследованию стабильности вакцины в течение срока ее применения;</w:t>
      </w:r>
    </w:p>
    <w:p>
      <w:pPr>
        <w:spacing w:after="0"/>
        <w:ind w:left="0"/>
        <w:jc w:val="both"/>
      </w:pPr>
      <w:r>
        <w:rPr>
          <w:rFonts w:ascii="Times New Roman"/>
          <w:b w:val="false"/>
          <w:i w:val="false"/>
          <w:color w:val="000000"/>
          <w:sz w:val="28"/>
        </w:rPr>
        <w:t>
      протоколы пострегистрационных исследований стабильности вакцины.</w:t>
      </w:r>
    </w:p>
    <w:p>
      <w:pPr>
        <w:spacing w:after="0"/>
        <w:ind w:left="0"/>
        <w:jc w:val="both"/>
      </w:pPr>
      <w:r>
        <w:rPr>
          <w:rFonts w:ascii="Times New Roman"/>
          <w:b w:val="false"/>
          <w:i w:val="false"/>
          <w:color w:val="000000"/>
          <w:sz w:val="28"/>
        </w:rPr>
        <w:t xml:space="preserve">
      Если посевной материал проверяется на наличие посторонних агентов с помощью полимеразной цепной реакции (далее – ПЦР) и если после консультации с экспертной организацией референтного государства была согласована необходимость проведения дополнительных ПЦР-испытаний посевного материала, эти данные необходимо включить в регистрационное досье вакцин для профилактики гриппа. </w:t>
      </w:r>
    </w:p>
    <w:bookmarkStart w:name="z9370" w:id="7740"/>
    <w:p>
      <w:pPr>
        <w:spacing w:after="0"/>
        <w:ind w:left="0"/>
        <w:jc w:val="left"/>
      </w:pPr>
      <w:r>
        <w:rPr>
          <w:rFonts w:ascii="Times New Roman"/>
          <w:b/>
          <w:i w:val="false"/>
          <w:color w:val="000000"/>
        </w:rPr>
        <w:t xml:space="preserve"> 5.3. Требования к представлению дополнительных данных (после запроса уполномоченного органа государства-члена)</w:t>
      </w:r>
    </w:p>
    <w:bookmarkEnd w:id="7740"/>
    <w:p>
      <w:pPr>
        <w:spacing w:after="0"/>
        <w:ind w:left="0"/>
        <w:jc w:val="both"/>
      </w:pPr>
      <w:r>
        <w:rPr>
          <w:rFonts w:ascii="Times New Roman"/>
          <w:b w:val="false"/>
          <w:i w:val="false"/>
          <w:color w:val="000000"/>
          <w:sz w:val="28"/>
        </w:rPr>
        <w:t>
      В случае запроса дополнительных данных (в зависимости от типа представляемых дополнительных данных) необходимо подать соответствующие разделы регистрационного досье на изменение в формате ОТД.</w:t>
      </w:r>
    </w:p>
    <w:p>
      <w:pPr>
        <w:spacing w:after="0"/>
        <w:ind w:left="0"/>
        <w:jc w:val="both"/>
      </w:pPr>
      <w:r>
        <w:rPr>
          <w:rFonts w:ascii="Times New Roman"/>
          <w:b w:val="false"/>
          <w:i w:val="false"/>
          <w:color w:val="000000"/>
          <w:sz w:val="28"/>
        </w:rPr>
        <w:t xml:space="preserve">
      Модуль 1. Административная информация </w:t>
      </w:r>
    </w:p>
    <w:p>
      <w:pPr>
        <w:spacing w:after="0"/>
        <w:ind w:left="0"/>
        <w:jc w:val="both"/>
      </w:pPr>
      <w:r>
        <w:rPr>
          <w:rFonts w:ascii="Times New Roman"/>
          <w:b w:val="false"/>
          <w:i w:val="false"/>
          <w:color w:val="000000"/>
          <w:sz w:val="28"/>
        </w:rPr>
        <w:t>
      1. Сопроводительное письмо (как в ОТД)</w:t>
      </w:r>
    </w:p>
    <w:p>
      <w:pPr>
        <w:spacing w:after="0"/>
        <w:ind w:left="0"/>
        <w:jc w:val="both"/>
      </w:pPr>
      <w:r>
        <w:rPr>
          <w:rFonts w:ascii="Times New Roman"/>
          <w:b w:val="false"/>
          <w:i w:val="false"/>
          <w:color w:val="000000"/>
          <w:sz w:val="28"/>
        </w:rPr>
        <w:t>
      1.1. Содержание (не требуется при подаче в формате эОТД)</w:t>
      </w:r>
    </w:p>
    <w:p>
      <w:pPr>
        <w:spacing w:after="0"/>
        <w:ind w:left="0"/>
        <w:jc w:val="both"/>
      </w:pPr>
      <w:r>
        <w:rPr>
          <w:rFonts w:ascii="Times New Roman"/>
          <w:b w:val="false"/>
          <w:i w:val="false"/>
          <w:color w:val="000000"/>
          <w:sz w:val="28"/>
        </w:rPr>
        <w:t>
      1.7. Информация о специалистах</w:t>
      </w:r>
    </w:p>
    <w:p>
      <w:pPr>
        <w:spacing w:after="0"/>
        <w:ind w:left="0"/>
        <w:jc w:val="both"/>
      </w:pPr>
      <w:r>
        <w:rPr>
          <w:rFonts w:ascii="Times New Roman"/>
          <w:b w:val="false"/>
          <w:i w:val="false"/>
          <w:color w:val="000000"/>
          <w:sz w:val="28"/>
        </w:rPr>
        <w:t>
      1.7.1. Информация (краткое резюме) о специалисте, подготовившем резюме по качеству</w:t>
      </w:r>
    </w:p>
    <w:p>
      <w:pPr>
        <w:spacing w:after="0"/>
        <w:ind w:left="0"/>
        <w:jc w:val="both"/>
      </w:pPr>
      <w:r>
        <w:rPr>
          <w:rFonts w:ascii="Times New Roman"/>
          <w:b w:val="false"/>
          <w:i w:val="false"/>
          <w:color w:val="000000"/>
          <w:sz w:val="28"/>
        </w:rPr>
        <w:t>
      Модуль 2. Резюме общего технического документа</w:t>
      </w:r>
    </w:p>
    <w:p>
      <w:pPr>
        <w:spacing w:after="0"/>
        <w:ind w:left="0"/>
        <w:jc w:val="both"/>
      </w:pPr>
      <w:r>
        <w:rPr>
          <w:rFonts w:ascii="Times New Roman"/>
          <w:b w:val="false"/>
          <w:i w:val="false"/>
          <w:color w:val="000000"/>
          <w:sz w:val="28"/>
        </w:rPr>
        <w:t xml:space="preserve">
      2.1. Содержание модулей 2 – 5 (не требуется при подаче в формате эОТД) </w:t>
      </w:r>
    </w:p>
    <w:p>
      <w:pPr>
        <w:spacing w:after="0"/>
        <w:ind w:left="0"/>
        <w:jc w:val="both"/>
      </w:pPr>
      <w:r>
        <w:rPr>
          <w:rFonts w:ascii="Times New Roman"/>
          <w:b w:val="false"/>
          <w:i w:val="false"/>
          <w:color w:val="000000"/>
          <w:sz w:val="28"/>
        </w:rPr>
        <w:t>
      2.2. Введение в ОТД</w:t>
      </w:r>
    </w:p>
    <w:p>
      <w:pPr>
        <w:spacing w:after="0"/>
        <w:ind w:left="0"/>
        <w:jc w:val="both"/>
      </w:pPr>
      <w:r>
        <w:rPr>
          <w:rFonts w:ascii="Times New Roman"/>
          <w:b w:val="false"/>
          <w:i w:val="false"/>
          <w:color w:val="000000"/>
          <w:sz w:val="28"/>
        </w:rPr>
        <w:t>
      Обновление или дополнение предыдущего введения (если применимо).</w:t>
      </w:r>
    </w:p>
    <w:p>
      <w:pPr>
        <w:spacing w:after="0"/>
        <w:ind w:left="0"/>
        <w:jc w:val="both"/>
      </w:pPr>
      <w:r>
        <w:rPr>
          <w:rFonts w:ascii="Times New Roman"/>
          <w:b w:val="false"/>
          <w:i w:val="false"/>
          <w:color w:val="000000"/>
          <w:sz w:val="28"/>
        </w:rPr>
        <w:t>
      2.3. Общее резюме по качеству</w:t>
      </w:r>
    </w:p>
    <w:p>
      <w:pPr>
        <w:spacing w:after="0"/>
        <w:ind w:left="0"/>
        <w:jc w:val="both"/>
      </w:pPr>
      <w:r>
        <w:rPr>
          <w:rFonts w:ascii="Times New Roman"/>
          <w:b w:val="false"/>
          <w:i w:val="false"/>
          <w:color w:val="000000"/>
          <w:sz w:val="28"/>
        </w:rPr>
        <w:t>
      Обновление или дополнение предыдущего общего резюме по качеству (если применимо).</w:t>
      </w:r>
    </w:p>
    <w:p>
      <w:pPr>
        <w:spacing w:after="0"/>
        <w:ind w:left="0"/>
        <w:jc w:val="both"/>
      </w:pPr>
      <w:r>
        <w:rPr>
          <w:rFonts w:ascii="Times New Roman"/>
          <w:b w:val="false"/>
          <w:i w:val="false"/>
          <w:color w:val="000000"/>
          <w:sz w:val="28"/>
        </w:rPr>
        <w:t>
      2.5. Обзор клинических данных</w:t>
      </w:r>
    </w:p>
    <w:p>
      <w:pPr>
        <w:spacing w:after="0"/>
        <w:ind w:left="0"/>
        <w:jc w:val="both"/>
      </w:pPr>
      <w:r>
        <w:rPr>
          <w:rFonts w:ascii="Times New Roman"/>
          <w:b w:val="false"/>
          <w:i w:val="false"/>
          <w:color w:val="000000"/>
          <w:sz w:val="28"/>
        </w:rPr>
        <w:t>
      Обновление или дополнение предыдущего обзора (если применимо).</w:t>
      </w:r>
    </w:p>
    <w:p>
      <w:pPr>
        <w:spacing w:after="0"/>
        <w:ind w:left="0"/>
        <w:jc w:val="both"/>
      </w:pPr>
      <w:r>
        <w:rPr>
          <w:rFonts w:ascii="Times New Roman"/>
          <w:b w:val="false"/>
          <w:i w:val="false"/>
          <w:color w:val="000000"/>
          <w:sz w:val="28"/>
        </w:rPr>
        <w:t xml:space="preserve">
      2.7. Резюме клинических исследований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Решением Совета Евразийской экономической комиссии от 30.01.2020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Обновление или дополнение предыдущего клинического обзора (если применимо).</w:t>
      </w:r>
    </w:p>
    <w:p>
      <w:pPr>
        <w:spacing w:after="0"/>
        <w:ind w:left="0"/>
        <w:jc w:val="both"/>
      </w:pPr>
      <w:r>
        <w:rPr>
          <w:rFonts w:ascii="Times New Roman"/>
          <w:b w:val="false"/>
          <w:i w:val="false"/>
          <w:color w:val="000000"/>
          <w:sz w:val="28"/>
        </w:rPr>
        <w:t>
      Информация, содержащаяся в модулях 3 – 5, представляется в случае запроса дополнительных данных по качеству, доклинических</w:t>
      </w:r>
      <w:r>
        <w:rPr>
          <w:rFonts w:ascii="Times New Roman"/>
          <w:b w:val="false"/>
          <w:i w:val="false"/>
          <w:color w:val="000000"/>
          <w:vertAlign w:val="superscript"/>
        </w:rPr>
        <w:t>1</w:t>
      </w:r>
      <w:r>
        <w:rPr>
          <w:rFonts w:ascii="Times New Roman"/>
          <w:b w:val="false"/>
          <w:i w:val="false"/>
          <w:color w:val="000000"/>
          <w:sz w:val="28"/>
        </w:rPr>
        <w:t xml:space="preserve"> и (или) клинических</w:t>
      </w:r>
      <w:r>
        <w:rPr>
          <w:rFonts w:ascii="Times New Roman"/>
          <w:b w:val="false"/>
          <w:i w:val="false"/>
          <w:color w:val="000000"/>
          <w:vertAlign w:val="superscript"/>
        </w:rPr>
        <w:t>2</w:t>
      </w:r>
      <w:r>
        <w:rPr>
          <w:rFonts w:ascii="Times New Roman"/>
          <w:b w:val="false"/>
          <w:i w:val="false"/>
          <w:color w:val="000000"/>
          <w:sz w:val="28"/>
        </w:rPr>
        <w:t xml:space="preserve"> данных.</w:t>
      </w:r>
    </w:p>
    <w:bookmarkStart w:name="z9371" w:id="7741"/>
    <w:p>
      <w:pPr>
        <w:spacing w:after="0"/>
        <w:ind w:left="0"/>
        <w:jc w:val="left"/>
      </w:pPr>
      <w:r>
        <w:rPr>
          <w:rFonts w:ascii="Times New Roman"/>
          <w:b/>
          <w:i w:val="false"/>
          <w:color w:val="000000"/>
        </w:rPr>
        <w:t xml:space="preserve"> 5.4. Требования к документам регистрационного досье о внесении изменений в штаммовый состав живых аттенуированных вакцин для профилактики гриппа</w:t>
      </w:r>
    </w:p>
    <w:bookmarkEnd w:id="7741"/>
    <w:p>
      <w:pPr>
        <w:spacing w:after="0"/>
        <w:ind w:left="0"/>
        <w:jc w:val="both"/>
      </w:pPr>
      <w:r>
        <w:rPr>
          <w:rFonts w:ascii="Times New Roman"/>
          <w:b w:val="false"/>
          <w:i w:val="false"/>
          <w:color w:val="000000"/>
          <w:sz w:val="28"/>
        </w:rPr>
        <w:t>
      Заявление о внесении изменений в штаммовый состав живых аттенуированных вакцин для профилактики гриппа должно содержать указанную ниже документацию. Отклонение от требований (отсутствие необходимых или дополнительных данных) должно быть обосновано в соответствующем разделе модуля 3 и в соответствующем резюме (обзоре), а также согласовано с уполномоченными органами государств-членов до подачи заявления.</w:t>
      </w:r>
    </w:p>
    <w:p>
      <w:pPr>
        <w:spacing w:after="0"/>
        <w:ind w:left="0"/>
        <w:jc w:val="both"/>
      </w:pPr>
      <w:r>
        <w:rPr>
          <w:rFonts w:ascii="Times New Roman"/>
          <w:b w:val="false"/>
          <w:i w:val="false"/>
          <w:color w:val="000000"/>
          <w:sz w:val="28"/>
        </w:rPr>
        <w:t xml:space="preserve">
      Модуль 1. Административная информация </w:t>
      </w:r>
    </w:p>
    <w:p>
      <w:pPr>
        <w:spacing w:after="0"/>
        <w:ind w:left="0"/>
        <w:jc w:val="both"/>
      </w:pPr>
      <w:r>
        <w:rPr>
          <w:rFonts w:ascii="Times New Roman"/>
          <w:b w:val="false"/>
          <w:i w:val="false"/>
          <w:color w:val="000000"/>
          <w:sz w:val="28"/>
        </w:rPr>
        <w:t>
      1. Сопроводительное письмо (как в ОТД)</w:t>
      </w:r>
    </w:p>
    <w:p>
      <w:pPr>
        <w:spacing w:after="0"/>
        <w:ind w:left="0"/>
        <w:jc w:val="both"/>
      </w:pPr>
      <w:r>
        <w:rPr>
          <w:rFonts w:ascii="Times New Roman"/>
          <w:b w:val="false"/>
          <w:i w:val="false"/>
          <w:color w:val="000000"/>
          <w:sz w:val="28"/>
        </w:rPr>
        <w:t>
      1.1. Содержание (не требуется при подаче в формате эОТД)</w:t>
      </w:r>
    </w:p>
    <w:p>
      <w:pPr>
        <w:spacing w:after="0"/>
        <w:ind w:left="0"/>
        <w:jc w:val="both"/>
      </w:pPr>
      <w:r>
        <w:rPr>
          <w:rFonts w:ascii="Times New Roman"/>
          <w:b w:val="false"/>
          <w:i w:val="false"/>
          <w:color w:val="000000"/>
          <w:sz w:val="28"/>
        </w:rPr>
        <w:t xml:space="preserve">
      1.2. Общая документация </w:t>
      </w:r>
    </w:p>
    <w:p>
      <w:pPr>
        <w:spacing w:after="0"/>
        <w:ind w:left="0"/>
        <w:jc w:val="both"/>
      </w:pPr>
      <w:r>
        <w:rPr>
          <w:rFonts w:ascii="Times New Roman"/>
          <w:b w:val="false"/>
          <w:i w:val="false"/>
          <w:color w:val="000000"/>
          <w:sz w:val="28"/>
        </w:rPr>
        <w:t>
      1.2.1. Заявление о внесении изменений</w:t>
      </w:r>
    </w:p>
    <w:p>
      <w:pPr>
        <w:spacing w:after="0"/>
        <w:ind w:left="0"/>
        <w:jc w:val="both"/>
      </w:pPr>
      <w:r>
        <w:rPr>
          <w:rFonts w:ascii="Times New Roman"/>
          <w:b w:val="false"/>
          <w:i w:val="false"/>
          <w:color w:val="000000"/>
          <w:sz w:val="28"/>
        </w:rPr>
        <w:t>
      1.2.2. Документы, подтверждающие оплату сбора (пошлины) за подтверждение регистрации (перерегистрацию) и экспертизу в случае и порядке, установленном в соответствии с законодательством референтного государства-члена</w:t>
      </w:r>
    </w:p>
    <w:p>
      <w:pPr>
        <w:spacing w:after="0"/>
        <w:ind w:left="0"/>
        <w:jc w:val="both"/>
      </w:pPr>
      <w:r>
        <w:rPr>
          <w:rFonts w:ascii="Times New Roman"/>
          <w:b w:val="false"/>
          <w:i w:val="false"/>
          <w:color w:val="000000"/>
          <w:sz w:val="28"/>
        </w:rPr>
        <w:t>
      1.3. Общая характеристика лекарственного препарата, инструкция по медицинскому применению (листок-вкладыш), макеты упаковок</w:t>
      </w:r>
    </w:p>
    <w:p>
      <w:pPr>
        <w:spacing w:after="0"/>
        <w:ind w:left="0"/>
        <w:jc w:val="both"/>
      </w:pPr>
      <w:r>
        <w:rPr>
          <w:rFonts w:ascii="Times New Roman"/>
          <w:b w:val="false"/>
          <w:i w:val="false"/>
          <w:color w:val="000000"/>
          <w:sz w:val="28"/>
        </w:rPr>
        <w:t>
      1.3.1. Проекты общей характеристики лекарственного препарата, инструкции по медицинскому применению (листка-вкладыша) и макетов упаковок, составленные в соответствии с требованиями к инструкции по медицинскому применению лекарственных препаратов</w:t>
      </w:r>
    </w:p>
    <w:p>
      <w:pPr>
        <w:spacing w:after="0"/>
        <w:ind w:left="0"/>
        <w:jc w:val="both"/>
      </w:pPr>
      <w:r>
        <w:rPr>
          <w:rFonts w:ascii="Times New Roman"/>
          <w:b w:val="false"/>
          <w:i w:val="false"/>
          <w:color w:val="000000"/>
          <w:sz w:val="28"/>
        </w:rPr>
        <w:t>
      В тексты допускается вносить изменения, обусловленные исключительно штаммами, использованными в указанном эпидемическом сезоне.</w:t>
      </w:r>
    </w:p>
    <w:p>
      <w:pPr>
        <w:spacing w:after="0"/>
        <w:ind w:left="0"/>
        <w:jc w:val="both"/>
      </w:pPr>
      <w:r>
        <w:rPr>
          <w:rFonts w:ascii="Times New Roman"/>
          <w:b w:val="false"/>
          <w:i w:val="false"/>
          <w:color w:val="000000"/>
          <w:sz w:val="28"/>
        </w:rPr>
        <w:t>
      1.7. Информация о специалистах</w:t>
      </w:r>
    </w:p>
    <w:p>
      <w:pPr>
        <w:spacing w:after="0"/>
        <w:ind w:left="0"/>
        <w:jc w:val="both"/>
      </w:pPr>
      <w:r>
        <w:rPr>
          <w:rFonts w:ascii="Times New Roman"/>
          <w:b w:val="false"/>
          <w:i w:val="false"/>
          <w:color w:val="000000"/>
          <w:sz w:val="28"/>
        </w:rPr>
        <w:t>
      1.7.1. Информация (краткое резюме) о специалисте, подготовившем резюме по качеству</w:t>
      </w:r>
    </w:p>
    <w:p>
      <w:pPr>
        <w:spacing w:after="0"/>
        <w:ind w:left="0"/>
        <w:jc w:val="both"/>
      </w:pPr>
      <w:r>
        <w:rPr>
          <w:rFonts w:ascii="Times New Roman"/>
          <w:b w:val="false"/>
          <w:i w:val="false"/>
          <w:color w:val="000000"/>
          <w:sz w:val="28"/>
        </w:rPr>
        <w:t>
      Модуль 2. Резюме общего технического документа</w:t>
      </w:r>
    </w:p>
    <w:p>
      <w:pPr>
        <w:spacing w:after="0"/>
        <w:ind w:left="0"/>
        <w:jc w:val="both"/>
      </w:pPr>
      <w:r>
        <w:rPr>
          <w:rFonts w:ascii="Times New Roman"/>
          <w:b w:val="false"/>
          <w:i w:val="false"/>
          <w:color w:val="000000"/>
          <w:sz w:val="28"/>
        </w:rPr>
        <w:t>
      2.1. Содержание модулей 2 – 5 (не требуется при подаче в формате эОТД)</w:t>
      </w:r>
    </w:p>
    <w:p>
      <w:pPr>
        <w:spacing w:after="0"/>
        <w:ind w:left="0"/>
        <w:jc w:val="both"/>
      </w:pPr>
      <w:r>
        <w:rPr>
          <w:rFonts w:ascii="Times New Roman"/>
          <w:b w:val="false"/>
          <w:i w:val="false"/>
          <w:color w:val="000000"/>
          <w:sz w:val="28"/>
        </w:rPr>
        <w:t>
      2.2. Введение в ОТД</w:t>
      </w:r>
    </w:p>
    <w:p>
      <w:pPr>
        <w:spacing w:after="0"/>
        <w:ind w:left="0"/>
        <w:jc w:val="both"/>
      </w:pPr>
      <w:r>
        <w:rPr>
          <w:rFonts w:ascii="Times New Roman"/>
          <w:b w:val="false"/>
          <w:i w:val="false"/>
          <w:color w:val="000000"/>
          <w:sz w:val="28"/>
        </w:rPr>
        <w:t>
      Обновление или дополнение предыдущего введения в ОТД (если применимо).</w:t>
      </w:r>
    </w:p>
    <w:p>
      <w:pPr>
        <w:spacing w:after="0"/>
        <w:ind w:left="0"/>
        <w:jc w:val="both"/>
      </w:pPr>
      <w:r>
        <w:rPr>
          <w:rFonts w:ascii="Times New Roman"/>
          <w:b w:val="false"/>
          <w:i w:val="false"/>
          <w:color w:val="000000"/>
          <w:sz w:val="28"/>
        </w:rPr>
        <w:t>
      2.3. Общее резюме по качеству</w:t>
      </w:r>
    </w:p>
    <w:p>
      <w:pPr>
        <w:spacing w:after="0"/>
        <w:ind w:left="0"/>
        <w:jc w:val="both"/>
      </w:pPr>
      <w:r>
        <w:rPr>
          <w:rFonts w:ascii="Times New Roman"/>
          <w:b w:val="false"/>
          <w:i w:val="false"/>
          <w:color w:val="000000"/>
          <w:sz w:val="28"/>
        </w:rPr>
        <w:t>
      Обновление или дополнение предыдущего общего резюме по качеству.</w:t>
      </w:r>
    </w:p>
    <w:p>
      <w:pPr>
        <w:spacing w:after="0"/>
        <w:ind w:left="0"/>
        <w:jc w:val="both"/>
      </w:pPr>
      <w:r>
        <w:rPr>
          <w:rFonts w:ascii="Times New Roman"/>
          <w:b w:val="false"/>
          <w:i w:val="false"/>
          <w:color w:val="000000"/>
          <w:sz w:val="28"/>
        </w:rPr>
        <w:t>
      Модуль 3. Качество</w:t>
      </w:r>
    </w:p>
    <w:p>
      <w:pPr>
        <w:spacing w:after="0"/>
        <w:ind w:left="0"/>
        <w:jc w:val="both"/>
      </w:pPr>
      <w:r>
        <w:rPr>
          <w:rFonts w:ascii="Times New Roman"/>
          <w:b w:val="false"/>
          <w:i w:val="false"/>
          <w:color w:val="000000"/>
          <w:sz w:val="28"/>
        </w:rPr>
        <w:t>
      3.2.S.2. Процесс производства АФС</w:t>
      </w:r>
    </w:p>
    <w:p>
      <w:pPr>
        <w:spacing w:after="0"/>
        <w:ind w:left="0"/>
        <w:jc w:val="both"/>
      </w:pPr>
      <w:r>
        <w:rPr>
          <w:rFonts w:ascii="Times New Roman"/>
          <w:b w:val="false"/>
          <w:i w:val="false"/>
          <w:color w:val="000000"/>
          <w:sz w:val="28"/>
        </w:rPr>
        <w:t>
      3.2.S.2.3. Контроль исходных материалов</w:t>
      </w:r>
    </w:p>
    <w:p>
      <w:pPr>
        <w:spacing w:after="0"/>
        <w:ind w:left="0"/>
        <w:jc w:val="both"/>
      </w:pPr>
      <w:r>
        <w:rPr>
          <w:rFonts w:ascii="Times New Roman"/>
          <w:b w:val="false"/>
          <w:i w:val="false"/>
          <w:color w:val="000000"/>
          <w:sz w:val="28"/>
        </w:rPr>
        <w:t>
      Серии посевного материала (история технологии приготовления посевного материала), включая:</w:t>
      </w:r>
    </w:p>
    <w:p>
      <w:pPr>
        <w:spacing w:after="0"/>
        <w:ind w:left="0"/>
        <w:jc w:val="both"/>
      </w:pPr>
      <w:r>
        <w:rPr>
          <w:rFonts w:ascii="Times New Roman"/>
          <w:b w:val="false"/>
          <w:i w:val="false"/>
          <w:color w:val="000000"/>
          <w:sz w:val="28"/>
        </w:rPr>
        <w:t xml:space="preserve">
      описание процедуры получения посевного материала, начиная с главного посевного материала донора аттенуации и рекомендованного ВОЗ штамма (штаммов); </w:t>
      </w:r>
    </w:p>
    <w:p>
      <w:pPr>
        <w:spacing w:after="0"/>
        <w:ind w:left="0"/>
        <w:jc w:val="both"/>
      </w:pPr>
      <w:r>
        <w:rPr>
          <w:rFonts w:ascii="Times New Roman"/>
          <w:b w:val="false"/>
          <w:i w:val="false"/>
          <w:color w:val="000000"/>
          <w:sz w:val="28"/>
        </w:rPr>
        <w:t>
      историю получения холодоадаптированного реассортантного штамма с использованием рекомендованного ВОЗ штамма (с указанием места выделения и истории пассирования) и использованного донора аттенуации;</w:t>
      </w:r>
    </w:p>
    <w:p>
      <w:pPr>
        <w:spacing w:after="0"/>
        <w:ind w:left="0"/>
        <w:jc w:val="both"/>
      </w:pPr>
      <w:r>
        <w:rPr>
          <w:rFonts w:ascii="Times New Roman"/>
          <w:b w:val="false"/>
          <w:i w:val="false"/>
          <w:color w:val="000000"/>
          <w:sz w:val="28"/>
        </w:rPr>
        <w:t>
      изучение генотипа аттенуированного штамма. Результаты секвенирования аттенуированного штамма;</w:t>
      </w:r>
    </w:p>
    <w:p>
      <w:pPr>
        <w:spacing w:after="0"/>
        <w:ind w:left="0"/>
        <w:jc w:val="both"/>
      </w:pPr>
      <w:r>
        <w:rPr>
          <w:rFonts w:ascii="Times New Roman"/>
          <w:b w:val="false"/>
          <w:i w:val="false"/>
          <w:color w:val="000000"/>
          <w:sz w:val="28"/>
        </w:rPr>
        <w:t>
      установление фенотипических характеристик: температурочувствительный (термолабильный) фенотип (ts) и холодоадаптированный фенотип (ca), включая фенотип по результатам испытаний на полноту аттенуации;</w:t>
      </w:r>
    </w:p>
    <w:p>
      <w:pPr>
        <w:spacing w:after="0"/>
        <w:ind w:left="0"/>
        <w:jc w:val="both"/>
      </w:pPr>
      <w:r>
        <w:rPr>
          <w:rFonts w:ascii="Times New Roman"/>
          <w:b w:val="false"/>
          <w:i w:val="false"/>
          <w:color w:val="000000"/>
          <w:sz w:val="28"/>
        </w:rPr>
        <w:t>
      генетическую стабильность посевного материала, включая соответствующие генотипические и фенотипические маркеры (например, полногеномное секвенирование);</w:t>
      </w:r>
    </w:p>
    <w:p>
      <w:pPr>
        <w:spacing w:after="0"/>
        <w:ind w:left="0"/>
        <w:jc w:val="both"/>
      </w:pPr>
      <w:r>
        <w:rPr>
          <w:rFonts w:ascii="Times New Roman"/>
          <w:b w:val="false"/>
          <w:i w:val="false"/>
          <w:color w:val="000000"/>
          <w:sz w:val="28"/>
        </w:rPr>
        <w:t>
      протоколы аналитических испытаний (включая испытания на отсутствие посторонних агентов и данные по инфекционной активности)</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испытания на нейровирулентность</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3.2.S.2.4. Контроль критических стадий и промежуточной продукции</w:t>
      </w:r>
    </w:p>
    <w:p>
      <w:pPr>
        <w:spacing w:after="0"/>
        <w:ind w:left="0"/>
        <w:jc w:val="both"/>
      </w:pPr>
      <w:r>
        <w:rPr>
          <w:rFonts w:ascii="Times New Roman"/>
          <w:b w:val="false"/>
          <w:i w:val="false"/>
          <w:color w:val="000000"/>
          <w:sz w:val="28"/>
        </w:rPr>
        <w:t>
      3.2.S.2.5. Валидация производственного процесса и (или) его оценка</w:t>
      </w:r>
    </w:p>
    <w:p>
      <w:pPr>
        <w:spacing w:after="0"/>
        <w:ind w:left="0"/>
        <w:jc w:val="both"/>
      </w:pPr>
      <w:r>
        <w:rPr>
          <w:rFonts w:ascii="Times New Roman"/>
          <w:b w:val="false"/>
          <w:i w:val="false"/>
          <w:color w:val="000000"/>
          <w:sz w:val="28"/>
        </w:rPr>
        <w:t>
      Для процесса производства нерасфасованного моновалентного продукта (для изменений, специфичных для процесса производства вводимого штамма).</w:t>
      </w:r>
    </w:p>
    <w:p>
      <w:pPr>
        <w:spacing w:after="0"/>
        <w:ind w:left="0"/>
        <w:jc w:val="both"/>
      </w:pPr>
      <w:r>
        <w:rPr>
          <w:rFonts w:ascii="Times New Roman"/>
          <w:b w:val="false"/>
          <w:i w:val="false"/>
          <w:color w:val="000000"/>
          <w:sz w:val="28"/>
        </w:rPr>
        <w:t>
      3.2.S.4. Контроль качества АФС</w:t>
      </w:r>
    </w:p>
    <w:p>
      <w:pPr>
        <w:spacing w:after="0"/>
        <w:ind w:left="0"/>
        <w:jc w:val="both"/>
      </w:pPr>
      <w:r>
        <w:rPr>
          <w:rFonts w:ascii="Times New Roman"/>
          <w:b w:val="false"/>
          <w:i w:val="false"/>
          <w:color w:val="000000"/>
          <w:sz w:val="28"/>
        </w:rPr>
        <w:t>
      3.2.S.4.1. Спецификация</w:t>
      </w:r>
    </w:p>
    <w:p>
      <w:pPr>
        <w:spacing w:after="0"/>
        <w:ind w:left="0"/>
        <w:jc w:val="both"/>
      </w:pPr>
      <w:r>
        <w:rPr>
          <w:rFonts w:ascii="Times New Roman"/>
          <w:b w:val="false"/>
          <w:i w:val="false"/>
          <w:color w:val="000000"/>
          <w:sz w:val="28"/>
        </w:rPr>
        <w:t>
      Копии утвержденных спецификаций в табличном формате.</w:t>
      </w:r>
    </w:p>
    <w:p>
      <w:pPr>
        <w:spacing w:after="0"/>
        <w:ind w:left="0"/>
        <w:jc w:val="both"/>
      </w:pPr>
      <w:r>
        <w:rPr>
          <w:rFonts w:ascii="Times New Roman"/>
          <w:b w:val="false"/>
          <w:i w:val="false"/>
          <w:color w:val="000000"/>
          <w:sz w:val="28"/>
        </w:rPr>
        <w:t>
      3.2.S.4.2. Аналитические методики</w:t>
      </w:r>
    </w:p>
    <w:p>
      <w:pPr>
        <w:spacing w:after="0"/>
        <w:ind w:left="0"/>
        <w:jc w:val="both"/>
      </w:pPr>
      <w:r>
        <w:rPr>
          <w:rFonts w:ascii="Times New Roman"/>
          <w:b w:val="false"/>
          <w:i w:val="false"/>
          <w:color w:val="000000"/>
          <w:sz w:val="28"/>
        </w:rPr>
        <w:t>
      3.2.S.4.3. Валидация аналитических методик</w:t>
      </w:r>
    </w:p>
    <w:p>
      <w:pPr>
        <w:spacing w:after="0"/>
        <w:ind w:left="0"/>
        <w:jc w:val="both"/>
      </w:pPr>
      <w:r>
        <w:rPr>
          <w:rFonts w:ascii="Times New Roman"/>
          <w:b w:val="false"/>
          <w:i w:val="false"/>
          <w:color w:val="000000"/>
          <w:sz w:val="28"/>
        </w:rPr>
        <w:t>
      Валидация аналитических методик в связи с введением нового штамма (штаммов) и использованием новых реагентов.</w:t>
      </w:r>
    </w:p>
    <w:p>
      <w:pPr>
        <w:spacing w:after="0"/>
        <w:ind w:left="0"/>
        <w:jc w:val="both"/>
      </w:pPr>
      <w:r>
        <w:rPr>
          <w:rFonts w:ascii="Times New Roman"/>
          <w:b w:val="false"/>
          <w:i w:val="false"/>
          <w:color w:val="000000"/>
          <w:sz w:val="28"/>
        </w:rPr>
        <w:t>
      3.2.S.4.4. Анализы серий (результаты анализа серий)</w:t>
      </w:r>
    </w:p>
    <w:p>
      <w:pPr>
        <w:spacing w:after="0"/>
        <w:ind w:left="0"/>
        <w:jc w:val="both"/>
      </w:pPr>
      <w:r>
        <w:rPr>
          <w:rFonts w:ascii="Times New Roman"/>
          <w:b w:val="false"/>
          <w:i w:val="false"/>
          <w:color w:val="000000"/>
          <w:sz w:val="28"/>
        </w:rPr>
        <w:t>
      Результаты испытаний первых трех серий моновалентных нерасфасованных продуктов.</w:t>
      </w:r>
    </w:p>
    <w:p>
      <w:pPr>
        <w:spacing w:after="0"/>
        <w:ind w:left="0"/>
        <w:jc w:val="both"/>
      </w:pPr>
      <w:r>
        <w:rPr>
          <w:rFonts w:ascii="Times New Roman"/>
          <w:b w:val="false"/>
          <w:i w:val="false"/>
          <w:color w:val="000000"/>
          <w:sz w:val="28"/>
        </w:rPr>
        <w:t xml:space="preserve">
      3.2.S.7. Стабильность </w:t>
      </w:r>
    </w:p>
    <w:p>
      <w:pPr>
        <w:spacing w:after="0"/>
        <w:ind w:left="0"/>
        <w:jc w:val="both"/>
      </w:pPr>
      <w:r>
        <w:rPr>
          <w:rFonts w:ascii="Times New Roman"/>
          <w:b w:val="false"/>
          <w:i w:val="false"/>
          <w:color w:val="000000"/>
          <w:sz w:val="28"/>
        </w:rPr>
        <w:t>
      Испытания АФС на стабильность: результаты испытаний моновалентных нерасфасованных продуктов, если они используются более 1 года.</w:t>
      </w:r>
    </w:p>
    <w:p>
      <w:pPr>
        <w:spacing w:after="0"/>
        <w:ind w:left="0"/>
        <w:jc w:val="both"/>
      </w:pPr>
      <w:r>
        <w:rPr>
          <w:rFonts w:ascii="Times New Roman"/>
          <w:b w:val="false"/>
          <w:i w:val="false"/>
          <w:color w:val="000000"/>
          <w:sz w:val="28"/>
        </w:rPr>
        <w:t>
      3.2.Р. Лекарственный препарат</w:t>
      </w:r>
    </w:p>
    <w:p>
      <w:pPr>
        <w:spacing w:after="0"/>
        <w:ind w:left="0"/>
        <w:jc w:val="both"/>
      </w:pPr>
      <w:r>
        <w:rPr>
          <w:rFonts w:ascii="Times New Roman"/>
          <w:b w:val="false"/>
          <w:i w:val="false"/>
          <w:color w:val="000000"/>
          <w:sz w:val="28"/>
        </w:rPr>
        <w:t>
      3.2.Р.1. Описание и состав лекарственного препарата</w:t>
      </w:r>
    </w:p>
    <w:p>
      <w:pPr>
        <w:spacing w:after="0"/>
        <w:ind w:left="0"/>
        <w:jc w:val="both"/>
      </w:pPr>
      <w:r>
        <w:rPr>
          <w:rFonts w:ascii="Times New Roman"/>
          <w:b w:val="false"/>
          <w:i w:val="false"/>
          <w:color w:val="000000"/>
          <w:sz w:val="28"/>
        </w:rPr>
        <w:t>
      Состав лекарственного препарата.</w:t>
      </w:r>
    </w:p>
    <w:p>
      <w:pPr>
        <w:spacing w:after="0"/>
        <w:ind w:left="0"/>
        <w:jc w:val="both"/>
      </w:pPr>
      <w:r>
        <w:rPr>
          <w:rFonts w:ascii="Times New Roman"/>
          <w:b w:val="false"/>
          <w:i w:val="false"/>
          <w:color w:val="000000"/>
          <w:sz w:val="28"/>
        </w:rPr>
        <w:t>
      3.2.P.2. Фармацевтическая разработка</w:t>
      </w:r>
    </w:p>
    <w:p>
      <w:pPr>
        <w:spacing w:after="0"/>
        <w:ind w:left="0"/>
        <w:jc w:val="both"/>
      </w:pPr>
      <w:r>
        <w:rPr>
          <w:rFonts w:ascii="Times New Roman"/>
          <w:b w:val="false"/>
          <w:i w:val="false"/>
          <w:color w:val="000000"/>
          <w:sz w:val="28"/>
        </w:rPr>
        <w:t>
      3.2.Р.2.2.1. Разработка лекарственной формы</w:t>
      </w:r>
    </w:p>
    <w:p>
      <w:pPr>
        <w:spacing w:after="0"/>
        <w:ind w:left="0"/>
        <w:jc w:val="both"/>
      </w:pPr>
      <w:r>
        <w:rPr>
          <w:rFonts w:ascii="Times New Roman"/>
          <w:b w:val="false"/>
          <w:i w:val="false"/>
          <w:color w:val="000000"/>
          <w:sz w:val="28"/>
        </w:rPr>
        <w:t xml:space="preserve">
      Измененный состав вакцины (штаммы нового сезона) и, если было выдвинуто требование о проведении клинического исследования вакцины с целью обоснования ежегодного обновления, сертификат анализа серии, использованной в клиническом исследовании по мере их составления. </w:t>
      </w:r>
    </w:p>
    <w:p>
      <w:pPr>
        <w:spacing w:after="0"/>
        <w:ind w:left="0"/>
        <w:jc w:val="both"/>
      </w:pPr>
      <w:r>
        <w:rPr>
          <w:rFonts w:ascii="Times New Roman"/>
          <w:b w:val="false"/>
          <w:i w:val="false"/>
          <w:color w:val="000000"/>
          <w:sz w:val="28"/>
        </w:rPr>
        <w:t>
      3.2.P.3. Процесс производства лекарственного препарата</w:t>
      </w:r>
    </w:p>
    <w:p>
      <w:pPr>
        <w:spacing w:after="0"/>
        <w:ind w:left="0"/>
        <w:jc w:val="both"/>
      </w:pPr>
      <w:r>
        <w:rPr>
          <w:rFonts w:ascii="Times New Roman"/>
          <w:b w:val="false"/>
          <w:i w:val="false"/>
          <w:color w:val="000000"/>
          <w:sz w:val="28"/>
        </w:rPr>
        <w:t>
      3.2.P.3.2. Состав на серию (производственная рецептура)</w:t>
      </w:r>
    </w:p>
    <w:p>
      <w:pPr>
        <w:spacing w:after="0"/>
        <w:ind w:left="0"/>
        <w:jc w:val="both"/>
      </w:pPr>
      <w:r>
        <w:rPr>
          <w:rFonts w:ascii="Times New Roman"/>
          <w:b w:val="false"/>
          <w:i w:val="false"/>
          <w:color w:val="000000"/>
          <w:sz w:val="28"/>
        </w:rPr>
        <w:t>
      3.2.Р.5. Контроль качества лекарственного препарата</w:t>
      </w:r>
    </w:p>
    <w:p>
      <w:pPr>
        <w:spacing w:after="0"/>
        <w:ind w:left="0"/>
        <w:jc w:val="both"/>
      </w:pPr>
      <w:r>
        <w:rPr>
          <w:rFonts w:ascii="Times New Roman"/>
          <w:b w:val="false"/>
          <w:i w:val="false"/>
          <w:color w:val="000000"/>
          <w:sz w:val="28"/>
        </w:rPr>
        <w:t>
      3.2.P.5.1. Спецификации</w:t>
      </w:r>
    </w:p>
    <w:p>
      <w:pPr>
        <w:spacing w:after="0"/>
        <w:ind w:left="0"/>
        <w:jc w:val="both"/>
      </w:pPr>
      <w:r>
        <w:rPr>
          <w:rFonts w:ascii="Times New Roman"/>
          <w:b w:val="false"/>
          <w:i w:val="false"/>
          <w:color w:val="000000"/>
          <w:sz w:val="28"/>
        </w:rPr>
        <w:t>
      Копии утвержденных спецификаций и методик определения показателей спецификаций в табличном формате.</w:t>
      </w:r>
    </w:p>
    <w:p>
      <w:pPr>
        <w:spacing w:after="0"/>
        <w:ind w:left="0"/>
        <w:jc w:val="both"/>
      </w:pPr>
      <w:r>
        <w:rPr>
          <w:rFonts w:ascii="Times New Roman"/>
          <w:b w:val="false"/>
          <w:i w:val="false"/>
          <w:color w:val="000000"/>
          <w:sz w:val="28"/>
        </w:rPr>
        <w:t>
      3.2.P.5. Контроль качества лекарственного препарата</w:t>
      </w:r>
    </w:p>
    <w:p>
      <w:pPr>
        <w:spacing w:after="0"/>
        <w:ind w:left="0"/>
        <w:jc w:val="both"/>
      </w:pPr>
      <w:r>
        <w:rPr>
          <w:rFonts w:ascii="Times New Roman"/>
          <w:b w:val="false"/>
          <w:i w:val="false"/>
          <w:color w:val="000000"/>
          <w:sz w:val="28"/>
        </w:rPr>
        <w:t>
      3.2.P.5.3. Валидация аналитических методик</w:t>
      </w:r>
    </w:p>
    <w:p>
      <w:pPr>
        <w:spacing w:after="0"/>
        <w:ind w:left="0"/>
        <w:jc w:val="both"/>
      </w:pPr>
      <w:r>
        <w:rPr>
          <w:rFonts w:ascii="Times New Roman"/>
          <w:b w:val="false"/>
          <w:i w:val="false"/>
          <w:color w:val="000000"/>
          <w:sz w:val="28"/>
        </w:rPr>
        <w:t>
      Валидация аналитических методик (с использованием тривалентного нерасфасованного материала или готовой формы лекарственного препарата).</w:t>
      </w:r>
    </w:p>
    <w:p>
      <w:pPr>
        <w:spacing w:after="0"/>
        <w:ind w:left="0"/>
        <w:jc w:val="both"/>
      </w:pPr>
      <w:r>
        <w:rPr>
          <w:rFonts w:ascii="Times New Roman"/>
          <w:b w:val="false"/>
          <w:i w:val="false"/>
          <w:color w:val="000000"/>
          <w:sz w:val="28"/>
        </w:rPr>
        <w:t xml:space="preserve">
      3.2.P.5.4. Результаты анализа серий </w:t>
      </w:r>
    </w:p>
    <w:p>
      <w:pPr>
        <w:spacing w:after="0"/>
        <w:ind w:left="0"/>
        <w:jc w:val="both"/>
      </w:pPr>
      <w:r>
        <w:rPr>
          <w:rFonts w:ascii="Times New Roman"/>
          <w:b w:val="false"/>
          <w:i w:val="false"/>
          <w:color w:val="000000"/>
          <w:sz w:val="28"/>
        </w:rPr>
        <w:t xml:space="preserve">
      3.2.Р.6. Стандартные образцы и материалы </w:t>
      </w:r>
    </w:p>
    <w:p>
      <w:pPr>
        <w:spacing w:after="0"/>
        <w:ind w:left="0"/>
        <w:jc w:val="both"/>
      </w:pPr>
      <w:r>
        <w:rPr>
          <w:rFonts w:ascii="Times New Roman"/>
          <w:b w:val="false"/>
          <w:i w:val="false"/>
          <w:color w:val="000000"/>
          <w:sz w:val="28"/>
        </w:rPr>
        <w:t>
      Стандартные образцы и материалы для вводимого штамма (штаммов).</w:t>
      </w:r>
    </w:p>
    <w:p>
      <w:pPr>
        <w:spacing w:after="0"/>
        <w:ind w:left="0"/>
        <w:jc w:val="both"/>
      </w:pPr>
      <w:r>
        <w:rPr>
          <w:rFonts w:ascii="Times New Roman"/>
          <w:b w:val="false"/>
          <w:i w:val="false"/>
          <w:color w:val="000000"/>
          <w:sz w:val="28"/>
        </w:rPr>
        <w:t xml:space="preserve">
      3.2.P.8. Стабильность лекарственного препарата: </w:t>
      </w:r>
    </w:p>
    <w:p>
      <w:pPr>
        <w:spacing w:after="0"/>
        <w:ind w:left="0"/>
        <w:jc w:val="both"/>
      </w:pPr>
      <w:r>
        <w:rPr>
          <w:rFonts w:ascii="Times New Roman"/>
          <w:b w:val="false"/>
          <w:i w:val="false"/>
          <w:color w:val="000000"/>
          <w:sz w:val="28"/>
        </w:rPr>
        <w:t>
      данные о стабильности в предыдущем сезоне;</w:t>
      </w:r>
    </w:p>
    <w:p>
      <w:pPr>
        <w:spacing w:after="0"/>
        <w:ind w:left="0"/>
        <w:jc w:val="both"/>
      </w:pPr>
      <w:r>
        <w:rPr>
          <w:rFonts w:ascii="Times New Roman"/>
          <w:b w:val="false"/>
          <w:i w:val="false"/>
          <w:color w:val="000000"/>
          <w:sz w:val="28"/>
        </w:rPr>
        <w:t>
      обязательства об изучении стабильности;</w:t>
      </w:r>
    </w:p>
    <w:p>
      <w:pPr>
        <w:spacing w:after="0"/>
        <w:ind w:left="0"/>
        <w:jc w:val="both"/>
      </w:pPr>
      <w:r>
        <w:rPr>
          <w:rFonts w:ascii="Times New Roman"/>
          <w:b w:val="false"/>
          <w:i w:val="false"/>
          <w:color w:val="000000"/>
          <w:sz w:val="28"/>
        </w:rPr>
        <w:t>
      протоколы пострегистрационных исследований стабильности вакцины.</w:t>
      </w:r>
    </w:p>
    <w:bookmarkStart w:name="z9372" w:id="7742"/>
    <w:p>
      <w:pPr>
        <w:spacing w:after="0"/>
        <w:ind w:left="0"/>
        <w:jc w:val="left"/>
      </w:pPr>
      <w:r>
        <w:rPr>
          <w:rFonts w:ascii="Times New Roman"/>
          <w:b/>
          <w:i w:val="false"/>
          <w:color w:val="000000"/>
        </w:rPr>
        <w:t xml:space="preserve"> 5.5. Требования к представлению дополнительных данных по запросу уполномоченных органов (экспертных организаций) государств-членов</w:t>
      </w:r>
    </w:p>
    <w:bookmarkEnd w:id="7742"/>
    <w:p>
      <w:pPr>
        <w:spacing w:after="0"/>
        <w:ind w:left="0"/>
        <w:jc w:val="both"/>
      </w:pPr>
      <w:r>
        <w:rPr>
          <w:rFonts w:ascii="Times New Roman"/>
          <w:b w:val="false"/>
          <w:i w:val="false"/>
          <w:color w:val="000000"/>
          <w:sz w:val="28"/>
        </w:rPr>
        <w:t>
      В случае запроса дополнительных данных в зависимости от типа представляемых дополнительных данных необходимо подать соответствующие разделы регистрационного досье на изменение в формате ОТД.</w:t>
      </w:r>
    </w:p>
    <w:p>
      <w:pPr>
        <w:spacing w:after="0"/>
        <w:ind w:left="0"/>
        <w:jc w:val="both"/>
      </w:pPr>
      <w:r>
        <w:rPr>
          <w:rFonts w:ascii="Times New Roman"/>
          <w:b w:val="false"/>
          <w:i w:val="false"/>
          <w:color w:val="000000"/>
          <w:sz w:val="28"/>
        </w:rPr>
        <w:t>
      Модуль 1. Административная информация</w:t>
      </w:r>
    </w:p>
    <w:p>
      <w:pPr>
        <w:spacing w:after="0"/>
        <w:ind w:left="0"/>
        <w:jc w:val="both"/>
      </w:pPr>
      <w:r>
        <w:rPr>
          <w:rFonts w:ascii="Times New Roman"/>
          <w:b w:val="false"/>
          <w:i w:val="false"/>
          <w:color w:val="000000"/>
          <w:sz w:val="28"/>
        </w:rPr>
        <w:t>
      1. Сопроводительное письмо (как в ОТД)</w:t>
      </w:r>
    </w:p>
    <w:p>
      <w:pPr>
        <w:spacing w:after="0"/>
        <w:ind w:left="0"/>
        <w:jc w:val="both"/>
      </w:pPr>
      <w:r>
        <w:rPr>
          <w:rFonts w:ascii="Times New Roman"/>
          <w:b w:val="false"/>
          <w:i w:val="false"/>
          <w:color w:val="000000"/>
          <w:sz w:val="28"/>
        </w:rPr>
        <w:t>
      1.1. Содержание (не требуется при подаче в формате эОТД)</w:t>
      </w:r>
    </w:p>
    <w:p>
      <w:pPr>
        <w:spacing w:after="0"/>
        <w:ind w:left="0"/>
        <w:jc w:val="both"/>
      </w:pPr>
      <w:r>
        <w:rPr>
          <w:rFonts w:ascii="Times New Roman"/>
          <w:b w:val="false"/>
          <w:i w:val="false"/>
          <w:color w:val="000000"/>
          <w:sz w:val="28"/>
        </w:rPr>
        <w:t>
      1.7. Информация о специалистах</w:t>
      </w:r>
    </w:p>
    <w:p>
      <w:pPr>
        <w:spacing w:after="0"/>
        <w:ind w:left="0"/>
        <w:jc w:val="both"/>
      </w:pPr>
      <w:r>
        <w:rPr>
          <w:rFonts w:ascii="Times New Roman"/>
          <w:b w:val="false"/>
          <w:i w:val="false"/>
          <w:color w:val="000000"/>
          <w:sz w:val="28"/>
        </w:rPr>
        <w:t>
      1.7.1. Информация (краткое резюме) о специалисте, подготовившем резюме по качеству</w:t>
      </w:r>
    </w:p>
    <w:p>
      <w:pPr>
        <w:spacing w:after="0"/>
        <w:ind w:left="0"/>
        <w:jc w:val="both"/>
      </w:pPr>
      <w:r>
        <w:rPr>
          <w:rFonts w:ascii="Times New Roman"/>
          <w:b w:val="false"/>
          <w:i w:val="false"/>
          <w:color w:val="000000"/>
          <w:sz w:val="28"/>
        </w:rPr>
        <w:t>
      Модуль 2. Резюме общего технического документа</w:t>
      </w:r>
    </w:p>
    <w:p>
      <w:pPr>
        <w:spacing w:after="0"/>
        <w:ind w:left="0"/>
        <w:jc w:val="both"/>
      </w:pPr>
      <w:r>
        <w:rPr>
          <w:rFonts w:ascii="Times New Roman"/>
          <w:b w:val="false"/>
          <w:i w:val="false"/>
          <w:color w:val="000000"/>
          <w:sz w:val="28"/>
        </w:rPr>
        <w:t>
      2.1. Содержание модулей 2 – 5 (не требуется при подаче в формате эОТД)</w:t>
      </w:r>
    </w:p>
    <w:p>
      <w:pPr>
        <w:spacing w:after="0"/>
        <w:ind w:left="0"/>
        <w:jc w:val="both"/>
      </w:pPr>
      <w:r>
        <w:rPr>
          <w:rFonts w:ascii="Times New Roman"/>
          <w:b w:val="false"/>
          <w:i w:val="false"/>
          <w:color w:val="000000"/>
          <w:sz w:val="28"/>
        </w:rPr>
        <w:t xml:space="preserve">
      2.2. Введение в ОТД </w:t>
      </w:r>
    </w:p>
    <w:p>
      <w:pPr>
        <w:spacing w:after="0"/>
        <w:ind w:left="0"/>
        <w:jc w:val="both"/>
      </w:pPr>
      <w:r>
        <w:rPr>
          <w:rFonts w:ascii="Times New Roman"/>
          <w:b w:val="false"/>
          <w:i w:val="false"/>
          <w:color w:val="000000"/>
          <w:sz w:val="28"/>
        </w:rPr>
        <w:t>
      Обновление или дополнение предыдущего введения в ОТД (если применимо).</w:t>
      </w:r>
    </w:p>
    <w:p>
      <w:pPr>
        <w:spacing w:after="0"/>
        <w:ind w:left="0"/>
        <w:jc w:val="both"/>
      </w:pPr>
      <w:r>
        <w:rPr>
          <w:rFonts w:ascii="Times New Roman"/>
          <w:b w:val="false"/>
          <w:i w:val="false"/>
          <w:color w:val="000000"/>
          <w:sz w:val="28"/>
        </w:rPr>
        <w:t>
      2.3. Общее резюме по качеству</w:t>
      </w:r>
    </w:p>
    <w:p>
      <w:pPr>
        <w:spacing w:after="0"/>
        <w:ind w:left="0"/>
        <w:jc w:val="both"/>
      </w:pPr>
      <w:r>
        <w:rPr>
          <w:rFonts w:ascii="Times New Roman"/>
          <w:b w:val="false"/>
          <w:i w:val="false"/>
          <w:color w:val="000000"/>
          <w:sz w:val="28"/>
        </w:rPr>
        <w:t>
      Обновление или дополнение предыдущего общего резюме по качеству (если применимо).</w:t>
      </w:r>
    </w:p>
    <w:p>
      <w:pPr>
        <w:spacing w:after="0"/>
        <w:ind w:left="0"/>
        <w:jc w:val="both"/>
      </w:pPr>
      <w:r>
        <w:rPr>
          <w:rFonts w:ascii="Times New Roman"/>
          <w:b w:val="false"/>
          <w:i w:val="false"/>
          <w:color w:val="000000"/>
          <w:sz w:val="28"/>
        </w:rPr>
        <w:t xml:space="preserve">
      2.5. Обзор клинических данных </w:t>
      </w:r>
    </w:p>
    <w:p>
      <w:pPr>
        <w:spacing w:after="0"/>
        <w:ind w:left="0"/>
        <w:jc w:val="both"/>
      </w:pPr>
      <w:r>
        <w:rPr>
          <w:rFonts w:ascii="Times New Roman"/>
          <w:b w:val="false"/>
          <w:i w:val="false"/>
          <w:color w:val="000000"/>
          <w:sz w:val="28"/>
        </w:rPr>
        <w:t>
      Обновление или дополнение предыдущего клинического обзора (если применимо).</w:t>
      </w:r>
    </w:p>
    <w:p>
      <w:pPr>
        <w:spacing w:after="0"/>
        <w:ind w:left="0"/>
        <w:jc w:val="both"/>
      </w:pPr>
      <w:r>
        <w:rPr>
          <w:rFonts w:ascii="Times New Roman"/>
          <w:b w:val="false"/>
          <w:i w:val="false"/>
          <w:color w:val="000000"/>
          <w:sz w:val="28"/>
        </w:rPr>
        <w:t>
      Информация, содержащаяся в модулях 3 – 5, представляется в случае запроса дополнительных данных по качеству, доклинических</w:t>
      </w:r>
      <w:r>
        <w:rPr>
          <w:rFonts w:ascii="Times New Roman"/>
          <w:b w:val="false"/>
          <w:i w:val="false"/>
          <w:color w:val="000000"/>
          <w:vertAlign w:val="superscript"/>
        </w:rPr>
        <w:t>1</w:t>
      </w:r>
      <w:r>
        <w:rPr>
          <w:rFonts w:ascii="Times New Roman"/>
          <w:b w:val="false"/>
          <w:i w:val="false"/>
          <w:color w:val="000000"/>
          <w:sz w:val="28"/>
        </w:rPr>
        <w:t xml:space="preserve"> и (или) клинических</w:t>
      </w:r>
      <w:r>
        <w:rPr>
          <w:rFonts w:ascii="Times New Roman"/>
          <w:b w:val="false"/>
          <w:i w:val="false"/>
          <w:color w:val="000000"/>
          <w:vertAlign w:val="superscript"/>
        </w:rPr>
        <w:t>2</w:t>
      </w:r>
      <w:r>
        <w:rPr>
          <w:rFonts w:ascii="Times New Roman"/>
          <w:b w:val="false"/>
          <w:i w:val="false"/>
          <w:color w:val="000000"/>
          <w:sz w:val="28"/>
        </w:rPr>
        <w:t xml:space="preserve"> данных.</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Необходимость в представлении доклинических и (или) клинических данных при обновлении штаммов сезонных гриппозных вакцин, как правило, отсутствует.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Профиль реактогенности и иммуногенности вакцины необходимо отслеживать посредством проведения мониторинга безопасности и профилактической эффективности вакцины.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Если посевной материал проверяется на наличие посторонних агентов с помощью ПЦР и если после консультации с экспертной организацией была согласована необходимость проведения дополнительных ПЦР-испытаний посевного материала (главного и (или) рабочего), эти данные необходимо включить в регистрационное досье.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Проведение испытания на нейровирулентность для ежегодных штаммовых обновлений (т. е. штаммов с антигенным дрейфом), как правило, не требуется. Проведение испытания на нейровирулентность потребуется, если новый ГА-подтип вируса гриппа типа A или новый тип вируса гриппа типа B, отличающийся от циркулирующих в настоящее время генетических линий, включен в вакцины или при возникновении частных опасений, связанных с профилем безопасности вакцины.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лекарственных средств</w:t>
            </w:r>
            <w:r>
              <w:br/>
            </w:r>
            <w:r>
              <w:rPr>
                <w:rFonts w:ascii="Times New Roman"/>
                <w:b w:val="false"/>
                <w:i w:val="false"/>
                <w:color w:val="000000"/>
                <w:sz w:val="20"/>
              </w:rPr>
              <w:t>для медицинского применения</w:t>
            </w:r>
          </w:p>
        </w:tc>
      </w:tr>
    </w:tbl>
    <w:bookmarkStart w:name="z11964" w:id="7743"/>
    <w:p>
      <w:pPr>
        <w:spacing w:after="0"/>
        <w:ind w:left="0"/>
        <w:jc w:val="left"/>
      </w:pPr>
      <w:r>
        <w:rPr>
          <w:rFonts w:ascii="Times New Roman"/>
          <w:b/>
          <w:i w:val="false"/>
          <w:color w:val="000000"/>
        </w:rPr>
        <w:t xml:space="preserve"> Процедуры, критерии и требования к регистрации лекарственных препаратов в соответствии с подразделом VII.II раздела VII Правил регистрации и экспертизы лекарственных средств для медицинского применения</w:t>
      </w:r>
    </w:p>
    <w:bookmarkEnd w:id="7743"/>
    <w:p>
      <w:pPr>
        <w:spacing w:after="0"/>
        <w:ind w:left="0"/>
        <w:jc w:val="both"/>
      </w:pPr>
      <w:r>
        <w:rPr>
          <w:rFonts w:ascii="Times New Roman"/>
          <w:b w:val="false"/>
          <w:i w:val="false"/>
          <w:color w:val="ff0000"/>
          <w:sz w:val="28"/>
        </w:rPr>
        <w:t xml:space="preserve">
      Сноска. Правила дополнены приложением 25 в соответствии с решением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965" w:id="7744"/>
    <w:p>
      <w:pPr>
        <w:spacing w:after="0"/>
        <w:ind w:left="0"/>
        <w:jc w:val="left"/>
      </w:pPr>
      <w:r>
        <w:rPr>
          <w:rFonts w:ascii="Times New Roman"/>
          <w:b/>
          <w:i w:val="false"/>
          <w:color w:val="000000"/>
        </w:rPr>
        <w:t xml:space="preserve"> 1. Общие положения</w:t>
      </w:r>
    </w:p>
    <w:bookmarkEnd w:id="7744"/>
    <w:bookmarkStart w:name="z11966" w:id="7745"/>
    <w:p>
      <w:pPr>
        <w:spacing w:after="0"/>
        <w:ind w:left="0"/>
        <w:jc w:val="both"/>
      </w:pPr>
      <w:r>
        <w:rPr>
          <w:rFonts w:ascii="Times New Roman"/>
          <w:b w:val="false"/>
          <w:i w:val="false"/>
          <w:color w:val="000000"/>
          <w:sz w:val="28"/>
        </w:rPr>
        <w:t xml:space="preserve">
      В разделе 11 части II </w:t>
      </w:r>
      <w:r>
        <w:rPr>
          <w:rFonts w:ascii="Times New Roman"/>
          <w:b w:val="false"/>
          <w:i w:val="false"/>
          <w:color w:val="000000"/>
          <w:sz w:val="28"/>
        </w:rPr>
        <w:t>приложения № 1</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то 3 ноября 2016 г. № 78 (далее – Правила) указано, что регистрационное удостоверение лекарственного препарата может выдаваться при условии выполнения определенных особых обязательств, в случае если заявитель может подтвердить (обосновать), что невозможно предоставить полные данные об эффективности и безопасности лекарственного препарата при обычных условиях его применения по одной из следующих причин:</w:t>
      </w:r>
    </w:p>
    <w:bookmarkEnd w:id="7745"/>
    <w:bookmarkStart w:name="z11967" w:id="7746"/>
    <w:p>
      <w:pPr>
        <w:spacing w:after="0"/>
        <w:ind w:left="0"/>
        <w:jc w:val="both"/>
      </w:pPr>
      <w:r>
        <w:rPr>
          <w:rFonts w:ascii="Times New Roman"/>
          <w:b w:val="false"/>
          <w:i w:val="false"/>
          <w:color w:val="000000"/>
          <w:sz w:val="28"/>
        </w:rPr>
        <w:t>
      показания к применению, по которым предлагается применять лекарственный препарат, встречаются настолько редко, что заявитель обоснованно не может ожидать получения всестороннего подтверждения доказательств эффективности и безопасности лекарственного препарата;</w:t>
      </w:r>
    </w:p>
    <w:bookmarkEnd w:id="7746"/>
    <w:bookmarkStart w:name="z11968" w:id="7747"/>
    <w:p>
      <w:pPr>
        <w:spacing w:after="0"/>
        <w:ind w:left="0"/>
        <w:jc w:val="both"/>
      </w:pPr>
      <w:r>
        <w:rPr>
          <w:rFonts w:ascii="Times New Roman"/>
          <w:b w:val="false"/>
          <w:i w:val="false"/>
          <w:color w:val="000000"/>
          <w:sz w:val="28"/>
        </w:rPr>
        <w:t>
      при текущем состоянии научных знаний не может быть представлена исчерпывающая информация об эффективности или безопасности лекарственного препарата;</w:t>
      </w:r>
    </w:p>
    <w:bookmarkEnd w:id="7747"/>
    <w:bookmarkStart w:name="z11969" w:id="7748"/>
    <w:p>
      <w:pPr>
        <w:spacing w:after="0"/>
        <w:ind w:left="0"/>
        <w:jc w:val="both"/>
      </w:pPr>
      <w:r>
        <w:rPr>
          <w:rFonts w:ascii="Times New Roman"/>
          <w:b w:val="false"/>
          <w:i w:val="false"/>
          <w:color w:val="000000"/>
          <w:sz w:val="28"/>
        </w:rPr>
        <w:t>
      получение информации об эффективности или безопасности лекарственного препарата будет противоречить общепринятым принципам медицинской этики.</w:t>
      </w:r>
    </w:p>
    <w:bookmarkEnd w:id="7748"/>
    <w:bookmarkStart w:name="z11970" w:id="7749"/>
    <w:p>
      <w:pPr>
        <w:spacing w:after="0"/>
        <w:ind w:left="0"/>
        <w:jc w:val="both"/>
      </w:pPr>
      <w:r>
        <w:rPr>
          <w:rFonts w:ascii="Times New Roman"/>
          <w:b w:val="false"/>
          <w:i w:val="false"/>
          <w:color w:val="000000"/>
          <w:sz w:val="28"/>
        </w:rPr>
        <w:t>
      Указанные обязательства могут включать следующие требования:</w:t>
      </w:r>
    </w:p>
    <w:bookmarkEnd w:id="7749"/>
    <w:bookmarkStart w:name="z11971" w:id="7750"/>
    <w:p>
      <w:pPr>
        <w:spacing w:after="0"/>
        <w:ind w:left="0"/>
        <w:jc w:val="both"/>
      </w:pPr>
      <w:r>
        <w:rPr>
          <w:rFonts w:ascii="Times New Roman"/>
          <w:b w:val="false"/>
          <w:i w:val="false"/>
          <w:color w:val="000000"/>
          <w:sz w:val="28"/>
        </w:rPr>
        <w:t>
      заявитель должен завершить в срок, установленный уполномоченным органом (экспертной организацией) референтного государства – члена Евразийского экономического союза (далее – государства-члены, Союз), определенную программу исследований по безопасности или эффективности лекарственного препарата, результаты которой позволяют провести повторную оценку соотношения "польза – риск";</w:t>
      </w:r>
    </w:p>
    <w:bookmarkEnd w:id="7750"/>
    <w:bookmarkStart w:name="z11972" w:id="7751"/>
    <w:p>
      <w:pPr>
        <w:spacing w:after="0"/>
        <w:ind w:left="0"/>
        <w:jc w:val="both"/>
      </w:pPr>
      <w:r>
        <w:rPr>
          <w:rFonts w:ascii="Times New Roman"/>
          <w:b w:val="false"/>
          <w:i w:val="false"/>
          <w:color w:val="000000"/>
          <w:sz w:val="28"/>
        </w:rPr>
        <w:t>
      рассматриваемый лекарственный препарат может отпускаться только по рецепту и применяться в определенных случаях, только под строгим медицинским наблюдением (возможно в лечебно-профилактическом учреждении), а в случае радиофармацевтических препаратов – под наблюдением имеющего соответствующее разрешение лица;</w:t>
      </w:r>
    </w:p>
    <w:bookmarkEnd w:id="7751"/>
    <w:bookmarkStart w:name="z11973" w:id="7752"/>
    <w:p>
      <w:pPr>
        <w:spacing w:after="0"/>
        <w:ind w:left="0"/>
        <w:jc w:val="both"/>
      </w:pPr>
      <w:r>
        <w:rPr>
          <w:rFonts w:ascii="Times New Roman"/>
          <w:b w:val="false"/>
          <w:i w:val="false"/>
          <w:color w:val="000000"/>
          <w:sz w:val="28"/>
        </w:rPr>
        <w:t>
      инструкция по медицинскому применению, общая характеристика лекарственного препарата, регистрационное удостоверение и любая медицинская информация должны содержать обращение, которое привлекает внимание медицинского работника к тому факту, что имеющиеся данные о рассматриваемом лекарственном препарате являются недостаточными в части подтверждения определенных аспектов эффективности или безопасности лекарственного препарата.</w:t>
      </w:r>
    </w:p>
    <w:bookmarkEnd w:id="7752"/>
    <w:bookmarkStart w:name="z11974" w:id="7753"/>
    <w:p>
      <w:pPr>
        <w:spacing w:after="0"/>
        <w:ind w:left="0"/>
        <w:jc w:val="both"/>
      </w:pPr>
      <w:r>
        <w:rPr>
          <w:rFonts w:ascii="Times New Roman"/>
          <w:b w:val="false"/>
          <w:i w:val="false"/>
          <w:color w:val="000000"/>
          <w:sz w:val="28"/>
        </w:rPr>
        <w:t xml:space="preserve">
      При регистрации лекарственного препарата в соответствии с процедурой регистрации лекарственного препарата в исключительных случаях наравне с отчетами о проведенных клинических исследованиях, указанных в </w:t>
      </w:r>
      <w:r>
        <w:rPr>
          <w:rFonts w:ascii="Times New Roman"/>
          <w:b w:val="false"/>
          <w:i w:val="false"/>
          <w:color w:val="000000"/>
          <w:sz w:val="28"/>
        </w:rPr>
        <w:t>пункте 36</w:t>
      </w:r>
      <w:r>
        <w:rPr>
          <w:rFonts w:ascii="Times New Roman"/>
          <w:b w:val="false"/>
          <w:i w:val="false"/>
          <w:color w:val="000000"/>
          <w:sz w:val="28"/>
        </w:rPr>
        <w:t xml:space="preserve"> Правил, отчеты о всех проведенных клинических исследованиях, включенные в состав модуля 5 регистрационного досье, вне зависимости от страны их проведения рассматриваются в процессе экспертизы. При необходимости уполномоченным органом (экспертной организацией) референтного государства может быть инициировано проведение инспекции клинического исследования на соответствие требованиям Правил надлежащей клинической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79.</w:t>
      </w:r>
    </w:p>
    <w:bookmarkEnd w:id="7753"/>
    <w:bookmarkStart w:name="z11975" w:id="7754"/>
    <w:p>
      <w:pPr>
        <w:spacing w:after="0"/>
        <w:ind w:left="0"/>
        <w:jc w:val="both"/>
      </w:pPr>
      <w:r>
        <w:rPr>
          <w:rFonts w:ascii="Times New Roman"/>
          <w:b w:val="false"/>
          <w:i w:val="false"/>
          <w:color w:val="000000"/>
          <w:sz w:val="28"/>
        </w:rPr>
        <w:t>
      Настоящее приложение описывает процедуру и научную оценку оснований и условий для осуществления регистрации лекарственных препаратов в исключительных случаях и содержит соответствующие указания.</w:t>
      </w:r>
    </w:p>
    <w:bookmarkEnd w:id="7754"/>
    <w:bookmarkStart w:name="z11976" w:id="7755"/>
    <w:p>
      <w:pPr>
        <w:spacing w:after="0"/>
        <w:ind w:left="0"/>
        <w:jc w:val="both"/>
      </w:pPr>
      <w:r>
        <w:rPr>
          <w:rFonts w:ascii="Times New Roman"/>
          <w:b w:val="false"/>
          <w:i w:val="false"/>
          <w:color w:val="000000"/>
          <w:sz w:val="28"/>
        </w:rPr>
        <w:t xml:space="preserve">
      Описанная процедура применяется к заявлениям на регистрацию лекарственных препаратов для медицинского применения, входящих в сферу применения </w:t>
      </w:r>
      <w:r>
        <w:rPr>
          <w:rFonts w:ascii="Times New Roman"/>
          <w:b w:val="false"/>
          <w:i w:val="false"/>
          <w:color w:val="000000"/>
          <w:sz w:val="28"/>
        </w:rPr>
        <w:t>Правил</w:t>
      </w:r>
      <w:r>
        <w:rPr>
          <w:rFonts w:ascii="Times New Roman"/>
          <w:b w:val="false"/>
          <w:i w:val="false"/>
          <w:color w:val="000000"/>
          <w:sz w:val="28"/>
        </w:rPr>
        <w:t>.</w:t>
      </w:r>
    </w:p>
    <w:bookmarkEnd w:id="7755"/>
    <w:bookmarkStart w:name="z11977" w:id="7756"/>
    <w:p>
      <w:pPr>
        <w:spacing w:after="0"/>
        <w:ind w:left="0"/>
        <w:jc w:val="left"/>
      </w:pPr>
      <w:r>
        <w:rPr>
          <w:rFonts w:ascii="Times New Roman"/>
          <w:b/>
          <w:i w:val="false"/>
          <w:color w:val="000000"/>
        </w:rPr>
        <w:t xml:space="preserve"> 2. Специальные процедуры (обязательства)</w:t>
      </w:r>
    </w:p>
    <w:bookmarkEnd w:id="7756"/>
    <w:bookmarkStart w:name="z11978" w:id="7757"/>
    <w:p>
      <w:pPr>
        <w:spacing w:after="0"/>
        <w:ind w:left="0"/>
        <w:jc w:val="both"/>
      </w:pPr>
      <w:r>
        <w:rPr>
          <w:rFonts w:ascii="Times New Roman"/>
          <w:b w:val="false"/>
          <w:i w:val="false"/>
          <w:color w:val="000000"/>
          <w:sz w:val="28"/>
        </w:rPr>
        <w:t xml:space="preserve">
      В соответствии с пунктом 1201 Правил, регистрация лекарственного препарата в исключительных случаях осуществляется при выполнении заявителем определенных условий. Указанный пункт, в частности, касается безопасности лекарственного препарата, уведомление уполномоченных органов (экспертных организаций) государств-членов о любом инциденте в связи с его применением и принимаемые меры. Настоящее приложение непосредственно связано с Правилами надлежащей практики фармаконадзора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87, которые устанавливают разные виды фармаконадзорной деятельности и мер, превентивно направленных на выявление, установление характеристик рисков и предотвращение или минимизацию рисков, связанных с лекарственными препаратами.</w:t>
      </w:r>
    </w:p>
    <w:bookmarkEnd w:id="7757"/>
    <w:bookmarkStart w:name="z11979" w:id="7758"/>
    <w:p>
      <w:pPr>
        <w:spacing w:after="0"/>
        <w:ind w:left="0"/>
        <w:jc w:val="both"/>
      </w:pPr>
      <w:r>
        <w:rPr>
          <w:rFonts w:ascii="Times New Roman"/>
          <w:b w:val="false"/>
          <w:i w:val="false"/>
          <w:color w:val="000000"/>
          <w:sz w:val="28"/>
        </w:rPr>
        <w:t xml:space="preserve">
      В соответствии с разделом 11 части II </w:t>
      </w:r>
      <w:r>
        <w:rPr>
          <w:rFonts w:ascii="Times New Roman"/>
          <w:b w:val="false"/>
          <w:i w:val="false"/>
          <w:color w:val="000000"/>
          <w:sz w:val="28"/>
        </w:rPr>
        <w:t>приложения № 1</w:t>
      </w:r>
      <w:r>
        <w:rPr>
          <w:rFonts w:ascii="Times New Roman"/>
          <w:b w:val="false"/>
          <w:i w:val="false"/>
          <w:color w:val="000000"/>
          <w:sz w:val="28"/>
        </w:rPr>
        <w:t xml:space="preserve"> к Правилам особые обязательства могут включать в себя:</w:t>
      </w:r>
    </w:p>
    <w:bookmarkEnd w:id="7758"/>
    <w:bookmarkStart w:name="z11980" w:id="7759"/>
    <w:p>
      <w:pPr>
        <w:spacing w:after="0"/>
        <w:ind w:left="0"/>
        <w:jc w:val="both"/>
      </w:pPr>
      <w:r>
        <w:rPr>
          <w:rFonts w:ascii="Times New Roman"/>
          <w:b w:val="false"/>
          <w:i w:val="false"/>
          <w:color w:val="000000"/>
          <w:sz w:val="28"/>
        </w:rPr>
        <w:t>
      программу исследований лекарственного препарата;</w:t>
      </w:r>
    </w:p>
    <w:bookmarkEnd w:id="7759"/>
    <w:bookmarkStart w:name="z11981" w:id="7760"/>
    <w:p>
      <w:pPr>
        <w:spacing w:after="0"/>
        <w:ind w:left="0"/>
        <w:jc w:val="both"/>
      </w:pPr>
      <w:r>
        <w:rPr>
          <w:rFonts w:ascii="Times New Roman"/>
          <w:b w:val="false"/>
          <w:i w:val="false"/>
          <w:color w:val="000000"/>
          <w:sz w:val="28"/>
        </w:rPr>
        <w:t>
      условия назначения или введения лекарственного препарата;</w:t>
      </w:r>
    </w:p>
    <w:bookmarkEnd w:id="7760"/>
    <w:bookmarkStart w:name="z11982" w:id="7761"/>
    <w:p>
      <w:pPr>
        <w:spacing w:after="0"/>
        <w:ind w:left="0"/>
        <w:jc w:val="both"/>
      </w:pPr>
      <w:r>
        <w:rPr>
          <w:rFonts w:ascii="Times New Roman"/>
          <w:b w:val="false"/>
          <w:i w:val="false"/>
          <w:color w:val="000000"/>
          <w:sz w:val="28"/>
        </w:rPr>
        <w:t>
      обязанности по уведомлению уполномоченных органов;</w:t>
      </w:r>
    </w:p>
    <w:bookmarkEnd w:id="7761"/>
    <w:bookmarkStart w:name="z11983" w:id="7762"/>
    <w:p>
      <w:pPr>
        <w:spacing w:after="0"/>
        <w:ind w:left="0"/>
        <w:jc w:val="both"/>
      </w:pPr>
      <w:r>
        <w:rPr>
          <w:rFonts w:ascii="Times New Roman"/>
          <w:b w:val="false"/>
          <w:i w:val="false"/>
          <w:color w:val="000000"/>
          <w:sz w:val="28"/>
        </w:rPr>
        <w:t>
      обязанности по изменению информации о лекарственном препарате.</w:t>
      </w:r>
    </w:p>
    <w:bookmarkEnd w:id="7762"/>
    <w:bookmarkStart w:name="z11984" w:id="7763"/>
    <w:p>
      <w:pPr>
        <w:spacing w:after="0"/>
        <w:ind w:left="0"/>
        <w:jc w:val="left"/>
      </w:pPr>
      <w:r>
        <w:rPr>
          <w:rFonts w:ascii="Times New Roman"/>
          <w:b/>
          <w:i w:val="false"/>
          <w:color w:val="000000"/>
        </w:rPr>
        <w:t xml:space="preserve"> 3. Предоставляемая документация</w:t>
      </w:r>
    </w:p>
    <w:bookmarkEnd w:id="7763"/>
    <w:bookmarkStart w:name="z11985" w:id="7764"/>
    <w:p>
      <w:pPr>
        <w:spacing w:after="0"/>
        <w:ind w:left="0"/>
        <w:jc w:val="both"/>
      </w:pPr>
      <w:r>
        <w:rPr>
          <w:rFonts w:ascii="Times New Roman"/>
          <w:b w:val="false"/>
          <w:i w:val="false"/>
          <w:color w:val="000000"/>
          <w:sz w:val="28"/>
        </w:rPr>
        <w:t xml:space="preserve">
      Если заявитель считает, что должны применяться основания регистрации лекарственного препарата в исключительных случаях, он обязан указать такую информацию в заявлении о регистрации лекарственного препарата согласно </w:t>
      </w:r>
      <w:r>
        <w:rPr>
          <w:rFonts w:ascii="Times New Roman"/>
          <w:b w:val="false"/>
          <w:i w:val="false"/>
          <w:color w:val="000000"/>
          <w:sz w:val="28"/>
        </w:rPr>
        <w:t>приложению № 2</w:t>
      </w:r>
      <w:r>
        <w:rPr>
          <w:rFonts w:ascii="Times New Roman"/>
          <w:b w:val="false"/>
          <w:i w:val="false"/>
          <w:color w:val="000000"/>
          <w:sz w:val="28"/>
        </w:rPr>
        <w:t xml:space="preserve"> к Правилам и представить свое обоснование в разделе 1.8.2 модуля 1 регистрационного досье, содержащее следующую информацию:</w:t>
      </w:r>
    </w:p>
    <w:bookmarkEnd w:id="7764"/>
    <w:bookmarkStart w:name="z11986" w:id="7765"/>
    <w:p>
      <w:pPr>
        <w:spacing w:after="0"/>
        <w:ind w:left="0"/>
        <w:jc w:val="both"/>
      </w:pPr>
      <w:r>
        <w:rPr>
          <w:rFonts w:ascii="Times New Roman"/>
          <w:b w:val="false"/>
          <w:i w:val="false"/>
          <w:color w:val="000000"/>
          <w:sz w:val="28"/>
        </w:rPr>
        <w:t>
      а) указание, что заявитель сможет доказать, что он не способен предоставить исчерпывающие доклинические или клинические данные о безопасности и эффективности лекарственного препарата в обычных условиях применения;</w:t>
      </w:r>
    </w:p>
    <w:bookmarkEnd w:id="7765"/>
    <w:bookmarkStart w:name="z11987" w:id="7766"/>
    <w:p>
      <w:pPr>
        <w:spacing w:after="0"/>
        <w:ind w:left="0"/>
        <w:jc w:val="both"/>
      </w:pPr>
      <w:r>
        <w:rPr>
          <w:rFonts w:ascii="Times New Roman"/>
          <w:b w:val="false"/>
          <w:i w:val="false"/>
          <w:color w:val="000000"/>
          <w:sz w:val="28"/>
        </w:rPr>
        <w:t>
      б) перечень доклинических или клинических данных об эффективности и безопасности лекарственного препарата;</w:t>
      </w:r>
    </w:p>
    <w:bookmarkEnd w:id="7766"/>
    <w:bookmarkStart w:name="z11988" w:id="7767"/>
    <w:p>
      <w:pPr>
        <w:spacing w:after="0"/>
        <w:ind w:left="0"/>
        <w:jc w:val="both"/>
      </w:pPr>
      <w:r>
        <w:rPr>
          <w:rFonts w:ascii="Times New Roman"/>
          <w:b w:val="false"/>
          <w:i w:val="false"/>
          <w:color w:val="000000"/>
          <w:sz w:val="28"/>
        </w:rPr>
        <w:t>
      в) аргументацию оснований одобрения регистрации лекарственного препарата в исключительных случаях;</w:t>
      </w:r>
    </w:p>
    <w:bookmarkEnd w:id="7767"/>
    <w:bookmarkStart w:name="z11989" w:id="7768"/>
    <w:p>
      <w:pPr>
        <w:spacing w:after="0"/>
        <w:ind w:left="0"/>
        <w:jc w:val="both"/>
      </w:pPr>
      <w:r>
        <w:rPr>
          <w:rFonts w:ascii="Times New Roman"/>
          <w:b w:val="false"/>
          <w:i w:val="false"/>
          <w:color w:val="000000"/>
          <w:sz w:val="28"/>
        </w:rPr>
        <w:t>
      г) предложения касательно подробных сведений о выполняемых особых обязательствах (процедуры обеспечения безопасности, программу исследования, условия назначения или применения, информацию о лекарственном препарате).</w:t>
      </w:r>
    </w:p>
    <w:bookmarkEnd w:id="7768"/>
    <w:bookmarkStart w:name="z11990" w:id="7769"/>
    <w:p>
      <w:pPr>
        <w:spacing w:after="0"/>
        <w:ind w:left="0"/>
        <w:jc w:val="left"/>
      </w:pPr>
      <w:r>
        <w:rPr>
          <w:rFonts w:ascii="Times New Roman"/>
          <w:b/>
          <w:i w:val="false"/>
          <w:color w:val="000000"/>
        </w:rPr>
        <w:t xml:space="preserve"> 4. Аргументация оснований одобрения регистрации лекарственного препарата в исключительных случаях</w:t>
      </w:r>
    </w:p>
    <w:bookmarkEnd w:id="7769"/>
    <w:bookmarkStart w:name="z11991" w:id="7770"/>
    <w:p>
      <w:pPr>
        <w:spacing w:after="0"/>
        <w:ind w:left="0"/>
        <w:jc w:val="both"/>
      </w:pPr>
      <w:r>
        <w:rPr>
          <w:rFonts w:ascii="Times New Roman"/>
          <w:b w:val="false"/>
          <w:i w:val="false"/>
          <w:color w:val="000000"/>
          <w:sz w:val="28"/>
        </w:rPr>
        <w:t>
      Аргументация оснований одобрения регистрации лекарственного препарата в исключительных случаях должна опираться на объективные, проверяемые причины.</w:t>
      </w:r>
    </w:p>
    <w:bookmarkEnd w:id="7770"/>
    <w:bookmarkStart w:name="z11992" w:id="7771"/>
    <w:p>
      <w:pPr>
        <w:spacing w:after="0"/>
        <w:ind w:left="0"/>
        <w:jc w:val="both"/>
      </w:pPr>
      <w:r>
        <w:rPr>
          <w:rFonts w:ascii="Times New Roman"/>
          <w:b w:val="false"/>
          <w:i w:val="false"/>
          <w:color w:val="000000"/>
          <w:sz w:val="28"/>
        </w:rPr>
        <w:t xml:space="preserve">
      В случае невозможности предоставления заявителем исчерпывающих доклинических или клинических данных о безопасности или эффективности лекарственного препарата соответствующий раздел обзора в составе регистрационного досье должен описывать основание (основания) (в соответствии с разделом 11 </w:t>
      </w:r>
      <w:r>
        <w:rPr>
          <w:rFonts w:ascii="Times New Roman"/>
          <w:b w:val="false"/>
          <w:i w:val="false"/>
          <w:color w:val="000000"/>
          <w:sz w:val="28"/>
        </w:rPr>
        <w:t>приложения № 1</w:t>
      </w:r>
      <w:r>
        <w:rPr>
          <w:rFonts w:ascii="Times New Roman"/>
          <w:b w:val="false"/>
          <w:i w:val="false"/>
          <w:color w:val="000000"/>
          <w:sz w:val="28"/>
        </w:rPr>
        <w:t xml:space="preserve"> к Правилам) того, почему заявитель не способен предоставить такие данные (может применяться несколько оснований). В модуле 1 регистрационного досье лекарственного препарата заявитель обязан предоставить подробную аргументацию, чтобы доказать существование таких оснований, вместе с критической оценкой такой аргументации.</w:t>
      </w:r>
    </w:p>
    <w:bookmarkEnd w:id="7771"/>
    <w:p>
      <w:pPr>
        <w:spacing w:after="0"/>
        <w:ind w:left="0"/>
        <w:jc w:val="both"/>
      </w:pPr>
      <w:bookmarkStart w:name="z11993" w:id="7772"/>
      <w:r>
        <w:rPr>
          <w:rFonts w:ascii="Times New Roman"/>
          <w:b w:val="false"/>
          <w:i w:val="false"/>
          <w:color w:val="000000"/>
          <w:sz w:val="28"/>
        </w:rPr>
        <w:t xml:space="preserve">
      </w:t>
      </w:r>
      <w:r>
        <w:rPr>
          <w:rFonts w:ascii="Times New Roman"/>
          <w:b/>
          <w:i w:val="false"/>
          <w:color w:val="000000"/>
          <w:sz w:val="28"/>
        </w:rPr>
        <w:t>Неспособность заявителя предоставить исчерпывающие данные</w:t>
      </w:r>
    </w:p>
    <w:bookmarkEnd w:id="7772"/>
    <w:p>
      <w:pPr>
        <w:spacing w:after="0"/>
        <w:ind w:left="0"/>
        <w:jc w:val="both"/>
      </w:pPr>
      <w:r>
        <w:rPr>
          <w:rFonts w:ascii="Times New Roman"/>
          <w:b/>
          <w:i w:val="false"/>
          <w:color w:val="000000"/>
          <w:sz w:val="28"/>
        </w:rPr>
        <w:t>о безопасности и эффективности лекарственного препарата</w:t>
      </w:r>
    </w:p>
    <w:p>
      <w:pPr>
        <w:spacing w:after="0"/>
        <w:ind w:left="0"/>
        <w:jc w:val="both"/>
      </w:pPr>
      <w:r>
        <w:rPr>
          <w:rFonts w:ascii="Times New Roman"/>
          <w:b/>
          <w:i w:val="false"/>
          <w:color w:val="000000"/>
          <w:sz w:val="28"/>
        </w:rPr>
        <w:t>вследствие редкости показания к его применению</w:t>
      </w:r>
    </w:p>
    <w:bookmarkStart w:name="z11994" w:id="7773"/>
    <w:p>
      <w:pPr>
        <w:spacing w:after="0"/>
        <w:ind w:left="0"/>
        <w:jc w:val="both"/>
      </w:pPr>
      <w:r>
        <w:rPr>
          <w:rFonts w:ascii="Times New Roman"/>
          <w:b w:val="false"/>
          <w:i w:val="false"/>
          <w:color w:val="000000"/>
          <w:sz w:val="28"/>
        </w:rPr>
        <w:t>
      Аргументация должна учитывать приемлемые эпидемиологические доказательства количественной характеристики низкой частоты распространенности (болезненности, морбидности) данного заболевания (состояния) во всем мире, а также количественную оценку размера популяции, которая может быть доступна для исследований безопасности и эффективности лекарственного препарата. Необходимо описать предыдущие исследования, проведенные на аналогичных популяциях.</w:t>
      </w:r>
    </w:p>
    <w:bookmarkEnd w:id="7773"/>
    <w:bookmarkStart w:name="z11995" w:id="7774"/>
    <w:p>
      <w:pPr>
        <w:spacing w:after="0"/>
        <w:ind w:left="0"/>
        <w:jc w:val="both"/>
      </w:pPr>
      <w:r>
        <w:rPr>
          <w:rFonts w:ascii="Times New Roman"/>
          <w:b w:val="false"/>
          <w:i w:val="false"/>
          <w:color w:val="000000"/>
          <w:sz w:val="28"/>
        </w:rPr>
        <w:t>
      Необходимо отметить, имеет ли лекарственный препарат статус орфанного в государствах – членах Евразийского экономического союза (далее – государство-член, Союз). Вместе с тем такого статуса недостаточно для аргументации неспособности заявителя предоставить исчерпывающие данные о безопасности и эффективности этого препарата.</w:t>
      </w:r>
    </w:p>
    <w:bookmarkEnd w:id="7774"/>
    <w:bookmarkStart w:name="z11996" w:id="7775"/>
    <w:p>
      <w:pPr>
        <w:spacing w:after="0"/>
        <w:ind w:left="0"/>
        <w:jc w:val="both"/>
      </w:pPr>
      <w:r>
        <w:rPr>
          <w:rFonts w:ascii="Times New Roman"/>
          <w:b w:val="false"/>
          <w:i w:val="false"/>
          <w:color w:val="000000"/>
          <w:sz w:val="28"/>
        </w:rPr>
        <w:t>
      Необходимо оценить и обсудить возможность выполнения требуемых исследований безопасности и эффективности лекарственного препарата, в том числе проведение совместных многоцентровых исследований.</w:t>
      </w:r>
    </w:p>
    <w:bookmarkEnd w:id="7775"/>
    <w:bookmarkStart w:name="z11997" w:id="7776"/>
    <w:p>
      <w:pPr>
        <w:spacing w:after="0"/>
        <w:ind w:left="0"/>
        <w:jc w:val="both"/>
      </w:pPr>
      <w:r>
        <w:rPr>
          <w:rFonts w:ascii="Times New Roman"/>
          <w:b w:val="false"/>
          <w:i w:val="false"/>
          <w:color w:val="000000"/>
          <w:sz w:val="28"/>
        </w:rPr>
        <w:t>
      Оценка возможности выполнения указанных исследований должна включать подробное описание вопросов, касающихся дизайна и статистических аспектов исследований, включая вероятности ошибок, гипотезы, предположения о наборе субъектов исследования и последующем наблюдении, расчете размера выборки и методологии.</w:t>
      </w:r>
    </w:p>
    <w:bookmarkEnd w:id="7776"/>
    <w:bookmarkStart w:name="z11998" w:id="7777"/>
    <w:p>
      <w:pPr>
        <w:spacing w:after="0"/>
        <w:ind w:left="0"/>
        <w:jc w:val="both"/>
      </w:pPr>
      <w:r>
        <w:rPr>
          <w:rFonts w:ascii="Times New Roman"/>
          <w:b w:val="false"/>
          <w:i w:val="false"/>
          <w:color w:val="000000"/>
          <w:sz w:val="28"/>
        </w:rPr>
        <w:t>
      Необходимо оценить и проанализировать возможность выполнения других исследований, которые позволят получить более полные данные (пусть и не исчерпывающие) безопасности или эффективности лекарственного препарата. Необходимо проанализировать любые подходящие дизайны исследований, включая поисковые дизайны и другие дизайны, с учетом доступных подходов, в том числе касающихся исследований безопасности и эффективности лекарственного препарата на малых популяциях.</w:t>
      </w:r>
    </w:p>
    <w:bookmarkEnd w:id="7777"/>
    <w:p>
      <w:pPr>
        <w:spacing w:after="0"/>
        <w:ind w:left="0"/>
        <w:jc w:val="both"/>
      </w:pPr>
      <w:bookmarkStart w:name="z11999" w:id="7778"/>
      <w:r>
        <w:rPr>
          <w:rFonts w:ascii="Times New Roman"/>
          <w:b w:val="false"/>
          <w:i w:val="false"/>
          <w:color w:val="000000"/>
          <w:sz w:val="28"/>
        </w:rPr>
        <w:t xml:space="preserve">
      </w:t>
      </w:r>
      <w:r>
        <w:rPr>
          <w:rFonts w:ascii="Times New Roman"/>
          <w:b/>
          <w:i w:val="false"/>
          <w:color w:val="000000"/>
          <w:sz w:val="28"/>
        </w:rPr>
        <w:t>Неспособность заявителя предоставить исчерпывающие данные</w:t>
      </w:r>
    </w:p>
    <w:bookmarkEnd w:id="7778"/>
    <w:p>
      <w:pPr>
        <w:spacing w:after="0"/>
        <w:ind w:left="0"/>
        <w:jc w:val="both"/>
      </w:pPr>
      <w:r>
        <w:rPr>
          <w:rFonts w:ascii="Times New Roman"/>
          <w:b/>
          <w:i w:val="false"/>
          <w:color w:val="000000"/>
          <w:sz w:val="28"/>
        </w:rPr>
        <w:t>о безопасности</w:t>
      </w:r>
      <w:r>
        <w:rPr>
          <w:rFonts w:ascii="Times New Roman"/>
          <w:b w:val="false"/>
          <w:i w:val="false"/>
          <w:color w:val="000000"/>
          <w:sz w:val="28"/>
        </w:rPr>
        <w:t xml:space="preserve"> </w:t>
      </w:r>
      <w:r>
        <w:rPr>
          <w:rFonts w:ascii="Times New Roman"/>
          <w:b/>
          <w:i w:val="false"/>
          <w:color w:val="000000"/>
          <w:sz w:val="28"/>
        </w:rPr>
        <w:t>и эффективности лекарственного препарата</w:t>
      </w:r>
    </w:p>
    <w:p>
      <w:pPr>
        <w:spacing w:after="0"/>
        <w:ind w:left="0"/>
        <w:jc w:val="both"/>
      </w:pPr>
      <w:r>
        <w:rPr>
          <w:rFonts w:ascii="Times New Roman"/>
          <w:b/>
          <w:i w:val="false"/>
          <w:color w:val="000000"/>
          <w:sz w:val="28"/>
        </w:rPr>
        <w:t>в силу текущего состояния научных знаний</w:t>
      </w:r>
    </w:p>
    <w:bookmarkStart w:name="z12000" w:id="7779"/>
    <w:p>
      <w:pPr>
        <w:spacing w:after="0"/>
        <w:ind w:left="0"/>
        <w:jc w:val="both"/>
      </w:pPr>
      <w:r>
        <w:rPr>
          <w:rFonts w:ascii="Times New Roman"/>
          <w:b w:val="false"/>
          <w:i w:val="false"/>
          <w:color w:val="000000"/>
          <w:sz w:val="28"/>
        </w:rPr>
        <w:t>
      Исходя из текущего состояния научных знаний заявитель должен указать, какая научная информация потребуется для проведения подобных исследований, обосновать причины отсутствия такой информации и невозможность ее получения (например, отсутствие определенных диагностических инструментов для формирования популяций пациентов специально для исследования).</w:t>
      </w:r>
    </w:p>
    <w:bookmarkEnd w:id="7779"/>
    <w:bookmarkStart w:name="z12001" w:id="7780"/>
    <w:p>
      <w:pPr>
        <w:spacing w:after="0"/>
        <w:ind w:left="0"/>
        <w:jc w:val="both"/>
      </w:pPr>
      <w:r>
        <w:rPr>
          <w:rFonts w:ascii="Times New Roman"/>
          <w:b w:val="false"/>
          <w:i w:val="false"/>
          <w:color w:val="000000"/>
          <w:sz w:val="28"/>
        </w:rPr>
        <w:t>
      Необходимо оценить и проанализировать возможность проведения других исследований, которые позволили бы получить больше сведений о безопасности и эффективности лекарственного препарата (пусть и не исчерпывающих).</w:t>
      </w:r>
    </w:p>
    <w:bookmarkEnd w:id="7780"/>
    <w:p>
      <w:pPr>
        <w:spacing w:after="0"/>
        <w:ind w:left="0"/>
        <w:jc w:val="both"/>
      </w:pPr>
      <w:bookmarkStart w:name="z12002" w:id="7781"/>
      <w:r>
        <w:rPr>
          <w:rFonts w:ascii="Times New Roman"/>
          <w:b w:val="false"/>
          <w:i w:val="false"/>
          <w:color w:val="000000"/>
          <w:sz w:val="28"/>
        </w:rPr>
        <w:t xml:space="preserve">
      </w:t>
      </w:r>
      <w:r>
        <w:rPr>
          <w:rFonts w:ascii="Times New Roman"/>
          <w:b/>
          <w:i w:val="false"/>
          <w:color w:val="000000"/>
          <w:sz w:val="28"/>
        </w:rPr>
        <w:t>Неспособность заявителя собрать исчерпывающие данные</w:t>
      </w:r>
    </w:p>
    <w:bookmarkEnd w:id="7781"/>
    <w:p>
      <w:pPr>
        <w:spacing w:after="0"/>
        <w:ind w:left="0"/>
        <w:jc w:val="both"/>
      </w:pPr>
      <w:r>
        <w:rPr>
          <w:rFonts w:ascii="Times New Roman"/>
          <w:b/>
          <w:i w:val="false"/>
          <w:color w:val="000000"/>
          <w:sz w:val="28"/>
        </w:rPr>
        <w:t>о безопасности и эффективности лекарственного препарата,</w:t>
      </w:r>
    </w:p>
    <w:p>
      <w:pPr>
        <w:spacing w:after="0"/>
        <w:ind w:left="0"/>
        <w:jc w:val="both"/>
      </w:pPr>
      <w:r>
        <w:rPr>
          <w:rFonts w:ascii="Times New Roman"/>
          <w:b/>
          <w:i w:val="false"/>
          <w:color w:val="000000"/>
          <w:sz w:val="28"/>
        </w:rPr>
        <w:t xml:space="preserve"> в связи с риском нарушения принципов медицинской этики</w:t>
      </w:r>
    </w:p>
    <w:bookmarkStart w:name="z12003" w:id="7782"/>
    <w:p>
      <w:pPr>
        <w:spacing w:after="0"/>
        <w:ind w:left="0"/>
        <w:jc w:val="both"/>
      </w:pPr>
      <w:r>
        <w:rPr>
          <w:rFonts w:ascii="Times New Roman"/>
          <w:b w:val="false"/>
          <w:i w:val="false"/>
          <w:color w:val="000000"/>
          <w:sz w:val="28"/>
        </w:rPr>
        <w:t>
      Аргументация должна содержать указание на соответствующие принципы медицинской этики, которые могут быть нарушены при проведении исследований безопасности и эффективности лекарственного препарата с указанием ссылок на соответствующие руководства по медицинской этике. Заявитель обязан далее обосновать применимость подобных принципов к данному случаю.</w:t>
      </w:r>
    </w:p>
    <w:bookmarkEnd w:id="7782"/>
    <w:bookmarkStart w:name="z12004" w:id="7783"/>
    <w:p>
      <w:pPr>
        <w:spacing w:after="0"/>
        <w:ind w:left="0"/>
        <w:jc w:val="both"/>
      </w:pPr>
      <w:r>
        <w:rPr>
          <w:rFonts w:ascii="Times New Roman"/>
          <w:b w:val="false"/>
          <w:i w:val="false"/>
          <w:color w:val="000000"/>
          <w:sz w:val="28"/>
        </w:rPr>
        <w:t>
      Необходимо предоставить решения и заключения комитетов по этике, осуществляющих деятельность на территории государства-члена, или соответствующих органов здравоохранения в отношении неэтичности сбора исчерпывающих данных о безопасности и эффективности (при наличии).</w:t>
      </w:r>
    </w:p>
    <w:bookmarkEnd w:id="7783"/>
    <w:bookmarkStart w:name="z12005" w:id="7784"/>
    <w:p>
      <w:pPr>
        <w:spacing w:after="0"/>
        <w:ind w:left="0"/>
        <w:jc w:val="both"/>
      </w:pPr>
      <w:r>
        <w:rPr>
          <w:rFonts w:ascii="Times New Roman"/>
          <w:b w:val="false"/>
          <w:i w:val="false"/>
          <w:color w:val="000000"/>
          <w:sz w:val="28"/>
        </w:rPr>
        <w:t>
      Необходимо оценить и проанализировать возможность проведения других исследований, которые позволили бы получить более полные данные о безопасности и эффективности лекарственного препарата (даже в случае если они не являются исчерпывающими).</w:t>
      </w:r>
    </w:p>
    <w:bookmarkEnd w:id="7784"/>
    <w:bookmarkStart w:name="z12006" w:id="7785"/>
    <w:p>
      <w:pPr>
        <w:spacing w:after="0"/>
        <w:ind w:left="0"/>
        <w:jc w:val="both"/>
      </w:pPr>
      <w:r>
        <w:rPr>
          <w:rFonts w:ascii="Times New Roman"/>
          <w:b w:val="false"/>
          <w:i w:val="false"/>
          <w:color w:val="000000"/>
          <w:sz w:val="28"/>
        </w:rPr>
        <w:t>
      Основания, построенные на медицинской этике, будут, как правило, применяться только к клиническим исследованиям или исследованиям с использованием человеческих биоматериалов.</w:t>
      </w:r>
    </w:p>
    <w:bookmarkEnd w:id="7785"/>
    <w:bookmarkStart w:name="z12007" w:id="7786"/>
    <w:p>
      <w:pPr>
        <w:spacing w:after="0"/>
        <w:ind w:left="0"/>
        <w:jc w:val="left"/>
      </w:pPr>
      <w:r>
        <w:rPr>
          <w:rFonts w:ascii="Times New Roman"/>
          <w:b/>
          <w:i w:val="false"/>
          <w:color w:val="000000"/>
        </w:rPr>
        <w:t xml:space="preserve"> 5. Детализированная характеристика подлежащих выполнению особых процедур (обязательств)</w:t>
      </w:r>
    </w:p>
    <w:bookmarkEnd w:id="7786"/>
    <w:bookmarkStart w:name="z12008" w:id="7787"/>
    <w:p>
      <w:pPr>
        <w:spacing w:after="0"/>
        <w:ind w:left="0"/>
        <w:jc w:val="both"/>
      </w:pPr>
      <w:r>
        <w:rPr>
          <w:rFonts w:ascii="Times New Roman"/>
          <w:b w:val="false"/>
          <w:i w:val="false"/>
          <w:color w:val="000000"/>
          <w:sz w:val="28"/>
        </w:rPr>
        <w:t xml:space="preserve">
      </w:t>
      </w:r>
      <w:r>
        <w:rPr>
          <w:rFonts w:ascii="Times New Roman"/>
          <w:b/>
          <w:i w:val="false"/>
          <w:color w:val="000000"/>
          <w:sz w:val="28"/>
        </w:rPr>
        <w:t>Особые процедуры (обязательства) по безопасности</w:t>
      </w:r>
    </w:p>
    <w:bookmarkEnd w:id="7787"/>
    <w:bookmarkStart w:name="z12009" w:id="7788"/>
    <w:p>
      <w:pPr>
        <w:spacing w:after="0"/>
        <w:ind w:left="0"/>
        <w:jc w:val="both"/>
      </w:pPr>
      <w:r>
        <w:rPr>
          <w:rFonts w:ascii="Times New Roman"/>
          <w:b w:val="false"/>
          <w:i w:val="false"/>
          <w:color w:val="000000"/>
          <w:sz w:val="28"/>
        </w:rPr>
        <w:t>
      Предложения по обеспечению безопасности лекарственного препарата, представляются в форме плана управления рисками в соответствии с Правилами надлежащей практики фармаконадзора Евразийского экономического союза.</w:t>
      </w:r>
    </w:p>
    <w:bookmarkEnd w:id="7788"/>
    <w:bookmarkStart w:name="z12010" w:id="7789"/>
    <w:p>
      <w:pPr>
        <w:spacing w:after="0"/>
        <w:ind w:left="0"/>
        <w:jc w:val="both"/>
      </w:pPr>
      <w:r>
        <w:rPr>
          <w:rFonts w:ascii="Times New Roman"/>
          <w:b w:val="false"/>
          <w:i w:val="false"/>
          <w:color w:val="000000"/>
          <w:sz w:val="28"/>
        </w:rPr>
        <w:t>
      План фармаконадзора должен содержать полные сведения о фармаконадзорной деятельности, которая будет осуществляться для обеспечения информирования держателя регистрационного удостоверения лекарственного препарата о любом инциденте, касающемся применения лекарственного препарата, и предлагаемые методы, с помощью которых будут уведомляться уполномоченные органы. План фармаконадзора должен также включать сведения о любых исследованиях, которые будут проведены для выявления и установления характеристик рисков, связанных с применением данного лекарственного препарата.</w:t>
      </w:r>
    </w:p>
    <w:bookmarkEnd w:id="7789"/>
    <w:bookmarkStart w:name="z12011" w:id="7790"/>
    <w:p>
      <w:pPr>
        <w:spacing w:after="0"/>
        <w:ind w:left="0"/>
        <w:jc w:val="both"/>
      </w:pPr>
      <w:r>
        <w:rPr>
          <w:rFonts w:ascii="Times New Roman"/>
          <w:b w:val="false"/>
          <w:i w:val="false"/>
          <w:color w:val="000000"/>
          <w:sz w:val="28"/>
        </w:rPr>
        <w:t>
      Поскольку сведения о безопасности лекарственного препарата будут ограничены, заявитель обязан предоставить подробную оценку необходимости действий по минимизации рисков, и, если оправданно, план минимизации рисков.</w:t>
      </w:r>
    </w:p>
    <w:bookmarkEnd w:id="7790"/>
    <w:p>
      <w:pPr>
        <w:spacing w:after="0"/>
        <w:ind w:left="0"/>
        <w:jc w:val="both"/>
      </w:pPr>
      <w:bookmarkStart w:name="z12012" w:id="7791"/>
      <w:r>
        <w:rPr>
          <w:rFonts w:ascii="Times New Roman"/>
          <w:b w:val="false"/>
          <w:i w:val="false"/>
          <w:color w:val="000000"/>
          <w:sz w:val="28"/>
        </w:rPr>
        <w:t xml:space="preserve">
      </w:t>
      </w:r>
      <w:r>
        <w:rPr>
          <w:rFonts w:ascii="Times New Roman"/>
          <w:b/>
          <w:i w:val="false"/>
          <w:color w:val="000000"/>
          <w:sz w:val="28"/>
        </w:rPr>
        <w:t>Особые процедуры (обязательства) по программе исследований</w:t>
      </w:r>
    </w:p>
    <w:bookmarkEnd w:id="7791"/>
    <w:p>
      <w:pPr>
        <w:spacing w:after="0"/>
        <w:ind w:left="0"/>
        <w:jc w:val="both"/>
      </w:pPr>
      <w:r>
        <w:rPr>
          <w:rFonts w:ascii="Times New Roman"/>
          <w:b/>
          <w:i w:val="false"/>
          <w:color w:val="000000"/>
          <w:sz w:val="28"/>
        </w:rPr>
        <w:t>лекарственного препарата</w:t>
      </w:r>
    </w:p>
    <w:bookmarkStart w:name="z12013" w:id="7792"/>
    <w:p>
      <w:pPr>
        <w:spacing w:after="0"/>
        <w:ind w:left="0"/>
        <w:jc w:val="both"/>
      </w:pPr>
      <w:r>
        <w:rPr>
          <w:rFonts w:ascii="Times New Roman"/>
          <w:b w:val="false"/>
          <w:i w:val="false"/>
          <w:color w:val="000000"/>
          <w:sz w:val="28"/>
        </w:rPr>
        <w:t>
      Программа исследований лекарственного препарата должна содержать подробный перечень всех активных, запланированных или предлагаемых исследований, которые могут формировать основу для будущих переоценок соотношения "польза – риск", вместе с ожидаемым сроком завершения таких исследований. Для каждого исследования необходимо предоставить следующую информацию (при наличии):</w:t>
      </w:r>
    </w:p>
    <w:bookmarkEnd w:id="7792"/>
    <w:bookmarkStart w:name="z12014" w:id="7793"/>
    <w:p>
      <w:pPr>
        <w:spacing w:after="0"/>
        <w:ind w:left="0"/>
        <w:jc w:val="both"/>
      </w:pPr>
      <w:r>
        <w:rPr>
          <w:rFonts w:ascii="Times New Roman"/>
          <w:b w:val="false"/>
          <w:i w:val="false"/>
          <w:color w:val="000000"/>
          <w:sz w:val="28"/>
        </w:rPr>
        <w:t>
      характеристику исследования (включая дизайн, конечные точки и целевое показание);</w:t>
      </w:r>
    </w:p>
    <w:bookmarkEnd w:id="7793"/>
    <w:bookmarkStart w:name="z12015" w:id="7794"/>
    <w:p>
      <w:pPr>
        <w:spacing w:after="0"/>
        <w:ind w:left="0"/>
        <w:jc w:val="both"/>
      </w:pPr>
      <w:r>
        <w:rPr>
          <w:rFonts w:ascii="Times New Roman"/>
          <w:b w:val="false"/>
          <w:i w:val="false"/>
          <w:color w:val="000000"/>
          <w:sz w:val="28"/>
        </w:rPr>
        <w:t>
      ожидаемые даты для подачи протокола, начала исследования, привлечения субъектов исследований, завершения исследований, анализа, подачи отчетов о состоянии исследования, подачи промежуточных и заключительных отчетов об исследованиях.</w:t>
      </w:r>
    </w:p>
    <w:bookmarkEnd w:id="7794"/>
    <w:p>
      <w:pPr>
        <w:spacing w:after="0"/>
        <w:ind w:left="0"/>
        <w:jc w:val="both"/>
      </w:pPr>
      <w:bookmarkStart w:name="z12016" w:id="7795"/>
      <w:r>
        <w:rPr>
          <w:rFonts w:ascii="Times New Roman"/>
          <w:b w:val="false"/>
          <w:i w:val="false"/>
          <w:color w:val="000000"/>
          <w:sz w:val="28"/>
        </w:rPr>
        <w:t xml:space="preserve">
      </w:t>
      </w:r>
      <w:r>
        <w:rPr>
          <w:rFonts w:ascii="Times New Roman"/>
          <w:b/>
          <w:i w:val="false"/>
          <w:color w:val="000000"/>
          <w:sz w:val="28"/>
        </w:rPr>
        <w:t>Особые процедуры (обязательства) по назначению пациентам</w:t>
      </w:r>
    </w:p>
    <w:bookmarkEnd w:id="7795"/>
    <w:p>
      <w:pPr>
        <w:spacing w:after="0"/>
        <w:ind w:left="0"/>
        <w:jc w:val="both"/>
      </w:pPr>
      <w:r>
        <w:rPr>
          <w:rFonts w:ascii="Times New Roman"/>
          <w:b/>
          <w:i w:val="false"/>
          <w:color w:val="000000"/>
          <w:sz w:val="28"/>
        </w:rPr>
        <w:t>лекарственного препарата или условиям его применения</w:t>
      </w:r>
    </w:p>
    <w:bookmarkStart w:name="z12017" w:id="7796"/>
    <w:p>
      <w:pPr>
        <w:spacing w:after="0"/>
        <w:ind w:left="0"/>
        <w:jc w:val="both"/>
      </w:pPr>
      <w:r>
        <w:rPr>
          <w:rFonts w:ascii="Times New Roman"/>
          <w:b w:val="false"/>
          <w:i w:val="false"/>
          <w:color w:val="000000"/>
          <w:sz w:val="28"/>
        </w:rPr>
        <w:t>
      Особые процедуры по назначению пациентам лекарственного препарата или условиям его применения должны включать в себя подробное указание по условиям применения, такие как возможность отпуска рассматриваемого лекарственного препарата только по медицинскому назначению и возможность в определенных случаях его введения только под строгим медицинским наблюдением (например, в лечебно-профилактическом учреждении), или ограничение по специализации назначающего лица и (в случае радиофармацевтического препарата) наличию у него специального разрешения.</w:t>
      </w:r>
    </w:p>
    <w:bookmarkEnd w:id="7796"/>
    <w:p>
      <w:pPr>
        <w:spacing w:after="0"/>
        <w:ind w:left="0"/>
        <w:jc w:val="both"/>
      </w:pPr>
      <w:bookmarkStart w:name="z12018" w:id="7797"/>
      <w:r>
        <w:rPr>
          <w:rFonts w:ascii="Times New Roman"/>
          <w:b w:val="false"/>
          <w:i w:val="false"/>
          <w:color w:val="000000"/>
          <w:sz w:val="28"/>
        </w:rPr>
        <w:t xml:space="preserve">
      </w:t>
      </w:r>
      <w:r>
        <w:rPr>
          <w:rFonts w:ascii="Times New Roman"/>
          <w:b/>
          <w:i w:val="false"/>
          <w:color w:val="000000"/>
          <w:sz w:val="28"/>
        </w:rPr>
        <w:t>Особые процедуры (обязательства) по указанию сведений</w:t>
      </w:r>
    </w:p>
    <w:bookmarkEnd w:id="7797"/>
    <w:p>
      <w:pPr>
        <w:spacing w:after="0"/>
        <w:ind w:left="0"/>
        <w:jc w:val="both"/>
      </w:pPr>
      <w:r>
        <w:rPr>
          <w:rFonts w:ascii="Times New Roman"/>
          <w:b/>
          <w:i w:val="false"/>
          <w:color w:val="000000"/>
          <w:sz w:val="28"/>
        </w:rPr>
        <w:t>в информации о лекарственном препарате</w:t>
      </w:r>
    </w:p>
    <w:bookmarkStart w:name="z12019" w:id="7798"/>
    <w:p>
      <w:pPr>
        <w:spacing w:after="0"/>
        <w:ind w:left="0"/>
        <w:jc w:val="both"/>
      </w:pPr>
      <w:r>
        <w:rPr>
          <w:rFonts w:ascii="Times New Roman"/>
          <w:b w:val="false"/>
          <w:i w:val="false"/>
          <w:color w:val="000000"/>
          <w:sz w:val="28"/>
        </w:rPr>
        <w:t>
      В модуле 1 регистрационного досье лекарственного препарата должно быть пояснение о том, как информация, включенная в общую характеристику лекарственного препарата, инструкцию по медицинскому применению лекарственного препарата (листок-вкладыш), и любая другая медицинская информация будут обеспечивать привлечение внимания медицинских работников и пациентов к тому факту, что данные о лекарственном препарате в определенных аспектах (безопасности и (или) эффективности) являются в настоящее время неполными.</w:t>
      </w:r>
    </w:p>
    <w:bookmarkEnd w:id="7798"/>
    <w:bookmarkStart w:name="z12020" w:id="7799"/>
    <w:p>
      <w:pPr>
        <w:spacing w:after="0"/>
        <w:ind w:left="0"/>
        <w:jc w:val="left"/>
      </w:pPr>
      <w:r>
        <w:rPr>
          <w:rFonts w:ascii="Times New Roman"/>
          <w:b/>
          <w:i w:val="false"/>
          <w:color w:val="000000"/>
        </w:rPr>
        <w:t xml:space="preserve"> 6. Экспертиза уполномоченного органа (экспертной организации) референтного государства</w:t>
      </w:r>
    </w:p>
    <w:bookmarkEnd w:id="7799"/>
    <w:bookmarkStart w:name="z12021" w:id="7800"/>
    <w:p>
      <w:pPr>
        <w:spacing w:after="0"/>
        <w:ind w:left="0"/>
        <w:jc w:val="both"/>
      </w:pPr>
      <w:r>
        <w:rPr>
          <w:rFonts w:ascii="Times New Roman"/>
          <w:b w:val="false"/>
          <w:i w:val="false"/>
          <w:color w:val="000000"/>
          <w:sz w:val="28"/>
        </w:rPr>
        <w:t xml:space="preserve">
      Заключения по одобрению регистрации в исключительных условиях могут быть приняты только по объективным и проверяемым причинам в соответствии с разделом 11 части II </w:t>
      </w:r>
      <w:r>
        <w:rPr>
          <w:rFonts w:ascii="Times New Roman"/>
          <w:b w:val="false"/>
          <w:i w:val="false"/>
          <w:color w:val="000000"/>
          <w:sz w:val="28"/>
        </w:rPr>
        <w:t>приложения № 1</w:t>
      </w:r>
      <w:r>
        <w:rPr>
          <w:rFonts w:ascii="Times New Roman"/>
          <w:b w:val="false"/>
          <w:i w:val="false"/>
          <w:color w:val="000000"/>
          <w:sz w:val="28"/>
        </w:rPr>
        <w:t xml:space="preserve"> к Правилам.</w:t>
      </w:r>
    </w:p>
    <w:bookmarkEnd w:id="7800"/>
    <w:bookmarkStart w:name="z12022" w:id="7801"/>
    <w:p>
      <w:pPr>
        <w:spacing w:after="0"/>
        <w:ind w:left="0"/>
        <w:jc w:val="both"/>
      </w:pPr>
      <w:r>
        <w:rPr>
          <w:rFonts w:ascii="Times New Roman"/>
          <w:b w:val="false"/>
          <w:i w:val="false"/>
          <w:color w:val="000000"/>
          <w:sz w:val="28"/>
        </w:rPr>
        <w:t xml:space="preserve">
      Если исчерпывающие данные безопасности и эффективности лекарственного препарата отсутствуют, уполномоченный орган (экспертная организация) референтного государства вправе рассмотреть возможность регистрации лекарственного препарата в исключительных случаях, основываясь на критериях, сформулированных в разделе 11 части II </w:t>
      </w:r>
      <w:r>
        <w:rPr>
          <w:rFonts w:ascii="Times New Roman"/>
          <w:b w:val="false"/>
          <w:i w:val="false"/>
          <w:color w:val="000000"/>
          <w:sz w:val="28"/>
        </w:rPr>
        <w:t>приложения № 1</w:t>
      </w:r>
      <w:r>
        <w:rPr>
          <w:rFonts w:ascii="Times New Roman"/>
          <w:b w:val="false"/>
          <w:i w:val="false"/>
          <w:color w:val="000000"/>
          <w:sz w:val="28"/>
        </w:rPr>
        <w:t xml:space="preserve"> к Правилам, в том числе без инициативы заявителя. Данное решение, включая любые особые обязательства, доводится до заявителя и согласовывается с ним до утверждения экспертного отчета об оценке безопасности, эффективности и качества лекарственного препарата (далее – экспертный отчет об оценке). Принятое решение должно быть указано в соответствующих экспертных отчетах об оценке экспертной организации референтного государства (промежуточных и (или) заключительных и публичных).</w:t>
      </w:r>
    </w:p>
    <w:bookmarkEnd w:id="7801"/>
    <w:bookmarkStart w:name="z12023" w:id="7802"/>
    <w:p>
      <w:pPr>
        <w:spacing w:after="0"/>
        <w:ind w:left="0"/>
        <w:jc w:val="both"/>
      </w:pPr>
      <w:r>
        <w:rPr>
          <w:rFonts w:ascii="Times New Roman"/>
          <w:b w:val="false"/>
          <w:i w:val="false"/>
          <w:color w:val="000000"/>
          <w:sz w:val="28"/>
        </w:rPr>
        <w:t>
      Экспертный отчет об оценке экспертной организации референтного государства должен охватывать следующие аспекты, в зависимости от обстоятельств:</w:t>
      </w:r>
    </w:p>
    <w:bookmarkEnd w:id="7802"/>
    <w:bookmarkStart w:name="z12024" w:id="7803"/>
    <w:p>
      <w:pPr>
        <w:spacing w:after="0"/>
        <w:ind w:left="0"/>
        <w:jc w:val="both"/>
      </w:pPr>
      <w:r>
        <w:rPr>
          <w:rFonts w:ascii="Times New Roman"/>
          <w:b w:val="false"/>
          <w:i w:val="false"/>
          <w:color w:val="000000"/>
          <w:sz w:val="28"/>
        </w:rPr>
        <w:t>
      исследования, отсутствующие для исчерпывающего подтверждения безопасности и эффективности, а также необходимость рассмотрения уполномоченным органом (экспертной организацией) референтного государства одобрения регистрации лекарственного препарата в исключительных случаях;</w:t>
      </w:r>
    </w:p>
    <w:bookmarkEnd w:id="7803"/>
    <w:bookmarkStart w:name="z12025" w:id="7804"/>
    <w:p>
      <w:pPr>
        <w:spacing w:after="0"/>
        <w:ind w:left="0"/>
        <w:jc w:val="both"/>
      </w:pPr>
      <w:r>
        <w:rPr>
          <w:rFonts w:ascii="Times New Roman"/>
          <w:b w:val="false"/>
          <w:i w:val="false"/>
          <w:color w:val="000000"/>
          <w:sz w:val="28"/>
        </w:rPr>
        <w:t>
      наличие достаточных оснований (научная информация, низкая частота распространенности (болезненности, морбидности) для данного заболевания (состояния), этические ограничения, иные факторы) для подтверждения того, что исчерпывающие данные о безопасности и эффективности лекарственного препарата не могут быть представлены, включая декларацию и оценку любых заявлений о существовании таких оснований. Уполномоченный орган (экспертная организация) референтного государства вправе обратиться в Экспертный комитет по лекарственным средствам за консультацией о проблемах, связанных с этическими ограничениями;</w:t>
      </w:r>
    </w:p>
    <w:bookmarkEnd w:id="7804"/>
    <w:bookmarkStart w:name="z12026" w:id="7805"/>
    <w:p>
      <w:pPr>
        <w:spacing w:after="0"/>
        <w:ind w:left="0"/>
        <w:jc w:val="both"/>
      </w:pPr>
      <w:r>
        <w:rPr>
          <w:rFonts w:ascii="Times New Roman"/>
          <w:b w:val="false"/>
          <w:i w:val="false"/>
          <w:color w:val="000000"/>
          <w:sz w:val="28"/>
        </w:rPr>
        <w:t>
      причины одобрения или отклонения оснований для применения процедуры регистрации в исключительных случаях, в том числе проверка объективности таких оснований;</w:t>
      </w:r>
    </w:p>
    <w:bookmarkEnd w:id="7805"/>
    <w:bookmarkStart w:name="z12027" w:id="7806"/>
    <w:p>
      <w:pPr>
        <w:spacing w:after="0"/>
        <w:ind w:left="0"/>
        <w:jc w:val="both"/>
      </w:pPr>
      <w:r>
        <w:rPr>
          <w:rFonts w:ascii="Times New Roman"/>
          <w:b w:val="false"/>
          <w:i w:val="false"/>
          <w:color w:val="000000"/>
          <w:sz w:val="28"/>
        </w:rPr>
        <w:t>
      заключение о целесообразности регистрации в исключительных случаях и при необходимости обоснование невозможности условной или обычной регистрации;</w:t>
      </w:r>
    </w:p>
    <w:bookmarkEnd w:id="7806"/>
    <w:bookmarkStart w:name="z12028" w:id="7807"/>
    <w:p>
      <w:pPr>
        <w:spacing w:after="0"/>
        <w:ind w:left="0"/>
        <w:jc w:val="both"/>
      </w:pPr>
      <w:r>
        <w:rPr>
          <w:rFonts w:ascii="Times New Roman"/>
          <w:b w:val="false"/>
          <w:i w:val="false"/>
          <w:color w:val="000000"/>
          <w:sz w:val="28"/>
        </w:rPr>
        <w:t>
      оценка плана управления рисками и потенциального влияния предлагаемых действий по минимизации рисков на соотношение "польза – риск";</w:t>
      </w:r>
    </w:p>
    <w:bookmarkEnd w:id="7807"/>
    <w:bookmarkStart w:name="z12029" w:id="7808"/>
    <w:p>
      <w:pPr>
        <w:spacing w:after="0"/>
        <w:ind w:left="0"/>
        <w:jc w:val="both"/>
      </w:pPr>
      <w:r>
        <w:rPr>
          <w:rFonts w:ascii="Times New Roman"/>
          <w:b w:val="false"/>
          <w:i w:val="false"/>
          <w:color w:val="000000"/>
          <w:sz w:val="28"/>
        </w:rPr>
        <w:t>
      необходимость реализации программы исследований, предлагаемой заявителем. Оценка такой программы должна анализировать вероятность получения дополнительных необходимых данных о безопасности и эффективности лекарственного препарата по результатам подобных исследований, поскольку, исчерпывающие сведения, которые важны для характеристики безопасного и эффективного применения лекарственного препарата ранее не были получены;</w:t>
      </w:r>
    </w:p>
    <w:bookmarkEnd w:id="7808"/>
    <w:bookmarkStart w:name="z12030" w:id="7809"/>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также запросить у заявителя результаты дополнительных исследований для дальнейшей характеристики особенностей, являющихся важными для безопасного и эффективного применения лекарственного препарата. Такой запрос в том числе должен содержать указание о необходимости проведения любых дополнительных исследований, помимо предлагаемых в плане фармаконадзора;</w:t>
      </w:r>
    </w:p>
    <w:bookmarkEnd w:id="7809"/>
    <w:bookmarkStart w:name="z12031" w:id="7810"/>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при формулировании запроса о дополнительных исследованиях должен оценить физическую возможность выполнения таких исследований и степень объективности получаемых недостающих данных, которые могут быть получены по их результатам.</w:t>
      </w:r>
    </w:p>
    <w:bookmarkEnd w:id="7810"/>
    <w:bookmarkStart w:name="z12032" w:id="7811"/>
    <w:p>
      <w:pPr>
        <w:spacing w:after="0"/>
        <w:ind w:left="0"/>
        <w:jc w:val="both"/>
      </w:pPr>
      <w:r>
        <w:rPr>
          <w:rFonts w:ascii="Times New Roman"/>
          <w:b w:val="false"/>
          <w:i w:val="false"/>
          <w:color w:val="000000"/>
          <w:sz w:val="28"/>
        </w:rPr>
        <w:t>
      Поскольку назначение заявителю особых процедур (обязательств) может требовать наличия специальных клинических знаний, уполномоченный орган (экспертная организация) референтного государства может консультироваться с экспертными и рабочими группами, созданными при Экспертном комитете по лекарственным средствам. Перечень таких особых процедур (обязательств), назначенных при регистрации заявителю, должен быть указан в приложении к регистрационному удостоверению вместе с определенными сроками и датами их выполнения и отражаться в едином реестре зарегистрированных лекарственных средств Союза совместно с регистрационным удостоверением;</w:t>
      </w:r>
    </w:p>
    <w:bookmarkEnd w:id="7811"/>
    <w:bookmarkStart w:name="z12033" w:id="7812"/>
    <w:p>
      <w:pPr>
        <w:spacing w:after="0"/>
        <w:ind w:left="0"/>
        <w:jc w:val="both"/>
      </w:pPr>
      <w:r>
        <w:rPr>
          <w:rFonts w:ascii="Times New Roman"/>
          <w:b w:val="false"/>
          <w:i w:val="false"/>
          <w:color w:val="000000"/>
          <w:sz w:val="28"/>
        </w:rPr>
        <w:t>
      а) условия или ограничения, касающиеся установления категории отпуска и применения лекарственного препарата;</w:t>
      </w:r>
    </w:p>
    <w:bookmarkEnd w:id="7812"/>
    <w:bookmarkStart w:name="z12034" w:id="7813"/>
    <w:p>
      <w:pPr>
        <w:spacing w:after="0"/>
        <w:ind w:left="0"/>
        <w:jc w:val="both"/>
      </w:pPr>
      <w:r>
        <w:rPr>
          <w:rFonts w:ascii="Times New Roman"/>
          <w:b w:val="false"/>
          <w:i w:val="false"/>
          <w:color w:val="000000"/>
          <w:sz w:val="28"/>
        </w:rPr>
        <w:t>
      б) условия или ограничения касающиеся безопасного и эффективного применения лекарственного препарата.</w:t>
      </w:r>
    </w:p>
    <w:bookmarkEnd w:id="7813"/>
    <w:bookmarkStart w:name="z12035" w:id="7814"/>
    <w:p>
      <w:pPr>
        <w:spacing w:after="0"/>
        <w:ind w:left="0"/>
        <w:jc w:val="both"/>
      </w:pPr>
      <w:r>
        <w:rPr>
          <w:rFonts w:ascii="Times New Roman"/>
          <w:b w:val="false"/>
          <w:i w:val="false"/>
          <w:color w:val="000000"/>
          <w:sz w:val="28"/>
        </w:rPr>
        <w:t>
      Такие условия устанавливаются в решении уполномоченного органа (экспертной организации) референтного государства и далее отражаются в соответствующих разделах информации о лекарственном препарате (общей характеристике лекарственного препарата и инструкции по медицинскому применению лекарственного препарата (листке-вкладыше));</w:t>
      </w:r>
    </w:p>
    <w:bookmarkEnd w:id="7814"/>
    <w:bookmarkStart w:name="z12036" w:id="7815"/>
    <w:p>
      <w:pPr>
        <w:spacing w:after="0"/>
        <w:ind w:left="0"/>
        <w:jc w:val="both"/>
      </w:pPr>
      <w:r>
        <w:rPr>
          <w:rFonts w:ascii="Times New Roman"/>
          <w:b w:val="false"/>
          <w:i w:val="false"/>
          <w:color w:val="000000"/>
          <w:sz w:val="28"/>
        </w:rPr>
        <w:t>
      в) общая характеристика лекарственного препарата, инструкция по медицинскому применению лекарственного препарата (листок-вкладыш) и любая медицинская информация, которые однозначно и в доступной для понимания как медицинских работников так и пациентов форме будут указывать на то, что имеющиеся данные о рассматриваемом лекарственном препарате в указанных определенных разделах общей характеристики лекарственного препарата, инструкции по медицинскому применению лекарственного препарата (листке-вкладыше) являются недостаточными.</w:t>
      </w:r>
    </w:p>
    <w:bookmarkEnd w:id="7815"/>
    <w:bookmarkStart w:name="z12037" w:id="7816"/>
    <w:p>
      <w:pPr>
        <w:spacing w:after="0"/>
        <w:ind w:left="0"/>
        <w:jc w:val="both"/>
      </w:pPr>
      <w:r>
        <w:rPr>
          <w:rFonts w:ascii="Times New Roman"/>
          <w:b w:val="false"/>
          <w:i w:val="false"/>
          <w:color w:val="000000"/>
          <w:sz w:val="28"/>
        </w:rPr>
        <w:t>
      Общая характеристика лекарственного препарата и инструкция по медицинскому применению лекарственного препарата (листок-вкладыш) должны содержать информацию о том, что регистрация была осуществлена на условиях выполнения определенных особых обязательств, подлежащих ежегодному пересмотру.</w:t>
      </w:r>
    </w:p>
    <w:bookmarkEnd w:id="7816"/>
    <w:bookmarkStart w:name="z12038" w:id="7817"/>
    <w:p>
      <w:pPr>
        <w:spacing w:after="0"/>
        <w:ind w:left="0"/>
        <w:jc w:val="both"/>
      </w:pPr>
      <w:r>
        <w:rPr>
          <w:rFonts w:ascii="Times New Roman"/>
          <w:b w:val="false"/>
          <w:i w:val="false"/>
          <w:color w:val="000000"/>
          <w:sz w:val="28"/>
        </w:rPr>
        <w:t xml:space="preserve">
      Сведения в инструкции по медицинскому применению лекарственного препарата (листке-вкладыше) должны соответствовать общепринятым стандартам написания понятного пациенту материала и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88.</w:t>
      </w:r>
    </w:p>
    <w:bookmarkEnd w:id="7817"/>
    <w:bookmarkStart w:name="z12039" w:id="7818"/>
    <w:p>
      <w:pPr>
        <w:spacing w:after="0"/>
        <w:ind w:left="0"/>
        <w:jc w:val="left"/>
      </w:pPr>
      <w:r>
        <w:rPr>
          <w:rFonts w:ascii="Times New Roman"/>
          <w:b/>
          <w:i w:val="false"/>
          <w:color w:val="000000"/>
        </w:rPr>
        <w:t xml:space="preserve"> 7. Ежегодная переоценка соотношения "польза – риск"</w:t>
      </w:r>
    </w:p>
    <w:bookmarkEnd w:id="7818"/>
    <w:bookmarkStart w:name="z12040" w:id="7819"/>
    <w:p>
      <w:pPr>
        <w:spacing w:after="0"/>
        <w:ind w:left="0"/>
        <w:jc w:val="both"/>
      </w:pPr>
      <w:r>
        <w:rPr>
          <w:rFonts w:ascii="Times New Roman"/>
          <w:b w:val="false"/>
          <w:i w:val="false"/>
          <w:color w:val="000000"/>
          <w:sz w:val="28"/>
        </w:rPr>
        <w:t>
      Особые обязательства, которые были выполнены заявителем, формируют основу для ежегодной переоценки уполномоченным органом (экспертной организацией) референтного государства соотношения "польза – риск" для конкретного лекарственного препарата. Продолжение регистрации должно быть связано с ежегодной переоценкой таких условий.</w:t>
      </w:r>
    </w:p>
    <w:bookmarkEnd w:id="7819"/>
    <w:bookmarkStart w:name="z12041" w:id="7820"/>
    <w:p>
      <w:pPr>
        <w:spacing w:after="0"/>
        <w:ind w:left="0"/>
        <w:jc w:val="both"/>
      </w:pPr>
      <w:r>
        <w:rPr>
          <w:rFonts w:ascii="Times New Roman"/>
          <w:b w:val="false"/>
          <w:i w:val="false"/>
          <w:color w:val="000000"/>
          <w:sz w:val="28"/>
        </w:rPr>
        <w:t>
      Процедура перерегистрации лекарственного препарата в исключительных случаях выполняется в соответствии с разделом VIII Правил, а регистрационное удостоверение выдается на срок 5 лет. Последующее регистрационное удостоверение лекарственного препарата может быть бессрочным в случае, если уполномоченный орган (экспертная организация) государства-члена не примет решение, по объективным основаниям, касающимся результатов фармаконадзора, назначить одну дополнительную перерегистрацию через 5лет.</w:t>
      </w:r>
    </w:p>
    <w:bookmarkEnd w:id="7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26</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лекарственных средств</w:t>
            </w:r>
            <w:r>
              <w:br/>
            </w:r>
            <w:r>
              <w:rPr>
                <w:rFonts w:ascii="Times New Roman"/>
                <w:b w:val="false"/>
                <w:i w:val="false"/>
                <w:color w:val="000000"/>
                <w:sz w:val="20"/>
              </w:rPr>
              <w:t>для медицинского применения</w:t>
            </w:r>
          </w:p>
        </w:tc>
      </w:tr>
    </w:tbl>
    <w:bookmarkStart w:name="z12043" w:id="7821"/>
    <w:p>
      <w:pPr>
        <w:spacing w:after="0"/>
        <w:ind w:left="0"/>
        <w:jc w:val="left"/>
      </w:pPr>
      <w:r>
        <w:rPr>
          <w:rFonts w:ascii="Times New Roman"/>
          <w:b/>
          <w:i w:val="false"/>
          <w:color w:val="000000"/>
        </w:rPr>
        <w:t xml:space="preserve"> Процедуры, критерии и требования к регистрации в соответствии с подразделом VII.III раздела VII Правил регистрации и экспертизы лекарственных средств для медицинского применения</w:t>
      </w:r>
    </w:p>
    <w:bookmarkEnd w:id="7821"/>
    <w:p>
      <w:pPr>
        <w:spacing w:after="0"/>
        <w:ind w:left="0"/>
        <w:jc w:val="both"/>
      </w:pPr>
      <w:r>
        <w:rPr>
          <w:rFonts w:ascii="Times New Roman"/>
          <w:b w:val="false"/>
          <w:i w:val="false"/>
          <w:color w:val="ff0000"/>
          <w:sz w:val="28"/>
        </w:rPr>
        <w:t xml:space="preserve">
      Сноска. Правила дополнены приложением 26 в соответствии с решением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22.01.2025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2044" w:id="7822"/>
    <w:p>
      <w:pPr>
        <w:spacing w:after="0"/>
        <w:ind w:left="0"/>
        <w:jc w:val="both"/>
      </w:pPr>
      <w:r>
        <w:rPr>
          <w:rFonts w:ascii="Times New Roman"/>
          <w:b w:val="false"/>
          <w:i w:val="false"/>
          <w:color w:val="000000"/>
          <w:sz w:val="28"/>
        </w:rPr>
        <w:t xml:space="preserve">
      Настоящее приложение устанавливает положения и особенности осуществления регистрации лекарственного препарата при условии выполнения установленных особых обязательств в соответствии с подразделом VII.III </w:t>
      </w:r>
      <w:r>
        <w:rPr>
          <w:rFonts w:ascii="Times New Roman"/>
          <w:b w:val="false"/>
          <w:i w:val="false"/>
          <w:color w:val="000000"/>
          <w:sz w:val="28"/>
        </w:rPr>
        <w:t>раздела VII</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w:t>
      </w:r>
    </w:p>
    <w:bookmarkEnd w:id="7822"/>
    <w:bookmarkStart w:name="z12045" w:id="7823"/>
    <w:p>
      <w:pPr>
        <w:spacing w:after="0"/>
        <w:ind w:left="0"/>
        <w:jc w:val="left"/>
      </w:pPr>
      <w:r>
        <w:rPr>
          <w:rFonts w:ascii="Times New Roman"/>
          <w:b/>
          <w:i w:val="false"/>
          <w:color w:val="000000"/>
        </w:rPr>
        <w:t xml:space="preserve"> I. Принципы условной регистрации лекарственного препарата</w:t>
      </w:r>
    </w:p>
    <w:bookmarkEnd w:id="7823"/>
    <w:bookmarkStart w:name="z12046" w:id="7824"/>
    <w:p>
      <w:pPr>
        <w:spacing w:after="0"/>
        <w:ind w:left="0"/>
        <w:jc w:val="both"/>
      </w:pPr>
      <w:r>
        <w:rPr>
          <w:rFonts w:ascii="Times New Roman"/>
          <w:b w:val="false"/>
          <w:i w:val="false"/>
          <w:color w:val="000000"/>
          <w:sz w:val="28"/>
        </w:rPr>
        <w:t>
      Прежде чем лекарственный препарат для медицинского применения будет зарегистрирован для вывода на рынок хотя бы одного государства – члена Евразийского экономического союза (далее – государства-члены, Союз), он должен быть изучен в широкомасштабных исследованиях, необходимых для подтверждения его безопасности, эффективности и качества для применения в целевой популяции.</w:t>
      </w:r>
    </w:p>
    <w:bookmarkEnd w:id="7824"/>
    <w:bookmarkStart w:name="z12047" w:id="7825"/>
    <w:p>
      <w:pPr>
        <w:spacing w:after="0"/>
        <w:ind w:left="0"/>
        <w:jc w:val="both"/>
      </w:pPr>
      <w:r>
        <w:rPr>
          <w:rFonts w:ascii="Times New Roman"/>
          <w:b w:val="false"/>
          <w:i w:val="false"/>
          <w:color w:val="000000"/>
          <w:sz w:val="28"/>
        </w:rPr>
        <w:t>
      В отношении определенных категорий лекарственных препаратов в целях обеспечения неудовлетворенных медицинских потребностей пациентов и защиты интересов здоровья населения может потребоваться регистрация на основании менее полных, чем обычно данных, но при выполнении установленных особых обязательств (условная регистрация). К таким категориям могут принадлежать лекарственные препараты, предназначенные для лечения, профилактики или медицинской диагностики серьезных (тяжелых) инвалидизирующих или угрожающих жизни заболеваний, либо лекарственные препараты, применяемые в экстренных ситуациях в ответ на угрозы здоровью населения, признанные Всемирной организацией здравоохранения или уполномоченными органами государств-членов, либо лекарственные препараты, имеющие статус орфанных в соответствующем государстве-члене.</w:t>
      </w:r>
    </w:p>
    <w:bookmarkEnd w:id="7825"/>
    <w:bookmarkStart w:name="z12048" w:id="7826"/>
    <w:p>
      <w:pPr>
        <w:spacing w:after="0"/>
        <w:ind w:left="0"/>
        <w:jc w:val="both"/>
      </w:pPr>
      <w:r>
        <w:rPr>
          <w:rFonts w:ascii="Times New Roman"/>
          <w:b w:val="false"/>
          <w:i w:val="false"/>
          <w:color w:val="000000"/>
          <w:sz w:val="28"/>
        </w:rPr>
        <w:t>
      В указанном выше случае данные, на которых может строиться заключение об условной регистрации, могут быть менее полными, однако соотношение "польза – риск" для лекарственного препарата должно оставаться положительным. Более того, польза для здоровья населения от незамедлительной регистрации такого лекарственного препарата должна перевешивать риск, связанный с отсрочкой предоставления дополнительных данных.</w:t>
      </w:r>
    </w:p>
    <w:bookmarkEnd w:id="7826"/>
    <w:bookmarkStart w:name="z12049" w:id="7827"/>
    <w:p>
      <w:pPr>
        <w:spacing w:after="0"/>
        <w:ind w:left="0"/>
        <w:jc w:val="both"/>
      </w:pPr>
      <w:r>
        <w:rPr>
          <w:rFonts w:ascii="Times New Roman"/>
          <w:b w:val="false"/>
          <w:i w:val="false"/>
          <w:color w:val="000000"/>
          <w:sz w:val="28"/>
        </w:rPr>
        <w:t>
      Условная регистрация лекарственного препарата применяется в случаях, когда неполной является только клиническая часть регистрационного досье лекарственного препарата. Для лекарственного препарата, применяемого в экстренных ситуациях и случаях угрозы здоровью населения, допускаются также неполные доклинические данные или данные в составе модуля 3 регистрационного досье.</w:t>
      </w:r>
    </w:p>
    <w:bookmarkEnd w:id="7827"/>
    <w:bookmarkStart w:name="z12050" w:id="7828"/>
    <w:p>
      <w:pPr>
        <w:spacing w:after="0"/>
        <w:ind w:left="0"/>
        <w:jc w:val="both"/>
      </w:pPr>
      <w:r>
        <w:rPr>
          <w:rFonts w:ascii="Times New Roman"/>
          <w:b w:val="false"/>
          <w:i w:val="false"/>
          <w:color w:val="000000"/>
          <w:sz w:val="28"/>
        </w:rPr>
        <w:t xml:space="preserve">
      При условной регистрации лекарственного препарата в процессе его экспертизы наравне с отчетами о проведенных клинических исследованиях, указанных в пункте 36 Правил, рассматриваются отчеты о проведенных клинических исследованиях, включенные в состав модуля 5 его регистрационного досье, если они частично или полностью проведены на территориях стран региона Международного совета по гармонизации технических требований к фармацевтическим препаратам для медицинского применения (ICH) и на их основании лекарственный препарат зарегистрирован на территории страны данного региона. При необходимости уполномоченным органом (экспертной организацией) референтного государства может быть инициировано проведение инспекции клинического исследования на соответствие требованиям Правил надлежащей клинической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79.</w:t>
      </w:r>
    </w:p>
    <w:bookmarkEnd w:id="7828"/>
    <w:bookmarkStart w:name="z12051" w:id="7829"/>
    <w:p>
      <w:pPr>
        <w:spacing w:after="0"/>
        <w:ind w:left="0"/>
        <w:jc w:val="both"/>
      </w:pPr>
      <w:r>
        <w:rPr>
          <w:rFonts w:ascii="Times New Roman"/>
          <w:b w:val="false"/>
          <w:i w:val="false"/>
          <w:color w:val="000000"/>
          <w:sz w:val="28"/>
        </w:rPr>
        <w:t>
      В целях обеспечения соблюдения приемлемого баланса между облегчением доступа к лекарственным препаратам для пациентов с неудовлетворенными медицинскими потребностями и предотвращением регистрации лекарственных препаратов с неблагоприятным профилем безопасности или отрицательным соотношением "польза – риск" такие регистрации необходимо осуществлять при условии выполнения особых обязательств. Держателя регистрационного удостоверения необходимо обязать завершить или начать определенные исследования в целях подтверждения того, что:</w:t>
      </w:r>
    </w:p>
    <w:bookmarkEnd w:id="7829"/>
    <w:bookmarkStart w:name="z12052" w:id="7830"/>
    <w:p>
      <w:pPr>
        <w:spacing w:after="0"/>
        <w:ind w:left="0"/>
        <w:jc w:val="both"/>
      </w:pPr>
      <w:r>
        <w:rPr>
          <w:rFonts w:ascii="Times New Roman"/>
          <w:b w:val="false"/>
          <w:i w:val="false"/>
          <w:color w:val="000000"/>
          <w:sz w:val="28"/>
        </w:rPr>
        <w:t>
      соотношение "польза – риск" положительное;</w:t>
      </w:r>
    </w:p>
    <w:bookmarkEnd w:id="7830"/>
    <w:bookmarkStart w:name="z12053" w:id="7831"/>
    <w:p>
      <w:pPr>
        <w:spacing w:after="0"/>
        <w:ind w:left="0"/>
        <w:jc w:val="both"/>
      </w:pPr>
      <w:r>
        <w:rPr>
          <w:rFonts w:ascii="Times New Roman"/>
          <w:b w:val="false"/>
          <w:i w:val="false"/>
          <w:color w:val="000000"/>
          <w:sz w:val="28"/>
        </w:rPr>
        <w:t>
      отсутствуют нерешенные вопросы, касающиеся безопасности, эффективности и качества лекарственного препарата.</w:t>
      </w:r>
    </w:p>
    <w:bookmarkEnd w:id="7831"/>
    <w:bookmarkStart w:name="z12054" w:id="7832"/>
    <w:p>
      <w:pPr>
        <w:spacing w:after="0"/>
        <w:ind w:left="0"/>
        <w:jc w:val="both"/>
      </w:pPr>
      <w:r>
        <w:rPr>
          <w:rFonts w:ascii="Times New Roman"/>
          <w:b w:val="false"/>
          <w:i w:val="false"/>
          <w:color w:val="000000"/>
          <w:sz w:val="28"/>
        </w:rPr>
        <w:t xml:space="preserve">
      Условная регистрация лекарственного препарата отличается от процедуры регистрации, осуществляемой в исключительных случаях в соответствии с подразделом VII.II </w:t>
      </w:r>
      <w:r>
        <w:rPr>
          <w:rFonts w:ascii="Times New Roman"/>
          <w:b w:val="false"/>
          <w:i w:val="false"/>
          <w:color w:val="000000"/>
          <w:sz w:val="28"/>
        </w:rPr>
        <w:t>раздела VII</w:t>
      </w:r>
      <w:r>
        <w:rPr>
          <w:rFonts w:ascii="Times New Roman"/>
          <w:b w:val="false"/>
          <w:i w:val="false"/>
          <w:color w:val="000000"/>
          <w:sz w:val="28"/>
        </w:rPr>
        <w:t xml:space="preserve"> Правил. Условная регистрация лекарственного препарата осуществляется до получения всех данных о его безопасности и эффективности. Вместе с тем не планируется, что регистрация такого лекарственного препарата будет оставаться условной бессрочно. После предоставления недостающих данных регистрационного досье лекарственного препарата уполномоченным органом (экспертной организацией) референтного государства может быть принято решение о прекращении статуса условной регистрации лекарственного препарата (то есть регистрация перестает быть условной и не требует более выполнения особых обязательств). В отличие от условной регистрации при регистрации лекарственного препарата в исключительных случаях принципиально невозможно составить и представить полное регистрационное досье такого лекарственного препарата по объективным причинам.</w:t>
      </w:r>
    </w:p>
    <w:bookmarkEnd w:id="7832"/>
    <w:bookmarkStart w:name="z12055" w:id="7833"/>
    <w:p>
      <w:pPr>
        <w:spacing w:after="0"/>
        <w:ind w:left="0"/>
        <w:jc w:val="both"/>
      </w:pPr>
      <w:r>
        <w:rPr>
          <w:rFonts w:ascii="Times New Roman"/>
          <w:b w:val="false"/>
          <w:i w:val="false"/>
          <w:color w:val="000000"/>
          <w:sz w:val="28"/>
        </w:rPr>
        <w:t xml:space="preserve">
      Заявления на условную регистрацию лекарственного препарата могут также включать в себя запрос процедуры ускоренной экспертизы, предусмотренной подразделом VII.IV </w:t>
      </w:r>
      <w:r>
        <w:rPr>
          <w:rFonts w:ascii="Times New Roman"/>
          <w:b w:val="false"/>
          <w:i w:val="false"/>
          <w:color w:val="000000"/>
          <w:sz w:val="28"/>
        </w:rPr>
        <w:t>раздела VII</w:t>
      </w:r>
      <w:r>
        <w:rPr>
          <w:rFonts w:ascii="Times New Roman"/>
          <w:b w:val="false"/>
          <w:i w:val="false"/>
          <w:color w:val="000000"/>
          <w:sz w:val="28"/>
        </w:rPr>
        <w:t xml:space="preserve"> Правил. В данном случае заявление на регистрацию лекарственного препарата должно содержать перечень пострегистрационных мер, указанный в </w:t>
      </w:r>
      <w:r>
        <w:rPr>
          <w:rFonts w:ascii="Times New Roman"/>
          <w:b w:val="false"/>
          <w:i w:val="false"/>
          <w:color w:val="000000"/>
          <w:sz w:val="28"/>
        </w:rPr>
        <w:t>приложении № 2</w:t>
      </w:r>
      <w:r>
        <w:rPr>
          <w:rFonts w:ascii="Times New Roman"/>
          <w:b w:val="false"/>
          <w:i w:val="false"/>
          <w:color w:val="000000"/>
          <w:sz w:val="28"/>
        </w:rPr>
        <w:t xml:space="preserve"> к Правилам.</w:t>
      </w:r>
    </w:p>
    <w:bookmarkEnd w:id="7833"/>
    <w:bookmarkStart w:name="z12056" w:id="7834"/>
    <w:p>
      <w:pPr>
        <w:spacing w:after="0"/>
        <w:ind w:left="0"/>
        <w:jc w:val="both"/>
      </w:pPr>
      <w:r>
        <w:rPr>
          <w:rFonts w:ascii="Times New Roman"/>
          <w:b w:val="false"/>
          <w:i w:val="false"/>
          <w:color w:val="000000"/>
          <w:sz w:val="28"/>
        </w:rPr>
        <w:t xml:space="preserve">
      Экспертиза заявления на условную регистрацию является стандартной процедурой, установленной </w:t>
      </w:r>
      <w:r>
        <w:rPr>
          <w:rFonts w:ascii="Times New Roman"/>
          <w:b w:val="false"/>
          <w:i w:val="false"/>
          <w:color w:val="000000"/>
          <w:sz w:val="28"/>
        </w:rPr>
        <w:t>разделами V</w:t>
      </w:r>
      <w:r>
        <w:rPr>
          <w:rFonts w:ascii="Times New Roman"/>
          <w:b w:val="false"/>
          <w:i w:val="false"/>
          <w:color w:val="000000"/>
          <w:sz w:val="28"/>
        </w:rPr>
        <w:t xml:space="preserve"> и </w:t>
      </w:r>
      <w:r>
        <w:rPr>
          <w:rFonts w:ascii="Times New Roman"/>
          <w:b w:val="false"/>
          <w:i w:val="false"/>
          <w:color w:val="000000"/>
          <w:sz w:val="28"/>
        </w:rPr>
        <w:t>VI</w:t>
      </w:r>
      <w:r>
        <w:rPr>
          <w:rFonts w:ascii="Times New Roman"/>
          <w:b w:val="false"/>
          <w:i w:val="false"/>
          <w:color w:val="000000"/>
          <w:sz w:val="28"/>
        </w:rPr>
        <w:t xml:space="preserve"> Правил, если иное не предусмотрено настоящим приложением.</w:t>
      </w:r>
    </w:p>
    <w:bookmarkEnd w:id="7834"/>
    <w:bookmarkStart w:name="z12057" w:id="7835"/>
    <w:p>
      <w:pPr>
        <w:spacing w:after="0"/>
        <w:ind w:left="0"/>
        <w:jc w:val="both"/>
      </w:pPr>
      <w:r>
        <w:rPr>
          <w:rFonts w:ascii="Times New Roman"/>
          <w:b w:val="false"/>
          <w:i w:val="false"/>
          <w:color w:val="000000"/>
          <w:sz w:val="28"/>
        </w:rPr>
        <w:t xml:space="preserve">
      В соответствии с подразделом VII.III </w:t>
      </w:r>
      <w:r>
        <w:rPr>
          <w:rFonts w:ascii="Times New Roman"/>
          <w:b w:val="false"/>
          <w:i w:val="false"/>
          <w:color w:val="000000"/>
          <w:sz w:val="28"/>
        </w:rPr>
        <w:t>раздела VII</w:t>
      </w:r>
      <w:r>
        <w:rPr>
          <w:rFonts w:ascii="Times New Roman"/>
          <w:b w:val="false"/>
          <w:i w:val="false"/>
          <w:color w:val="000000"/>
          <w:sz w:val="28"/>
        </w:rPr>
        <w:t xml:space="preserve"> Правил условная регистрация будет действительна в течение 1 года с ежегодной перерегистрацией. Предельный срок подачи заявления на перерегистрацию (подтверждение регистрации) должен составлять 6 месяцев до даты истечения действия регистрации, а уполномоченным органом (экспертной организацией) референтного государства должно быть принято решение в течение 60 рабочих дней со дня получения такого заявления. Чтобы гарантировать, что лекарственные препараты не будут изыматься с рынка, исключительно из соображений охраны здоровья населения, регистрационное удостоверение, выданное по процедуре условной регистрации, должно оставаться действительным до принятия уполномоченным органом (экспертной организацией) референтного государства решения по результатам экспертизы заявления на перерегистрацию (подтверждение регистрации), при условии что данное заявление подано до истечения предельного срока подачи заявления на перерегистрацию (подтверждение регистрации).</w:t>
      </w:r>
    </w:p>
    <w:bookmarkEnd w:id="7835"/>
    <w:bookmarkStart w:name="z12058" w:id="7836"/>
    <w:p>
      <w:pPr>
        <w:spacing w:after="0"/>
        <w:ind w:left="0"/>
        <w:jc w:val="both"/>
      </w:pPr>
      <w:r>
        <w:rPr>
          <w:rFonts w:ascii="Times New Roman"/>
          <w:b w:val="false"/>
          <w:i w:val="false"/>
          <w:color w:val="000000"/>
          <w:sz w:val="28"/>
        </w:rPr>
        <w:t xml:space="preserve">
      Информация об условном характере регистрации должна быть четко изложена в общей характеристике лекарственного препарата, а также в инструкции по медицинскому применению лекарственного препарата (листке-вкладыше). </w:t>
      </w:r>
    </w:p>
    <w:bookmarkEnd w:id="7836"/>
    <w:bookmarkStart w:name="z12059" w:id="7837"/>
    <w:p>
      <w:pPr>
        <w:spacing w:after="0"/>
        <w:ind w:left="0"/>
        <w:jc w:val="both"/>
      </w:pPr>
      <w:r>
        <w:rPr>
          <w:rFonts w:ascii="Times New Roman"/>
          <w:b w:val="false"/>
          <w:i w:val="false"/>
          <w:color w:val="000000"/>
          <w:sz w:val="28"/>
        </w:rPr>
        <w:t xml:space="preserve">
      Для лекарственных препаратов, зарегистрированных условно, важным является выполнение требований и обязательств по фармаконадзору, которые предусмотрены Правилами надлежащей практики фармаконадзора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87. Вместе с тем необходимо изменить сроки предоставления периодического обновляемого отчета по безопасности, чтобы учесть ежегодную перерегистрацию условно зарегистрированных лекарственных препаратов, что должно быть отражено в приложениях к регистрационным удостоверениям таких препаратов.</w:t>
      </w:r>
    </w:p>
    <w:bookmarkEnd w:id="7837"/>
    <w:bookmarkStart w:name="z12060" w:id="7838"/>
    <w:p>
      <w:pPr>
        <w:spacing w:after="0"/>
        <w:ind w:left="0"/>
        <w:jc w:val="both"/>
      </w:pPr>
      <w:r>
        <w:rPr>
          <w:rFonts w:ascii="Times New Roman"/>
          <w:b w:val="false"/>
          <w:i w:val="false"/>
          <w:color w:val="000000"/>
          <w:sz w:val="28"/>
        </w:rPr>
        <w:t xml:space="preserve">
      Планирование исследований и подачи заявления на регистрацию проводится на раннем этапе разработки лекарственных препаратов. Подобное планирование зависит от возможности условной регистрации. По этой причине уполномоченный орган (экспертная организация) референтного государства обязан обеспечить механизм научного консультирования разработчиков и заявителей о возможности применения условной регистрации к разрабатываемому или заявляемому на регистрацию лекарственному препарату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w:t>
      </w:r>
    </w:p>
    <w:bookmarkEnd w:id="7838"/>
    <w:bookmarkStart w:name="z12061" w:id="7839"/>
    <w:p>
      <w:pPr>
        <w:spacing w:after="0"/>
        <w:ind w:left="0"/>
        <w:jc w:val="left"/>
      </w:pPr>
      <w:r>
        <w:rPr>
          <w:rFonts w:ascii="Times New Roman"/>
          <w:b/>
          <w:i w:val="false"/>
          <w:color w:val="000000"/>
        </w:rPr>
        <w:t xml:space="preserve"> II. Область применения</w:t>
      </w:r>
    </w:p>
    <w:bookmarkEnd w:id="7839"/>
    <w:bookmarkStart w:name="z12062" w:id="7840"/>
    <w:p>
      <w:pPr>
        <w:spacing w:after="0"/>
        <w:ind w:left="0"/>
        <w:jc w:val="both"/>
      </w:pPr>
      <w:r>
        <w:rPr>
          <w:rFonts w:ascii="Times New Roman"/>
          <w:b w:val="false"/>
          <w:i w:val="false"/>
          <w:color w:val="000000"/>
          <w:sz w:val="28"/>
        </w:rPr>
        <w:t>
      Настоящее приложение применяется к лекарственным препаратам для медицинского применения, принадлежащим к одной из следующих категорий:</w:t>
      </w:r>
    </w:p>
    <w:bookmarkEnd w:id="7840"/>
    <w:bookmarkStart w:name="z12063" w:id="7841"/>
    <w:p>
      <w:pPr>
        <w:spacing w:after="0"/>
        <w:ind w:left="0"/>
        <w:jc w:val="both"/>
      </w:pPr>
      <w:r>
        <w:rPr>
          <w:rFonts w:ascii="Times New Roman"/>
          <w:b w:val="false"/>
          <w:i w:val="false"/>
          <w:color w:val="000000"/>
          <w:sz w:val="28"/>
        </w:rPr>
        <w:t>
      лекарственные препараты, предназначенные для лечения, профилактики или диагностики серьезных (тяжелых) инвалидизирующих или угрожающих жизни заболеваний;</w:t>
      </w:r>
    </w:p>
    <w:bookmarkEnd w:id="7841"/>
    <w:bookmarkStart w:name="z12064" w:id="7842"/>
    <w:p>
      <w:pPr>
        <w:spacing w:after="0"/>
        <w:ind w:left="0"/>
        <w:jc w:val="both"/>
      </w:pPr>
      <w:r>
        <w:rPr>
          <w:rFonts w:ascii="Times New Roman"/>
          <w:b w:val="false"/>
          <w:i w:val="false"/>
          <w:color w:val="000000"/>
          <w:sz w:val="28"/>
        </w:rPr>
        <w:t>
      лекарственные препараты, предназначенные для применения в ситуациях угрозы здоровью населения, в установленном порядке признанных Всемирной организацией здравоохранения или уполномоченным органом государства-члена;</w:t>
      </w:r>
    </w:p>
    <w:bookmarkEnd w:id="7842"/>
    <w:bookmarkStart w:name="z12065" w:id="7843"/>
    <w:p>
      <w:pPr>
        <w:spacing w:after="0"/>
        <w:ind w:left="0"/>
        <w:jc w:val="both"/>
      </w:pPr>
      <w:r>
        <w:rPr>
          <w:rFonts w:ascii="Times New Roman"/>
          <w:b w:val="false"/>
          <w:i w:val="false"/>
          <w:color w:val="000000"/>
          <w:sz w:val="28"/>
        </w:rPr>
        <w:t>
      лекарственные препараты, имеющие статус орфанных или признанные орфанными в государствах-членах.</w:t>
      </w:r>
    </w:p>
    <w:bookmarkEnd w:id="7843"/>
    <w:bookmarkStart w:name="z12066" w:id="7844"/>
    <w:p>
      <w:pPr>
        <w:spacing w:after="0"/>
        <w:ind w:left="0"/>
        <w:jc w:val="left"/>
      </w:pPr>
      <w:r>
        <w:rPr>
          <w:rFonts w:ascii="Times New Roman"/>
          <w:b/>
          <w:i w:val="false"/>
          <w:color w:val="000000"/>
        </w:rPr>
        <w:t xml:space="preserve"> III. Указания по выполнению общих требований к процедуре условной регистрации лекарственного препарата</w:t>
      </w:r>
    </w:p>
    <w:bookmarkEnd w:id="7844"/>
    <w:bookmarkStart w:name="z12067" w:id="7845"/>
    <w:p>
      <w:pPr>
        <w:spacing w:after="0"/>
        <w:ind w:left="0"/>
        <w:jc w:val="both"/>
      </w:pPr>
      <w:r>
        <w:rPr>
          <w:rFonts w:ascii="Times New Roman"/>
          <w:b w:val="false"/>
          <w:i w:val="false"/>
          <w:color w:val="000000"/>
          <w:sz w:val="28"/>
        </w:rPr>
        <w:t>
      В соответствии с подразделом VII.III раздела VII Правил после консультации уполномоченного органа (экспертной организации) референтного государства с заявителем регистрация может быть осуществлена при соблюдении определенных особых обязательств держателем регистрационного удостоверения, ежегодно оцениваемых уполномоченным органом (экспертной организацией) референтного государства. Перечень таких обязательств должен быть указан в регистрационном удостоверении лекарственного препарата, размещенном в едином реестре зарегистрированных лекарственных средств Союза. Условная регистрация действительна в течение 1 года и требует подтверждения регистрации (перерегистрации) с ежегодной переоценкой соотношения "польза – риск".</w:t>
      </w:r>
    </w:p>
    <w:bookmarkEnd w:id="7845"/>
    <w:bookmarkStart w:name="z12068" w:id="7846"/>
    <w:p>
      <w:pPr>
        <w:spacing w:after="0"/>
        <w:ind w:left="0"/>
        <w:jc w:val="both"/>
      </w:pPr>
      <w:r>
        <w:rPr>
          <w:rFonts w:ascii="Times New Roman"/>
          <w:b w:val="false"/>
          <w:i w:val="false"/>
          <w:color w:val="000000"/>
          <w:sz w:val="28"/>
        </w:rPr>
        <w:t>
      Условная регистрация применима к лекарственным препаратам с таким соотношением "польза – риск", для которого польза от допуска на рынок рассматриваемого лекарственного препарата будет превышать риск, связанный с отсутствием части данных о безопасности и эффективности лекарственного препарата на момент его регистрации (то есть к лекарственным препаратам с доказанной способностью обеспечивать неудовлетворенные медицинские потребности системы здравоохранения).</w:t>
      </w:r>
    </w:p>
    <w:bookmarkEnd w:id="7846"/>
    <w:bookmarkStart w:name="z12069" w:id="7847"/>
    <w:p>
      <w:pPr>
        <w:spacing w:after="0"/>
        <w:ind w:left="0"/>
        <w:jc w:val="left"/>
      </w:pPr>
      <w:r>
        <w:rPr>
          <w:rFonts w:ascii="Times New Roman"/>
          <w:b/>
          <w:i w:val="false"/>
          <w:color w:val="000000"/>
        </w:rPr>
        <w:t xml:space="preserve"> 1. Осуществление условной регистрации</w:t>
      </w:r>
    </w:p>
    <w:bookmarkEnd w:id="7847"/>
    <w:bookmarkStart w:name="z12070" w:id="7848"/>
    <w:p>
      <w:pPr>
        <w:spacing w:after="0"/>
        <w:ind w:left="0"/>
        <w:jc w:val="left"/>
      </w:pPr>
      <w:r>
        <w:rPr>
          <w:rFonts w:ascii="Times New Roman"/>
          <w:b/>
          <w:i w:val="false"/>
          <w:color w:val="000000"/>
        </w:rPr>
        <w:t xml:space="preserve"> Запрос заявителем условной регистрации</w:t>
      </w:r>
    </w:p>
    <w:bookmarkEnd w:id="7848"/>
    <w:bookmarkStart w:name="z12071" w:id="7849"/>
    <w:p>
      <w:pPr>
        <w:spacing w:after="0"/>
        <w:ind w:left="0"/>
        <w:jc w:val="both"/>
      </w:pPr>
      <w:r>
        <w:rPr>
          <w:rFonts w:ascii="Times New Roman"/>
          <w:b w:val="false"/>
          <w:i w:val="false"/>
          <w:color w:val="000000"/>
          <w:sz w:val="28"/>
        </w:rPr>
        <w:t>
      Заявитель вправе запросить условную регистрацию при подаче заявления на регистрацию по децентрализованной процедуре или процедуре взаимного признания, заполнив соответствующий раздел заявления. Запрос необходимо дополнить данными, подтверждающими, что лекарственный препарат входит в сферу применения настоящего приложения и соответствует положениям, установленным подразделом 2 настоящего раздела.</w:t>
      </w:r>
    </w:p>
    <w:bookmarkEnd w:id="7849"/>
    <w:bookmarkStart w:name="z12072" w:id="7850"/>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обязан в течение 3 рабочих дней разместить в интегрированной информационной системе Союза системе сведения о заявлениях на регистрацию лекарственного препарата, содержащих запрос условной регистрации.</w:t>
      </w:r>
    </w:p>
    <w:bookmarkEnd w:id="7850"/>
    <w:bookmarkStart w:name="z12073" w:id="7851"/>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в своем экспертном отчете, составленном по результатам экспертизы заявления, поданного на регистрацию по децентрализованной процедуре или процедуре взаимного признания, предложить условную регистрацию после консультации с заявителем.</w:t>
      </w:r>
    </w:p>
    <w:bookmarkEnd w:id="7851"/>
    <w:bookmarkStart w:name="z12074" w:id="7852"/>
    <w:p>
      <w:pPr>
        <w:spacing w:after="0"/>
        <w:ind w:left="0"/>
        <w:jc w:val="both"/>
      </w:pPr>
      <w:r>
        <w:rPr>
          <w:rFonts w:ascii="Times New Roman"/>
          <w:b w:val="false"/>
          <w:i w:val="false"/>
          <w:color w:val="000000"/>
          <w:sz w:val="28"/>
        </w:rPr>
        <w:t>
      После получения заявления, содержащего запрос условной регистрации, уполномоченный орган (экспертная организация) референтного государства информирует Экспертный комитет по лекарственным средствам о начале процедуры условной регистрации.</w:t>
      </w:r>
    </w:p>
    <w:bookmarkEnd w:id="7852"/>
    <w:bookmarkStart w:name="z12075" w:id="7853"/>
    <w:p>
      <w:pPr>
        <w:spacing w:after="0"/>
        <w:ind w:left="0"/>
        <w:jc w:val="both"/>
      </w:pPr>
      <w:r>
        <w:rPr>
          <w:rFonts w:ascii="Times New Roman"/>
          <w:b w:val="false"/>
          <w:i w:val="false"/>
          <w:color w:val="000000"/>
          <w:sz w:val="28"/>
        </w:rPr>
        <w:t>
      Заявителем может быть подано заявление на условную регистрацию лекарственного препарата; такая процедура также может быть предложена уполномоченным органом (экспертной организацией) референтного государства.</w:t>
      </w:r>
    </w:p>
    <w:bookmarkEnd w:id="7853"/>
    <w:bookmarkStart w:name="z12076" w:id="7854"/>
    <w:p>
      <w:pPr>
        <w:spacing w:after="0"/>
        <w:ind w:left="0"/>
        <w:jc w:val="both"/>
      </w:pPr>
      <w:r>
        <w:rPr>
          <w:rFonts w:ascii="Times New Roman"/>
          <w:b w:val="false"/>
          <w:i w:val="false"/>
          <w:color w:val="000000"/>
          <w:sz w:val="28"/>
        </w:rPr>
        <w:t>
      Заявитель вправе:</w:t>
      </w:r>
    </w:p>
    <w:bookmarkEnd w:id="7854"/>
    <w:bookmarkStart w:name="z12077" w:id="7855"/>
    <w:p>
      <w:pPr>
        <w:spacing w:after="0"/>
        <w:ind w:left="0"/>
        <w:jc w:val="both"/>
      </w:pPr>
      <w:r>
        <w:rPr>
          <w:rFonts w:ascii="Times New Roman"/>
          <w:b w:val="false"/>
          <w:i w:val="false"/>
          <w:color w:val="000000"/>
          <w:sz w:val="28"/>
        </w:rPr>
        <w:t>
      до подачи заявления на регистрацию в письменном виде уведомить уполномоченный орган (экспертную организацию) референтного государства о своем намерении подать заявление на условную регистрацию;</w:t>
      </w:r>
    </w:p>
    <w:bookmarkEnd w:id="7855"/>
    <w:bookmarkStart w:name="z12078" w:id="7856"/>
    <w:p>
      <w:pPr>
        <w:spacing w:after="0"/>
        <w:ind w:left="0"/>
        <w:jc w:val="both"/>
      </w:pPr>
      <w:r>
        <w:rPr>
          <w:rFonts w:ascii="Times New Roman"/>
          <w:b w:val="false"/>
          <w:i w:val="false"/>
          <w:color w:val="000000"/>
          <w:sz w:val="28"/>
        </w:rPr>
        <w:t>
      одновременно с подачей заявления на регистрацию включить в состав заявления и подраздел 1.2.1 модуля 1 регистрационного досье лекарственного препарата запрос на проведение процедуры условной регистрации.</w:t>
      </w:r>
    </w:p>
    <w:bookmarkEnd w:id="7856"/>
    <w:bookmarkStart w:name="z12079" w:id="7857"/>
    <w:p>
      <w:pPr>
        <w:spacing w:after="0"/>
        <w:ind w:left="0"/>
        <w:jc w:val="both"/>
      </w:pPr>
      <w:r>
        <w:rPr>
          <w:rFonts w:ascii="Times New Roman"/>
          <w:b w:val="false"/>
          <w:i w:val="false"/>
          <w:color w:val="000000"/>
          <w:sz w:val="28"/>
        </w:rPr>
        <w:t>
      Запрос должен включать в себя:</w:t>
      </w:r>
    </w:p>
    <w:bookmarkEnd w:id="7857"/>
    <w:bookmarkStart w:name="z12080" w:id="7858"/>
    <w:p>
      <w:pPr>
        <w:spacing w:after="0"/>
        <w:ind w:left="0"/>
        <w:jc w:val="both"/>
      </w:pPr>
      <w:r>
        <w:rPr>
          <w:rFonts w:ascii="Times New Roman"/>
          <w:b w:val="false"/>
          <w:i w:val="false"/>
          <w:color w:val="000000"/>
          <w:sz w:val="28"/>
        </w:rPr>
        <w:t>
      данные, обосновывающие возможность проведения процедуры условной регистрации лекарственного препарата, в том числе о соответствии лекарственного препарата условиям, необходимым для выполнения такой процедуры;</w:t>
      </w:r>
    </w:p>
    <w:bookmarkEnd w:id="7858"/>
    <w:bookmarkStart w:name="z12081" w:id="7859"/>
    <w:p>
      <w:pPr>
        <w:spacing w:after="0"/>
        <w:ind w:left="0"/>
        <w:jc w:val="both"/>
      </w:pPr>
      <w:r>
        <w:rPr>
          <w:rFonts w:ascii="Times New Roman"/>
          <w:b w:val="false"/>
          <w:i w:val="false"/>
          <w:color w:val="000000"/>
          <w:sz w:val="28"/>
        </w:rPr>
        <w:t>
      предложения заявителя по завершению проводящихся или новых исследований;</w:t>
      </w:r>
    </w:p>
    <w:bookmarkEnd w:id="7859"/>
    <w:bookmarkStart w:name="z12082" w:id="7860"/>
    <w:p>
      <w:pPr>
        <w:spacing w:after="0"/>
        <w:ind w:left="0"/>
        <w:jc w:val="both"/>
      </w:pPr>
      <w:r>
        <w:rPr>
          <w:rFonts w:ascii="Times New Roman"/>
          <w:b w:val="false"/>
          <w:i w:val="false"/>
          <w:color w:val="000000"/>
          <w:sz w:val="28"/>
        </w:rPr>
        <w:t>
      предложения по результатам фармаконадзора (при необходимости).</w:t>
      </w:r>
    </w:p>
    <w:bookmarkEnd w:id="7860"/>
    <w:bookmarkStart w:name="z12083" w:id="7861"/>
    <w:p>
      <w:pPr>
        <w:spacing w:after="0"/>
        <w:ind w:left="0"/>
        <w:jc w:val="both"/>
      </w:pPr>
      <w:r>
        <w:rPr>
          <w:rFonts w:ascii="Times New Roman"/>
          <w:b w:val="false"/>
          <w:i w:val="false"/>
          <w:color w:val="000000"/>
          <w:sz w:val="28"/>
        </w:rPr>
        <w:t>
      В запросе допускается приводить ссылки на отдельные разделы заявления на регистрацию и регистрационного досье.</w:t>
      </w:r>
    </w:p>
    <w:bookmarkEnd w:id="7861"/>
    <w:bookmarkStart w:name="z12084" w:id="7862"/>
    <w:p>
      <w:pPr>
        <w:spacing w:after="0"/>
        <w:ind w:left="0"/>
        <w:jc w:val="left"/>
      </w:pPr>
      <w:r>
        <w:rPr>
          <w:rFonts w:ascii="Times New Roman"/>
          <w:b/>
          <w:i w:val="false"/>
          <w:color w:val="000000"/>
        </w:rPr>
        <w:t xml:space="preserve"> Обоснование проведения процедуры условной регистрации</w:t>
      </w:r>
    </w:p>
    <w:bookmarkEnd w:id="7862"/>
    <w:bookmarkStart w:name="z12085" w:id="7863"/>
    <w:p>
      <w:pPr>
        <w:spacing w:after="0"/>
        <w:ind w:left="0"/>
        <w:jc w:val="both"/>
      </w:pPr>
      <w:r>
        <w:rPr>
          <w:rFonts w:ascii="Times New Roman"/>
          <w:b w:val="false"/>
          <w:i w:val="false"/>
          <w:color w:val="000000"/>
          <w:sz w:val="28"/>
        </w:rPr>
        <w:t>
      Заявитель обязан представить обоснование того, что лекарственный препарат, поданный на регистрацию, соответствует области применения условной регистрации, указанной в разделе II настоящего документа. Указанное обоснование для каждой из групп лекарственных препаратов должно включать в себя следующие данные:</w:t>
      </w:r>
    </w:p>
    <w:bookmarkEnd w:id="7863"/>
    <w:bookmarkStart w:name="z12086" w:id="7864"/>
    <w:p>
      <w:pPr>
        <w:spacing w:after="0"/>
        <w:ind w:left="0"/>
        <w:jc w:val="both"/>
      </w:pPr>
      <w:r>
        <w:rPr>
          <w:rFonts w:ascii="Times New Roman"/>
          <w:b w:val="false"/>
          <w:i w:val="false"/>
          <w:color w:val="000000"/>
          <w:sz w:val="28"/>
        </w:rPr>
        <w:t>
      в отношении лекарственных препаратов, предназначенных для лечения, профилактики или диагностики серьезных (тяжелых) инвалидизирующих или угрожающих жизни заболеваний тяжесть заболевания (то есть его способность приводить к формированию серьезного инвалидизирующего состояния или носить угрожающий жизни характер) должна быть обоснована путем предоставления объективных и поддающихся количественной оценке медицинских сведений или эпидемиологических сведений. Угрожающий жизни характер заболевания допускается обосновать предоставлением графиков смертности и ожидаемой продолжительности жизни. Способность заболевания приводить к формированию серьезного инвалидизирующего состояния требует проведения анализа морбидности и последствий заболевания (состояния) для повседневной жизнедеятельности пациентов. Чтобы заболевание могло быть признано серьезно инвалидизирующим, оно должно оказывать доказанное существенное влияние на повседневную жизнедеятельность пациентов уже на ранних, либо на более поздних стадиях заболевания. Эти данные необходимо количественно оценить с помощью объективных критериев, насколько это позволяет используемая методика анализа. Кроме того, предотвращение формирования серьезного инвалидизирующего состояния или смертельного исхода должно быть основным показанием к применению лекарственного препарата, заявленного на условную регистрацию (то есть обеспечивать его эффективность для подавляющей части целевой популяции).</w:t>
      </w:r>
    </w:p>
    <w:bookmarkEnd w:id="7864"/>
    <w:bookmarkStart w:name="z12087" w:id="7865"/>
    <w:p>
      <w:pPr>
        <w:spacing w:after="0"/>
        <w:ind w:left="0"/>
        <w:jc w:val="both"/>
      </w:pPr>
      <w:r>
        <w:rPr>
          <w:rFonts w:ascii="Times New Roman"/>
          <w:b w:val="false"/>
          <w:i w:val="false"/>
          <w:color w:val="000000"/>
          <w:sz w:val="28"/>
        </w:rPr>
        <w:t>
      В отношении лекарственных препаратов, предназначенных для применения в ситуациях угрозы здоровью населения, в установленном порядке признанных Всемирной организацией здравоохранения (ВОЗ) или уполномоченным органом государства-члена необходимо представить обоснование того, что лекарственный препарат предназначен для применения в экстренных ситуациях угрозы здоровью населения путем указания ссылок на соответствующую резолюцию ВОЗ либо на меры противодействия распространению угрозы здоровью населения, утвержденные уполномоченным органом государства-члена.</w:t>
      </w:r>
    </w:p>
    <w:bookmarkEnd w:id="7865"/>
    <w:bookmarkStart w:name="z12088" w:id="7866"/>
    <w:p>
      <w:pPr>
        <w:spacing w:after="0"/>
        <w:ind w:left="0"/>
        <w:jc w:val="both"/>
      </w:pPr>
      <w:r>
        <w:rPr>
          <w:rFonts w:ascii="Times New Roman"/>
          <w:b w:val="false"/>
          <w:i w:val="false"/>
          <w:color w:val="000000"/>
          <w:sz w:val="28"/>
        </w:rPr>
        <w:t>
      В отношении лекарственных препаратов, имеющих статус орфанного лекарственного препарата или признанных орфанными в государствах-членах необходимо предоставить копию решения уполномоченного органа (экспертной организации) референтного государства о присвоении лекарственному препарату статуса орфанного лекарственного препарата либо иное документальное подтверждение наличия у данного лекарственного препарата такого статуса.</w:t>
      </w:r>
    </w:p>
    <w:bookmarkEnd w:id="7866"/>
    <w:bookmarkStart w:name="z12089" w:id="7867"/>
    <w:p>
      <w:pPr>
        <w:spacing w:after="0"/>
        <w:ind w:left="0"/>
        <w:jc w:val="left"/>
      </w:pPr>
      <w:r>
        <w:rPr>
          <w:rFonts w:ascii="Times New Roman"/>
          <w:b/>
          <w:i w:val="false"/>
          <w:color w:val="000000"/>
        </w:rPr>
        <w:t xml:space="preserve"> 2. Особенности формирования регистрационного досье лекарственного препарата и его оценки при проведении условной регистрации</w:t>
      </w:r>
    </w:p>
    <w:bookmarkEnd w:id="7867"/>
    <w:bookmarkStart w:name="z12090" w:id="7868"/>
    <w:p>
      <w:pPr>
        <w:spacing w:after="0"/>
        <w:ind w:left="0"/>
        <w:jc w:val="both"/>
      </w:pPr>
      <w:r>
        <w:rPr>
          <w:rFonts w:ascii="Times New Roman"/>
          <w:b w:val="false"/>
          <w:i w:val="false"/>
          <w:color w:val="000000"/>
          <w:sz w:val="28"/>
        </w:rPr>
        <w:t>
      Лекарственный препарат может быть зарегистрирован по процедуре условной регистрации, если уполномоченным органом (экспертной организацией) референтного государства установлено, что, несмотря на непредоставление полных клинических данных о безопасности и эффективности лекарственного препарата, выполняются все следующие условия:</w:t>
      </w:r>
    </w:p>
    <w:bookmarkEnd w:id="7868"/>
    <w:bookmarkStart w:name="z12091" w:id="7869"/>
    <w:p>
      <w:pPr>
        <w:spacing w:after="0"/>
        <w:ind w:left="0"/>
        <w:jc w:val="both"/>
      </w:pPr>
      <w:r>
        <w:rPr>
          <w:rFonts w:ascii="Times New Roman"/>
          <w:b w:val="false"/>
          <w:i w:val="false"/>
          <w:color w:val="000000"/>
          <w:sz w:val="28"/>
        </w:rPr>
        <w:t>
      положительное соотношение "польза – риск" лекарственного препарата;</w:t>
      </w:r>
    </w:p>
    <w:bookmarkEnd w:id="7869"/>
    <w:bookmarkStart w:name="z12092" w:id="7870"/>
    <w:p>
      <w:pPr>
        <w:spacing w:after="0"/>
        <w:ind w:left="0"/>
        <w:jc w:val="both"/>
      </w:pPr>
      <w:r>
        <w:rPr>
          <w:rFonts w:ascii="Times New Roman"/>
          <w:b w:val="false"/>
          <w:i w:val="false"/>
          <w:color w:val="000000"/>
          <w:sz w:val="28"/>
        </w:rPr>
        <w:t>
      заявитель способен в последующем (после регистрации лекарственного препарата) предоставить полные клинические данные (а также при необходимости доклинические данные и данные о качестве);</w:t>
      </w:r>
    </w:p>
    <w:bookmarkEnd w:id="7870"/>
    <w:bookmarkStart w:name="z12093" w:id="7871"/>
    <w:p>
      <w:pPr>
        <w:spacing w:after="0"/>
        <w:ind w:left="0"/>
        <w:jc w:val="both"/>
      </w:pPr>
      <w:r>
        <w:rPr>
          <w:rFonts w:ascii="Times New Roman"/>
          <w:b w:val="false"/>
          <w:i w:val="false"/>
          <w:color w:val="000000"/>
          <w:sz w:val="28"/>
        </w:rPr>
        <w:t>
      регистрация лекарственного препарата позволит обеспечить неудовлетворенные медицинские потребности системы здравоохранения;</w:t>
      </w:r>
    </w:p>
    <w:bookmarkEnd w:id="7871"/>
    <w:bookmarkStart w:name="z12094" w:id="7872"/>
    <w:p>
      <w:pPr>
        <w:spacing w:after="0"/>
        <w:ind w:left="0"/>
        <w:jc w:val="both"/>
      </w:pPr>
      <w:r>
        <w:rPr>
          <w:rFonts w:ascii="Times New Roman"/>
          <w:b w:val="false"/>
          <w:i w:val="false"/>
          <w:color w:val="000000"/>
          <w:sz w:val="28"/>
        </w:rPr>
        <w:t>
      польза для здоровья населения от допуска на рынок лекарственного препарата превысит риск, связанный с отсутствием части данных о безопасности и эффективности лекарственного препарата на момент его регистрации (при условии предоставления таких данных в дальнейшем).</w:t>
      </w:r>
    </w:p>
    <w:bookmarkEnd w:id="7872"/>
    <w:bookmarkStart w:name="z12095" w:id="7873"/>
    <w:p>
      <w:pPr>
        <w:spacing w:after="0"/>
        <w:ind w:left="0"/>
        <w:jc w:val="both"/>
      </w:pPr>
      <w:r>
        <w:rPr>
          <w:rFonts w:ascii="Times New Roman"/>
          <w:b w:val="false"/>
          <w:i w:val="false"/>
          <w:color w:val="000000"/>
          <w:sz w:val="28"/>
        </w:rPr>
        <w:t>
      В экстренных ситуациях, указанных в абзаце третьем раздела II настоящего документа, условная регистрация может быть осуществлена при соблюдении условий, установленных абзацами вторым – пятым настоящего подраздела и при отсутствии полных доклинических данных или данных модуля 3 регистрационного досье на лекарственный препарат.</w:t>
      </w:r>
    </w:p>
    <w:bookmarkEnd w:id="7873"/>
    <w:bookmarkStart w:name="z12096" w:id="7874"/>
    <w:p>
      <w:pPr>
        <w:spacing w:after="0"/>
        <w:ind w:left="0"/>
        <w:jc w:val="both"/>
      </w:pPr>
      <w:r>
        <w:rPr>
          <w:rFonts w:ascii="Times New Roman"/>
          <w:b w:val="false"/>
          <w:i w:val="false"/>
          <w:color w:val="000000"/>
          <w:sz w:val="28"/>
        </w:rPr>
        <w:t>
      Для целей абзаца второго настоящего подраздела понятие "неудовлетворенные медицинские потребности" применяется в значении, установленном пунктом 1203 Правил.</w:t>
      </w:r>
    </w:p>
    <w:bookmarkEnd w:id="7874"/>
    <w:bookmarkStart w:name="z12097" w:id="7875"/>
    <w:p>
      <w:pPr>
        <w:spacing w:after="0"/>
        <w:ind w:left="0"/>
        <w:jc w:val="both"/>
      </w:pPr>
      <w:r>
        <w:rPr>
          <w:rFonts w:ascii="Times New Roman"/>
          <w:b w:val="false"/>
          <w:i w:val="false"/>
          <w:color w:val="000000"/>
          <w:sz w:val="28"/>
        </w:rPr>
        <w:t>
      В резюме для заявления на условную регистрацию, размещенном в разделе 1.8.2.9 модуля 1 регистрационного досье, заявитель обязан обосновать выполнение каждого из условий, указанных в настоящем подразделе.</w:t>
      </w:r>
    </w:p>
    <w:bookmarkEnd w:id="7875"/>
    <w:bookmarkStart w:name="z12098" w:id="7876"/>
    <w:p>
      <w:pPr>
        <w:spacing w:after="0"/>
        <w:ind w:left="0"/>
        <w:jc w:val="left"/>
      </w:pPr>
      <w:r>
        <w:rPr>
          <w:rFonts w:ascii="Times New Roman"/>
          <w:b/>
          <w:i w:val="false"/>
          <w:color w:val="000000"/>
        </w:rPr>
        <w:t xml:space="preserve"> Положительное соотношение "польза – риск" лекарственного препарата</w:t>
      </w:r>
    </w:p>
    <w:bookmarkEnd w:id="7876"/>
    <w:bookmarkStart w:name="z12099" w:id="7877"/>
    <w:p>
      <w:pPr>
        <w:spacing w:after="0"/>
        <w:ind w:left="0"/>
        <w:jc w:val="both"/>
      </w:pPr>
      <w:r>
        <w:rPr>
          <w:rFonts w:ascii="Times New Roman"/>
          <w:b w:val="false"/>
          <w:i w:val="false"/>
          <w:color w:val="000000"/>
          <w:sz w:val="28"/>
        </w:rPr>
        <w:t>
      В общем случае подтверждение положительного соотношения "польза – риск" в резюме на условную регистрацию должно быть основано на научных доказательствах, в том числе результатах клинических исследований (например, рандомизированных контролируемых исследований), которые позволяют подтвердить оценку терапевтической эффективности, безопасности и положительное соотношение "польза – риск" для лекарственного препарата.</w:t>
      </w:r>
    </w:p>
    <w:bookmarkEnd w:id="7877"/>
    <w:bookmarkStart w:name="z12100" w:id="7878"/>
    <w:p>
      <w:pPr>
        <w:spacing w:after="0"/>
        <w:ind w:left="0"/>
        <w:jc w:val="both"/>
      </w:pPr>
      <w:r>
        <w:rPr>
          <w:rFonts w:ascii="Times New Roman"/>
          <w:b w:val="false"/>
          <w:i w:val="false"/>
          <w:color w:val="000000"/>
          <w:sz w:val="28"/>
        </w:rPr>
        <w:t xml:space="preserve">
      Требования к документам и данным регистрационного досье, установленные в </w:t>
      </w:r>
      <w:r>
        <w:rPr>
          <w:rFonts w:ascii="Times New Roman"/>
          <w:b w:val="false"/>
          <w:i w:val="false"/>
          <w:color w:val="000000"/>
          <w:sz w:val="28"/>
        </w:rPr>
        <w:t>приложении № 1</w:t>
      </w:r>
      <w:r>
        <w:rPr>
          <w:rFonts w:ascii="Times New Roman"/>
          <w:b w:val="false"/>
          <w:i w:val="false"/>
          <w:color w:val="000000"/>
          <w:sz w:val="28"/>
        </w:rPr>
        <w:t xml:space="preserve"> к Правилам, применимы к лекарственным препаратам, которые заявлены на условную регистрацию. В случае если процедура условной регистрации проводится в отношении лекарственных препаратов, содержащих действующие вещества впервые заявляемые на регистрацию, допускается предоставление доказательств терапевтической эффективности и безопасности таких лекарственных препаратов в меньшем объеме по сравнению с обычной регистрацией. Однако этого объема данных должно быть достаточно для подтверждения положительного соотношения "польза – риск" и установления значимой пользы лекарственного препарата, превышающей риски:</w:t>
      </w:r>
    </w:p>
    <w:bookmarkEnd w:id="7878"/>
    <w:bookmarkStart w:name="z12101" w:id="7879"/>
    <w:p>
      <w:pPr>
        <w:spacing w:after="0"/>
        <w:ind w:left="0"/>
        <w:jc w:val="both"/>
      </w:pPr>
      <w:r>
        <w:rPr>
          <w:rFonts w:ascii="Times New Roman"/>
          <w:b w:val="false"/>
          <w:i w:val="false"/>
          <w:color w:val="000000"/>
          <w:sz w:val="28"/>
        </w:rPr>
        <w:t>
      применения лекарственного препарата, выявленные в ходе клинических исследований;</w:t>
      </w:r>
    </w:p>
    <w:bookmarkEnd w:id="7879"/>
    <w:bookmarkStart w:name="z12102" w:id="7880"/>
    <w:p>
      <w:pPr>
        <w:spacing w:after="0"/>
        <w:ind w:left="0"/>
        <w:jc w:val="both"/>
      </w:pPr>
      <w:r>
        <w:rPr>
          <w:rFonts w:ascii="Times New Roman"/>
          <w:b w:val="false"/>
          <w:i w:val="false"/>
          <w:color w:val="000000"/>
          <w:sz w:val="28"/>
        </w:rPr>
        <w:t>
      отсутствия части данных о терапевтической эффективности и безопасности лекарственного препарата.</w:t>
      </w:r>
    </w:p>
    <w:bookmarkEnd w:id="7880"/>
    <w:bookmarkStart w:name="z12103" w:id="7881"/>
    <w:p>
      <w:pPr>
        <w:spacing w:after="0"/>
        <w:ind w:left="0"/>
        <w:jc w:val="both"/>
      </w:pPr>
      <w:r>
        <w:rPr>
          <w:rFonts w:ascii="Times New Roman"/>
          <w:b w:val="false"/>
          <w:i w:val="false"/>
          <w:color w:val="000000"/>
          <w:sz w:val="28"/>
        </w:rPr>
        <w:t xml:space="preserve">
      В случае проведения процедуры условной регистрации должны быть доступны подробные данные, содержащиеся в модулях 3 и 4 регистрационного досье. При этом допускается предоставление неполных данных клинических исследований, содержащихся в модуле 5 регистрационного досье. Поскольку при условной регистрации наблюдается неопределенность оценки, связанная с отсутствием части данных клинических исследований в модуле 5 регистрационного досье, остальные модули регистрационного досье должны содержать полный объем данных всех требуемых исследований и не иметь недостающих данных, которые бы увеличивали вероятность в целях исключения ошибки в оценке регистрационного досье, связанной с неопределенностью. </w:t>
      </w:r>
    </w:p>
    <w:bookmarkEnd w:id="7881"/>
    <w:bookmarkStart w:name="z12104" w:id="7882"/>
    <w:p>
      <w:pPr>
        <w:spacing w:after="0"/>
        <w:ind w:left="0"/>
        <w:jc w:val="both"/>
      </w:pPr>
      <w:r>
        <w:rPr>
          <w:rFonts w:ascii="Times New Roman"/>
          <w:b w:val="false"/>
          <w:i w:val="false"/>
          <w:color w:val="000000"/>
          <w:sz w:val="28"/>
        </w:rPr>
        <w:t>
      Для лекарственных препаратов, которые предназначены для применения в экстренных ситуациях при состояниях, непосредственно угрожающих жизни и здоровью населения, и которые могут принести особую пользу в этих ситуациях, допускается установление более широких границ приемлемости риска, связанного с неполными данными регистрационного досье. В подобных случаях условная регистрация может быть также осуществлена, если данные, содержащиеся в модулях 3 и 4 регистрационного досье, также не являются полными. Подобные лекарственные препараты подлежат оценке в индивидуальном порядке с учетом характера предотвращаемых ими угроз здоровью населения и положительных эффектов лекарственного препарата.</w:t>
      </w:r>
    </w:p>
    <w:bookmarkEnd w:id="7882"/>
    <w:bookmarkStart w:name="z12105" w:id="7883"/>
    <w:p>
      <w:pPr>
        <w:spacing w:after="0"/>
        <w:ind w:left="0"/>
        <w:jc w:val="both"/>
      </w:pPr>
      <w:r>
        <w:rPr>
          <w:rFonts w:ascii="Times New Roman"/>
          <w:b w:val="false"/>
          <w:i w:val="false"/>
          <w:color w:val="000000"/>
          <w:sz w:val="28"/>
        </w:rPr>
        <w:t>
      Для обоснования положительного соотношения "польза — риск" должен быть установлен профиль безопасности лекарственного препарата.</w:t>
      </w:r>
    </w:p>
    <w:bookmarkEnd w:id="7883"/>
    <w:bookmarkStart w:name="z12106" w:id="7884"/>
    <w:p>
      <w:pPr>
        <w:spacing w:after="0"/>
        <w:ind w:left="0"/>
        <w:jc w:val="both"/>
      </w:pPr>
      <w:r>
        <w:rPr>
          <w:rFonts w:ascii="Times New Roman"/>
          <w:b w:val="false"/>
          <w:i w:val="false"/>
          <w:color w:val="000000"/>
          <w:sz w:val="28"/>
        </w:rPr>
        <w:t>
      Заявитель обязан:</w:t>
      </w:r>
    </w:p>
    <w:bookmarkEnd w:id="7884"/>
    <w:bookmarkStart w:name="z12107" w:id="7885"/>
    <w:p>
      <w:pPr>
        <w:spacing w:after="0"/>
        <w:ind w:left="0"/>
        <w:jc w:val="both"/>
      </w:pPr>
      <w:r>
        <w:rPr>
          <w:rFonts w:ascii="Times New Roman"/>
          <w:b w:val="false"/>
          <w:i w:val="false"/>
          <w:color w:val="000000"/>
          <w:sz w:val="28"/>
        </w:rPr>
        <w:t>
      проанализировать, какой объем данных о безопасности и эффективности лекарственного препарата является недоступным на момент подачи заявления и осуществления регистрации;</w:t>
      </w:r>
    </w:p>
    <w:bookmarkEnd w:id="7885"/>
    <w:bookmarkStart w:name="z12108" w:id="7886"/>
    <w:p>
      <w:pPr>
        <w:spacing w:after="0"/>
        <w:ind w:left="0"/>
        <w:jc w:val="both"/>
      </w:pPr>
      <w:r>
        <w:rPr>
          <w:rFonts w:ascii="Times New Roman"/>
          <w:b w:val="false"/>
          <w:i w:val="false"/>
          <w:color w:val="000000"/>
          <w:sz w:val="28"/>
        </w:rPr>
        <w:t>
      обосновать приемлемость выполнения оценки возможности регистрации лекарственного препарата на основании неполных данных исходя из убедительности имеющихся в регистрационном досье результатов исследований и необходимости обеспечить положительное соотношение "польза – риск".</w:t>
      </w:r>
    </w:p>
    <w:bookmarkEnd w:id="7886"/>
    <w:bookmarkStart w:name="z12109" w:id="7887"/>
    <w:p>
      <w:pPr>
        <w:spacing w:after="0"/>
        <w:ind w:left="0"/>
        <w:jc w:val="both"/>
      </w:pPr>
      <w:r>
        <w:rPr>
          <w:rFonts w:ascii="Times New Roman"/>
          <w:b w:val="false"/>
          <w:i w:val="false"/>
          <w:color w:val="000000"/>
          <w:sz w:val="28"/>
        </w:rPr>
        <w:t>
      Допускается предоставление после регистрации лекарственного препарата следующих данных (если это обосновано заявителем):</w:t>
      </w:r>
    </w:p>
    <w:bookmarkEnd w:id="7887"/>
    <w:bookmarkStart w:name="z12110" w:id="7888"/>
    <w:p>
      <w:pPr>
        <w:spacing w:after="0"/>
        <w:ind w:left="0"/>
        <w:jc w:val="both"/>
      </w:pPr>
      <w:r>
        <w:rPr>
          <w:rFonts w:ascii="Times New Roman"/>
          <w:b w:val="false"/>
          <w:i w:val="false"/>
          <w:color w:val="000000"/>
          <w:sz w:val="28"/>
        </w:rPr>
        <w:t>
      результатов оценки более долгосрочной и более надежной с клинической точки зрения конечной точки эффективности (в случае если первоначально в регистрационном досье были представлены только данные об оценке промежуточной конечной точки) (например, данные о выживаемости, а не о частоте общего ответа пациентов на вмешательство);</w:t>
      </w:r>
    </w:p>
    <w:bookmarkEnd w:id="7888"/>
    <w:bookmarkStart w:name="z12111" w:id="7889"/>
    <w:p>
      <w:pPr>
        <w:spacing w:after="0"/>
        <w:ind w:left="0"/>
        <w:jc w:val="both"/>
      </w:pPr>
      <w:r>
        <w:rPr>
          <w:rFonts w:ascii="Times New Roman"/>
          <w:b w:val="false"/>
          <w:i w:val="false"/>
          <w:color w:val="000000"/>
          <w:sz w:val="28"/>
        </w:rPr>
        <w:t>
      данных о безопасности и эффективности лекарственного препарата, полученных из более обширной базы данных или данных, полученных на основе более продолжительного наблюдения, с той же конечной точкой (точками) и на той же популяции (например, частота ответа пациентов на вмешательство при более поздней временной точке контроля);</w:t>
      </w:r>
    </w:p>
    <w:bookmarkEnd w:id="7889"/>
    <w:bookmarkStart w:name="z12112" w:id="7890"/>
    <w:p>
      <w:pPr>
        <w:spacing w:after="0"/>
        <w:ind w:left="0"/>
        <w:jc w:val="both"/>
      </w:pPr>
      <w:r>
        <w:rPr>
          <w:rFonts w:ascii="Times New Roman"/>
          <w:b w:val="false"/>
          <w:i w:val="false"/>
          <w:color w:val="000000"/>
          <w:sz w:val="28"/>
        </w:rPr>
        <w:t>
      отдаленных данных о дополнительных конечных точках или особых выявленных проблемах (например, о влиянии на метастазы, печеночных нарушениях);</w:t>
      </w:r>
    </w:p>
    <w:bookmarkEnd w:id="7890"/>
    <w:bookmarkStart w:name="z12113" w:id="7891"/>
    <w:p>
      <w:pPr>
        <w:spacing w:after="0"/>
        <w:ind w:left="0"/>
        <w:jc w:val="both"/>
      </w:pPr>
      <w:r>
        <w:rPr>
          <w:rFonts w:ascii="Times New Roman"/>
          <w:b w:val="false"/>
          <w:i w:val="false"/>
          <w:color w:val="000000"/>
          <w:sz w:val="28"/>
        </w:rPr>
        <w:t>
      данных о клинической эффективности вакцин при их предшествующем использовании для регистрации (например, только данных об иммуногенности);</w:t>
      </w:r>
    </w:p>
    <w:bookmarkEnd w:id="7891"/>
    <w:bookmarkStart w:name="z12114" w:id="7892"/>
    <w:p>
      <w:pPr>
        <w:spacing w:after="0"/>
        <w:ind w:left="0"/>
        <w:jc w:val="both"/>
      </w:pPr>
      <w:r>
        <w:rPr>
          <w:rFonts w:ascii="Times New Roman"/>
          <w:b w:val="false"/>
          <w:i w:val="false"/>
          <w:color w:val="000000"/>
          <w:sz w:val="28"/>
        </w:rPr>
        <w:t>
      дополнительных данных в важных субпопуляциях (например, о пациентах с резистентностью или пациентах с важным биомаркером заболевания);</w:t>
      </w:r>
    </w:p>
    <w:bookmarkEnd w:id="7892"/>
    <w:bookmarkStart w:name="z12115" w:id="7893"/>
    <w:p>
      <w:pPr>
        <w:spacing w:after="0"/>
        <w:ind w:left="0"/>
        <w:jc w:val="both"/>
      </w:pPr>
      <w:r>
        <w:rPr>
          <w:rFonts w:ascii="Times New Roman"/>
          <w:b w:val="false"/>
          <w:i w:val="false"/>
          <w:color w:val="000000"/>
          <w:sz w:val="28"/>
        </w:rPr>
        <w:t>
      дополнительных данных о влиянии других лекарственных препаратов (например, данных об эффективности комбинации с другими лекарственными препаратами).</w:t>
      </w:r>
    </w:p>
    <w:bookmarkEnd w:id="7893"/>
    <w:bookmarkStart w:name="z12116" w:id="7894"/>
    <w:p>
      <w:pPr>
        <w:spacing w:after="0"/>
        <w:ind w:left="0"/>
        <w:jc w:val="both"/>
      </w:pPr>
      <w:r>
        <w:rPr>
          <w:rFonts w:ascii="Times New Roman"/>
          <w:b w:val="false"/>
          <w:i w:val="false"/>
          <w:color w:val="000000"/>
          <w:sz w:val="28"/>
        </w:rPr>
        <w:t>
      Установление благоприятных эффектов при условной регистрации может потенциально основываться на промежуточных конечных точках, которые обоснованно могут приводить к клинической пользе, но непосредственно не определяют ее. Если предлагается подобный подход, необходимо с использованием доступных доказательств проанализировать пригодность промежуточной конечной точки для установления или выполнения прогноза клинической пользы от применения лекарственного препарата. В частности, заявитель обязан оценить степень неопределенности при прогнозе клинической пользы на основе промежуточной конечной точки и обосновать приемлемость этой степени неопределенности. Условная регистрация с необходимостью подтверждения в пострегистрационном периоде клинической пользы допустима только в том случае, если по результатам оценки клиническая польза лекарственного препарата на основе анализа промежуточной конечной точки превышает неопределенность оценки, которая формируется этой промежуточной конечной точкой. Необходимо также пояснить, что в случаях, когда используемая промежуточная конечная точка является полностью валидированной суррогатной конечной точкой (например, исходя их решений ведущих международных регуляторов или соответствующего научного анализа) и дальнейшие данные о фактической клинической пользе не требуются, может быть рассмотрена возможность регистрации лекарственного препарата без особых обязательств.</w:t>
      </w:r>
    </w:p>
    <w:bookmarkEnd w:id="7894"/>
    <w:bookmarkStart w:name="z12117" w:id="7895"/>
    <w:p>
      <w:pPr>
        <w:spacing w:after="0"/>
        <w:ind w:left="0"/>
        <w:jc w:val="both"/>
      </w:pPr>
      <w:r>
        <w:rPr>
          <w:rFonts w:ascii="Times New Roman"/>
          <w:b w:val="false"/>
          <w:i w:val="false"/>
          <w:color w:val="000000"/>
          <w:sz w:val="28"/>
        </w:rPr>
        <w:t>
      Примеры установления положительного соотношения "польза – риск" при неполных данных о безопасности и эффективности лекарственного препарата включают в себя случаи, когда, с одной стороны, представленные данные необходимо дополнить, чтобы считать клиническую оценку лекарственного препарата полностью выполненной (например, данными, полученными на основании более продолжительного наблюдения, результатами анализа более крупной базы данных или данными, полученными в результате анализа дополнительных конечных точек), но, с другой стороны, польза от применения лекарственного препарата, установленная на основании уже имеющихся ограниченных данных превышает риски. В таких случаях с точки зрения интересов охраны здоровья населения будет необоснованно откладывать регистрацию лекарственного препарата и возможность начала его широкого клинического применения.</w:t>
      </w:r>
    </w:p>
    <w:bookmarkEnd w:id="7895"/>
    <w:bookmarkStart w:name="z12118" w:id="7896"/>
    <w:p>
      <w:pPr>
        <w:spacing w:after="0"/>
        <w:ind w:left="0"/>
        <w:jc w:val="both"/>
      </w:pPr>
      <w:r>
        <w:rPr>
          <w:rFonts w:ascii="Times New Roman"/>
          <w:b w:val="false"/>
          <w:i w:val="false"/>
          <w:color w:val="000000"/>
          <w:sz w:val="28"/>
        </w:rPr>
        <w:t>
      Ограниченный объем доступных данных о безопасности лекарственного препарата вносит вклад в неопределенность и подлежит учету при оценке соотношения "польза – риск". Приемлемость безопасности лекарственного препарата подлежит оценке в индивидуальном порядке на основании доступных данных с учетом продемонстрированной пользы лекарственного препарата.</w:t>
      </w:r>
    </w:p>
    <w:bookmarkEnd w:id="7896"/>
    <w:bookmarkStart w:name="z12119" w:id="7897"/>
    <w:p>
      <w:pPr>
        <w:spacing w:after="0"/>
        <w:ind w:left="0"/>
        <w:jc w:val="both"/>
      </w:pPr>
      <w:r>
        <w:rPr>
          <w:rFonts w:ascii="Times New Roman"/>
          <w:b w:val="false"/>
          <w:i w:val="false"/>
          <w:color w:val="000000"/>
          <w:sz w:val="28"/>
        </w:rPr>
        <w:t>
      Таким образом, условная регистрация допускается при проведении исследований с меньшим размером выборки и (или) меньшей продолжительностью и (или) иными конечными точками, по сравнению с тем стандартом исследований, который необходим для подтверждающих клинических исследований лекарственного препарата, предназначенного для лечения определенного вида заболеваний (состояний). Вместе с тем при проведении процедуры условной регистрации в регистрационном досье необходимо предоставить обоснование, что польза, установленная с помощью доступных в регистрационном досье данных, превышает возможные риски, учитывая высокий уровень неопределенности такой оценки риска, связанной с неполным объемом данных регистрационного досье. Поскольку риски, обусловленные неполным объемом данных, невозможно точно оценить, выявленные полезные эффекты лекарственного препарата должны позволять сделать однозначный вывод о его клинической пользе. Это позволит одобрить клиническое применение особо перспективных лекарственных препаратов, которые могут принести значительную пользу системе здравоохранения в целом.</w:t>
      </w:r>
    </w:p>
    <w:bookmarkEnd w:id="7897"/>
    <w:bookmarkStart w:name="z12120" w:id="7898"/>
    <w:p>
      <w:pPr>
        <w:spacing w:after="0"/>
        <w:ind w:left="0"/>
        <w:jc w:val="both"/>
      </w:pPr>
      <w:r>
        <w:rPr>
          <w:rFonts w:ascii="Times New Roman"/>
          <w:b w:val="false"/>
          <w:i w:val="false"/>
          <w:color w:val="000000"/>
          <w:sz w:val="28"/>
        </w:rPr>
        <w:t>
      Обоснование положительного соотношения "польза – риск" со стороны заявителя включает в себя:</w:t>
      </w:r>
    </w:p>
    <w:bookmarkEnd w:id="7898"/>
    <w:bookmarkStart w:name="z12121" w:id="7899"/>
    <w:p>
      <w:pPr>
        <w:spacing w:after="0"/>
        <w:ind w:left="0"/>
        <w:jc w:val="both"/>
      </w:pPr>
      <w:r>
        <w:rPr>
          <w:rFonts w:ascii="Times New Roman"/>
          <w:b w:val="false"/>
          <w:i w:val="false"/>
          <w:color w:val="000000"/>
          <w:sz w:val="28"/>
        </w:rPr>
        <w:t>
      имеющуюся оценку соотношения "польза – риск";</w:t>
      </w:r>
    </w:p>
    <w:bookmarkEnd w:id="7899"/>
    <w:bookmarkStart w:name="z12122" w:id="7900"/>
    <w:p>
      <w:pPr>
        <w:spacing w:after="0"/>
        <w:ind w:left="0"/>
        <w:jc w:val="both"/>
      </w:pPr>
      <w:r>
        <w:rPr>
          <w:rFonts w:ascii="Times New Roman"/>
          <w:b w:val="false"/>
          <w:i w:val="false"/>
          <w:color w:val="000000"/>
          <w:sz w:val="28"/>
        </w:rPr>
        <w:t>
      обсуждение любых данных, связанных с установлением положительного соотношения "польза – риск", для подтверждения которых требуются дальнейшие исследования (например, подтверждение влияния на другие конечные точки, отдаленные эффекты, на особые популяции или выявление ответчиков).</w:t>
      </w:r>
    </w:p>
    <w:bookmarkEnd w:id="7900"/>
    <w:bookmarkStart w:name="z12123" w:id="7901"/>
    <w:p>
      <w:pPr>
        <w:spacing w:after="0"/>
        <w:ind w:left="0"/>
        <w:jc w:val="left"/>
      </w:pPr>
      <w:r>
        <w:rPr>
          <w:rFonts w:ascii="Times New Roman"/>
          <w:b/>
          <w:i w:val="false"/>
          <w:color w:val="000000"/>
        </w:rPr>
        <w:t xml:space="preserve"> Высокая вероятность представления заявителем в последующем (после регистрации лекарственного препарата) полных данных регистрационного досье</w:t>
      </w:r>
    </w:p>
    <w:bookmarkEnd w:id="7901"/>
    <w:bookmarkStart w:name="z12124" w:id="7902"/>
    <w:p>
      <w:pPr>
        <w:spacing w:after="0"/>
        <w:ind w:left="0"/>
        <w:jc w:val="both"/>
      </w:pPr>
      <w:r>
        <w:rPr>
          <w:rFonts w:ascii="Times New Roman"/>
          <w:b w:val="false"/>
          <w:i w:val="false"/>
          <w:color w:val="000000"/>
          <w:sz w:val="28"/>
        </w:rPr>
        <w:t>
      В качестве особого обязательства для держателя регистрационного удостоверения должно быть предусмотрено обязательство по завершению проводящихся исследований или проведению новых исследований с целью получения исчерпывающих клинических данных, подтверждающих положительное соотношение "польза – риск". В экстренных случаях также могут потребоваться особые обязательства по предоставлению исчерпывающих доклинических или фармацевтических данных.</w:t>
      </w:r>
    </w:p>
    <w:bookmarkEnd w:id="7902"/>
    <w:bookmarkStart w:name="z12125" w:id="7903"/>
    <w:p>
      <w:pPr>
        <w:spacing w:after="0"/>
        <w:ind w:left="0"/>
        <w:jc w:val="both"/>
      </w:pPr>
      <w:r>
        <w:rPr>
          <w:rFonts w:ascii="Times New Roman"/>
          <w:b w:val="false"/>
          <w:i w:val="false"/>
          <w:color w:val="000000"/>
          <w:sz w:val="28"/>
        </w:rPr>
        <w:t>
      Полные данные о лекарственном препарате направлены на подтверждение того, что соотношение "польза – риск" является положительным (например, при помощи проверки согласованности доступных данных о первичных или вторичных конечных точках в совокупности с более полными данными или с данными дополнительных исследований при сходных показаниях с предоставлением сведений о клинически наиболее значимых (долгосрочных) конечных точках, характеристикой продолжительности эффекта, предоставлением более крупной базы данных безопасности и, как правило, возможности полного понимания относительно эффективности и безопасности лекарственного препарата).</w:t>
      </w:r>
    </w:p>
    <w:bookmarkEnd w:id="7903"/>
    <w:bookmarkStart w:name="z12126" w:id="7904"/>
    <w:p>
      <w:pPr>
        <w:spacing w:after="0"/>
        <w:ind w:left="0"/>
        <w:jc w:val="both"/>
      </w:pPr>
      <w:r>
        <w:rPr>
          <w:rFonts w:ascii="Times New Roman"/>
          <w:b w:val="false"/>
          <w:i w:val="false"/>
          <w:color w:val="000000"/>
          <w:sz w:val="28"/>
        </w:rPr>
        <w:t xml:space="preserve">
      Устанавливаемые особые обязательства должны быть направлены на доказательство положительного соотношения "польза – риск" при одобренном показании к применению лекарственного препарата и на формирование полного регистрационного досье лекарственного препарата. Должно быть дано четкое объяснение и обоснование нерешенных вопросов о безопасности и эффективности лекарственного препарата при предлагаемых показаниях к его применению, а также того, как выполнение особых обязательств позволит ответить на эти вопросы. Особые обязательства включают в себя обязательства по проведению рандомизированных клинических исследований, но не ограничиваются ими. </w:t>
      </w:r>
    </w:p>
    <w:bookmarkEnd w:id="7904"/>
    <w:bookmarkStart w:name="z12127" w:id="7905"/>
    <w:p>
      <w:pPr>
        <w:spacing w:after="0"/>
        <w:ind w:left="0"/>
        <w:jc w:val="both"/>
      </w:pPr>
      <w:r>
        <w:rPr>
          <w:rFonts w:ascii="Times New Roman"/>
          <w:b w:val="false"/>
          <w:i w:val="false"/>
          <w:color w:val="000000"/>
          <w:sz w:val="28"/>
        </w:rPr>
        <w:t>
      Важно максимально быстро закончить фармацевтическую разработку лекарственного препарата, чтобы в ограниченный период обеспечить устранение любой неопределенности в оценке его безопасности, эффективности и качества по причине отсутствия исчерпывающих данных.</w:t>
      </w:r>
    </w:p>
    <w:bookmarkEnd w:id="7905"/>
    <w:bookmarkStart w:name="z12128" w:id="7906"/>
    <w:p>
      <w:pPr>
        <w:spacing w:after="0"/>
        <w:ind w:left="0"/>
        <w:jc w:val="both"/>
      </w:pPr>
      <w:r>
        <w:rPr>
          <w:rFonts w:ascii="Times New Roman"/>
          <w:b w:val="false"/>
          <w:i w:val="false"/>
          <w:color w:val="000000"/>
          <w:sz w:val="28"/>
        </w:rPr>
        <w:t>
      Заявитель должен объяснить, как в согласованный период могут быть получены недостающие данные о безопасности и эффективности лекарственного препарата. Кроме того, заявитель обязан предоставить гарантию выполнения уже начатых на момент условной регистрации или планируемых исследований, установленных как особые обязательства, а также гарантию качества их проведения. Это позволяет исключить невыполнение установленных особых обязательств при наличии проблем, связанных с планированием и проведением клинических исследований (например, проблем связанных с привлечением субъектов, снятием ослепления в уже начатых или планируемых исследованиях, других проблем связанных со статистическим анализом, особенно при проведении исследований с участием пациентов из той же популяции, данные о которой были включены в протоколы предыдущих клинических исследований).</w:t>
      </w:r>
    </w:p>
    <w:bookmarkEnd w:id="7906"/>
    <w:bookmarkStart w:name="z12129" w:id="7907"/>
    <w:p>
      <w:pPr>
        <w:spacing w:after="0"/>
        <w:ind w:left="0"/>
        <w:jc w:val="both"/>
      </w:pPr>
      <w:r>
        <w:rPr>
          <w:rFonts w:ascii="Times New Roman"/>
          <w:b w:val="false"/>
          <w:i w:val="false"/>
          <w:color w:val="000000"/>
          <w:sz w:val="28"/>
        </w:rPr>
        <w:t>
      В рамках оценки безопасности лекарственного препарата может потребоваться интенсивный мониторинг, для обеспечения признания положительного соотношение "польза – риск" при его ежегодной перерегистрации. Особые обязательства могут устанавливаться также в отношении фармаконадзора данного лекарственного препарата.</w:t>
      </w:r>
    </w:p>
    <w:bookmarkEnd w:id="7907"/>
    <w:bookmarkStart w:name="z12130" w:id="7908"/>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после получения обоснования, представленного заявителем, оценивает возможность и целесообразность условной регистрации. Если объем запланированных (дальнейших) клинических исследований, требуемых для подтверждения положительного соотношения "польза – риск", не предполагает их выполнение в заявленный срок, это может привести к отказу в проведении процедуры условной регистрации.</w:t>
      </w:r>
    </w:p>
    <w:bookmarkEnd w:id="7908"/>
    <w:bookmarkStart w:name="z12131" w:id="7909"/>
    <w:p>
      <w:pPr>
        <w:spacing w:after="0"/>
        <w:ind w:left="0"/>
        <w:jc w:val="both"/>
      </w:pPr>
      <w:r>
        <w:rPr>
          <w:rFonts w:ascii="Times New Roman"/>
          <w:b w:val="false"/>
          <w:i w:val="false"/>
          <w:color w:val="000000"/>
          <w:sz w:val="28"/>
        </w:rPr>
        <w:t>
      До подачи заявления на регистрацию заявитель вправе в соответствии с пунктом 26 Правил обратиться за научной консультацией по вопросам:</w:t>
      </w:r>
    </w:p>
    <w:bookmarkEnd w:id="7909"/>
    <w:bookmarkStart w:name="z12132" w:id="7910"/>
    <w:p>
      <w:pPr>
        <w:spacing w:after="0"/>
        <w:ind w:left="0"/>
        <w:jc w:val="both"/>
      </w:pPr>
      <w:r>
        <w:rPr>
          <w:rFonts w:ascii="Times New Roman"/>
          <w:b w:val="false"/>
          <w:i w:val="false"/>
          <w:color w:val="000000"/>
          <w:sz w:val="28"/>
        </w:rPr>
        <w:t>
      общего плана фармацевтической разработки лекарственного препарата;</w:t>
      </w:r>
    </w:p>
    <w:bookmarkEnd w:id="7910"/>
    <w:bookmarkStart w:name="z12133" w:id="7911"/>
    <w:p>
      <w:pPr>
        <w:spacing w:after="0"/>
        <w:ind w:left="0"/>
        <w:jc w:val="both"/>
      </w:pPr>
      <w:r>
        <w:rPr>
          <w:rFonts w:ascii="Times New Roman"/>
          <w:b w:val="false"/>
          <w:i w:val="false"/>
          <w:color w:val="000000"/>
          <w:sz w:val="28"/>
        </w:rPr>
        <w:t>
      содействия в составлении протокола клинического исследования с учетом указанной в разделе II настоящего документа категории, лекарственного препарата, заявляемого на условную регистрацию;</w:t>
      </w:r>
    </w:p>
    <w:bookmarkEnd w:id="7911"/>
    <w:bookmarkStart w:name="z12134" w:id="7912"/>
    <w:p>
      <w:pPr>
        <w:spacing w:after="0"/>
        <w:ind w:left="0"/>
        <w:jc w:val="both"/>
      </w:pPr>
      <w:r>
        <w:rPr>
          <w:rFonts w:ascii="Times New Roman"/>
          <w:b w:val="false"/>
          <w:i w:val="false"/>
          <w:color w:val="000000"/>
          <w:sz w:val="28"/>
        </w:rPr>
        <w:t>
      выбора дизайна клинических исследований;</w:t>
      </w:r>
    </w:p>
    <w:bookmarkEnd w:id="7912"/>
    <w:bookmarkStart w:name="z12135" w:id="7913"/>
    <w:p>
      <w:pPr>
        <w:spacing w:after="0"/>
        <w:ind w:left="0"/>
        <w:jc w:val="both"/>
      </w:pPr>
      <w:r>
        <w:rPr>
          <w:rFonts w:ascii="Times New Roman"/>
          <w:b w:val="false"/>
          <w:i w:val="false"/>
          <w:color w:val="000000"/>
          <w:sz w:val="28"/>
        </w:rPr>
        <w:t>
      согласования перечня клинических исследований, которые следует завершить до регистрации, и клинических исследований, проведение которых будет завершено (в качестве выполнения установленных особых обязательств) после осуществления условной регистрации.</w:t>
      </w:r>
    </w:p>
    <w:bookmarkEnd w:id="7913"/>
    <w:bookmarkStart w:name="z12136" w:id="7914"/>
    <w:p>
      <w:pPr>
        <w:spacing w:after="0"/>
        <w:ind w:left="0"/>
        <w:jc w:val="both"/>
      </w:pPr>
      <w:r>
        <w:rPr>
          <w:rFonts w:ascii="Times New Roman"/>
          <w:b w:val="false"/>
          <w:i w:val="false"/>
          <w:color w:val="000000"/>
          <w:sz w:val="28"/>
        </w:rPr>
        <w:t>
      При обсуждении программы фармацевтической разработки лекарственного препарата в целях проведения процедуры условной регистрации заявитель вправе предоставить уполномоченному органу (экспертной организации) референтного государства структуру планируемого алгоритма условной регистрации, планирование влияния ожидаемых исходов на реализацию последующих этапов такой программы (включая установленные особые обязательства).</w:t>
      </w:r>
    </w:p>
    <w:bookmarkEnd w:id="7914"/>
    <w:bookmarkStart w:name="z12137" w:id="7915"/>
    <w:p>
      <w:pPr>
        <w:spacing w:after="0"/>
        <w:ind w:left="0"/>
        <w:jc w:val="both"/>
      </w:pPr>
      <w:r>
        <w:rPr>
          <w:rFonts w:ascii="Times New Roman"/>
          <w:b w:val="false"/>
          <w:i w:val="false"/>
          <w:color w:val="000000"/>
          <w:sz w:val="28"/>
        </w:rPr>
        <w:t>
      При подготовке и обсуждении программы фармацевтической разработки орфанного лекарственного препарата, который одновременно попадает в категорию лекарственного препарата, обладающего существенными преимуществами в части эффективности и (или) безопасности по сравнению с уже зарегистрированными альтернативными лекарственными препаратами, заявитель должен учитывать пригодность получаемых в ходе клинических исследований данных для подтверждения статуса орфанного лекарственного препарата в момент проведения процедуры условной регистрации.</w:t>
      </w:r>
    </w:p>
    <w:bookmarkEnd w:id="7915"/>
    <w:bookmarkStart w:name="z12138" w:id="7916"/>
    <w:p>
      <w:pPr>
        <w:spacing w:after="0"/>
        <w:ind w:left="0"/>
        <w:jc w:val="both"/>
      </w:pPr>
      <w:r>
        <w:rPr>
          <w:rFonts w:ascii="Times New Roman"/>
          <w:b w:val="false"/>
          <w:i w:val="false"/>
          <w:color w:val="000000"/>
          <w:sz w:val="28"/>
        </w:rPr>
        <w:t>
      Необходимо предоставить краткое описание (включая синопсис) каждого проводимого или нового исследования, результаты которого предлагается предоставить в рамках установленных особых обязательств. Структуру и содержание синопсиса допускается изменять в зависимости от вида исследования и устанавливаемых особых обязательств. В случае стандартного исследования клинической эффективности предоставляемые в составе синопсиса сведения должны включать в себя:</w:t>
      </w:r>
    </w:p>
    <w:bookmarkEnd w:id="7916"/>
    <w:bookmarkStart w:name="z12139" w:id="7917"/>
    <w:p>
      <w:pPr>
        <w:spacing w:after="0"/>
        <w:ind w:left="0"/>
        <w:jc w:val="both"/>
      </w:pPr>
      <w:r>
        <w:rPr>
          <w:rFonts w:ascii="Times New Roman"/>
          <w:b w:val="false"/>
          <w:i w:val="false"/>
          <w:color w:val="000000"/>
          <w:sz w:val="28"/>
        </w:rPr>
        <w:t>
      название исследования;</w:t>
      </w:r>
    </w:p>
    <w:bookmarkEnd w:id="7917"/>
    <w:bookmarkStart w:name="z12140" w:id="7918"/>
    <w:p>
      <w:pPr>
        <w:spacing w:after="0"/>
        <w:ind w:left="0"/>
        <w:jc w:val="both"/>
      </w:pPr>
      <w:r>
        <w:rPr>
          <w:rFonts w:ascii="Times New Roman"/>
          <w:b w:val="false"/>
          <w:i w:val="false"/>
          <w:color w:val="000000"/>
          <w:sz w:val="28"/>
        </w:rPr>
        <w:t>
      введение (обоснование исследования);</w:t>
      </w:r>
    </w:p>
    <w:bookmarkEnd w:id="7918"/>
    <w:bookmarkStart w:name="z12141" w:id="7919"/>
    <w:p>
      <w:pPr>
        <w:spacing w:after="0"/>
        <w:ind w:left="0"/>
        <w:jc w:val="both"/>
      </w:pPr>
      <w:r>
        <w:rPr>
          <w:rFonts w:ascii="Times New Roman"/>
          <w:b w:val="false"/>
          <w:i w:val="false"/>
          <w:color w:val="000000"/>
          <w:sz w:val="28"/>
        </w:rPr>
        <w:t>
      описание применяемых вмешательств (с указанием наименования лекарственных препаратов, их дозы и иных процедур);</w:t>
      </w:r>
    </w:p>
    <w:bookmarkEnd w:id="7919"/>
    <w:bookmarkStart w:name="z12142" w:id="7920"/>
    <w:p>
      <w:pPr>
        <w:spacing w:after="0"/>
        <w:ind w:left="0"/>
        <w:jc w:val="both"/>
      </w:pPr>
      <w:r>
        <w:rPr>
          <w:rFonts w:ascii="Times New Roman"/>
          <w:b w:val="false"/>
          <w:i w:val="false"/>
          <w:color w:val="000000"/>
          <w:sz w:val="28"/>
        </w:rPr>
        <w:t>
      описание исследуемой популяции с указанием планируемой численности субъектов исследования с соответствующим обоснованием;</w:t>
      </w:r>
    </w:p>
    <w:bookmarkEnd w:id="7920"/>
    <w:bookmarkStart w:name="z12143" w:id="7921"/>
    <w:p>
      <w:pPr>
        <w:spacing w:after="0"/>
        <w:ind w:left="0"/>
        <w:jc w:val="both"/>
      </w:pPr>
      <w:r>
        <w:rPr>
          <w:rFonts w:ascii="Times New Roman"/>
          <w:b w:val="false"/>
          <w:i w:val="false"/>
          <w:color w:val="000000"/>
          <w:sz w:val="28"/>
        </w:rPr>
        <w:t>
      описание основных методов промежуточного и заключительного анализа эффективности или безопасности лекарственного препарата;</w:t>
      </w:r>
    </w:p>
    <w:bookmarkEnd w:id="7921"/>
    <w:bookmarkStart w:name="z12144" w:id="7922"/>
    <w:p>
      <w:pPr>
        <w:spacing w:after="0"/>
        <w:ind w:left="0"/>
        <w:jc w:val="both"/>
      </w:pPr>
      <w:r>
        <w:rPr>
          <w:rFonts w:ascii="Times New Roman"/>
          <w:b w:val="false"/>
          <w:i w:val="false"/>
          <w:color w:val="000000"/>
          <w:sz w:val="28"/>
        </w:rPr>
        <w:t>
      информацию:</w:t>
      </w:r>
    </w:p>
    <w:bookmarkEnd w:id="7922"/>
    <w:bookmarkStart w:name="z12145" w:id="7923"/>
    <w:p>
      <w:pPr>
        <w:spacing w:after="0"/>
        <w:ind w:left="0"/>
        <w:jc w:val="both"/>
      </w:pPr>
      <w:r>
        <w:rPr>
          <w:rFonts w:ascii="Times New Roman"/>
          <w:b w:val="false"/>
          <w:i w:val="false"/>
          <w:color w:val="000000"/>
          <w:sz w:val="28"/>
        </w:rPr>
        <w:t>
      об уровне и методе ослепления (маскирования) (например, открытое, простое слепое, двойное слепое, исследование с ослеплением пациентов, исследователей и (или) лиц, оценивающих результаты исследования);</w:t>
      </w:r>
    </w:p>
    <w:bookmarkEnd w:id="7923"/>
    <w:bookmarkStart w:name="z12146" w:id="7924"/>
    <w:p>
      <w:pPr>
        <w:spacing w:after="0"/>
        <w:ind w:left="0"/>
        <w:jc w:val="both"/>
      </w:pPr>
      <w:r>
        <w:rPr>
          <w:rFonts w:ascii="Times New Roman"/>
          <w:b w:val="false"/>
          <w:i w:val="false"/>
          <w:color w:val="000000"/>
          <w:sz w:val="28"/>
        </w:rPr>
        <w:t>
      о виде контрольной группы (виде контроля), участвующей в исследовании (например, группа с приемом плацебо, группа без выполнения вмешательства, группа с приемом активного лекарственного препарата, единственная группа с оценкой состояния до и после терапии), и дизайне исследования (параллельный, перекрестный и др.);</w:t>
      </w:r>
    </w:p>
    <w:bookmarkEnd w:id="7924"/>
    <w:bookmarkStart w:name="z12147" w:id="7925"/>
    <w:p>
      <w:pPr>
        <w:spacing w:after="0"/>
        <w:ind w:left="0"/>
        <w:jc w:val="both"/>
      </w:pPr>
      <w:r>
        <w:rPr>
          <w:rFonts w:ascii="Times New Roman"/>
          <w:b w:val="false"/>
          <w:i w:val="false"/>
          <w:color w:val="000000"/>
          <w:sz w:val="28"/>
        </w:rPr>
        <w:t>
      о методе назначения вмешательства (рандомизация, стратификация);</w:t>
      </w:r>
    </w:p>
    <w:bookmarkEnd w:id="7925"/>
    <w:bookmarkStart w:name="z12148" w:id="7926"/>
    <w:p>
      <w:pPr>
        <w:spacing w:after="0"/>
        <w:ind w:left="0"/>
        <w:jc w:val="both"/>
      </w:pPr>
      <w:r>
        <w:rPr>
          <w:rFonts w:ascii="Times New Roman"/>
          <w:b w:val="false"/>
          <w:i w:val="false"/>
          <w:color w:val="000000"/>
          <w:sz w:val="28"/>
        </w:rPr>
        <w:t>
      о последовательности и продолжительности всех периодов исследования, включая предрандомизационный период и период после окончания терапии, периоды отмены терапии и периоды простого и двойного слепого вмешательства;</w:t>
      </w:r>
    </w:p>
    <w:bookmarkEnd w:id="7926"/>
    <w:bookmarkStart w:name="z12149" w:id="7927"/>
    <w:p>
      <w:pPr>
        <w:spacing w:after="0"/>
        <w:ind w:left="0"/>
        <w:jc w:val="both"/>
      </w:pPr>
      <w:r>
        <w:rPr>
          <w:rFonts w:ascii="Times New Roman"/>
          <w:b w:val="false"/>
          <w:i w:val="false"/>
          <w:color w:val="000000"/>
          <w:sz w:val="28"/>
        </w:rPr>
        <w:t>
      о первичных и вторичных переменных эффективности и безопасности лекарственного препарата;</w:t>
      </w:r>
    </w:p>
    <w:bookmarkEnd w:id="7927"/>
    <w:bookmarkStart w:name="z12150" w:id="7928"/>
    <w:p>
      <w:pPr>
        <w:spacing w:after="0"/>
        <w:ind w:left="0"/>
        <w:jc w:val="both"/>
      </w:pPr>
      <w:r>
        <w:rPr>
          <w:rFonts w:ascii="Times New Roman"/>
          <w:b w:val="false"/>
          <w:i w:val="false"/>
          <w:color w:val="000000"/>
          <w:sz w:val="28"/>
        </w:rPr>
        <w:t>
      о сроках (с описанием важных контрольных точек) для начала, проведения, анализа и репортирования исследования (включая содержание промежуточных отчетов);</w:t>
      </w:r>
    </w:p>
    <w:bookmarkEnd w:id="7928"/>
    <w:bookmarkStart w:name="z12151" w:id="7929"/>
    <w:p>
      <w:pPr>
        <w:spacing w:after="0"/>
        <w:ind w:left="0"/>
        <w:jc w:val="both"/>
      </w:pPr>
      <w:r>
        <w:rPr>
          <w:rFonts w:ascii="Times New Roman"/>
          <w:b w:val="false"/>
          <w:i w:val="false"/>
          <w:color w:val="000000"/>
          <w:sz w:val="28"/>
        </w:rPr>
        <w:t>
      критическое обсуждение основания и выполнимости исследования.</w:t>
      </w:r>
    </w:p>
    <w:bookmarkEnd w:id="7929"/>
    <w:bookmarkStart w:name="z12152" w:id="7930"/>
    <w:p>
      <w:pPr>
        <w:spacing w:after="0"/>
        <w:ind w:left="0"/>
        <w:jc w:val="left"/>
      </w:pPr>
      <w:r>
        <w:rPr>
          <w:rFonts w:ascii="Times New Roman"/>
          <w:b/>
          <w:i w:val="false"/>
          <w:color w:val="000000"/>
        </w:rPr>
        <w:t xml:space="preserve"> Обеспечение неудовлетворенных медицинских потребностей системы здравоохранения</w:t>
      </w:r>
    </w:p>
    <w:bookmarkEnd w:id="7930"/>
    <w:bookmarkStart w:name="z12153" w:id="7931"/>
    <w:p>
      <w:pPr>
        <w:spacing w:after="0"/>
        <w:ind w:left="0"/>
        <w:jc w:val="both"/>
      </w:pPr>
      <w:r>
        <w:rPr>
          <w:rFonts w:ascii="Times New Roman"/>
          <w:b w:val="false"/>
          <w:i w:val="false"/>
          <w:color w:val="000000"/>
          <w:sz w:val="28"/>
        </w:rPr>
        <w:t>
      Применение процедуры условной регистрации лекарственного препарата в целях обеспечения неудовлетворенных медицинских потребностей системы здравоохранения является отличительной особенностью лекарственных препаратов, подходящих для условной регистрации, и связано с конкретной пользой, ожидаемой от применения лекарственного препарата, которая не только превышает установленные на момент его регистрации риски, связанные с применением недостаточно изученного лекарственного препарата, но и иные потенциальные риски, связанные с наличием в регистрационном досье неполных сведений о свойствах такого лекарственного препарата.</w:t>
      </w:r>
    </w:p>
    <w:bookmarkEnd w:id="7931"/>
    <w:bookmarkStart w:name="z12154" w:id="7932"/>
    <w:p>
      <w:pPr>
        <w:spacing w:after="0"/>
        <w:ind w:left="0"/>
        <w:jc w:val="both"/>
      </w:pPr>
      <w:r>
        <w:rPr>
          <w:rFonts w:ascii="Times New Roman"/>
          <w:b w:val="false"/>
          <w:i w:val="false"/>
          <w:color w:val="000000"/>
          <w:sz w:val="28"/>
        </w:rPr>
        <w:t>
      Заявитель обязан предоставить подтверждение наличия неудовлетворенной медицинской потребности системы здравоохранения и необходимости внедрения новых методов оказания медицинской помощи (в случае отсутствия удовлетворительных подходов) либо существенного улучшения медицинской помощи по сравнению с одобренными методами ее оказания.</w:t>
      </w:r>
    </w:p>
    <w:bookmarkEnd w:id="7932"/>
    <w:bookmarkStart w:name="z12155" w:id="7933"/>
    <w:p>
      <w:pPr>
        <w:spacing w:after="0"/>
        <w:ind w:left="0"/>
        <w:jc w:val="both"/>
      </w:pPr>
      <w:r>
        <w:rPr>
          <w:rFonts w:ascii="Times New Roman"/>
          <w:b w:val="false"/>
          <w:i w:val="false"/>
          <w:color w:val="000000"/>
          <w:sz w:val="28"/>
        </w:rPr>
        <w:t>
      Подтверждение обеспечения неудовлетворенной медицинской потребности системы здравоохранения требует обоснования в индивидуальном порядке. Обоснования должны количественно характеризовать неудовлетворенную медицинскую потребность на основании медицинских или эпидемиологических данных.</w:t>
      </w:r>
    </w:p>
    <w:bookmarkEnd w:id="7933"/>
    <w:bookmarkStart w:name="z12156" w:id="7934"/>
    <w:p>
      <w:pPr>
        <w:spacing w:after="0"/>
        <w:ind w:left="0"/>
        <w:jc w:val="both"/>
      </w:pPr>
      <w:r>
        <w:rPr>
          <w:rFonts w:ascii="Times New Roman"/>
          <w:b w:val="false"/>
          <w:i w:val="false"/>
          <w:color w:val="000000"/>
          <w:sz w:val="28"/>
        </w:rPr>
        <w:t>
      В целом основное терапевтическое преимущество, как правило, основывается на значимом улучшении эффективности или клинической безопасности лекарственного препарата (например, положительное влияние на начало или развитие состояния либо снижение морбидности или смертности от заболевания). В исключительных случаях основное терапевтическое преимущество лекарственного препарата может также выражаться в значительном улучшении возможности оказания медицинской помощи (например, если ожидается, что применение нового лекарственного препарата позволит решать серьезные проблемы связанные с приверженностью терапии, или если терапия позволит проводить амбулаторное лечение вместо лечения исключительно в условиях лечебно-профилактического учреждения).</w:t>
      </w:r>
    </w:p>
    <w:bookmarkEnd w:id="7934"/>
    <w:bookmarkStart w:name="z12157" w:id="7935"/>
    <w:p>
      <w:pPr>
        <w:spacing w:after="0"/>
        <w:ind w:left="0"/>
        <w:jc w:val="both"/>
      </w:pPr>
      <w:r>
        <w:rPr>
          <w:rFonts w:ascii="Times New Roman"/>
          <w:b w:val="false"/>
          <w:i w:val="false"/>
          <w:color w:val="000000"/>
          <w:sz w:val="28"/>
        </w:rPr>
        <w:t xml:space="preserve">
      Необходимо продемонстрировать преимущества над существующими методами, применяемыми в клинической практике (при наличии), используя надежное доказательство, как правило, полученное на основе качественно проведенных рандомизированных контролируемых исследований (доказательная демонстрация пользы). </w:t>
      </w:r>
    </w:p>
    <w:bookmarkEnd w:id="7935"/>
    <w:bookmarkStart w:name="z12158" w:id="7936"/>
    <w:p>
      <w:pPr>
        <w:spacing w:after="0"/>
        <w:ind w:left="0"/>
        <w:jc w:val="both"/>
      </w:pPr>
      <w:r>
        <w:rPr>
          <w:rFonts w:ascii="Times New Roman"/>
          <w:b w:val="false"/>
          <w:i w:val="false"/>
          <w:color w:val="000000"/>
          <w:sz w:val="28"/>
        </w:rPr>
        <w:t>
      В целях обоснования довода, об обеспеченности неудовлетворенных медицинских потребностей, заявитель обязан предоставить:</w:t>
      </w:r>
    </w:p>
    <w:bookmarkEnd w:id="7936"/>
    <w:bookmarkStart w:name="z12159" w:id="7937"/>
    <w:p>
      <w:pPr>
        <w:spacing w:after="0"/>
        <w:ind w:left="0"/>
        <w:jc w:val="both"/>
      </w:pPr>
      <w:r>
        <w:rPr>
          <w:rFonts w:ascii="Times New Roman"/>
          <w:b w:val="false"/>
          <w:i w:val="false"/>
          <w:color w:val="000000"/>
          <w:sz w:val="28"/>
        </w:rPr>
        <w:t>
      критический обзор доступных методов профилактики, медицинской диагностики или лечения с описанием неудовлетворенной медицинской потребности системы здравоохранения;</w:t>
      </w:r>
    </w:p>
    <w:bookmarkEnd w:id="7937"/>
    <w:bookmarkStart w:name="z12160" w:id="7938"/>
    <w:p>
      <w:pPr>
        <w:spacing w:after="0"/>
        <w:ind w:left="0"/>
        <w:jc w:val="both"/>
      </w:pPr>
      <w:r>
        <w:rPr>
          <w:rFonts w:ascii="Times New Roman"/>
          <w:b w:val="false"/>
          <w:i w:val="false"/>
          <w:color w:val="000000"/>
          <w:sz w:val="28"/>
        </w:rPr>
        <w:t>
      количественную оценку величины неудовлетворенной медицинской потребности с учетом медико-статистических данных (например, количественные медицинские или эпидемиологические данные);</w:t>
      </w:r>
    </w:p>
    <w:bookmarkEnd w:id="7938"/>
    <w:bookmarkStart w:name="z12161" w:id="7939"/>
    <w:p>
      <w:pPr>
        <w:spacing w:after="0"/>
        <w:ind w:left="0"/>
        <w:jc w:val="both"/>
      </w:pPr>
      <w:r>
        <w:rPr>
          <w:rFonts w:ascii="Times New Roman"/>
          <w:b w:val="false"/>
          <w:i w:val="false"/>
          <w:color w:val="000000"/>
          <w:sz w:val="28"/>
        </w:rPr>
        <w:t>
      доказательства того, что регистрация лекарственного препарата позволит обеспечить неудовлетворенные медицинские потребности системы здравоохранения.</w:t>
      </w:r>
    </w:p>
    <w:bookmarkEnd w:id="7939"/>
    <w:bookmarkStart w:name="z12162" w:id="7940"/>
    <w:p>
      <w:pPr>
        <w:spacing w:after="0"/>
        <w:ind w:left="0"/>
        <w:jc w:val="both"/>
      </w:pPr>
      <w:r>
        <w:rPr>
          <w:rFonts w:ascii="Times New Roman"/>
          <w:b w:val="false"/>
          <w:i w:val="false"/>
          <w:color w:val="000000"/>
          <w:sz w:val="28"/>
        </w:rPr>
        <w:t>
      Особый подход применяется в случаях, если сравнение с разрешенными методами оказания медицинской помощи включает в себя сравнение с ранее условно зарегистрированными лекарственными препаратами, а в случае орфанных препаратов – если присвоение статуса орфанного лекарственного препарата связанного с его существенной пользой.</w:t>
      </w:r>
    </w:p>
    <w:bookmarkEnd w:id="7940"/>
    <w:bookmarkStart w:name="z12163" w:id="7941"/>
    <w:p>
      <w:pPr>
        <w:spacing w:after="0"/>
        <w:ind w:left="0"/>
        <w:jc w:val="both"/>
      </w:pPr>
      <w:r>
        <w:rPr>
          <w:rFonts w:ascii="Times New Roman"/>
          <w:b w:val="false"/>
          <w:i w:val="false"/>
          <w:color w:val="000000"/>
          <w:sz w:val="28"/>
        </w:rPr>
        <w:t>
      При одобрении применения процедуры условной регистрации должно быть установлено, что с помощью рассматриваемого лекарственного препарата могут быть обеспечены неудовлетворенные медицинские потребности системы здравоохранения, тогда как степень обеспеченности будет определяться в течение длительного времени после регистрации лекарственного препарата при выполнении особых обязательств. В случае обоснования обеспеченности неудовлетворенных медицинских потребностей за счет доступа на рынок второго или последующего лекарственного препарата необходимо принимать во внимание клинические данные, накопленные при обращении на рынке первого условно зарегистрированного лекарственного препарата, и те аспекты эффективности и безопасности, которые остаются неизученными в процессе такого обращения.</w:t>
      </w:r>
    </w:p>
    <w:bookmarkEnd w:id="7941"/>
    <w:bookmarkStart w:name="z12164" w:id="7942"/>
    <w:p>
      <w:pPr>
        <w:spacing w:after="0"/>
        <w:ind w:left="0"/>
        <w:jc w:val="both"/>
      </w:pPr>
      <w:r>
        <w:rPr>
          <w:rFonts w:ascii="Times New Roman"/>
          <w:b w:val="false"/>
          <w:i w:val="false"/>
          <w:color w:val="000000"/>
          <w:sz w:val="28"/>
        </w:rPr>
        <w:t>
      Пока установленные особые обязательства для лекарственного препарата, зарегистрированного по процедуре условной регистрации еще не выполнены полностью, невозможно установить истинную величину его пользы, поэтому заявление на условную регистрацию нового (второго или последующего) лекарственного препарата возможно в случае, если он может потенциально обеспечить те же неудовлетворенные медицинские потребности системы здравоохранения и при этом имеется научное обоснование того, что такой лекарственный препарат будет их обеспечивать в не меньшей степени, чем первый лекарственный препарат, зарегистрированный по процедуре условной регистрации. Данная ситуация не относится к случаям регистрации скопированного (воспроизведенного, биоаналогичного) орфанного лекарственного препарата при наличии каких-либо прав третьих лиц на интеллектуальную собственность в отношении самого лекарственного препарата или сведений (документов) регистрационного досье.</w:t>
      </w:r>
    </w:p>
    <w:bookmarkEnd w:id="7942"/>
    <w:bookmarkStart w:name="z12165" w:id="7943"/>
    <w:p>
      <w:pPr>
        <w:spacing w:after="0"/>
        <w:ind w:left="0"/>
        <w:jc w:val="both"/>
      </w:pPr>
      <w:r>
        <w:rPr>
          <w:rFonts w:ascii="Times New Roman"/>
          <w:b w:val="false"/>
          <w:i w:val="false"/>
          <w:color w:val="000000"/>
          <w:sz w:val="28"/>
        </w:rPr>
        <w:t>
      Преимущества перед существующими вмешательствами могут быть достаточны для подтверждения регистрации орфанного лекарственного препарата, в случае когда такая регистрация основывается только на существенной пользе лекарственного препарата для системы здравоохранения.</w:t>
      </w:r>
    </w:p>
    <w:bookmarkEnd w:id="7943"/>
    <w:bookmarkStart w:name="z12166" w:id="7944"/>
    <w:p>
      <w:pPr>
        <w:spacing w:after="0"/>
        <w:ind w:left="0"/>
        <w:jc w:val="left"/>
      </w:pPr>
      <w:r>
        <w:rPr>
          <w:rFonts w:ascii="Times New Roman"/>
          <w:b/>
          <w:i w:val="false"/>
          <w:color w:val="000000"/>
        </w:rPr>
        <w:t xml:space="preserve"> Польза для здоровья населения от допуска на рынок лекарственного препарата</w:t>
      </w:r>
    </w:p>
    <w:bookmarkEnd w:id="7944"/>
    <w:bookmarkStart w:name="z12167" w:id="7945"/>
    <w:p>
      <w:pPr>
        <w:spacing w:after="0"/>
        <w:ind w:left="0"/>
        <w:jc w:val="both"/>
      </w:pPr>
      <w:r>
        <w:rPr>
          <w:rFonts w:ascii="Times New Roman"/>
          <w:b w:val="false"/>
          <w:i w:val="false"/>
          <w:color w:val="000000"/>
          <w:sz w:val="28"/>
        </w:rPr>
        <w:t>
      Заявитель обязан предоставить обоснование того, что польза для здоровья населения от немедленной доступности лекарственного препарата превышает риски, обусловленные необходимостью представления дополнительных данных о безопасности и эффективности лекарственного препарата. Обоснование должно оценивать влияние немедленной доступности лекарственного препарата на здоровье населения в сравнении с доступностью после получения исчерпывающих клинических данных с учетом (по возможности), объективных и количественных эпидемиологических сведений. Риски необходимости представления дополнительных данных о безопасности и эффективности лекарственного препарата подлежат количественной оценке, насколько возможно, с помощью объективных показателей.</w:t>
      </w:r>
    </w:p>
    <w:bookmarkEnd w:id="7945"/>
    <w:bookmarkStart w:name="z12168" w:id="7946"/>
    <w:p>
      <w:pPr>
        <w:spacing w:after="0"/>
        <w:ind w:left="0"/>
        <w:jc w:val="both"/>
      </w:pPr>
      <w:r>
        <w:rPr>
          <w:rFonts w:ascii="Times New Roman"/>
          <w:b w:val="false"/>
          <w:i w:val="false"/>
          <w:color w:val="000000"/>
          <w:sz w:val="28"/>
        </w:rPr>
        <w:t>
      Чтобы обосновать превышение пользы для здоровья населения от регистрации лекарственного препарата над рисками, связанными с отсутствием в регистрационном досье части данных о лекарственном препарате, заявитель обязан предоставить следующие сведения:</w:t>
      </w:r>
    </w:p>
    <w:bookmarkEnd w:id="7946"/>
    <w:bookmarkStart w:name="z12169" w:id="7947"/>
    <w:p>
      <w:pPr>
        <w:spacing w:after="0"/>
        <w:ind w:left="0"/>
        <w:jc w:val="both"/>
      </w:pPr>
      <w:r>
        <w:rPr>
          <w:rFonts w:ascii="Times New Roman"/>
          <w:b w:val="false"/>
          <w:i w:val="false"/>
          <w:color w:val="000000"/>
          <w:sz w:val="28"/>
        </w:rPr>
        <w:t xml:space="preserve">
      описание конкретной пользы для здоровья населения от допуска на рынок рассматриваемого лекарственного препарата; </w:t>
      </w:r>
    </w:p>
    <w:bookmarkEnd w:id="7947"/>
    <w:bookmarkStart w:name="z12170" w:id="7948"/>
    <w:p>
      <w:pPr>
        <w:spacing w:after="0"/>
        <w:ind w:left="0"/>
        <w:jc w:val="both"/>
      </w:pPr>
      <w:r>
        <w:rPr>
          <w:rFonts w:ascii="Times New Roman"/>
          <w:b w:val="false"/>
          <w:i w:val="false"/>
          <w:color w:val="000000"/>
          <w:sz w:val="28"/>
        </w:rPr>
        <w:t>
      описание возможных рисков, связанных с отсутствием в регистрационном досье части данных о безопасности и эффективности лекарственного препарата;</w:t>
      </w:r>
    </w:p>
    <w:bookmarkEnd w:id="7948"/>
    <w:bookmarkStart w:name="z12171" w:id="7949"/>
    <w:p>
      <w:pPr>
        <w:spacing w:after="0"/>
        <w:ind w:left="0"/>
        <w:jc w:val="both"/>
      </w:pPr>
      <w:r>
        <w:rPr>
          <w:rFonts w:ascii="Times New Roman"/>
          <w:b w:val="false"/>
          <w:i w:val="false"/>
          <w:color w:val="000000"/>
          <w:sz w:val="28"/>
        </w:rPr>
        <w:t>
      оценку степени превышения указанной пользы, над указанным возможным риском, и описание не включенных в такую оценку вопросов.</w:t>
      </w:r>
    </w:p>
    <w:bookmarkEnd w:id="7949"/>
    <w:bookmarkStart w:name="z12172" w:id="7950"/>
    <w:p>
      <w:pPr>
        <w:spacing w:after="0"/>
        <w:ind w:left="0"/>
        <w:jc w:val="left"/>
      </w:pPr>
      <w:r>
        <w:rPr>
          <w:rFonts w:ascii="Times New Roman"/>
          <w:b/>
          <w:i w:val="false"/>
          <w:color w:val="000000"/>
        </w:rPr>
        <w:t xml:space="preserve"> 3. Условная регистрация лекарственного препарата по инициативе уполномоченного органа (экспертной организации) референтного государства</w:t>
      </w:r>
    </w:p>
    <w:bookmarkEnd w:id="7950"/>
    <w:bookmarkStart w:name="z12173" w:id="7951"/>
    <w:p>
      <w:pPr>
        <w:spacing w:after="0"/>
        <w:ind w:left="0"/>
        <w:jc w:val="both"/>
      </w:pPr>
      <w:r>
        <w:rPr>
          <w:rFonts w:ascii="Times New Roman"/>
          <w:b w:val="false"/>
          <w:i w:val="false"/>
          <w:color w:val="000000"/>
          <w:sz w:val="28"/>
        </w:rPr>
        <w:t>
      При проведении экспертизы лекарственных препаратов уполномоченный орган (экспертная организация) референтного государства также может предложить заявителю зарегистрировать лекарственный препарат по процедуре условной регистрации после консультации с ним. При проведении консультации заявитель должен предоставить письменную позицию о согласии (несогласии) с условной регистрацией лекарственного препарата и (в случае согласия) предоставить обоснование выполнения каждого из условий, указанных в подразделе 2 раздела III настоящего документа. Также уполномоченный орган (экспертная организация) вправе запросить у заявителя также иные необходимые дополнительные сведения для обоснования проведения процедуры условной регистрации.</w:t>
      </w:r>
    </w:p>
    <w:bookmarkEnd w:id="7951"/>
    <w:bookmarkStart w:name="z12174" w:id="7952"/>
    <w:p>
      <w:pPr>
        <w:spacing w:after="0"/>
        <w:ind w:left="0"/>
        <w:jc w:val="both"/>
      </w:pPr>
      <w:r>
        <w:rPr>
          <w:rFonts w:ascii="Times New Roman"/>
          <w:b w:val="false"/>
          <w:i w:val="false"/>
          <w:color w:val="000000"/>
          <w:sz w:val="28"/>
        </w:rPr>
        <w:t>
      Для обеспечения достаточного времени на согласование с заявителем характера установленных особых обязательств и сроков их выполнения, предложение уполномоченного органа (экспертной организации) о возможности проведения процедуры условной регистрации направляется заявителю до завершения экспертизы референтным государством (то есть не позднее 80 рабочих дней с даты приема заявления на регистрацию). Срок предоставления ответа на данный запрос не должен превышать срок, установленный для ответа заявителя на запрос уполномоченного органа в соответствии с разделами V или VI Правил. В экспертных отчетах уполномоченного органа (экспертной организации) референтного государства, включая заключительный экспертный отчет, который публикуется в едином реестре, должны быть указаны причины предложения уполномоченным органом (экспертной организацией) о проведении процедуры условной регистрации в инициативном порядке.</w:t>
      </w:r>
    </w:p>
    <w:bookmarkEnd w:id="7952"/>
    <w:bookmarkStart w:name="z12175" w:id="7953"/>
    <w:p>
      <w:pPr>
        <w:spacing w:after="0"/>
        <w:ind w:left="0"/>
        <w:jc w:val="left"/>
      </w:pPr>
      <w:r>
        <w:rPr>
          <w:rFonts w:ascii="Times New Roman"/>
          <w:b/>
          <w:i w:val="false"/>
          <w:color w:val="000000"/>
        </w:rPr>
        <w:t xml:space="preserve"> 4. Экспертиза лекарственного препарата, заявленного на условную регистрацию</w:t>
      </w:r>
    </w:p>
    <w:bookmarkEnd w:id="7953"/>
    <w:bookmarkStart w:name="z12176" w:id="7954"/>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обязан провести оценку представленных обоснований того, что лекарственный препарат может быть зарегистрирован по процедуре условной регистрации. Результаты данной оценки должны быть отражены в соответствующих экспертных отчетах и в заключительном экспертном отчете уполномоченного органа (экспертной организации) референтного государства.</w:t>
      </w:r>
    </w:p>
    <w:bookmarkEnd w:id="7954"/>
    <w:bookmarkStart w:name="z12177" w:id="7955"/>
    <w:p>
      <w:pPr>
        <w:spacing w:after="0"/>
        <w:ind w:left="0"/>
        <w:jc w:val="both"/>
      </w:pPr>
      <w:r>
        <w:rPr>
          <w:rFonts w:ascii="Times New Roman"/>
          <w:b w:val="false"/>
          <w:i w:val="false"/>
          <w:color w:val="000000"/>
          <w:sz w:val="28"/>
        </w:rPr>
        <w:t>
      Заявитель получает отказ в условной регистрации лекарственного препарата, если заключительный экспертный отчет референтного государства содержит заключение о невыполнении требований, предъявляемых к условной регистрации, и требований, предъявляемых к обычной регистрации без условий.</w:t>
      </w:r>
    </w:p>
    <w:bookmarkEnd w:id="7955"/>
    <w:bookmarkStart w:name="z12178" w:id="7956"/>
    <w:p>
      <w:pPr>
        <w:spacing w:after="0"/>
        <w:ind w:left="0"/>
        <w:jc w:val="both"/>
      </w:pPr>
      <w:r>
        <w:rPr>
          <w:rFonts w:ascii="Times New Roman"/>
          <w:b w:val="false"/>
          <w:i w:val="false"/>
          <w:color w:val="000000"/>
          <w:sz w:val="28"/>
        </w:rPr>
        <w:t>
      Особые обязательства и сроки их выполнения должны быть указаны в приложении к регистрационному удостоверению лекарственного препарата и опубликованы в составе заключительного экспертного отчета в едином реестре.</w:t>
      </w:r>
    </w:p>
    <w:bookmarkEnd w:id="7956"/>
    <w:bookmarkStart w:name="z12179" w:id="7957"/>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установить особые обязательства для держателя регистрационного удостоверения при условной регистрации и обязать его завершить проводящиеся исследования или выполнить новые исследования с целью подтверждения положительного соотношения "польза – риск" и предоставления дополнительных данных, указанных в подразделе 2 настоящего раздела.</w:t>
      </w:r>
    </w:p>
    <w:bookmarkEnd w:id="7957"/>
    <w:bookmarkStart w:name="z12180" w:id="7958"/>
    <w:p>
      <w:pPr>
        <w:spacing w:after="0"/>
        <w:ind w:left="0"/>
        <w:jc w:val="both"/>
      </w:pPr>
      <w:r>
        <w:rPr>
          <w:rFonts w:ascii="Times New Roman"/>
          <w:b w:val="false"/>
          <w:i w:val="false"/>
          <w:color w:val="000000"/>
          <w:sz w:val="28"/>
        </w:rPr>
        <w:t>
      Особые обязательства устанавливаются в отношении фармаконадзора (при необходимости).</w:t>
      </w:r>
    </w:p>
    <w:bookmarkEnd w:id="7958"/>
    <w:bookmarkStart w:name="z12181" w:id="7959"/>
    <w:p>
      <w:pPr>
        <w:spacing w:after="0"/>
        <w:ind w:left="0"/>
        <w:jc w:val="both"/>
      </w:pPr>
      <w:r>
        <w:rPr>
          <w:rFonts w:ascii="Times New Roman"/>
          <w:b w:val="false"/>
          <w:i w:val="false"/>
          <w:color w:val="000000"/>
          <w:sz w:val="28"/>
        </w:rPr>
        <w:t>
      Особые обязательства и сроки их выполнения должны быть указаны в приложении к регистрационному удостоверению.</w:t>
      </w:r>
    </w:p>
    <w:bookmarkEnd w:id="7959"/>
    <w:bookmarkStart w:name="z12182" w:id="7960"/>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обязан публиковать особые обязательства и сроки их выполнения в едином реестре.</w:t>
      </w:r>
    </w:p>
    <w:bookmarkEnd w:id="7960"/>
    <w:bookmarkStart w:name="z12183" w:id="7961"/>
    <w:p>
      <w:pPr>
        <w:spacing w:after="0"/>
        <w:ind w:left="0"/>
        <w:jc w:val="left"/>
      </w:pPr>
      <w:r>
        <w:rPr>
          <w:rFonts w:ascii="Times New Roman"/>
          <w:b/>
          <w:i w:val="false"/>
          <w:color w:val="000000"/>
        </w:rPr>
        <w:t xml:space="preserve"> 5. Сведения об условной регистрации, подлежащие включению в общую характеристику лекарственного препарата и инструкцию по медицинскому применению (листок-вкладыш)</w:t>
      </w:r>
    </w:p>
    <w:bookmarkEnd w:id="7961"/>
    <w:bookmarkStart w:name="z12184" w:id="7962"/>
    <w:p>
      <w:pPr>
        <w:spacing w:after="0"/>
        <w:ind w:left="0"/>
        <w:jc w:val="both"/>
      </w:pPr>
      <w:r>
        <w:rPr>
          <w:rFonts w:ascii="Times New Roman"/>
          <w:b w:val="false"/>
          <w:i w:val="false"/>
          <w:color w:val="000000"/>
          <w:sz w:val="28"/>
        </w:rPr>
        <w:t>
      Общая характеристика лекарственного препарата и инструкция по медицинскому применению лекарственного препарата (листок-вкладыш) должны содержать сведения о его условной регистрации. Общая характеристика лекарственного препарата должна также содержать срок перерегистрации (подтверждения регистрации) лекарственного препарата.</w:t>
      </w:r>
    </w:p>
    <w:bookmarkEnd w:id="7962"/>
    <w:bookmarkStart w:name="z12185" w:id="7963"/>
    <w:p>
      <w:pPr>
        <w:spacing w:after="0"/>
        <w:ind w:left="0"/>
        <w:jc w:val="both"/>
      </w:pPr>
      <w:r>
        <w:rPr>
          <w:rFonts w:ascii="Times New Roman"/>
          <w:b w:val="false"/>
          <w:i w:val="false"/>
          <w:color w:val="000000"/>
          <w:sz w:val="28"/>
        </w:rPr>
        <w:t>
      Информация об условной регистрации должна быть четко изложена в тексте, предваряющем первые разделы общей характеристики лекарственного препарата, и инструкции по медицинскому применению лекарственного препарата (листке-вкладыше). Общая характеристика лекарственного препарата и инструкция по медицинскому применению лекарственного препарата (листок-вкладыш) должны содержать информацию о том, что:</w:t>
      </w:r>
    </w:p>
    <w:bookmarkEnd w:id="7963"/>
    <w:bookmarkStart w:name="z12186" w:id="7964"/>
    <w:p>
      <w:pPr>
        <w:spacing w:after="0"/>
        <w:ind w:left="0"/>
        <w:jc w:val="both"/>
      </w:pPr>
      <w:r>
        <w:rPr>
          <w:rFonts w:ascii="Times New Roman"/>
          <w:b w:val="false"/>
          <w:i w:val="false"/>
          <w:color w:val="000000"/>
          <w:sz w:val="28"/>
        </w:rPr>
        <w:t>
      регистрация лекарственного препарата была осуществлена с условием выполнения держателем регистрационного удостоверения определенных особых обязательств;</w:t>
      </w:r>
    </w:p>
    <w:bookmarkEnd w:id="7964"/>
    <w:bookmarkStart w:name="z12187" w:id="7965"/>
    <w:p>
      <w:pPr>
        <w:spacing w:after="0"/>
        <w:ind w:left="0"/>
        <w:jc w:val="both"/>
      </w:pPr>
      <w:r>
        <w:rPr>
          <w:rFonts w:ascii="Times New Roman"/>
          <w:b w:val="false"/>
          <w:i w:val="false"/>
          <w:color w:val="000000"/>
          <w:sz w:val="28"/>
        </w:rPr>
        <w:t>
      пересмотр установленных особых обязательств осуществляется уполномоченным органом (экспертной организацией) ежегодно.</w:t>
      </w:r>
    </w:p>
    <w:bookmarkEnd w:id="7965"/>
    <w:bookmarkStart w:name="z12188" w:id="7966"/>
    <w:p>
      <w:pPr>
        <w:spacing w:after="0"/>
        <w:ind w:left="0"/>
        <w:jc w:val="left"/>
      </w:pPr>
      <w:r>
        <w:rPr>
          <w:rFonts w:ascii="Times New Roman"/>
          <w:b/>
          <w:i w:val="false"/>
          <w:color w:val="000000"/>
        </w:rPr>
        <w:t xml:space="preserve"> 6. Обязанности держателя регистрационного удостоверения по представлению периодического обновляемого отчета по безопасности</w:t>
      </w:r>
    </w:p>
    <w:bookmarkEnd w:id="7966"/>
    <w:bookmarkStart w:name="z12189" w:id="7967"/>
    <w:p>
      <w:pPr>
        <w:spacing w:after="0"/>
        <w:ind w:left="0"/>
        <w:jc w:val="both"/>
      </w:pPr>
      <w:r>
        <w:rPr>
          <w:rFonts w:ascii="Times New Roman"/>
          <w:b w:val="false"/>
          <w:i w:val="false"/>
          <w:color w:val="000000"/>
          <w:sz w:val="28"/>
        </w:rPr>
        <w:t xml:space="preserve">
      При условной регистрации лекарственного препарата держатель регистрационного удостоверения обязан представлять периодический обновляемый отчет по безопасности не реже чем 1 раз в 6 месяцев, а также по дополнительным запросам уполномоченного органа (экспертной организации) в течение всего срока сохранения в регистрационном удостоверении условной регистрации в соответствии с Правилами надлежащей практики фармаконадзора Евразийского экономического союза. Требования, предъявляемые к периодичности предоставления периодического обновляемого отчета по безопасности, должны быть указаны в приложении к регистрационному удостоверению лекарственного препарата и опубликованы в составе заключительного экспертного отчета в едином реестре. </w:t>
      </w:r>
    </w:p>
    <w:bookmarkEnd w:id="7967"/>
    <w:bookmarkStart w:name="z12190" w:id="7968"/>
    <w:p>
      <w:pPr>
        <w:spacing w:after="0"/>
        <w:ind w:left="0"/>
        <w:jc w:val="left"/>
      </w:pPr>
      <w:r>
        <w:rPr>
          <w:rFonts w:ascii="Times New Roman"/>
          <w:b/>
          <w:i w:val="false"/>
          <w:color w:val="000000"/>
        </w:rPr>
        <w:t xml:space="preserve"> IV. Особенности составления и экспертизы модуля 5 регистрационного досье лекарственных препаратов, зарегистрированных по процедуре условной регистрации</w:t>
      </w:r>
    </w:p>
    <w:bookmarkEnd w:id="7968"/>
    <w:bookmarkStart w:name="z12191" w:id="7969"/>
    <w:p>
      <w:pPr>
        <w:spacing w:after="0"/>
        <w:ind w:left="0"/>
        <w:jc w:val="left"/>
      </w:pPr>
      <w:r>
        <w:rPr>
          <w:rFonts w:ascii="Times New Roman"/>
          <w:b/>
          <w:i w:val="false"/>
          <w:color w:val="000000"/>
        </w:rPr>
        <w:t xml:space="preserve"> 1. Обеспечение воспроизводимости результатов клинических исследований</w:t>
      </w:r>
    </w:p>
    <w:bookmarkEnd w:id="7969"/>
    <w:bookmarkStart w:name="z12192" w:id="7970"/>
    <w:p>
      <w:pPr>
        <w:spacing w:after="0"/>
        <w:ind w:left="0"/>
        <w:jc w:val="both"/>
      </w:pPr>
      <w:r>
        <w:rPr>
          <w:rFonts w:ascii="Times New Roman"/>
          <w:b w:val="false"/>
          <w:i w:val="false"/>
          <w:color w:val="000000"/>
          <w:sz w:val="28"/>
        </w:rPr>
        <w:t>
      Для регистрации лекарственного препарата должна быть обеспечена воспроизводимость результатов клинических исследований. Это особенно важно в случае проведения экспериментальных исследований, успешный результат которых требует подтверждения в воспроизведенном эксперименте для достижения общего принятия полученных результатов. Вместе с тем клиническая разработка лекарственного препарата отличается от проведения экспериментальных исследований. Цель III фазы клинических исследований заключается в подтверждении данных, полученных на текущий момент в доклинических исследованиях, клинических исследованиях переносимости, клинических исследованиях по подбору доз и других клинических исследованиях II фазы. Основное требование, предъявляемое к документации III фазы клинических исследований, заключается в том, чтобы она состояла из объективных и контролируемых данных надлежащего качества (спланированных, проведенных и включенных в отчеты по результатам проведенных исследований в соответствии с актами органов Союза по применению принципов биостатистики в клинических исследованиях лекарственных препаратов и по принципам выбора контрольной группы в клинических исследованиях). Такие данные должны соответствовать всем следующим критериям достаточности:</w:t>
      </w:r>
    </w:p>
    <w:bookmarkEnd w:id="7970"/>
    <w:bookmarkStart w:name="z12193" w:id="7971"/>
    <w:p>
      <w:pPr>
        <w:spacing w:after="0"/>
        <w:ind w:left="0"/>
        <w:jc w:val="both"/>
      </w:pPr>
      <w:r>
        <w:rPr>
          <w:rFonts w:ascii="Times New Roman"/>
          <w:b w:val="false"/>
          <w:i w:val="false"/>
          <w:color w:val="000000"/>
          <w:sz w:val="28"/>
        </w:rPr>
        <w:t>
      размера выборки пациентов;</w:t>
      </w:r>
    </w:p>
    <w:bookmarkEnd w:id="7971"/>
    <w:bookmarkStart w:name="z12194" w:id="7972"/>
    <w:p>
      <w:pPr>
        <w:spacing w:after="0"/>
        <w:ind w:left="0"/>
        <w:jc w:val="both"/>
      </w:pPr>
      <w:r>
        <w:rPr>
          <w:rFonts w:ascii="Times New Roman"/>
          <w:b w:val="false"/>
          <w:i w:val="false"/>
          <w:color w:val="000000"/>
          <w:sz w:val="28"/>
        </w:rPr>
        <w:t>
      разнообразие симптомов и проявлений заболевания;</w:t>
      </w:r>
    </w:p>
    <w:bookmarkEnd w:id="7972"/>
    <w:bookmarkStart w:name="z12195" w:id="7973"/>
    <w:p>
      <w:pPr>
        <w:spacing w:after="0"/>
        <w:ind w:left="0"/>
        <w:jc w:val="both"/>
      </w:pPr>
      <w:r>
        <w:rPr>
          <w:rFonts w:ascii="Times New Roman"/>
          <w:b w:val="false"/>
          <w:i w:val="false"/>
          <w:color w:val="000000"/>
          <w:sz w:val="28"/>
        </w:rPr>
        <w:t>
      количество исследователей, подтверждающих положительное отношение "польза – риск" в целевой популяции пациентов при целевой дозе и способе применения лекарственного препарата.</w:t>
      </w:r>
    </w:p>
    <w:bookmarkEnd w:id="7973"/>
    <w:bookmarkStart w:name="z12196" w:id="7974"/>
    <w:p>
      <w:pPr>
        <w:spacing w:after="0"/>
        <w:ind w:left="0"/>
        <w:jc w:val="both"/>
      </w:pPr>
      <w:r>
        <w:rPr>
          <w:rFonts w:ascii="Times New Roman"/>
          <w:b w:val="false"/>
          <w:i w:val="false"/>
          <w:color w:val="000000"/>
          <w:sz w:val="28"/>
        </w:rPr>
        <w:t>
      Требуемый объем данных подтверждающих исследований III фазы клинических исследований зависит от того, что было установлено в рамках предыдущих фаз клинических исследований этого лекарственного препарата и о степени изученности клинической эффективности и безопасности подобных по действию лекарственных препаратов. Как минимум необходимо одно контролируемое исследование со статистически обоснованными и клинически значимыми результатами. В рамках программы III фазы клинических исследований более рациональным подходом является планирование нескольких исследований по следующим причинам:</w:t>
      </w:r>
    </w:p>
    <w:bookmarkEnd w:id="7974"/>
    <w:bookmarkStart w:name="z12197" w:id="7975"/>
    <w:p>
      <w:pPr>
        <w:spacing w:after="0"/>
        <w:ind w:left="0"/>
        <w:jc w:val="both"/>
      </w:pPr>
      <w:r>
        <w:rPr>
          <w:rFonts w:ascii="Times New Roman"/>
          <w:b w:val="false"/>
          <w:i w:val="false"/>
          <w:color w:val="000000"/>
          <w:sz w:val="28"/>
        </w:rPr>
        <w:t>
      отсутствие фармакологического обоснования действия лекарственного препарата (неизвестный механизм действия);</w:t>
      </w:r>
    </w:p>
    <w:bookmarkEnd w:id="7975"/>
    <w:bookmarkStart w:name="z12198" w:id="7976"/>
    <w:p>
      <w:pPr>
        <w:spacing w:after="0"/>
        <w:ind w:left="0"/>
        <w:jc w:val="both"/>
      </w:pPr>
      <w:r>
        <w:rPr>
          <w:rFonts w:ascii="Times New Roman"/>
          <w:b w:val="false"/>
          <w:i w:val="false"/>
          <w:color w:val="000000"/>
          <w:sz w:val="28"/>
        </w:rPr>
        <w:t>
      новый фармакологический принцип действия лекарственного препарата;</w:t>
      </w:r>
    </w:p>
    <w:bookmarkEnd w:id="7976"/>
    <w:bookmarkStart w:name="z12199" w:id="7977"/>
    <w:p>
      <w:pPr>
        <w:spacing w:after="0"/>
        <w:ind w:left="0"/>
        <w:jc w:val="both"/>
      </w:pPr>
      <w:r>
        <w:rPr>
          <w:rFonts w:ascii="Times New Roman"/>
          <w:b w:val="false"/>
          <w:i w:val="false"/>
          <w:color w:val="000000"/>
          <w:sz w:val="28"/>
        </w:rPr>
        <w:t>
      ограниченность или неубедительность результатов, полученных после проведения I и II фаз клинических исследований лекарственного препарата;</w:t>
      </w:r>
    </w:p>
    <w:bookmarkEnd w:id="7977"/>
    <w:bookmarkStart w:name="z12200" w:id="7978"/>
    <w:p>
      <w:pPr>
        <w:spacing w:after="0"/>
        <w:ind w:left="0"/>
        <w:jc w:val="both"/>
      </w:pPr>
      <w:r>
        <w:rPr>
          <w:rFonts w:ascii="Times New Roman"/>
          <w:b w:val="false"/>
          <w:i w:val="false"/>
          <w:color w:val="000000"/>
          <w:sz w:val="28"/>
        </w:rPr>
        <w:t>
      неудачные клинические исследования или неудачные попытки воспроизвести результаты ранее положительных исследований по заявляемой области клинического применения лекарственного препарата;</w:t>
      </w:r>
    </w:p>
    <w:bookmarkEnd w:id="7978"/>
    <w:bookmarkStart w:name="z12201" w:id="7979"/>
    <w:p>
      <w:pPr>
        <w:spacing w:after="0"/>
        <w:ind w:left="0"/>
        <w:jc w:val="both"/>
      </w:pPr>
      <w:r>
        <w:rPr>
          <w:rFonts w:ascii="Times New Roman"/>
          <w:b w:val="false"/>
          <w:i w:val="false"/>
          <w:color w:val="000000"/>
          <w:sz w:val="28"/>
        </w:rPr>
        <w:t>
      необходимость подтверждения эффективности и (или) переносимости лекарственного препарата (например, в разных субпопуляциях пациентов, при использовании разной сопутствующей терапии или иных медицинских вмешательств, в отношении иных контрольных вмешательств в группах сравнения и т. д.);</w:t>
      </w:r>
    </w:p>
    <w:bookmarkEnd w:id="7979"/>
    <w:bookmarkStart w:name="z12202" w:id="7980"/>
    <w:p>
      <w:pPr>
        <w:spacing w:after="0"/>
        <w:ind w:left="0"/>
        <w:jc w:val="both"/>
      </w:pPr>
      <w:r>
        <w:rPr>
          <w:rFonts w:ascii="Times New Roman"/>
          <w:b w:val="false"/>
          <w:i w:val="false"/>
          <w:color w:val="000000"/>
          <w:sz w:val="28"/>
        </w:rPr>
        <w:t>
      необходимость получения информации о лекарственном препарате по вопросам его клинической эффективности и безопасности в рамках программы III фазы клинических исследований.</w:t>
      </w:r>
    </w:p>
    <w:bookmarkEnd w:id="7980"/>
    <w:bookmarkStart w:name="z12203" w:id="7981"/>
    <w:p>
      <w:pPr>
        <w:spacing w:after="0"/>
        <w:ind w:left="0"/>
        <w:jc w:val="left"/>
      </w:pPr>
      <w:r>
        <w:rPr>
          <w:rFonts w:ascii="Times New Roman"/>
          <w:b/>
          <w:i w:val="false"/>
          <w:color w:val="000000"/>
        </w:rPr>
        <w:t xml:space="preserve"> 2. Особенности экспертизы модуля 5 регистрационного досье, содержащего результаты только одного опорного исследования</w:t>
      </w:r>
    </w:p>
    <w:bookmarkEnd w:id="7981"/>
    <w:bookmarkStart w:name="z12204" w:id="7982"/>
    <w:p>
      <w:pPr>
        <w:spacing w:after="0"/>
        <w:ind w:left="0"/>
        <w:jc w:val="both"/>
      </w:pPr>
      <w:r>
        <w:rPr>
          <w:rFonts w:ascii="Times New Roman"/>
          <w:b w:val="false"/>
          <w:i w:val="false"/>
          <w:color w:val="000000"/>
          <w:sz w:val="28"/>
        </w:rPr>
        <w:t>
      Если доказательство эффективности и безопасности лекарственного препарата получено только в одном опорном исследовании, такое исследование должно содержать статистически и клинически убедительные выводы. При экспертизе результатов такого исследования эксперту уполномоченного органа (экспертной организации) необходимо отметить в экспертном заключении результаты анализа следующих характеристик проведенного исследования:</w:t>
      </w:r>
    </w:p>
    <w:bookmarkEnd w:id="7982"/>
    <w:bookmarkStart w:name="z12205" w:id="7983"/>
    <w:p>
      <w:pPr>
        <w:spacing w:after="0"/>
        <w:ind w:left="0"/>
        <w:jc w:val="both"/>
      </w:pPr>
      <w:r>
        <w:rPr>
          <w:rFonts w:ascii="Times New Roman"/>
          <w:b w:val="false"/>
          <w:i w:val="false"/>
          <w:color w:val="000000"/>
          <w:sz w:val="28"/>
        </w:rPr>
        <w:t>
      внутренней валидности (которая не должна содержать признаков потенциального смещения результата исследования);</w:t>
      </w:r>
    </w:p>
    <w:bookmarkEnd w:id="7983"/>
    <w:bookmarkStart w:name="z12206" w:id="7984"/>
    <w:p>
      <w:pPr>
        <w:spacing w:after="0"/>
        <w:ind w:left="0"/>
        <w:jc w:val="both"/>
      </w:pPr>
      <w:r>
        <w:rPr>
          <w:rFonts w:ascii="Times New Roman"/>
          <w:b w:val="false"/>
          <w:i w:val="false"/>
          <w:color w:val="000000"/>
          <w:sz w:val="28"/>
        </w:rPr>
        <w:t>
      внешней валидности (в том числе пригодности данных, полученных на исследуемой популяции, для экстраполяции на целевую популяцию, у которой будет применяться лекарственный препарат);</w:t>
      </w:r>
    </w:p>
    <w:bookmarkEnd w:id="7984"/>
    <w:bookmarkStart w:name="z12207" w:id="7985"/>
    <w:p>
      <w:pPr>
        <w:spacing w:after="0"/>
        <w:ind w:left="0"/>
        <w:jc w:val="both"/>
      </w:pPr>
      <w:r>
        <w:rPr>
          <w:rFonts w:ascii="Times New Roman"/>
          <w:b w:val="false"/>
          <w:i w:val="false"/>
          <w:color w:val="000000"/>
          <w:sz w:val="28"/>
        </w:rPr>
        <w:t>
      клинической значимости (наличия у изученного вмешательства такой пользы, которая имеет клиническую ценность);</w:t>
      </w:r>
    </w:p>
    <w:bookmarkEnd w:id="7985"/>
    <w:bookmarkStart w:name="z12208" w:id="7986"/>
    <w:p>
      <w:pPr>
        <w:spacing w:after="0"/>
        <w:ind w:left="0"/>
        <w:jc w:val="both"/>
      </w:pPr>
      <w:r>
        <w:rPr>
          <w:rFonts w:ascii="Times New Roman"/>
          <w:b w:val="false"/>
          <w:i w:val="false"/>
          <w:color w:val="000000"/>
          <w:sz w:val="28"/>
        </w:rPr>
        <w:t>
      степени статистической значимости полученных результатов. Статистическое подтверждение значимости результатов такого опорного исследования должно быть выше чем принятый в стандартных клинических исследованиях уровень значимости p &lt;0,05. При этом подтверждение значимости должно выполняться на основании точных оценок эффектов вмешательства, то есть таких оценок которые имеют узкие доверительные интервалы. Требуемая степень значимости опорного исследования зависит от таких факторов, как:</w:t>
      </w:r>
    </w:p>
    <w:bookmarkEnd w:id="7986"/>
    <w:bookmarkStart w:name="z12209" w:id="7987"/>
    <w:p>
      <w:pPr>
        <w:spacing w:after="0"/>
        <w:ind w:left="0"/>
        <w:jc w:val="both"/>
      </w:pPr>
      <w:r>
        <w:rPr>
          <w:rFonts w:ascii="Times New Roman"/>
          <w:b w:val="false"/>
          <w:i w:val="false"/>
          <w:color w:val="000000"/>
          <w:sz w:val="28"/>
        </w:rPr>
        <w:t>
      планируемое показание к применению лекарственного препарата;</w:t>
      </w:r>
    </w:p>
    <w:bookmarkEnd w:id="7987"/>
    <w:bookmarkStart w:name="z12210" w:id="7988"/>
    <w:p>
      <w:pPr>
        <w:spacing w:after="0"/>
        <w:ind w:left="0"/>
        <w:jc w:val="both"/>
      </w:pPr>
      <w:r>
        <w:rPr>
          <w:rFonts w:ascii="Times New Roman"/>
          <w:b w:val="false"/>
          <w:i w:val="false"/>
          <w:color w:val="000000"/>
          <w:sz w:val="28"/>
        </w:rPr>
        <w:t>
      вид первичной конечной точки исследования;</w:t>
      </w:r>
    </w:p>
    <w:bookmarkEnd w:id="7988"/>
    <w:bookmarkStart w:name="z12211" w:id="7989"/>
    <w:p>
      <w:pPr>
        <w:spacing w:after="0"/>
        <w:ind w:left="0"/>
        <w:jc w:val="both"/>
      </w:pPr>
      <w:r>
        <w:rPr>
          <w:rFonts w:ascii="Times New Roman"/>
          <w:b w:val="false"/>
          <w:i w:val="false"/>
          <w:color w:val="000000"/>
          <w:sz w:val="28"/>
        </w:rPr>
        <w:t>
      объем вспомогательных данных, получаемых в ходе исследования;</w:t>
      </w:r>
    </w:p>
    <w:bookmarkEnd w:id="7989"/>
    <w:bookmarkStart w:name="z12212" w:id="7990"/>
    <w:p>
      <w:pPr>
        <w:spacing w:after="0"/>
        <w:ind w:left="0"/>
        <w:jc w:val="both"/>
      </w:pPr>
      <w:r>
        <w:rPr>
          <w:rFonts w:ascii="Times New Roman"/>
          <w:b w:val="false"/>
          <w:i w:val="false"/>
          <w:color w:val="000000"/>
          <w:sz w:val="28"/>
        </w:rPr>
        <w:t>
      наличие предварительного планирования альтернативных статистических анализов для подтверждения согласованности результатов.</w:t>
      </w:r>
    </w:p>
    <w:bookmarkEnd w:id="7990"/>
    <w:bookmarkStart w:name="z12213" w:id="7991"/>
    <w:p>
      <w:pPr>
        <w:spacing w:after="0"/>
        <w:ind w:left="0"/>
        <w:jc w:val="both"/>
      </w:pPr>
      <w:r>
        <w:rPr>
          <w:rFonts w:ascii="Times New Roman"/>
          <w:b w:val="false"/>
          <w:i w:val="false"/>
          <w:color w:val="000000"/>
          <w:sz w:val="28"/>
        </w:rPr>
        <w:t>
      Если целью опорного исследования является подтверждение не меньшей эффективности лекарственного препарата, то такое единственное опорное исследование в составе регистрационного досье лекарственного препарата считается достаточным, если нижняя граница 95 %-ного доверительного интервала значительно отличается (отстоит) от границы не меньшей эффективности установленной для проверки статистической гипотезы;</w:t>
      </w:r>
    </w:p>
    <w:bookmarkEnd w:id="7991"/>
    <w:bookmarkStart w:name="z12214" w:id="7992"/>
    <w:p>
      <w:pPr>
        <w:spacing w:after="0"/>
        <w:ind w:left="0"/>
        <w:jc w:val="both"/>
      </w:pPr>
      <w:r>
        <w:rPr>
          <w:rFonts w:ascii="Times New Roman"/>
          <w:b w:val="false"/>
          <w:i w:val="false"/>
          <w:color w:val="000000"/>
          <w:sz w:val="28"/>
        </w:rPr>
        <w:t>
      качества полученных данных опорного исследования;</w:t>
      </w:r>
    </w:p>
    <w:bookmarkEnd w:id="7992"/>
    <w:bookmarkStart w:name="z12215" w:id="7993"/>
    <w:p>
      <w:pPr>
        <w:spacing w:after="0"/>
        <w:ind w:left="0"/>
        <w:jc w:val="both"/>
      </w:pPr>
      <w:r>
        <w:rPr>
          <w:rFonts w:ascii="Times New Roman"/>
          <w:b w:val="false"/>
          <w:i w:val="false"/>
          <w:color w:val="000000"/>
          <w:sz w:val="28"/>
        </w:rPr>
        <w:t>
      внутренней согласованности полученных данных (то есть у данных, полученных от заранее выбранных различных субпопуляций пациентов, должны быть показаны сходные эффекты вмешательства);</w:t>
      </w:r>
    </w:p>
    <w:bookmarkEnd w:id="7993"/>
    <w:bookmarkStart w:name="z12216" w:id="7994"/>
    <w:p>
      <w:pPr>
        <w:spacing w:after="0"/>
        <w:ind w:left="0"/>
        <w:jc w:val="both"/>
      </w:pPr>
      <w:r>
        <w:rPr>
          <w:rFonts w:ascii="Times New Roman"/>
          <w:b w:val="false"/>
          <w:i w:val="false"/>
          <w:color w:val="000000"/>
          <w:sz w:val="28"/>
        </w:rPr>
        <w:t>
      сходных результатов всех важных конечных точек опорного исследования;</w:t>
      </w:r>
    </w:p>
    <w:bookmarkEnd w:id="7994"/>
    <w:bookmarkStart w:name="z12217" w:id="7995"/>
    <w:p>
      <w:pPr>
        <w:spacing w:after="0"/>
        <w:ind w:left="0"/>
        <w:jc w:val="both"/>
      </w:pPr>
      <w:r>
        <w:rPr>
          <w:rFonts w:ascii="Times New Roman"/>
          <w:b w:val="false"/>
          <w:i w:val="false"/>
          <w:color w:val="000000"/>
          <w:sz w:val="28"/>
        </w:rPr>
        <w:t>
      отсутствия эффектов клинических (исследовательских) центров (то есть отсутствия доминирования одного из исследовательских центров в результатах набора пациентов или полученных эффектов вмешательства);</w:t>
      </w:r>
    </w:p>
    <w:bookmarkEnd w:id="7995"/>
    <w:bookmarkStart w:name="z12218" w:id="7996"/>
    <w:p>
      <w:pPr>
        <w:spacing w:after="0"/>
        <w:ind w:left="0"/>
        <w:jc w:val="both"/>
      </w:pPr>
      <w:r>
        <w:rPr>
          <w:rFonts w:ascii="Times New Roman"/>
          <w:b w:val="false"/>
          <w:i w:val="false"/>
          <w:color w:val="000000"/>
          <w:sz w:val="28"/>
        </w:rPr>
        <w:t>
      правдоподобия изучаемой статистической гипотезы.</w:t>
      </w:r>
    </w:p>
    <w:bookmarkEnd w:id="7996"/>
    <w:bookmarkStart w:name="z12219" w:id="7997"/>
    <w:p>
      <w:pPr>
        <w:spacing w:after="0"/>
        <w:ind w:left="0"/>
        <w:jc w:val="both"/>
      </w:pPr>
      <w:r>
        <w:rPr>
          <w:rFonts w:ascii="Times New Roman"/>
          <w:b w:val="false"/>
          <w:i w:val="false"/>
          <w:color w:val="000000"/>
          <w:sz w:val="28"/>
        </w:rPr>
        <w:t>
      Не требуется в обязательном порядке включать в программу III фазы клинических исследований 2 и более опорных исследования. Однако программа III фазы клинических исследований, содержащая несколько опорных исследований, позволяет представить все разнообразие результатов клинических исследований при проблемах, связанных с подтверждением пользы применения лекарственного препарата у целевой популяции. В случаях представления результатов единственного опорного исследования они должны быть убедительными с точки зрения внутренней и внешней валидности, клинической значимости, статистической значимости, качества данных и внутренней согласованности.</w:t>
      </w:r>
    </w:p>
    <w:bookmarkEnd w:id="7997"/>
    <w:bookmarkStart w:name="z12220" w:id="7998"/>
    <w:p>
      <w:pPr>
        <w:spacing w:after="0"/>
        <w:ind w:left="0"/>
        <w:jc w:val="left"/>
      </w:pPr>
      <w:r>
        <w:rPr>
          <w:rFonts w:ascii="Times New Roman"/>
          <w:b/>
          <w:i w:val="false"/>
          <w:color w:val="000000"/>
        </w:rPr>
        <w:t xml:space="preserve"> V. Подтверждение регистрации (перерегистрация) лекарственных препаратов, зарегистрированных по процедуре условной регистрации</w:t>
      </w:r>
    </w:p>
    <w:bookmarkEnd w:id="7998"/>
    <w:bookmarkStart w:name="z12221" w:id="7999"/>
    <w:p>
      <w:pPr>
        <w:spacing w:after="0"/>
        <w:ind w:left="0"/>
        <w:jc w:val="both"/>
      </w:pPr>
      <w:r>
        <w:rPr>
          <w:rFonts w:ascii="Times New Roman"/>
          <w:b w:val="false"/>
          <w:i w:val="false"/>
          <w:color w:val="000000"/>
          <w:sz w:val="28"/>
        </w:rPr>
        <w:t>
      В соответствии с подразделом VII.III раздела VII Правил условная регистрация действительна в течение 1 года с последующей ежегодной перерегистрацией.</w:t>
      </w:r>
    </w:p>
    <w:bookmarkEnd w:id="7999"/>
    <w:bookmarkStart w:name="z12222" w:id="8000"/>
    <w:p>
      <w:pPr>
        <w:spacing w:after="0"/>
        <w:ind w:left="0"/>
        <w:jc w:val="both"/>
      </w:pPr>
      <w:r>
        <w:rPr>
          <w:rFonts w:ascii="Times New Roman"/>
          <w:b w:val="false"/>
          <w:i w:val="false"/>
          <w:color w:val="000000"/>
          <w:sz w:val="28"/>
        </w:rPr>
        <w:t>
      По истечении срока действия в 1 год регистрационного удостоверения лекарственного препарата, зарегистрированного по процедуре условной регистрации, может быть проведена процедура подтверждения регистрации (перерегистрация) такого лекарственного препарата.</w:t>
      </w:r>
    </w:p>
    <w:bookmarkEnd w:id="8000"/>
    <w:bookmarkStart w:name="z12223" w:id="8001"/>
    <w:p>
      <w:pPr>
        <w:spacing w:after="0"/>
        <w:ind w:left="0"/>
        <w:jc w:val="both"/>
      </w:pPr>
      <w:r>
        <w:rPr>
          <w:rFonts w:ascii="Times New Roman"/>
          <w:b w:val="false"/>
          <w:i w:val="false"/>
          <w:color w:val="000000"/>
          <w:sz w:val="28"/>
        </w:rPr>
        <w:t>
      Держатель регистрационного удостоверения должен подать заявление на подтверждение регистрации (перерегистрацию) не позднее чем за 6 месяцев до истечения срока действия регистрационного удостоверения лекарственного препарата, зарегистрированного по процедуре условной регистрации и предоставить уполномоченному органу (экспертной организации) референтного государства промежуточный отчет о выполнении установленных особых обязательств.</w:t>
      </w:r>
    </w:p>
    <w:bookmarkEnd w:id="8001"/>
    <w:bookmarkStart w:name="z12224" w:id="8002"/>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обязан рассмотреть заявление на подтверждение регистрации (перерегистрацию) лекарственного препарата при проведении процедуры условной регистрации на основании подтверждения положительного соотношения "польза – риск", проводя оценку представленных заявителем данных в отношении установленных при регистрации особых обязательств и сроков их выполнения. По итогам экспертизы лекарственного препарата экспертная организация референтного государства составляет заключение с указанием положений о выполнении заявителем ранее установленных при регистрации особых обязательств, необходимости сохранения или изменения этих обязательств либо сроков их выполнения. Экспертный отчет должен содержать заключение относительно:</w:t>
      </w:r>
    </w:p>
    <w:bookmarkEnd w:id="8002"/>
    <w:bookmarkStart w:name="z12225" w:id="8003"/>
    <w:p>
      <w:pPr>
        <w:spacing w:after="0"/>
        <w:ind w:left="0"/>
        <w:jc w:val="both"/>
      </w:pPr>
      <w:r>
        <w:rPr>
          <w:rFonts w:ascii="Times New Roman"/>
          <w:b w:val="false"/>
          <w:i w:val="false"/>
          <w:color w:val="000000"/>
          <w:sz w:val="28"/>
        </w:rPr>
        <w:t>
      необходимости сохранения или изменения установленных особых обязательств или сроков их выполнения;</w:t>
      </w:r>
    </w:p>
    <w:bookmarkEnd w:id="8003"/>
    <w:bookmarkStart w:name="z12226" w:id="8004"/>
    <w:p>
      <w:pPr>
        <w:spacing w:after="0"/>
        <w:ind w:left="0"/>
        <w:jc w:val="both"/>
      </w:pPr>
      <w:r>
        <w:rPr>
          <w:rFonts w:ascii="Times New Roman"/>
          <w:b w:val="false"/>
          <w:i w:val="false"/>
          <w:color w:val="000000"/>
          <w:sz w:val="28"/>
        </w:rPr>
        <w:t>
      необходимости сохранения, изменения, приостановления или отмены действия ранее выданного регистрационного удостоверения лекарственного препарата, зарегистрированного по процедуре условной регистрации.</w:t>
      </w:r>
    </w:p>
    <w:bookmarkEnd w:id="8004"/>
    <w:bookmarkStart w:name="z12227" w:id="8005"/>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проводит оценку регистрационного досье в течение 40 рабочих дней. При необходимости срок может быть увеличен на 20 рабочих дней для оценки ответов на вопросы уполномоченного органа (экспертной организации) референтного государства, которые направлялись заявителю по результатам 40-дневной экспертизы. Экспертный отчет об оценке подлежит опубликованию в едином реестре в течение 10 рабочих дней.</w:t>
      </w:r>
    </w:p>
    <w:bookmarkEnd w:id="8005"/>
    <w:bookmarkStart w:name="z12228" w:id="8006"/>
    <w:p>
      <w:pPr>
        <w:spacing w:after="0"/>
        <w:ind w:left="0"/>
        <w:jc w:val="both"/>
      </w:pPr>
      <w:r>
        <w:rPr>
          <w:rFonts w:ascii="Times New Roman"/>
          <w:b w:val="false"/>
          <w:i w:val="false"/>
          <w:color w:val="000000"/>
          <w:sz w:val="28"/>
        </w:rPr>
        <w:t>
      Ранее принятое решение уполномоченного органа (экспертной организации) референтного государства о возможности проведения процедуры условной регистрации продолжает действовать не более чем в течение 15 календарных дней после размещения в едином реестре очередного экспертного отчета об оценке.</w:t>
      </w:r>
    </w:p>
    <w:bookmarkEnd w:id="8006"/>
    <w:bookmarkStart w:name="z12229" w:id="8007"/>
    <w:p>
      <w:pPr>
        <w:spacing w:after="0"/>
        <w:ind w:left="0"/>
        <w:jc w:val="both"/>
      </w:pPr>
      <w:r>
        <w:rPr>
          <w:rFonts w:ascii="Times New Roman"/>
          <w:b w:val="false"/>
          <w:i w:val="false"/>
          <w:color w:val="000000"/>
          <w:sz w:val="28"/>
        </w:rPr>
        <w:t>
      Изменение установленных особых обязательств или сроков их выполнения может приниматься только на основании соответствующего обоснования и обстоятельств, которые нельзя было предусмотреть в процессе выполнения первичной условной регистрации. Держатель регистрационного удостоверения обязан незамедлительно сообщать уполномоченному органу (экспертной организации) референтного государства о любых возникших после условной регистрации задержках выполнения установленных особых обязательств и их влиянии на соотношение "польза – риск" лекарственного препарата. Изменение срока выполнения установленных особых обязательств может быть согласовано уполномоченным органом (экспертной организацией), исключительно если доказательства, содержащиеся в промежуточном отчете (отчетах), указывают на то, что польза допуска на фармацевтический рынок лекарственного препарата все еще превышает риск, связанный с неопределенностью, которую создают неполные данные о безопасности и эффективности лекарственного препарата.</w:t>
      </w:r>
    </w:p>
    <w:bookmarkEnd w:id="8007"/>
    <w:bookmarkStart w:name="z12230" w:id="8008"/>
    <w:p>
      <w:pPr>
        <w:spacing w:after="0"/>
        <w:ind w:left="0"/>
        <w:jc w:val="both"/>
      </w:pPr>
      <w:r>
        <w:rPr>
          <w:rFonts w:ascii="Times New Roman"/>
          <w:b w:val="false"/>
          <w:i w:val="false"/>
          <w:color w:val="000000"/>
          <w:sz w:val="28"/>
        </w:rPr>
        <w:t>
      В случае невыполнения держателем регистрационного удостоверения установленных особых обязательств уполномоченный орган (экспертная организация) референтного государства вправе считать, что положительное соотношение "польза — риск" не подтверждено, и применить необходимые меры по приостановлению, прекращению действия (аннулированию), либо отзыву выданного регистрационного удостоверения такого лекарственного препарата.</w:t>
      </w:r>
    </w:p>
    <w:bookmarkEnd w:id="8008"/>
    <w:bookmarkStart w:name="z12231" w:id="8009"/>
    <w:p>
      <w:pPr>
        <w:spacing w:after="0"/>
        <w:ind w:left="0"/>
        <w:jc w:val="both"/>
      </w:pPr>
      <w:r>
        <w:rPr>
          <w:rFonts w:ascii="Times New Roman"/>
          <w:b w:val="false"/>
          <w:i w:val="false"/>
          <w:color w:val="000000"/>
          <w:sz w:val="28"/>
        </w:rPr>
        <w:t xml:space="preserve">
      Подтверждение регистрации (перерегистрация) должно проводиться ежегодно до тех пор, пока в регистрационном удостоверении лекарственного препарата сохраняется условная регистрация. После выполнения установленных особых обязательств информация о них удаляется из регистрационного удостоверения, и его действие продлевается на 5 лет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Правил.</w:t>
      </w:r>
    </w:p>
    <w:bookmarkEnd w:id="8009"/>
    <w:bookmarkStart w:name="z12232" w:id="8010"/>
    <w:p>
      <w:pPr>
        <w:spacing w:after="0"/>
        <w:ind w:left="0"/>
        <w:jc w:val="left"/>
      </w:pPr>
      <w:r>
        <w:rPr>
          <w:rFonts w:ascii="Times New Roman"/>
          <w:b/>
          <w:i w:val="false"/>
          <w:color w:val="000000"/>
        </w:rPr>
        <w:t xml:space="preserve"> 1. Требования к документам регистрационного досье</w:t>
      </w:r>
    </w:p>
    <w:bookmarkEnd w:id="8010"/>
    <w:bookmarkStart w:name="z12233" w:id="8011"/>
    <w:p>
      <w:pPr>
        <w:spacing w:after="0"/>
        <w:ind w:left="0"/>
        <w:jc w:val="both"/>
      </w:pPr>
      <w:r>
        <w:rPr>
          <w:rFonts w:ascii="Times New Roman"/>
          <w:b w:val="false"/>
          <w:i w:val="false"/>
          <w:color w:val="000000"/>
          <w:sz w:val="28"/>
        </w:rPr>
        <w:t>
      При ежегодном подтверждении регистрации (перерегистрации) для удостоверения уполномоченным органом (экспертной организацией) референтного государства наличия доказанного положительного соотношения "польза – риск" лекарственного препарата, проверки полноты выполнения установленных особых обязательств и сроков их выполнения держатель регистрационного удостоверения при подаче заявления на подтверждение регистрации (перерегистрацию) обязан предоставить как минимум следующие документы и сведения в обновлении регистрационного досье:</w:t>
      </w:r>
    </w:p>
    <w:bookmarkEnd w:id="8011"/>
    <w:bookmarkStart w:name="z12234" w:id="8012"/>
    <w:p>
      <w:pPr>
        <w:spacing w:after="0"/>
        <w:ind w:left="0"/>
        <w:jc w:val="both"/>
      </w:pPr>
      <w:r>
        <w:rPr>
          <w:rFonts w:ascii="Times New Roman"/>
          <w:b w:val="false"/>
          <w:i w:val="false"/>
          <w:color w:val="000000"/>
          <w:sz w:val="28"/>
        </w:rPr>
        <w:t>
      перечень (в хронологическом порядке) установленных особых обязательств при первичной условной регистрации и дополнительных особых обязательств, установленных после осуществления условной регистрации, с указанием сферы действия этих обязательств, статуса выполнения, даты их установления и даты их выполнения (при необходимости);</w:t>
      </w:r>
    </w:p>
    <w:bookmarkEnd w:id="8012"/>
    <w:bookmarkStart w:name="z12235" w:id="8013"/>
    <w:p>
      <w:pPr>
        <w:spacing w:after="0"/>
        <w:ind w:left="0"/>
        <w:jc w:val="both"/>
      </w:pPr>
      <w:r>
        <w:rPr>
          <w:rFonts w:ascii="Times New Roman"/>
          <w:b w:val="false"/>
          <w:i w:val="false"/>
          <w:color w:val="000000"/>
          <w:sz w:val="28"/>
        </w:rPr>
        <w:t>
      общую характеристику лекарственного препарата, макеты упаковок и инструкцию по медицинскому применению лекарственного препарата (листок-вкладыш);</w:t>
      </w:r>
    </w:p>
    <w:bookmarkEnd w:id="8013"/>
    <w:bookmarkStart w:name="z12236" w:id="8014"/>
    <w:p>
      <w:pPr>
        <w:spacing w:after="0"/>
        <w:ind w:left="0"/>
        <w:jc w:val="both"/>
      </w:pPr>
      <w:r>
        <w:rPr>
          <w:rFonts w:ascii="Times New Roman"/>
          <w:b w:val="false"/>
          <w:i w:val="false"/>
          <w:color w:val="000000"/>
          <w:sz w:val="28"/>
        </w:rPr>
        <w:t xml:space="preserve">
      промежуточный отчет о выполнении установленных особых обязательств, включая данные о выполнении каждого особого обязательства. Цель отчета заключается в информировании уполномоченного органа (экспертной организации) референтного государства о ходе работ связанных с выполнением установленных обязательств, а также в оценке вероятности выполнения держателем регистрационного удостоверения особых обязательств в установленный срок; </w:t>
      </w:r>
    </w:p>
    <w:bookmarkEnd w:id="8014"/>
    <w:bookmarkStart w:name="z12237" w:id="8015"/>
    <w:p>
      <w:pPr>
        <w:spacing w:after="0"/>
        <w:ind w:left="0"/>
        <w:jc w:val="both"/>
      </w:pPr>
      <w:r>
        <w:rPr>
          <w:rFonts w:ascii="Times New Roman"/>
          <w:b w:val="false"/>
          <w:i w:val="false"/>
          <w:color w:val="000000"/>
          <w:sz w:val="28"/>
        </w:rPr>
        <w:t>
      заключение (вывод) эксперта, проводившего оценку клинических данных, характеризующее текущее соотношение "польза – риск" лекарственного препарата на основании:</w:t>
      </w:r>
    </w:p>
    <w:bookmarkEnd w:id="8015"/>
    <w:bookmarkStart w:name="z12238" w:id="8016"/>
    <w:p>
      <w:pPr>
        <w:spacing w:after="0"/>
        <w:ind w:left="0"/>
        <w:jc w:val="both"/>
      </w:pPr>
      <w:r>
        <w:rPr>
          <w:rFonts w:ascii="Times New Roman"/>
          <w:b w:val="false"/>
          <w:i w:val="false"/>
          <w:color w:val="000000"/>
          <w:sz w:val="28"/>
        </w:rPr>
        <w:t>
      данных, полученных в процессе выполнения установленных особых обязательств;</w:t>
      </w:r>
    </w:p>
    <w:bookmarkEnd w:id="8016"/>
    <w:bookmarkStart w:name="z12239" w:id="8017"/>
    <w:p>
      <w:pPr>
        <w:spacing w:after="0"/>
        <w:ind w:left="0"/>
        <w:jc w:val="both"/>
      </w:pPr>
      <w:r>
        <w:rPr>
          <w:rFonts w:ascii="Times New Roman"/>
          <w:b w:val="false"/>
          <w:i w:val="false"/>
          <w:color w:val="000000"/>
          <w:sz w:val="28"/>
        </w:rPr>
        <w:t>
      иных данных о безопасности лекарственного препарата (включая периодический обновляемый отчет по безопасности), полученных после регистрации;</w:t>
      </w:r>
    </w:p>
    <w:bookmarkEnd w:id="8017"/>
    <w:bookmarkStart w:name="z12240" w:id="8018"/>
    <w:p>
      <w:pPr>
        <w:spacing w:after="0"/>
        <w:ind w:left="0"/>
        <w:jc w:val="both"/>
      </w:pPr>
      <w:r>
        <w:rPr>
          <w:rFonts w:ascii="Times New Roman"/>
          <w:b w:val="false"/>
          <w:i w:val="false"/>
          <w:color w:val="000000"/>
          <w:sz w:val="28"/>
        </w:rPr>
        <w:t>
      иных данных об эффективности лекарственного препарата, полученных после регистрации.</w:t>
      </w:r>
    </w:p>
    <w:bookmarkEnd w:id="8018"/>
    <w:bookmarkStart w:name="z12241" w:id="8019"/>
    <w:p>
      <w:pPr>
        <w:spacing w:after="0"/>
        <w:ind w:left="0"/>
        <w:jc w:val="both"/>
      </w:pPr>
      <w:r>
        <w:rPr>
          <w:rFonts w:ascii="Times New Roman"/>
          <w:b w:val="false"/>
          <w:i w:val="false"/>
          <w:color w:val="000000"/>
          <w:sz w:val="28"/>
        </w:rPr>
        <w:t>
      В исключительных случаях может потребоваться формирование дополнительного заключения (вывода) эксперта, проводившего оценку доклинических данных, или эксперта, проводившего оценку качества лекарственного препарата (например, если были получены новые важные доклинические данные или данные о качестве лекарственного препарата);</w:t>
      </w:r>
    </w:p>
    <w:bookmarkEnd w:id="8019"/>
    <w:bookmarkStart w:name="z12242" w:id="8020"/>
    <w:p>
      <w:pPr>
        <w:spacing w:after="0"/>
        <w:ind w:left="0"/>
        <w:jc w:val="both"/>
      </w:pPr>
      <w:r>
        <w:rPr>
          <w:rFonts w:ascii="Times New Roman"/>
          <w:b w:val="false"/>
          <w:i w:val="false"/>
          <w:color w:val="000000"/>
          <w:sz w:val="28"/>
        </w:rPr>
        <w:t>
      заключительный отчет о выполнении установленных особых обязательств, если предельный срок подачи сведений о их выполнении совпадает со сроками подачи заявления на подтверждение регистрации (перерегистрацию) лекарственного препарата, и если он не был подан на рассмотрение отдельно.</w:t>
      </w:r>
    </w:p>
    <w:bookmarkEnd w:id="8020"/>
    <w:bookmarkStart w:name="z12243" w:id="8021"/>
    <w:p>
      <w:pPr>
        <w:spacing w:after="0"/>
        <w:ind w:left="0"/>
        <w:jc w:val="both"/>
      </w:pPr>
      <w:r>
        <w:rPr>
          <w:rFonts w:ascii="Times New Roman"/>
          <w:b w:val="false"/>
          <w:i w:val="false"/>
          <w:color w:val="000000"/>
          <w:sz w:val="28"/>
        </w:rPr>
        <w:t>
      Если данные о безопасности, эффективности и качестве лекарственного препарата, включенные в его регистрационное досье при подтверждении регистрации (перерегистрации), требуют актуализации информации о лекарственном препарате или плана управления рисками, то изменения, вносимые в информацию о лекарственном препарате и план управления рисками, допускается включать в состав регистрационного досье подаваемого на подтверждение регистрации (перерегистрацию).</w:t>
      </w:r>
    </w:p>
    <w:bookmarkEnd w:id="8021"/>
    <w:bookmarkStart w:name="z12244" w:id="8022"/>
    <w:p>
      <w:pPr>
        <w:spacing w:after="0"/>
        <w:ind w:left="0"/>
        <w:jc w:val="both"/>
      </w:pPr>
      <w:r>
        <w:rPr>
          <w:rFonts w:ascii="Times New Roman"/>
          <w:b w:val="false"/>
          <w:i w:val="false"/>
          <w:color w:val="000000"/>
          <w:sz w:val="28"/>
        </w:rPr>
        <w:t>
      При подготовке регистрационного досье лекарственного препарата для подтверждения регистрации (перерегистрации) держатель регистрационного удостоверения должен учитывать данные, которые были включены в ранее поданные версии регистрационного досье, иные отчетные документы по лекарственному препарату и которые являются значимыми для оценки соотношения "польза – риск" данного лекарственного препарата. Подтверждение регистрации (перерегистрация) такого лекарственного препарата не должно заменять выполнение иных процедур, связанных с регистрацией лекарственного препарата (например, внесение изменений в регистрационное досье лекарственного препарата), а представление актуализированных сведений для внесения в регистрационное о досье не следует откладывать до очередного подтверждения регистрации (перерегистрации).</w:t>
      </w:r>
    </w:p>
    <w:bookmarkEnd w:id="8022"/>
    <w:bookmarkStart w:name="z12245" w:id="8023"/>
    <w:p>
      <w:pPr>
        <w:spacing w:after="0"/>
        <w:ind w:left="0"/>
        <w:jc w:val="left"/>
      </w:pPr>
      <w:r>
        <w:rPr>
          <w:rFonts w:ascii="Times New Roman"/>
          <w:b/>
          <w:i w:val="false"/>
          <w:color w:val="000000"/>
        </w:rPr>
        <w:t xml:space="preserve"> 2. Требования к промежуточному и заключительному отчетам о выполнении установленных особых обязательствах</w:t>
      </w:r>
    </w:p>
    <w:bookmarkEnd w:id="8023"/>
    <w:bookmarkStart w:name="z12246" w:id="8024"/>
    <w:p>
      <w:pPr>
        <w:spacing w:after="0"/>
        <w:ind w:left="0"/>
        <w:jc w:val="both"/>
      </w:pPr>
      <w:r>
        <w:rPr>
          <w:rFonts w:ascii="Times New Roman"/>
          <w:b w:val="false"/>
          <w:i w:val="false"/>
          <w:color w:val="000000"/>
          <w:sz w:val="28"/>
        </w:rPr>
        <w:t>
      Держателю регистрационного удостоверения необходимо предоставить один промежуточный отчет о выполнении установленных особых обязательств на лекарственный препарат, включающий все особые обязательства. В зависимости от вида исследования и наличия актуализированных данных структура и содержание промежуточного отчета могут отличаться, Предоставление сведений о каждом исследовании осуществляется с целью получения возможности проведения оценки влияния доступных данных о безопасности и эффективности лекарственного препарата на соотношение "польза – риск" и оценки выполнения особых обязательств. Промежуточный отчет должен содержать достаточные сведения для выполнения оценки необходимости сохранения или изменения особых обязательств и сроков их выполнения. Если выполнение этих обязательств связано с анализом данных о безопасности и эффективности лекарственного препарата, полученных в ходе проведения клинических исследований, для составления промежуточных отчетов допускается использовать приведенную ниже структуру промежуточного отчета. Допускается вносить изменения в перечень разделов стурктуры промежуточного отчета (например, в зависимости от дизайна исследования, процедуры ослепления исследования), исключать один или более подразделов и разделов или вводить дополнительные подразделы для предоставления необходимых данных. Перечень основных разделов таких отчетов о выполнении установленных особых обязательств должен быть согласован заявителем с уполномоченным органом (экспертной организацией) референтного государства во время процедуры экспертизы лекарственного препарата, поданного на первичную условную регистрацию.</w:t>
      </w:r>
    </w:p>
    <w:bookmarkEnd w:id="8024"/>
    <w:bookmarkStart w:name="z12247" w:id="8025"/>
    <w:p>
      <w:pPr>
        <w:spacing w:after="0"/>
        <w:ind w:left="0"/>
        <w:jc w:val="both"/>
      </w:pPr>
      <w:r>
        <w:rPr>
          <w:rFonts w:ascii="Times New Roman"/>
          <w:b w:val="false"/>
          <w:i w:val="false"/>
          <w:color w:val="000000"/>
          <w:sz w:val="28"/>
        </w:rPr>
        <w:t>
      Промежуточный отчет на лекарственный препарат составляется по каждому установленному особому обязательству, для которого выполнялось клиническое исследование, и включает в себя:</w:t>
      </w:r>
    </w:p>
    <w:bookmarkEnd w:id="8025"/>
    <w:bookmarkStart w:name="z12248" w:id="8026"/>
    <w:p>
      <w:pPr>
        <w:spacing w:after="0"/>
        <w:ind w:left="0"/>
        <w:jc w:val="both"/>
      </w:pPr>
      <w:r>
        <w:rPr>
          <w:rFonts w:ascii="Times New Roman"/>
          <w:b w:val="false"/>
          <w:i w:val="false"/>
          <w:color w:val="000000"/>
          <w:sz w:val="28"/>
        </w:rPr>
        <w:t>
      а) титульную страницу и синопсис. В этой части отчета необходимо представить краткое описание каждого из проводящихся или новых клинических исследований, являющихся частью установленного особого обязательства. Синопсис по каждому из клинических исследований должен быть изложен не более чем на одной странице стандартного текста и включать в себя описание общего плана и дизайна исследования;</w:t>
      </w:r>
    </w:p>
    <w:bookmarkEnd w:id="8026"/>
    <w:bookmarkStart w:name="z12249" w:id="8027"/>
    <w:p>
      <w:pPr>
        <w:spacing w:after="0"/>
        <w:ind w:left="0"/>
        <w:jc w:val="both"/>
      </w:pPr>
      <w:r>
        <w:rPr>
          <w:rFonts w:ascii="Times New Roman"/>
          <w:b w:val="false"/>
          <w:i w:val="false"/>
          <w:color w:val="000000"/>
          <w:sz w:val="28"/>
        </w:rPr>
        <w:t>
      б) введение, содержащее следующую информацию:</w:t>
      </w:r>
    </w:p>
    <w:bookmarkEnd w:id="8027"/>
    <w:bookmarkStart w:name="z12250" w:id="8028"/>
    <w:p>
      <w:pPr>
        <w:spacing w:after="0"/>
        <w:ind w:left="0"/>
        <w:jc w:val="both"/>
      </w:pPr>
      <w:r>
        <w:rPr>
          <w:rFonts w:ascii="Times New Roman"/>
          <w:b w:val="false"/>
          <w:i w:val="false"/>
          <w:color w:val="000000"/>
          <w:sz w:val="28"/>
        </w:rPr>
        <w:t>
      текущий статус проведения исследования, о котором предоставляется настоящий промежуточный отчет;</w:t>
      </w:r>
    </w:p>
    <w:bookmarkEnd w:id="8028"/>
    <w:bookmarkStart w:name="z12251" w:id="8029"/>
    <w:p>
      <w:pPr>
        <w:spacing w:after="0"/>
        <w:ind w:left="0"/>
        <w:jc w:val="both"/>
      </w:pPr>
      <w:r>
        <w:rPr>
          <w:rFonts w:ascii="Times New Roman"/>
          <w:b w:val="false"/>
          <w:i w:val="false"/>
          <w:color w:val="000000"/>
          <w:sz w:val="28"/>
        </w:rPr>
        <w:t>
      возможные или возникшие нерешенные проблемы, а также проблемы которые способны оказать существенное влияние на выполнимость исследования;</w:t>
      </w:r>
    </w:p>
    <w:bookmarkEnd w:id="8029"/>
    <w:bookmarkStart w:name="z12252" w:id="8030"/>
    <w:p>
      <w:pPr>
        <w:spacing w:after="0"/>
        <w:ind w:left="0"/>
        <w:jc w:val="both"/>
      </w:pPr>
      <w:r>
        <w:rPr>
          <w:rFonts w:ascii="Times New Roman"/>
          <w:b w:val="false"/>
          <w:i w:val="false"/>
          <w:color w:val="000000"/>
          <w:sz w:val="28"/>
        </w:rPr>
        <w:t>
      ожидаемые задержки сроков выполнения работ по исследованию;</w:t>
      </w:r>
    </w:p>
    <w:bookmarkEnd w:id="8030"/>
    <w:bookmarkStart w:name="z12253" w:id="8031"/>
    <w:p>
      <w:pPr>
        <w:spacing w:after="0"/>
        <w:ind w:left="0"/>
        <w:jc w:val="both"/>
      </w:pPr>
      <w:r>
        <w:rPr>
          <w:rFonts w:ascii="Times New Roman"/>
          <w:b w:val="false"/>
          <w:i w:val="false"/>
          <w:color w:val="000000"/>
          <w:sz w:val="28"/>
        </w:rPr>
        <w:t>
      иные сведения;</w:t>
      </w:r>
    </w:p>
    <w:bookmarkEnd w:id="8031"/>
    <w:bookmarkStart w:name="z12254" w:id="8032"/>
    <w:p>
      <w:pPr>
        <w:spacing w:after="0"/>
        <w:ind w:left="0"/>
        <w:jc w:val="both"/>
      </w:pPr>
      <w:r>
        <w:rPr>
          <w:rFonts w:ascii="Times New Roman"/>
          <w:b w:val="false"/>
          <w:i w:val="false"/>
          <w:color w:val="000000"/>
          <w:sz w:val="28"/>
        </w:rPr>
        <w:t>
      в) набор субъектов исследования. В этой части отчета необходимо описать:</w:t>
      </w:r>
    </w:p>
    <w:bookmarkEnd w:id="8032"/>
    <w:bookmarkStart w:name="z12255" w:id="8033"/>
    <w:p>
      <w:pPr>
        <w:spacing w:after="0"/>
        <w:ind w:left="0"/>
        <w:jc w:val="both"/>
      </w:pPr>
      <w:r>
        <w:rPr>
          <w:rFonts w:ascii="Times New Roman"/>
          <w:b w:val="false"/>
          <w:i w:val="false"/>
          <w:color w:val="000000"/>
          <w:sz w:val="28"/>
        </w:rPr>
        <w:t>
      критерии включения пациентов в исследование;</w:t>
      </w:r>
    </w:p>
    <w:bookmarkEnd w:id="8033"/>
    <w:bookmarkStart w:name="z12256" w:id="8034"/>
    <w:p>
      <w:pPr>
        <w:spacing w:after="0"/>
        <w:ind w:left="0"/>
        <w:jc w:val="both"/>
      </w:pPr>
      <w:r>
        <w:rPr>
          <w:rFonts w:ascii="Times New Roman"/>
          <w:b w:val="false"/>
          <w:i w:val="false"/>
          <w:color w:val="000000"/>
          <w:sz w:val="28"/>
        </w:rPr>
        <w:t>
      динамику их набора по времени, по клиническим центрам, по странам и регионам, по видам вмешательства;</w:t>
      </w:r>
    </w:p>
    <w:bookmarkEnd w:id="8034"/>
    <w:bookmarkStart w:name="z12257" w:id="8035"/>
    <w:p>
      <w:pPr>
        <w:spacing w:after="0"/>
        <w:ind w:left="0"/>
        <w:jc w:val="both"/>
      </w:pPr>
      <w:r>
        <w:rPr>
          <w:rFonts w:ascii="Times New Roman"/>
          <w:b w:val="false"/>
          <w:i w:val="false"/>
          <w:color w:val="000000"/>
          <w:sz w:val="28"/>
        </w:rPr>
        <w:t>
      сведения о доступности данных;</w:t>
      </w:r>
    </w:p>
    <w:bookmarkEnd w:id="8035"/>
    <w:bookmarkStart w:name="z12258" w:id="8036"/>
    <w:p>
      <w:pPr>
        <w:spacing w:after="0"/>
        <w:ind w:left="0"/>
        <w:jc w:val="both"/>
      </w:pPr>
      <w:r>
        <w:rPr>
          <w:rFonts w:ascii="Times New Roman"/>
          <w:b w:val="false"/>
          <w:i w:val="false"/>
          <w:color w:val="000000"/>
          <w:sz w:val="28"/>
        </w:rPr>
        <w:t>
      сведения о статусе последующего наблюдения, а также продолжительности последующего наблюдения;</w:t>
      </w:r>
    </w:p>
    <w:bookmarkEnd w:id="8036"/>
    <w:bookmarkStart w:name="z12259" w:id="8037"/>
    <w:p>
      <w:pPr>
        <w:spacing w:after="0"/>
        <w:ind w:left="0"/>
        <w:jc w:val="both"/>
      </w:pPr>
      <w:r>
        <w:rPr>
          <w:rFonts w:ascii="Times New Roman"/>
          <w:b w:val="false"/>
          <w:i w:val="false"/>
          <w:color w:val="000000"/>
          <w:sz w:val="28"/>
        </w:rPr>
        <w:t>
      анализ таких вопросов, как прогнозируемый набор субъектов в исследование и ожидаемая частота явлений, влияние набора субъектов исследования на его мощность, оценка динамики изменений характеристик включаемых пациентов; расчеты условной мощности исследования, прогнозируемый срок окончательного анализа по исследованию;</w:t>
      </w:r>
    </w:p>
    <w:bookmarkEnd w:id="8037"/>
    <w:bookmarkStart w:name="z12260" w:id="8038"/>
    <w:p>
      <w:pPr>
        <w:spacing w:after="0"/>
        <w:ind w:left="0"/>
        <w:jc w:val="both"/>
      </w:pPr>
      <w:r>
        <w:rPr>
          <w:rFonts w:ascii="Times New Roman"/>
          <w:b w:val="false"/>
          <w:i w:val="false"/>
          <w:color w:val="000000"/>
          <w:sz w:val="28"/>
        </w:rPr>
        <w:t>
      г) исходные характеристики изучаемой популяции, включая описание исходных переменных по группе вмешательства, их приемлемость, а также описание любых проблем, касающихся критериев скрининга, влияние критериев невключения и проблемы распространения вывода по исследованию на всю генеральную совокупность;</w:t>
      </w:r>
    </w:p>
    <w:bookmarkEnd w:id="8038"/>
    <w:bookmarkStart w:name="z12261" w:id="8039"/>
    <w:p>
      <w:pPr>
        <w:spacing w:after="0"/>
        <w:ind w:left="0"/>
        <w:jc w:val="both"/>
      </w:pPr>
      <w:r>
        <w:rPr>
          <w:rFonts w:ascii="Times New Roman"/>
          <w:b w:val="false"/>
          <w:i w:val="false"/>
          <w:color w:val="000000"/>
          <w:sz w:val="28"/>
        </w:rPr>
        <w:t>
      д) нежелательные явления в зависимости от вмешательства и их тяжести на уровне системы органов и на уровне предпочтительного термина, а также описать частоту серьезных нежелательных явлений;</w:t>
      </w:r>
    </w:p>
    <w:bookmarkEnd w:id="8039"/>
    <w:bookmarkStart w:name="z12262" w:id="8040"/>
    <w:p>
      <w:pPr>
        <w:spacing w:after="0"/>
        <w:ind w:left="0"/>
        <w:jc w:val="both"/>
      </w:pPr>
      <w:r>
        <w:rPr>
          <w:rFonts w:ascii="Times New Roman"/>
          <w:b w:val="false"/>
          <w:i w:val="false"/>
          <w:color w:val="000000"/>
          <w:sz w:val="28"/>
        </w:rPr>
        <w:t>
      е) анализ исследуемых конечных точек с указанием результатов промежуточных анализов конечных точек исследования, ожидаемых сроков окончательного анализа конечных точек и иных данных исходя из особенностей исследования, протокола данного клинического исследования и запланированных в исследовании процедур;</w:t>
      </w:r>
    </w:p>
    <w:bookmarkEnd w:id="8040"/>
    <w:bookmarkStart w:name="z12263" w:id="8041"/>
    <w:p>
      <w:pPr>
        <w:spacing w:after="0"/>
        <w:ind w:left="0"/>
        <w:jc w:val="both"/>
      </w:pPr>
      <w:r>
        <w:rPr>
          <w:rFonts w:ascii="Times New Roman"/>
          <w:b w:val="false"/>
          <w:i w:val="false"/>
          <w:color w:val="000000"/>
          <w:sz w:val="28"/>
        </w:rPr>
        <w:t>
      ж) обеспечение качества проведения исследования и получаемых данных с описанием приверженности субъектов исследования терапии, соблюдения требований к оценке безопасности и эффективности, существенных изменений в проведении исследования или запланированных анализов, важных отклонений от протокола исследований, выбывания субъектов исследования и недостающих данных, критичных для обеспечения качества отклонения в выполнении исследования и результатов контроля качества исследования.</w:t>
      </w:r>
    </w:p>
    <w:bookmarkEnd w:id="8041"/>
    <w:bookmarkStart w:name="z12264" w:id="8042"/>
    <w:p>
      <w:pPr>
        <w:spacing w:after="0"/>
        <w:ind w:left="0"/>
        <w:jc w:val="both"/>
      </w:pPr>
      <w:r>
        <w:rPr>
          <w:rFonts w:ascii="Times New Roman"/>
          <w:b w:val="false"/>
          <w:i w:val="false"/>
          <w:color w:val="000000"/>
          <w:sz w:val="28"/>
        </w:rPr>
        <w:t xml:space="preserve">
      Заключительные отчеты о клинических исследованиях составляются по формам приведенным в </w:t>
      </w:r>
      <w:r>
        <w:rPr>
          <w:rFonts w:ascii="Times New Roman"/>
          <w:b w:val="false"/>
          <w:i w:val="false"/>
          <w:color w:val="000000"/>
          <w:sz w:val="28"/>
        </w:rPr>
        <w:t>приложениях №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к Правилам надлежащей клинической практики Евразийского экономического союза, утвержденным Решением Совета Евразийской экономической комиссии от 3 ноября 2016 г. № 79.</w:t>
      </w:r>
    </w:p>
    <w:bookmarkEnd w:id="8042"/>
    <w:bookmarkStart w:name="z12265" w:id="8043"/>
    <w:p>
      <w:pPr>
        <w:spacing w:after="0"/>
        <w:ind w:left="0"/>
        <w:jc w:val="left"/>
      </w:pPr>
      <w:r>
        <w:rPr>
          <w:rFonts w:ascii="Times New Roman"/>
          <w:b/>
          <w:i w:val="false"/>
          <w:color w:val="000000"/>
        </w:rPr>
        <w:t xml:space="preserve"> VI. Снятие особых обязательств при регистрации, подтверждении регистрации (перерегистрации) лекарственного препарата</w:t>
      </w:r>
    </w:p>
    <w:bookmarkEnd w:id="8043"/>
    <w:bookmarkStart w:name="z12266" w:id="8044"/>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принять решение о снятии особых обязательств, установленных при условной регистрации при подтверждении регистрации (перерегистрации) лекарственного препарата в соответствии с разделом VIII Правил, если особые обязательства были выполнены до момента:</w:t>
      </w:r>
    </w:p>
    <w:bookmarkEnd w:id="8044"/>
    <w:bookmarkStart w:name="z12267" w:id="8045"/>
    <w:p>
      <w:pPr>
        <w:spacing w:after="0"/>
        <w:ind w:left="0"/>
        <w:jc w:val="both"/>
      </w:pPr>
      <w:r>
        <w:rPr>
          <w:rFonts w:ascii="Times New Roman"/>
          <w:b w:val="false"/>
          <w:i w:val="false"/>
          <w:color w:val="000000"/>
          <w:sz w:val="28"/>
        </w:rPr>
        <w:t>
      завершения экспертизы лекарственного препарата, поданного на первичную регистрацию;</w:t>
      </w:r>
    </w:p>
    <w:bookmarkEnd w:id="8045"/>
    <w:bookmarkStart w:name="z12268" w:id="8046"/>
    <w:p>
      <w:pPr>
        <w:spacing w:after="0"/>
        <w:ind w:left="0"/>
        <w:jc w:val="both"/>
      </w:pPr>
      <w:r>
        <w:rPr>
          <w:rFonts w:ascii="Times New Roman"/>
          <w:b w:val="false"/>
          <w:i w:val="false"/>
          <w:color w:val="000000"/>
          <w:sz w:val="28"/>
        </w:rPr>
        <w:t>
      подтверждения условной регистрации (перерегистрации);</w:t>
      </w:r>
    </w:p>
    <w:bookmarkEnd w:id="8046"/>
    <w:bookmarkStart w:name="z12269" w:id="8047"/>
    <w:p>
      <w:pPr>
        <w:spacing w:after="0"/>
        <w:ind w:left="0"/>
        <w:jc w:val="both"/>
      </w:pPr>
      <w:r>
        <w:rPr>
          <w:rFonts w:ascii="Times New Roman"/>
          <w:b w:val="false"/>
          <w:i w:val="false"/>
          <w:color w:val="000000"/>
          <w:sz w:val="28"/>
        </w:rPr>
        <w:t>
      завершения экспертизы данных, предоставленных в заключительном отчете о выполнении особых обязательств с указанием последнего невыполненного установленного особого обязательства.</w:t>
      </w:r>
    </w:p>
    <w:bookmarkEnd w:id="8047"/>
    <w:bookmarkStart w:name="z12270" w:id="8048"/>
    <w:p>
      <w:pPr>
        <w:spacing w:after="0"/>
        <w:ind w:left="0"/>
        <w:jc w:val="both"/>
      </w:pPr>
      <w:r>
        <w:rPr>
          <w:rFonts w:ascii="Times New Roman"/>
          <w:b w:val="false"/>
          <w:i w:val="false"/>
          <w:color w:val="000000"/>
          <w:sz w:val="28"/>
        </w:rPr>
        <w:t>
      Если предоставление отчета о выполнении установленных особых обязательств требует актуализации информации о лекарственном препарате, допускается включать в состав регистрационного досье, подаваемого для оценки исполнения установленных особых обязательств любые изменения о лекарственном препарате.</w:t>
      </w:r>
    </w:p>
    <w:bookmarkEnd w:id="8048"/>
    <w:bookmarkStart w:name="z12271" w:id="8049"/>
    <w:p>
      <w:pPr>
        <w:spacing w:after="0"/>
        <w:ind w:left="0"/>
        <w:jc w:val="both"/>
      </w:pPr>
      <w:r>
        <w:rPr>
          <w:rFonts w:ascii="Times New Roman"/>
          <w:b w:val="false"/>
          <w:i w:val="false"/>
          <w:color w:val="000000"/>
          <w:sz w:val="28"/>
        </w:rPr>
        <w:t>
      При подаче заключительного отчета о выполнении последнего из установленных особых обязательств и в целях возможного изменения статуса лекарственного препарата как "условная регистрация без установления особых обязательств" держатель регистрационного удостоверения обязан отметить это в соответствующих разделах модуля 1 регистрационного досье и предоставить актуализированную информацию о лекарственном препарате и заключение (вывод) эксперта, проводившего оценку клинических данных, обосновывающих возможность осуществления условной регистрации без установления особых обязательств.</w:t>
      </w:r>
    </w:p>
    <w:bookmarkEnd w:id="8049"/>
    <w:bookmarkStart w:name="z12272" w:id="8050"/>
    <w:p>
      <w:pPr>
        <w:spacing w:after="0"/>
        <w:ind w:left="0"/>
        <w:jc w:val="both"/>
      </w:pPr>
      <w:r>
        <w:rPr>
          <w:rFonts w:ascii="Times New Roman"/>
          <w:b w:val="false"/>
          <w:i w:val="false"/>
          <w:color w:val="000000"/>
          <w:sz w:val="28"/>
        </w:rPr>
        <w:t xml:space="preserve">
      Причины выбора условной регистрации без установления особых обязательств указываются в экспертном отчете экспертной организации референтного государства, составленном по форме согласно </w:t>
      </w:r>
      <w:r>
        <w:rPr>
          <w:rFonts w:ascii="Times New Roman"/>
          <w:b w:val="false"/>
          <w:i w:val="false"/>
          <w:color w:val="000000"/>
          <w:sz w:val="28"/>
        </w:rPr>
        <w:t>приложению № 16</w:t>
      </w:r>
      <w:r>
        <w:rPr>
          <w:rFonts w:ascii="Times New Roman"/>
          <w:b w:val="false"/>
          <w:i w:val="false"/>
          <w:color w:val="000000"/>
          <w:sz w:val="28"/>
        </w:rPr>
        <w:t xml:space="preserve"> к Правилам.</w:t>
      </w:r>
    </w:p>
    <w:bookmarkEnd w:id="8050"/>
    <w:bookmarkStart w:name="z12273" w:id="8051"/>
    <w:p>
      <w:pPr>
        <w:spacing w:after="0"/>
        <w:ind w:left="0"/>
        <w:jc w:val="left"/>
      </w:pPr>
      <w:r>
        <w:rPr>
          <w:rFonts w:ascii="Times New Roman"/>
          <w:b/>
          <w:i w:val="false"/>
          <w:color w:val="000000"/>
        </w:rPr>
        <w:t xml:space="preserve"> VII. Отличия процедуры условной регистрации от регистрации в исключительных случаях и стандартной процедуры регистрации</w:t>
      </w:r>
    </w:p>
    <w:bookmarkEnd w:id="8051"/>
    <w:bookmarkStart w:name="z12274" w:id="8052"/>
    <w:p>
      <w:pPr>
        <w:spacing w:after="0"/>
        <w:ind w:left="0"/>
        <w:jc w:val="both"/>
      </w:pPr>
      <w:r>
        <w:rPr>
          <w:rFonts w:ascii="Times New Roman"/>
          <w:b w:val="false"/>
          <w:i w:val="false"/>
          <w:color w:val="000000"/>
          <w:sz w:val="28"/>
        </w:rPr>
        <w:t xml:space="preserve">
      Лекарственные препараты, в отношении которых заявителю не представляется возможным представить данные (в соответствии с требованиями, установленными разделами 4 и 5 части I </w:t>
      </w:r>
      <w:r>
        <w:rPr>
          <w:rFonts w:ascii="Times New Roman"/>
          <w:b w:val="false"/>
          <w:i w:val="false"/>
          <w:color w:val="000000"/>
          <w:sz w:val="28"/>
        </w:rPr>
        <w:t>приложения № 1</w:t>
      </w:r>
      <w:r>
        <w:rPr>
          <w:rFonts w:ascii="Times New Roman"/>
          <w:b w:val="false"/>
          <w:i w:val="false"/>
          <w:color w:val="000000"/>
          <w:sz w:val="28"/>
        </w:rPr>
        <w:t xml:space="preserve"> к Правилам) (в силу конкретных причин, предусмотренных разделом 11 части II приложения № 1 к Правилам), могут заявляться на регистрацию в исключительных случаях. Актуальность такой регистрации пересматривается ежегодно для переоценки соотношения "польза – риск". Выполнение любых особых обязательств, установленных в рамках процедуры регистрации в исключительных случаях, связано с предоставлением сведений о безопасном и эффективном применении лекарственного препарата и, как правило, не приведет к получению полного регистрационного досье в соответствии с требованиями разделов 4 и 5 части I </w:t>
      </w:r>
      <w:r>
        <w:rPr>
          <w:rFonts w:ascii="Times New Roman"/>
          <w:b w:val="false"/>
          <w:i w:val="false"/>
          <w:color w:val="000000"/>
          <w:sz w:val="28"/>
        </w:rPr>
        <w:t>приложения № 1</w:t>
      </w:r>
      <w:r>
        <w:rPr>
          <w:rFonts w:ascii="Times New Roman"/>
          <w:b w:val="false"/>
          <w:i w:val="false"/>
          <w:color w:val="000000"/>
          <w:sz w:val="28"/>
        </w:rPr>
        <w:t xml:space="preserve"> к Правилам. Если заявителем предоставлены исчерпывающие данные о безопасности и эффективности лекарственного препарата в обычных условиях применения ("полное досье"), и выполнены все установленные особые обязательства, может быть выполнена процедура обычной регистрации.</w:t>
      </w:r>
    </w:p>
    <w:bookmarkEnd w:id="8052"/>
    <w:bookmarkStart w:name="z12275" w:id="8053"/>
    <w:p>
      <w:pPr>
        <w:spacing w:after="0"/>
        <w:ind w:left="0"/>
        <w:jc w:val="both"/>
      </w:pPr>
      <w:r>
        <w:rPr>
          <w:rFonts w:ascii="Times New Roman"/>
          <w:b w:val="false"/>
          <w:i w:val="false"/>
          <w:color w:val="000000"/>
          <w:sz w:val="28"/>
        </w:rPr>
        <w:t>
      В регистрационное досье лекарственного препарата зарегистрированного по процедуре регистрации в исключительных случаев, могут быть внесены изменения для добавления нового показания (показаний) к применению лекарственного препарата. В подобных случаях регистрация останется в рамках исключительных случаев.</w:t>
      </w:r>
    </w:p>
    <w:bookmarkEnd w:id="8053"/>
    <w:bookmarkStart w:name="z12276" w:id="8054"/>
    <w:p>
      <w:pPr>
        <w:spacing w:after="0"/>
        <w:ind w:left="0"/>
        <w:jc w:val="both"/>
      </w:pPr>
      <w:r>
        <w:rPr>
          <w:rFonts w:ascii="Times New Roman"/>
          <w:b w:val="false"/>
          <w:i w:val="false"/>
          <w:color w:val="000000"/>
          <w:sz w:val="28"/>
        </w:rPr>
        <w:t>
      В рамках процедуры условной регистрации могут быть зарегистрированы лекарственные препараты, в отношении которых заявитель может подтвердить положительное соотношение "польза – риск" (например, на основании предшествующего доказательства эффективности этих лекарственных препаратов, позволяющего спрогнозировать клинический исход, оцениваемый в рамках полной разработки). Такая временная регистрация не может оставаться условной. Она пересматривается 1 раз в год и может быть продлена, а после предоставления данных, требуемых для подтверждения положительного соотношения "польза – риск" ("полное досье"), она становится обычной регистрацией.</w:t>
      </w:r>
    </w:p>
    <w:bookmarkEnd w:id="8054"/>
    <w:bookmarkStart w:name="z12277" w:id="8055"/>
    <w:p>
      <w:pPr>
        <w:spacing w:after="0"/>
        <w:ind w:left="0"/>
        <w:jc w:val="both"/>
      </w:pPr>
      <w:r>
        <w:rPr>
          <w:rFonts w:ascii="Times New Roman"/>
          <w:b w:val="false"/>
          <w:i w:val="false"/>
          <w:color w:val="000000"/>
          <w:sz w:val="28"/>
        </w:rPr>
        <w:t xml:space="preserve">
      Таким образом, существует различие между регистрацией в исключительных случаях и условной регистрацией. Процедура регистрации в исключительных случаях не должна проводиться, если обоснована условная регистрация. Процедура условной регистрации проводится при отсутствии исчерпывающих клинических данных, если заявитель способен представить такие данные в кратчайшие сроки. </w:t>
      </w:r>
    </w:p>
    <w:bookmarkEnd w:id="8055"/>
    <w:bookmarkStart w:name="z12278" w:id="8056"/>
    <w:p>
      <w:pPr>
        <w:spacing w:after="0"/>
        <w:ind w:left="0"/>
        <w:jc w:val="both"/>
      </w:pPr>
      <w:r>
        <w:rPr>
          <w:rFonts w:ascii="Times New Roman"/>
          <w:b w:val="false"/>
          <w:i w:val="false"/>
          <w:color w:val="000000"/>
          <w:sz w:val="28"/>
        </w:rPr>
        <w:t xml:space="preserve">
      Следует отметить, что орфанные лекарственные препараты, аналогично прочим лекарственным препаратам, могут регистрироваться по процедуре регистрации в исключительных случаях только при соблюдении критериев, предусмотренных Правилами (согласно приложению № 25 раздел 3). Критерии присвоения статуса орфанного лекарственного препарата уполномоченным органом (экспертной организацией) государства-члена в соответствии с его законодательством не зависят от критериев, рассматриваемых при процедуре регистрации в исключительных случаях, и от критериев, рассматриваемых при процедуре условной регистрации. </w:t>
      </w:r>
    </w:p>
    <w:bookmarkEnd w:id="8056"/>
    <w:bookmarkStart w:name="z12279" w:id="8057"/>
    <w:p>
      <w:pPr>
        <w:spacing w:after="0"/>
        <w:ind w:left="0"/>
        <w:jc w:val="left"/>
      </w:pPr>
      <w:r>
        <w:rPr>
          <w:rFonts w:ascii="Times New Roman"/>
          <w:b/>
          <w:i w:val="false"/>
          <w:color w:val="000000"/>
        </w:rPr>
        <w:t xml:space="preserve"> VIII. Консультирование уполномоченными органами (экспертной организацией) государства-члена перед подачей заявления на регистрацию</w:t>
      </w:r>
    </w:p>
    <w:bookmarkEnd w:id="8057"/>
    <w:bookmarkStart w:name="z12280" w:id="8058"/>
    <w:p>
      <w:pPr>
        <w:spacing w:after="0"/>
        <w:ind w:left="0"/>
        <w:jc w:val="both"/>
      </w:pPr>
      <w:r>
        <w:rPr>
          <w:rFonts w:ascii="Times New Roman"/>
          <w:b w:val="false"/>
          <w:i w:val="false"/>
          <w:color w:val="000000"/>
          <w:sz w:val="28"/>
        </w:rPr>
        <w:t>
      Заявитель при планировании условной регистрации лекарственного препарата вправе запросить проведение научных и предрегистрационных консультаций уполномоченных органов (экспертных организаций) государства-члена в соответствии с его законодательством, предусмотренных пунктом 26 Правил, либо направить обращение в уполномоченный орган государства-члена о проведении консультации Экспертного комитета по лекарственным средствам для решения вопроса о возможности применения к лекарственному препарату, разрабатываемому для применения в отношении определенного показания, процедуры условной регистрации и выполнения требования, предусмотренного абзацами вторым – пятым подраздела 2 раздела III настоящего документа.</w:t>
      </w:r>
    </w:p>
    <w:bookmarkEnd w:id="8058"/>
    <w:bookmarkStart w:name="z12281" w:id="8059"/>
    <w:p>
      <w:pPr>
        <w:spacing w:after="0"/>
        <w:ind w:left="0"/>
        <w:jc w:val="both"/>
      </w:pPr>
      <w:r>
        <w:rPr>
          <w:rFonts w:ascii="Times New Roman"/>
          <w:b w:val="false"/>
          <w:i w:val="false"/>
          <w:color w:val="000000"/>
          <w:sz w:val="28"/>
        </w:rPr>
        <w:t>
      Во время проведения консультации заявителя, выполняемой уполномоченным органом (экспертной организацией) государства-члена, заявитель обязан представить:</w:t>
      </w:r>
    </w:p>
    <w:bookmarkEnd w:id="8059"/>
    <w:bookmarkStart w:name="z12282" w:id="8060"/>
    <w:p>
      <w:pPr>
        <w:spacing w:after="0"/>
        <w:ind w:left="0"/>
        <w:jc w:val="both"/>
      </w:pPr>
      <w:r>
        <w:rPr>
          <w:rFonts w:ascii="Times New Roman"/>
          <w:b w:val="false"/>
          <w:i w:val="false"/>
          <w:color w:val="000000"/>
          <w:sz w:val="28"/>
        </w:rPr>
        <w:t>
      письменный запрос на проведение процедуры условной регистрации;</w:t>
      </w:r>
    </w:p>
    <w:bookmarkEnd w:id="8060"/>
    <w:bookmarkStart w:name="z12283" w:id="8061"/>
    <w:p>
      <w:pPr>
        <w:spacing w:after="0"/>
        <w:ind w:left="0"/>
        <w:jc w:val="both"/>
      </w:pPr>
      <w:r>
        <w:rPr>
          <w:rFonts w:ascii="Times New Roman"/>
          <w:b w:val="false"/>
          <w:i w:val="false"/>
          <w:color w:val="000000"/>
          <w:sz w:val="28"/>
        </w:rPr>
        <w:t>
      перечень вопросов административного или практического (методического) характера, необходимых для разъяснения.</w:t>
      </w:r>
    </w:p>
    <w:bookmarkEnd w:id="8061"/>
    <w:bookmarkStart w:name="z12284" w:id="8062"/>
    <w:p>
      <w:pPr>
        <w:spacing w:after="0"/>
        <w:ind w:left="0"/>
        <w:jc w:val="both"/>
      </w:pPr>
      <w:r>
        <w:rPr>
          <w:rFonts w:ascii="Times New Roman"/>
          <w:b w:val="false"/>
          <w:i w:val="false"/>
          <w:color w:val="000000"/>
          <w:sz w:val="28"/>
        </w:rPr>
        <w:t>
      Поскольку лекарственные препараты, предназначенные для обеспечения неудовлетворенной медицинской потребности системы здравоохранения, могут одновременно представлять пользу для здоровья населения, связанную с немедленной доступностью такого лекарственного препарата, заявитель вправе запросить проведение ускоренной экспертизы лекарственных препаратов и их условную регистрацию. В целях исключения задержек при выполнении в дальнейшем процедуры условной регистрации и (или) ускоренной экспертизы заявитель должен заблаговременно предусмотреть необходимость запроса на проведение консультации уполномоченного органа (экспертной организации) государства-члена.</w:t>
      </w:r>
    </w:p>
    <w:bookmarkEnd w:id="8062"/>
    <w:bookmarkStart w:name="z12285" w:id="8063"/>
    <w:p>
      <w:pPr>
        <w:spacing w:after="0"/>
        <w:ind w:left="0"/>
        <w:jc w:val="both"/>
      </w:pPr>
      <w:r>
        <w:rPr>
          <w:rFonts w:ascii="Times New Roman"/>
          <w:b w:val="false"/>
          <w:i w:val="false"/>
          <w:color w:val="000000"/>
          <w:sz w:val="28"/>
        </w:rPr>
        <w:t>
      Невозможность предоставить полные данные о безопасности и эффективности лекарственного препарата необходимо обсудить в процессе фармацевтической разработки лекарственного препарата как можно раньше. Заявитель вправе обратиться в уполномоченный орган (экспертную организацию) государства-члена за научной консультацией по вопросу ограничений, накладываемых низкой частотой распространенности (болезненности, морбидности) для данного заболевания (состояния) или для получения научной информации о способе сбора исчерпывающих сведений о безопасности и эффективности лекарственного препарата. Научная консультация не может быть выполнена по вопросам, связанным с этическими аспектами сбора сведений о лекарственном препарате.</w:t>
      </w:r>
    </w:p>
    <w:bookmarkEnd w:id="8063"/>
    <w:bookmarkStart w:name="z12286" w:id="8064"/>
    <w:p>
      <w:pPr>
        <w:spacing w:after="0"/>
        <w:ind w:left="0"/>
        <w:jc w:val="both"/>
      </w:pPr>
      <w:r>
        <w:rPr>
          <w:rFonts w:ascii="Times New Roman"/>
          <w:b w:val="false"/>
          <w:i w:val="false"/>
          <w:color w:val="000000"/>
          <w:sz w:val="28"/>
        </w:rPr>
        <w:t>
      Запрос заявителя о проведении научной консультации перед подачей лекарственного препарата на проведение процедуры условной регистрации должен сопровождаться обоснованиями, соответствующими обоснованиям представленным в разделе 1.8.2.9 модуля 1 регистрационного досье, и содержать перечень вопросов для консультирования и (или) перечень необходимых заявителю комментариев уполномоченного органа (экспертной организации) государства-члена.</w:t>
      </w:r>
    </w:p>
    <w:bookmarkEnd w:id="8064"/>
    <w:bookmarkStart w:name="z12287" w:id="8065"/>
    <w:p>
      <w:pPr>
        <w:spacing w:after="0"/>
        <w:ind w:left="0"/>
        <w:jc w:val="both"/>
      </w:pPr>
      <w:r>
        <w:rPr>
          <w:rFonts w:ascii="Times New Roman"/>
          <w:b w:val="false"/>
          <w:i w:val="false"/>
          <w:color w:val="000000"/>
          <w:sz w:val="28"/>
        </w:rPr>
        <w:t>
      Консультирование уполномоченного органа (экспертной организации) государства-члена не является обязательным для заявителя и не влияет на результат экспертизы лекарственного препарата.</w:t>
      </w:r>
    </w:p>
    <w:bookmarkEnd w:id="8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лекарственных средств</w:t>
            </w:r>
            <w:r>
              <w:br/>
            </w:r>
            <w:r>
              <w:rPr>
                <w:rFonts w:ascii="Times New Roman"/>
                <w:b w:val="false"/>
                <w:i w:val="false"/>
                <w:color w:val="000000"/>
                <w:sz w:val="20"/>
              </w:rPr>
              <w:t>для медицинского применения</w:t>
            </w:r>
          </w:p>
        </w:tc>
      </w:tr>
    </w:tbl>
    <w:bookmarkStart w:name="z12289" w:id="8066"/>
    <w:p>
      <w:pPr>
        <w:spacing w:after="0"/>
        <w:ind w:left="0"/>
        <w:jc w:val="left"/>
      </w:pPr>
      <w:r>
        <w:rPr>
          <w:rFonts w:ascii="Times New Roman"/>
          <w:b/>
          <w:i w:val="false"/>
          <w:color w:val="000000"/>
        </w:rPr>
        <w:t xml:space="preserve"> Процедура рассмотрения заявления об особой значимости лекарственного препарата с целью применения ускоренной экспертизы при его регистрации </w:t>
      </w:r>
    </w:p>
    <w:bookmarkEnd w:id="8066"/>
    <w:p>
      <w:pPr>
        <w:spacing w:after="0"/>
        <w:ind w:left="0"/>
        <w:jc w:val="both"/>
      </w:pPr>
      <w:r>
        <w:rPr>
          <w:rFonts w:ascii="Times New Roman"/>
          <w:b w:val="false"/>
          <w:i w:val="false"/>
          <w:color w:val="ff0000"/>
          <w:sz w:val="28"/>
        </w:rPr>
        <w:t xml:space="preserve">
      Сноска. Правила дополнены приложением 27 в соответствии с решением Совета Евразийской экономической комиссии от 17.03.2022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20.10.2023 </w:t>
      </w:r>
      <w:r>
        <w:rPr>
          <w:rFonts w:ascii="Times New Roman"/>
          <w:b w:val="false"/>
          <w:i w:val="false"/>
          <w:color w:val="ff0000"/>
          <w:sz w:val="28"/>
        </w:rPr>
        <w:t>№ 114</w:t>
      </w:r>
      <w:r>
        <w:rPr>
          <w:rFonts w:ascii="Times New Roman"/>
          <w:b w:val="false"/>
          <w:i w:val="false"/>
          <w:color w:val="ff0000"/>
          <w:sz w:val="28"/>
        </w:rPr>
        <w:t xml:space="preserve"> (вступает в силу с 20.12.2023); от 26.11.2025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2290" w:id="8067"/>
    <w:p>
      <w:pPr>
        <w:spacing w:after="0"/>
        <w:ind w:left="0"/>
        <w:jc w:val="left"/>
      </w:pPr>
      <w:r>
        <w:rPr>
          <w:rFonts w:ascii="Times New Roman"/>
          <w:b/>
          <w:i w:val="false"/>
          <w:color w:val="000000"/>
        </w:rPr>
        <w:t xml:space="preserve"> 1. Общие положения</w:t>
      </w:r>
    </w:p>
    <w:bookmarkEnd w:id="8067"/>
    <w:bookmarkStart w:name="z12291" w:id="8068"/>
    <w:p>
      <w:pPr>
        <w:spacing w:after="0"/>
        <w:ind w:left="0"/>
        <w:jc w:val="both"/>
      </w:pPr>
      <w:r>
        <w:rPr>
          <w:rFonts w:ascii="Times New Roman"/>
          <w:b w:val="false"/>
          <w:i w:val="false"/>
          <w:color w:val="000000"/>
          <w:sz w:val="28"/>
        </w:rPr>
        <w:t>
      В соответствии с абзацем четвертым пункта 120</w:t>
      </w:r>
      <w:r>
        <w:rPr>
          <w:rFonts w:ascii="Times New Roman"/>
          <w:b w:val="false"/>
          <w:i w:val="false"/>
          <w:color w:val="000000"/>
          <w:vertAlign w:val="superscript"/>
        </w:rPr>
        <w:t>11</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78 (далее – Правила) ускоренная экспертиза применяется при осуществлении регистрации лекарственных препаратов, (представляющих особую значимость для здоровья населения в отношении которых клинически продемонстрированы значимые терапевтические преимущества по сравнению с существующими методами оказания медицинской помощи в государствах – членах Евразийского экономического союза (далее – государства-члены, Союз)), определяемых Экспертным комитетом по лекарственным средствам на основании обращения уполномоченного органа государства-члена.</w:t>
      </w:r>
    </w:p>
    <w:bookmarkEnd w:id="8068"/>
    <w:bookmarkStart w:name="z12292" w:id="8069"/>
    <w:p>
      <w:pPr>
        <w:spacing w:after="0"/>
        <w:ind w:left="0"/>
        <w:jc w:val="left"/>
      </w:pPr>
      <w:r>
        <w:rPr>
          <w:rFonts w:ascii="Times New Roman"/>
          <w:b/>
          <w:i w:val="false"/>
          <w:color w:val="000000"/>
        </w:rPr>
        <w:t xml:space="preserve"> 2. Сфера применения</w:t>
      </w:r>
    </w:p>
    <w:bookmarkEnd w:id="8069"/>
    <w:bookmarkStart w:name="z12293" w:id="8070"/>
    <w:p>
      <w:pPr>
        <w:spacing w:after="0"/>
        <w:ind w:left="0"/>
        <w:jc w:val="both"/>
      </w:pPr>
      <w:r>
        <w:rPr>
          <w:rFonts w:ascii="Times New Roman"/>
          <w:b w:val="false"/>
          <w:i w:val="false"/>
          <w:color w:val="000000"/>
          <w:sz w:val="28"/>
        </w:rPr>
        <w:t>
      Настоящее приложение определяет порядок рассмотрения уполномоченным органом государства-члена обращения заявителя об особой значимости лекарственного препарата с целью возможности применения ускоренной экспертизы (далее – обращение) при осуществлении его регистрации.</w:t>
      </w:r>
    </w:p>
    <w:bookmarkEnd w:id="8070"/>
    <w:bookmarkStart w:name="z12294" w:id="8071"/>
    <w:p>
      <w:pPr>
        <w:spacing w:after="0"/>
        <w:ind w:left="0"/>
        <w:jc w:val="left"/>
      </w:pPr>
      <w:r>
        <w:rPr>
          <w:rFonts w:ascii="Times New Roman"/>
          <w:b/>
          <w:i w:val="false"/>
          <w:color w:val="000000"/>
        </w:rPr>
        <w:t xml:space="preserve"> 3. Порядок рассмотрения обращения об особой значимости лекарственного препарата</w:t>
      </w:r>
    </w:p>
    <w:bookmarkEnd w:id="8071"/>
    <w:bookmarkStart w:name="z12295" w:id="8072"/>
    <w:p>
      <w:pPr>
        <w:spacing w:after="0"/>
        <w:ind w:left="0"/>
        <w:jc w:val="both"/>
      </w:pPr>
      <w:r>
        <w:rPr>
          <w:rFonts w:ascii="Times New Roman"/>
          <w:b w:val="false"/>
          <w:i w:val="false"/>
          <w:color w:val="000000"/>
          <w:sz w:val="28"/>
        </w:rPr>
        <w:t xml:space="preserve">
      1. До подачи заявления на регистрацию лекарственного препарата, представляющего особую значимость для здоровья населения, в отношении которого клинически продемонстрированы значимые терапевтические преимущества по сравнению с существующими методами оказания медицинской помощи в государстве-члене, заявитель вправе направить в уполномоченный орган государства-члена обращение о применении ускоренной экспертизы при осуществлении его регистрации с приложением обоснования применения указанной процедуры. </w:t>
      </w:r>
    </w:p>
    <w:bookmarkEnd w:id="8072"/>
    <w:bookmarkStart w:name="z12296" w:id="8073"/>
    <w:p>
      <w:pPr>
        <w:spacing w:after="0"/>
        <w:ind w:left="0"/>
        <w:jc w:val="both"/>
      </w:pPr>
      <w:r>
        <w:rPr>
          <w:rFonts w:ascii="Times New Roman"/>
          <w:b w:val="false"/>
          <w:i w:val="false"/>
          <w:color w:val="000000"/>
          <w:sz w:val="28"/>
        </w:rPr>
        <w:t>
      2. В обращении заявитель указывает:</w:t>
      </w:r>
    </w:p>
    <w:bookmarkEnd w:id="8073"/>
    <w:bookmarkStart w:name="z12297" w:id="8074"/>
    <w:p>
      <w:pPr>
        <w:spacing w:after="0"/>
        <w:ind w:left="0"/>
        <w:jc w:val="both"/>
      </w:pPr>
      <w:r>
        <w:rPr>
          <w:rFonts w:ascii="Times New Roman"/>
          <w:b w:val="false"/>
          <w:i w:val="false"/>
          <w:color w:val="000000"/>
          <w:sz w:val="28"/>
        </w:rPr>
        <w:t>
      а) наименование, адрес заявителя и производителя лекарственного препарата, адрес места осуществления производства лекарственного препарата (при наличии нескольких участников необходимо указать каждого участника для каждой стадии производства);</w:t>
      </w:r>
    </w:p>
    <w:bookmarkEnd w:id="8074"/>
    <w:bookmarkStart w:name="z12298" w:id="8075"/>
    <w:p>
      <w:pPr>
        <w:spacing w:after="0"/>
        <w:ind w:left="0"/>
        <w:jc w:val="both"/>
      </w:pPr>
      <w:r>
        <w:rPr>
          <w:rFonts w:ascii="Times New Roman"/>
          <w:b w:val="false"/>
          <w:i w:val="false"/>
          <w:color w:val="000000"/>
          <w:sz w:val="28"/>
        </w:rPr>
        <w:t>
      б) наименование лекарственного препарата (международное непатентованное, или группировочное, или химическое и торговое наименования);</w:t>
      </w:r>
    </w:p>
    <w:bookmarkEnd w:id="8075"/>
    <w:bookmarkStart w:name="z12299" w:id="8076"/>
    <w:p>
      <w:pPr>
        <w:spacing w:after="0"/>
        <w:ind w:left="0"/>
        <w:jc w:val="both"/>
      </w:pPr>
      <w:r>
        <w:rPr>
          <w:rFonts w:ascii="Times New Roman"/>
          <w:b w:val="false"/>
          <w:i w:val="false"/>
          <w:color w:val="000000"/>
          <w:sz w:val="28"/>
        </w:rPr>
        <w:t>
      в) перечень действующих и вспомогательных веществ, входящих в состав лекарственного препарата, с указанием количества каждого из них;</w:t>
      </w:r>
    </w:p>
    <w:bookmarkEnd w:id="8076"/>
    <w:bookmarkStart w:name="z12300" w:id="8077"/>
    <w:p>
      <w:pPr>
        <w:spacing w:after="0"/>
        <w:ind w:left="0"/>
        <w:jc w:val="both"/>
      </w:pPr>
      <w:r>
        <w:rPr>
          <w:rFonts w:ascii="Times New Roman"/>
          <w:b w:val="false"/>
          <w:i w:val="false"/>
          <w:color w:val="000000"/>
          <w:sz w:val="28"/>
        </w:rPr>
        <w:t>
      г) лекарственную форму, дозировку, способы введения и применения, срок годности (срок хранения) лекарственного препарата;</w:t>
      </w:r>
    </w:p>
    <w:bookmarkEnd w:id="8077"/>
    <w:bookmarkStart w:name="z12301" w:id="8078"/>
    <w:p>
      <w:pPr>
        <w:spacing w:after="0"/>
        <w:ind w:left="0"/>
        <w:jc w:val="both"/>
      </w:pPr>
      <w:r>
        <w:rPr>
          <w:rFonts w:ascii="Times New Roman"/>
          <w:b w:val="false"/>
          <w:i w:val="false"/>
          <w:color w:val="000000"/>
          <w:sz w:val="28"/>
        </w:rPr>
        <w:t>
      д) фармакотерапевтическую группу, код анатомо-терапевтическо-химической классификации, рекомендованной Всемирной организацией здравоохранения;</w:t>
      </w:r>
    </w:p>
    <w:bookmarkEnd w:id="8078"/>
    <w:bookmarkStart w:name="z12302" w:id="8079"/>
    <w:p>
      <w:pPr>
        <w:spacing w:after="0"/>
        <w:ind w:left="0"/>
        <w:jc w:val="both"/>
      </w:pPr>
      <w:r>
        <w:rPr>
          <w:rFonts w:ascii="Times New Roman"/>
          <w:b w:val="false"/>
          <w:i w:val="false"/>
          <w:color w:val="000000"/>
          <w:sz w:val="28"/>
        </w:rPr>
        <w:t>
      е) показания для применения лекарственного препарата;</w:t>
      </w:r>
    </w:p>
    <w:bookmarkEnd w:id="8079"/>
    <w:bookmarkStart w:name="z12303" w:id="8080"/>
    <w:p>
      <w:pPr>
        <w:spacing w:after="0"/>
        <w:ind w:left="0"/>
        <w:jc w:val="both"/>
      </w:pPr>
      <w:r>
        <w:rPr>
          <w:rFonts w:ascii="Times New Roman"/>
          <w:b w:val="false"/>
          <w:i w:val="false"/>
          <w:color w:val="000000"/>
          <w:sz w:val="28"/>
        </w:rPr>
        <w:t>
      ж) информацию о наличии или об отсутствии регистрации данного лекарственного препарата на территории третьих стран.</w:t>
      </w:r>
    </w:p>
    <w:bookmarkEnd w:id="8080"/>
    <w:bookmarkStart w:name="z12304" w:id="8081"/>
    <w:p>
      <w:pPr>
        <w:spacing w:after="0"/>
        <w:ind w:left="0"/>
        <w:jc w:val="both"/>
      </w:pPr>
      <w:r>
        <w:rPr>
          <w:rFonts w:ascii="Times New Roman"/>
          <w:b w:val="false"/>
          <w:i w:val="false"/>
          <w:color w:val="000000"/>
          <w:sz w:val="28"/>
        </w:rPr>
        <w:t>
      3. В обосновании необходимо представить информацию, подтверждающую, что лекарственный препарат, представляет особую значимость для здоровья населения, в отношении которого клинически продемонстрированы значимые терапевтические преимущества по сравнению с существующими методами оказания медицинской помощи в государствах-членах, а также сведения об объеме проведенных доклинических и клинических исследований лекарственного препарата.</w:t>
      </w:r>
    </w:p>
    <w:bookmarkEnd w:id="8081"/>
    <w:bookmarkStart w:name="z12305" w:id="8082"/>
    <w:p>
      <w:pPr>
        <w:spacing w:after="0"/>
        <w:ind w:left="0"/>
        <w:jc w:val="both"/>
      </w:pPr>
      <w:r>
        <w:rPr>
          <w:rFonts w:ascii="Times New Roman"/>
          <w:b w:val="false"/>
          <w:i w:val="false"/>
          <w:color w:val="000000"/>
          <w:sz w:val="28"/>
        </w:rPr>
        <w:t>
      4. В течение 30 рабочих дней со дня поступления в уполномоченный орган государства-члена обращения с обоснованием уполномоченный орган государства-члена в порядке, предусмотренном законодательством этого государства-члена, проводит оценку представленных документов, направляет их для рассмотрения в Экспертный комитет по лекарственным средствам или отклоняет обращение, в случае если рассматриваемый лекарственный препарат не представляет особую значимость для здоровья населения и в отношении него клинически не продемонстрированы значимые терапевтические преимущества по сравнению с существующими методами оказания медицинской помощи в государстве-члене, и информирует об этом заявителя.</w:t>
      </w:r>
    </w:p>
    <w:bookmarkEnd w:id="8082"/>
    <w:bookmarkStart w:name="z12306" w:id="8083"/>
    <w:p>
      <w:pPr>
        <w:spacing w:after="0"/>
        <w:ind w:left="0"/>
        <w:jc w:val="both"/>
      </w:pPr>
      <w:r>
        <w:rPr>
          <w:rFonts w:ascii="Times New Roman"/>
          <w:b w:val="false"/>
          <w:i w:val="false"/>
          <w:color w:val="000000"/>
          <w:sz w:val="28"/>
        </w:rPr>
        <w:t xml:space="preserve">
      5. Экспертный комитет по лекарственным средствам рассматривает обращение уполномоченного органа государства-члена и поступившие документы заявителя о возможности проведения ускоренной экспертизы лекарственного препарата, представляющего особую значимость для здоровья населения, в отношении которого клинически продемонстрированы значимые терапевтические преимущества по сравнению с существующими методами оказания медицинской помощи в государствах-членах. </w:t>
      </w:r>
    </w:p>
    <w:bookmarkEnd w:id="8083"/>
    <w:bookmarkStart w:name="z12307" w:id="8084"/>
    <w:p>
      <w:pPr>
        <w:spacing w:after="0"/>
        <w:ind w:left="0"/>
        <w:jc w:val="both"/>
      </w:pPr>
      <w:r>
        <w:rPr>
          <w:rFonts w:ascii="Times New Roman"/>
          <w:b w:val="false"/>
          <w:i w:val="false"/>
          <w:color w:val="000000"/>
          <w:sz w:val="28"/>
        </w:rPr>
        <w:t>
      6. По результатам рассмотрения обращения уполномоченного органа государства-члена Экспертный комитет по лекарственным средствам направляет ему рекомендации о возможности или невозможности применения ускоренной экспертизы в отношении рассматриваемого лекарственного препарата.</w:t>
      </w:r>
    </w:p>
    <w:bookmarkEnd w:id="8084"/>
    <w:bookmarkStart w:name="z12308" w:id="8085"/>
    <w:p>
      <w:pPr>
        <w:spacing w:after="0"/>
        <w:ind w:left="0"/>
        <w:jc w:val="both"/>
      </w:pPr>
      <w:r>
        <w:rPr>
          <w:rFonts w:ascii="Times New Roman"/>
          <w:b w:val="false"/>
          <w:i w:val="false"/>
          <w:color w:val="000000"/>
          <w:sz w:val="28"/>
        </w:rPr>
        <w:t>
      7. В течение 10 рабочих дней со дня поступления рекомендаций Экспертного комитета по лекарственным средствам уполномоченный орган государства-члена информирует заявителя о возможности или невозможности проведения ускоренной экспертизы при осуществлении регистрации рассматриваемого лекарственного препарата.".</w:t>
      </w:r>
    </w:p>
    <w:bookmarkEnd w:id="80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