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2622" w14:textId="8de2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чувствительных сельскохозяйственных товаров, в отношении которых государствами - членами Евразийского экономического союза осуществляется взаимное предоставление планов (программ) развития производства, и реализации пункта 2 статьи 95 Договора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февраля 2016 года № 66.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и в целях обеспечения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 Совет Евразийской экономической комиссии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сельскохозяйственных товаров, в отношении которых государствами – членами Евразийского экономического союза осуществляется взаимное предоставление планов (программ) развития производства (далее – перечень).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Государствам – членам Евразийского экономического союза: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календарных дней со дня вступления настоящего Решения в силу предоставить действующие планы (программы) развития производства по каждому из чувствительных сельскохозяйственных товаров, указанных в перечне, друг другу и в Евразийскую экономическую комиссию на русском языке либо на государственном языке государства-члена (с приложением перевода на русский язык);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календарных дней с даты принятия новых либо внесения изменений в действующие планы (программы) развития производства чувствительных сельскохозяйственных товаров, указанных в перечне, предоставлять такие планы (программы) друг другу и в Евразийскую экономическую комиссию на русском языке либо на государственном языке государства-члена (с приложением перевода на русский язык);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в Евразийскую экономическую комиссию предложения о проведении консультаций,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года, не позднее чем за 30 календарных дней до предполагаемой даты проведения консультаций;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предложений о внесении изменений в перечень учитывать, что под чувствительными сельскохозяйственными товарами понимаются сельскохозяйственные товары, производство и взаимная торговля которыми имеют социально-экономическое значение для устойчивого развития агропромышленного комплекса и сельской местности государств – членов Евразийского экономического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Совета Евразийской экономической комиссии от 15.09.2017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Сагинтаев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 Шувалов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г. № 66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чувствительных сельскохозяйственных товаров,</w:t>
      </w:r>
      <w:r>
        <w:br/>
      </w:r>
      <w:r>
        <w:rPr>
          <w:rFonts w:ascii="Times New Roman"/>
          <w:b/>
          <w:i w:val="false"/>
          <w:color w:val="000000"/>
        </w:rPr>
        <w:t>в отношении которых государствами – членами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осуществляется взаимное предоставление планов (программ) развития производства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Молоко и молокопродукты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Мясо и мясопродукты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Овощи, фрукты, фасоль, бахчевые культуры и продукция их переработки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Рис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Сахар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6.Семена масличных культур и продукция их переработки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Табак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Хлопок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