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ebc9" w14:textId="a99e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об утверждении перечня отдельных видов станков для судостроительной промышленности, ввозимых на территорию Российской Федерации</w:t>
      </w:r>
    </w:p>
    <w:p>
      <w:pPr>
        <w:spacing w:after="0"/>
        <w:ind w:left="0"/>
        <w:jc w:val="both"/>
      </w:pPr>
      <w:r>
        <w:rPr>
          <w:rFonts w:ascii="Times New Roman"/>
          <w:b w:val="false"/>
          <w:i w:val="false"/>
          <w:color w:val="000000"/>
          <w:sz w:val="28"/>
        </w:rPr>
        <w:t>Решение Совета Евразийской экономической комиссии от 9 августа 2016 года № 64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 дополнить подпунктом 7.1.27 следующего содержания:</w:t>
      </w:r>
      <w:r>
        <w:br/>
      </w:r>
      <w:r>
        <w:rPr>
          <w:rFonts w:ascii="Times New Roman"/>
          <w:b w:val="false"/>
          <w:i w:val="false"/>
          <w:color w:val="000000"/>
          <w:sz w:val="28"/>
        </w:rPr>
        <w:t xml:space="preserve">
      «7.1.27. Станки для судостроительной промышленности, ввозимые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Решением Совета Евразийской экономической комиссии от 9 августа 2016 г. № 64. </w:t>
      </w:r>
      <w:r>
        <w:br/>
      </w: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Министерством промышленности и торговли Российской Федерации и содержащего сведения о номенклатуре, количестве, стоимости таких товаров, а также об организациях, осуществляющих их ввоз.».</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«7.1.26» заменить цифрами «7.1.27».</w:t>
      </w:r>
      <w:r>
        <w:br/>
      </w:r>
      <w:r>
        <w:rPr>
          <w:rFonts w:ascii="Times New Roman"/>
          <w:b w:val="false"/>
          <w:i w:val="false"/>
          <w:color w:val="000000"/>
          <w:sz w:val="28"/>
        </w:rPr>
        <w:t>
</w:t>
      </w:r>
      <w:r>
        <w:rPr>
          <w:rFonts w:ascii="Times New Roman"/>
          <w:b w:val="false"/>
          <w:i w:val="false"/>
          <w:color w:val="000000"/>
          <w:sz w:val="28"/>
        </w:rPr>
        <w:t>
      3.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отдельных видов станков для судостроительной промышленности, ввозимых на территорию Российской Федерации.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 и распространяется на правоотношения, возникшие с 1 июля 2016 г.</w:t>
      </w:r>
    </w:p>
    <w:bookmarkEnd w:id="0"/>
    <w:p>
      <w:pPr>
        <w:spacing w:after="0"/>
        <w:ind w:left="0"/>
        <w:jc w:val="both"/>
      </w:pPr>
      <w:r>
        <w:rPr>
          <w:rFonts w:ascii="Times New Roman"/>
          <w:b w:val="false"/>
          <w:i w:val="false"/>
          <w:color w:val="000000"/>
          <w:sz w:val="28"/>
        </w:rPr>
        <w:t>         </w:t>
      </w:r>
      <w:r>
        <w:rPr>
          <w:rFonts w:ascii="Times New Roman"/>
          <w:b/>
          <w:i w:val="false"/>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Панкратов</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9 августа 2016 г. № 64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отдельных видов станков для судостроительной промышленности,</w:t>
      </w:r>
      <w:r>
        <w:br/>
      </w:r>
      <w:r>
        <w:rPr>
          <w:rFonts w:ascii="Times New Roman"/>
          <w:b w:val="false"/>
          <w:i w:val="false"/>
          <w:color w:val="000000"/>
          <w:sz w:val="28"/>
        </w:rPr>
        <w:t>
</w:t>
      </w:r>
      <w:r>
        <w:rPr>
          <w:rFonts w:ascii="Times New Roman"/>
          <w:b/>
          <w:i w:val="false"/>
          <w:color w:val="000000"/>
          <w:sz w:val="28"/>
        </w:rPr>
        <w:t>           ввозимых на территорию Российской Федерации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0877"/>
      </w:tblGrid>
      <w:tr>
        <w:trPr>
          <w:trHeight w:val="42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 ЕАЭС</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49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8458 11 200 9</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токарные горизонтальные многоцелевые с числовым программным управлением с точностью позиционирования не ниже 0,015 мм на длине 1000 мм и размерами заготовки не менее 2700 мм (диаметр) х 6000 мм (длина)</w:t>
            </w:r>
          </w:p>
        </w:tc>
      </w:tr>
      <w:tr>
        <w:trPr>
          <w:trHeight w:val="49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8458 91 200 8</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токарные многоцелевые с числовым программным управлением для высокопроизводительной и высокоточной токарной, фрезерной и шлифовальной обработки и размерами заготовки не менее 3000 мм (диаметр) х 1840 мм (высота)</w:t>
            </w:r>
          </w:p>
        </w:tc>
      </w:tr>
      <w:tr>
        <w:trPr>
          <w:trHeight w:val="49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8460 21 900 8</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Станки шлифовальные с точностью позиционирования по любой оси не ниже 0,005 мм </w:t>
            </w:r>
          </w:p>
        </w:tc>
      </w:tr>
      <w:tr>
        <w:trPr>
          <w:trHeight w:val="49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8461 40 110 2</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зуборезные с числовым программным управлением для нарезания косозубых, шевронных цилиндрических зубчатых колес диаметром не менее 3000 мм, высотой не менее 1750 мм и точностью позиционирования по линейным осям не ниже 0,005 мм</w:t>
            </w:r>
          </w:p>
        </w:tc>
      </w:tr>
      <w:tr>
        <w:trPr>
          <w:trHeight w:val="49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8461 40 310 0</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зуборезные с числовым программным управлением для нарезания спиральных конических колес диаметром не менее 1000 мм, высотой не менее 150 мм и точностью позиционирования по линейным осям не ниже 0,005 мм</w:t>
            </w:r>
          </w:p>
        </w:tc>
      </w:tr>
      <w:tr>
        <w:trPr>
          <w:trHeight w:val="495"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8461 40 710 0</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зубошлифовальные с числовым программным управлением с микрометрическими регулирующими устройствами и точностью позиционирования по любой оси не ниже 0,005 мм с диаметром обработки не менее 3000 мм и высотой не менее 1500 мм</w:t>
            </w:r>
          </w:p>
        </w:tc>
      </w:tr>
    </w:tbl>
    <w:p>
      <w:pPr>
        <w:spacing w:after="0"/>
        <w:ind w:left="0"/>
        <w:jc w:val="both"/>
      </w:pPr>
      <w:r>
        <w:rPr>
          <w:rFonts w:ascii="Times New Roman"/>
          <w:b w:val="false"/>
          <w:i w:val="false"/>
          <w:color w:val="000000"/>
          <w:sz w:val="28"/>
        </w:rPr>
        <w:t>Примечание. Для целей настоящего перечня необходимо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