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0a18" w14:textId="8200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соков, изделий из полиуретанов, холодильников и моторных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11 июля 2016 года № 51.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примечаниями 31С – 38С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 от таможенной стоимости, но не менее 0,05 евро за 1 л,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6,5%  от таможенной стоимости, но не менее 0,21 евро за 1 кг,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6,5% от таможенной стоимости, но не менее 0,22 евро за 1 кг,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0,09 евро за 1 л,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0,07 евро за 1 л,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1,8 евро за 1 см3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стоимости, но не менее 0,2 евро за 1 см3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1,12 евро за 1 см3 объема двигателя, применяется с 01.09.2016 по 31.08.2017 включительно.".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сентября 2016 г.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г. № 51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2009 71 200 2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2009 79 190 3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концентрированный, стоимостью, превышающей 30 евро за 100 кг нетто-массы, в бочках, цистернах, флекси-танках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гибкие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3921 13 900 0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виде стола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8418 21 910 0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не более 250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8702 10 192 4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четырехколесные моторные транспортные средства повышенной проходимости с двумя или четырьмя ведущими колесами, оборудованные сиденьем мотоциклетного (седельного) типа, рычагами ручного рулевого управления двумя передними колесами, шинами для бездорожья, с автоматическим или ручным управлением трансмиссией, обеспечивающей задний ход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8704 23 990 5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