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7df4" w14:textId="db47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акриловых полимеров в первичных формах, а также в некоторые решения Совета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2016 года № 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3906 90 900 9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оптического волокна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суперабсорбенты для производства подгузников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г.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г.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г.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г.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Перечень товаров и ставок, в отношении которых в</w:t>
      </w:r>
      <w:r>
        <w:br/>
      </w:r>
      <w:r>
        <w:rPr>
          <w:rFonts w:ascii="Times New Roman"/>
          <w:b/>
          <w:i w:val="false"/>
          <w:color w:val="000000"/>
        </w:rPr>
        <w:t>течение переходного периода Республикой Армения применяются</w:t>
      </w:r>
      <w:r>
        <w:br/>
      </w:r>
      <w:r>
        <w:rPr>
          <w:rFonts w:ascii="Times New Roman"/>
          <w:b/>
          <w:i w:val="false"/>
          <w:color w:val="000000"/>
        </w:rPr>
        <w:t>ставки ввозных таможенных пошлин, отличные от ставок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