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3e95" w14:textId="cf0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конкурсной комиссии по отбору кандидатов на замещение должностей должностных лиц в департаментах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2016 года № 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28.03.2016 -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Абзац первый </w:t>
      </w:r>
      <w:r>
        <w:rPr>
          <w:rFonts w:ascii="Times New Roman"/>
          <w:b w:val="false"/>
          <w:i w:val="false"/>
          <w:color w:val="000000"/>
          <w:sz w:val="28"/>
        </w:rPr>
        <w:t>пункта 14</w:t>
      </w:r>
      <w:r>
        <w:rPr>
          <w:rFonts w:ascii="Times New Roman"/>
          <w:b w:val="false"/>
          <w:i w:val="false"/>
          <w:color w:val="000000"/>
          <w:sz w:val="28"/>
        </w:rPr>
        <w:t xml:space="preserve"> Положения о конкурсной комиссии по отбору кандидатов на замещение должностей должностных лиц в департаментах Евразийской экономической комиссии, утвержденного Решением Совета Евразийской экономической комиссии от 12 ноября 2014 г. № 99, изложить в следующей редакции:</w:t>
      </w:r>
      <w:r>
        <w:br/>
      </w:r>
      <w:r>
        <w:rPr>
          <w:rFonts w:ascii="Times New Roman"/>
          <w:b w:val="false"/>
          <w:i w:val="false"/>
          <w:color w:val="000000"/>
          <w:sz w:val="28"/>
        </w:rPr>
        <w:t>
      «14. Решение по результатам проведения конкурса принимается членами конкурсной комиссии ЕЭК в виде рекомендации Председателю Коллегии. Указанное решение принимается тайным голосованием большинством голосов от числа присутствующих членов конкурсной комиссии ЕЭК. Организация тайного голосования возлагается на секретаря конкурсной комиссии ЕЭК. Порядок проведения тайного голосования утверждается приказом Председателя Коллегии.».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744"/>
        <w:gridCol w:w="3276"/>
        <w:gridCol w:w="2723"/>
        <w:gridCol w:w="2724"/>
        <w:gridCol w:w="2533"/>
      </w:tblGrid>
      <w:tr>
        <w:trPr>
          <w:trHeight w:val="675" w:hRule="atLeast"/>
        </w:trPr>
        <w:tc>
          <w:tcPr>
            <w:tcW w:w="27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7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7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72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53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