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99267" w14:textId="2a99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подпункт 7.1.14 Решения Комиссии Таможенного союза от 27 ноября 2009 г. № 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февраля 2016 года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вступило в силу 28.03.2016 -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Подпункт 7.1.14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Комиссии Таможенного союза от 27 ноября 2009 г. № 130 «О едином таможенно-тарифном регулировании таможенного союза Республики Беларусь, Республики Казахстан и Российской Федерации»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«7.1.14. Гражданские пассажирские самолеты подсубпозиций 8802 40 003 5 и 8802 40 003 6 ТН ВЭД ЕАЭС, ввезенные на таможенную территорию Евразийского экономического союза с применением льготы, указанной в подпункте 7.1.13 настоящего Решения, и ввозимые в течение срока их эксплуатации на таможенную территорию Евразийского экономического союза после их ремонта или технического обслуживания за пределами таможенной территории Евразийского экономического союза;».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10 календарных дней с даты его официального опубликования и распространяется на правоотношения, возникшие с даты вступления в силу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 декабря 2015 г. № 89 «О внесении изменения в Решение Комиссии Таможенного союза от 27 ноября 2009 г. № 130 в отношении отдельных видов гражданских пассажирских самолетов».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 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