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98e1" w14:textId="3489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 – членом в целях исполнения раздела XXII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мая 2016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 – членом в целях исполнения  </w:t>
      </w:r>
      <w:r>
        <w:rPr>
          <w:rFonts w:ascii="Times New Roman"/>
          <w:b w:val="false"/>
          <w:i w:val="false"/>
          <w:color w:val="000000"/>
          <w:sz w:val="28"/>
        </w:rPr>
        <w:t>раздела XXII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48"/>
        <w:gridCol w:w="496"/>
        <w:gridCol w:w="835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Михайловна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Управления перспективного развития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государственных закупок Министерства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Айтпергенов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Аслымбекович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развития новой модели информатизации и экспертизы нормативно-технической документации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Маратовна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1 категории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Олжабаевна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департамента структурных решений Республиканского государственного предприятия на праве хозяйственного ведения «Государственная техническая служба»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 Унласинович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формирования государственной политики в сфере информатизации Комитета связи, информатизации и информации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советник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Икрянников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Евгеньевич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контрактной системы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Павлович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Харахордин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Вадимович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информационных технологий;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48"/>
        <w:gridCol w:w="496"/>
        <w:gridCol w:w="8356"/>
      </w:tblGrid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государственных закупок Министерства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Пилькевич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Александрович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государственных закупок и реализации имущества открытого акционерного общества «Белорусская универсальная товарная биржа»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Курмангазыевна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Правового департамента Министерства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Правового департамента Министерства связи и массовых коммуникаций Российской Федерации;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Войналовича А.Г., Зимина И.В.,Калдыбекова А.Е., Крымского О.А., Лозина А.С., Щеликова С.С. и Юрченко Л.Г.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