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90ed" w14:textId="b159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Комиссии Таможенного союза от 20 сентября 2010 г. № 378</w:t>
      </w:r>
    </w:p>
    <w:p>
      <w:pPr>
        <w:spacing w:after="0"/>
        <w:ind w:left="0"/>
        <w:jc w:val="both"/>
      </w:pPr>
      <w:r>
        <w:rPr>
          <w:rFonts w:ascii="Times New Roman"/>
          <w:b w:val="false"/>
          <w:i w:val="false"/>
          <w:color w:val="000000"/>
          <w:sz w:val="28"/>
        </w:rPr>
        <w:t>Решение Коллегии Евразийской Экономической Комиссии от 29 ноября 2016 года № 159</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Коллегия Евразийской экономической комиссии решила:</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сентября 2010 г. № 378 «О классификаторах, используемых для заполнения таможенных деклараций» изменения согласно приложению.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r>
        <w:br/>
      </w:r>
      <w:r>
        <w:rPr>
          <w:rFonts w:ascii="Times New Roman"/>
          <w:b w:val="false"/>
          <w:i w:val="false"/>
          <w:color w:val="000000"/>
          <w:sz w:val="28"/>
        </w:rPr>
        <w:t>
      Положения, предусмотренные подпунктом «г» пункта 1 изменений (</w:t>
      </w:r>
      <w:r>
        <w:rPr>
          <w:rFonts w:ascii="Times New Roman"/>
          <w:b w:val="false"/>
          <w:i w:val="false"/>
          <w:color w:val="000000"/>
          <w:sz w:val="28"/>
        </w:rPr>
        <w:t>приложение</w:t>
      </w:r>
      <w:r>
        <w:rPr>
          <w:rFonts w:ascii="Times New Roman"/>
          <w:b w:val="false"/>
          <w:i w:val="false"/>
          <w:color w:val="000000"/>
          <w:sz w:val="28"/>
        </w:rPr>
        <w:t xml:space="preserve"> к настоящему Решению), распространяются на правоотношения, возникшие с 1 июля 2016 г.</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Евразийской экономической комиссии               Т. Саркисян</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29 ноября 2016 г. № 159     </w:t>
      </w:r>
    </w:p>
    <w:bookmarkEnd w:id="1"/>
    <w:bookmarkStart w:name="z5" w:id="2"/>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
вносимые в Решение Комиссии Таможенного союза </w:t>
      </w:r>
      <w:r>
        <w:br/>
      </w:r>
      <w:r>
        <w:rPr>
          <w:rFonts w:ascii="Times New Roman"/>
          <w:b/>
          <w:i w:val="false"/>
          <w:color w:val="000000"/>
        </w:rPr>
        <w:t>
от 20 сентября 2010 г. № 378</w:t>
      </w:r>
    </w:p>
    <w:bookmarkEnd w:id="2"/>
    <w:bookmarkStart w:name="z6" w:id="3"/>
    <w:p>
      <w:pPr>
        <w:spacing w:after="0"/>
        <w:ind w:left="0"/>
        <w:jc w:val="both"/>
      </w:pPr>
      <w:r>
        <w:rPr>
          <w:rFonts w:ascii="Times New Roman"/>
          <w:b w:val="false"/>
          <w:i w:val="false"/>
          <w:color w:val="000000"/>
          <w:sz w:val="28"/>
        </w:rPr>
        <w:t>
      1. В подразделе 1.1 классификатора льгот по уплате таможенных платежей (Приложение 7):</w:t>
      </w:r>
      <w:r>
        <w:br/>
      </w:r>
      <w:r>
        <w:rPr>
          <w:rFonts w:ascii="Times New Roman"/>
          <w:b w:val="false"/>
          <w:i w:val="false"/>
          <w:color w:val="000000"/>
          <w:sz w:val="28"/>
        </w:rPr>
        <w:t>
</w:t>
      </w:r>
      <w:r>
        <w:rPr>
          <w:rFonts w:ascii="Times New Roman"/>
          <w:b w:val="false"/>
          <w:i w:val="false"/>
          <w:color w:val="000000"/>
          <w:sz w:val="28"/>
        </w:rPr>
        <w:t>
      а) позицию с кодом СМ изложить в следующей редакции:</w:t>
      </w:r>
    </w:p>
    <w:bookmarkEnd w:id="3"/>
    <w:tbl>
      <w:tblPr>
        <w:tblW w:w="0" w:type="auto"/>
        <w:tblCellSpacing w:w="0" w:type="auto"/>
        <w:tblBorders>
          <w:top w:val="none"/>
          <w:left w:val="none"/>
          <w:bottom w:val="none"/>
          <w:right w:val="none"/>
          <w:insideH w:val="none"/>
          <w:insideV w:val="none"/>
        </w:tblBorders>
      </w:tblPr>
      <w:tblGrid>
        <w:gridCol w:w="12678"/>
        <w:gridCol w:w="1322"/>
      </w:tblGrid>
      <w:tr>
        <w:trPr>
          <w:trHeight w:val="30" w:hRule="atLeast"/>
        </w:trPr>
        <w:tc>
          <w:tcPr>
            <w:tcW w:w="12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уплаты ввозной таможенной пошлины в отношении судов рыболовных, плавучих баз и прочих судов для переработки и консервирования рыбных продуктов, морских (код 8902 00 100 0 ТН ВЭД ЕАЭС), зарегистрированных в реестре судов государства – члена Евразийского экономического союза, плавающих под флагом одного из государств – членов Евразийского экономического союза, ввозимых на таможенную территорию Евразийского экономического союза и помещаемых под таможенную процедуру выпуска для внутреннего потребления до 1 января 2018 г. включительно</w:t>
            </w:r>
          </w:p>
        </w:tc>
        <w:tc>
          <w:tcPr>
            <w:tcW w:w="1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r>
    </w:tbl>
    <w:bookmarkStart w:name="z9" w:id="4"/>
    <w:p>
      <w:pPr>
        <w:spacing w:after="0"/>
        <w:ind w:left="0"/>
        <w:jc w:val="both"/>
      </w:pPr>
      <w:r>
        <w:rPr>
          <w:rFonts w:ascii="Times New Roman"/>
          <w:b w:val="false"/>
          <w:i w:val="false"/>
          <w:color w:val="000000"/>
          <w:sz w:val="28"/>
        </w:rPr>
        <w:t>
      б) после позиции с кодом ВЛ дополнить позицией следующего содержания:</w:t>
      </w:r>
    </w:p>
    <w:bookmarkEnd w:id="4"/>
    <w:tbl>
      <w:tblPr>
        <w:tblW w:w="0" w:type="auto"/>
        <w:tblCellSpacing w:w="0" w:type="auto"/>
        <w:tblBorders>
          <w:top w:val="none"/>
          <w:left w:val="none"/>
          <w:bottom w:val="none"/>
          <w:right w:val="none"/>
          <w:insideH w:val="none"/>
          <w:insideV w:val="none"/>
        </w:tblBorders>
      </w:tblPr>
      <w:tblGrid>
        <w:gridCol w:w="12678"/>
        <w:gridCol w:w="1322"/>
      </w:tblGrid>
      <w:tr>
        <w:trPr>
          <w:trHeight w:val="30" w:hRule="atLeast"/>
        </w:trPr>
        <w:tc>
          <w:tcPr>
            <w:tcW w:w="12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«Освобождение от уплаты ввозной таможенной пошлины в отношении оксидов титана, классифицируемых кодом </w:t>
            </w:r>
            <w:r>
              <w:br/>
            </w:r>
            <w:r>
              <w:rPr>
                <w:rFonts w:ascii="Times New Roman"/>
                <w:b w:val="false"/>
                <w:i w:val="false"/>
                <w:color w:val="000000"/>
                <w:sz w:val="20"/>
              </w:rPr>
              <w:t>
2823 00 000 0 ТН ВЭД ЕАЭС, ввозимых на территорию Республики Казахстан в период с 1 сентября 2016 г. по 31 августа 2021 г. включительно в объеме не более 40 тонн ежегодно и предназначенных для производства титановых слитков и сплавов, используемых в аэрокосмической отрасли</w:t>
            </w:r>
          </w:p>
        </w:tc>
        <w:tc>
          <w:tcPr>
            <w:tcW w:w="1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p>
        </w:tc>
      </w:tr>
    </w:tbl>
    <w:bookmarkStart w:name="z10" w:id="5"/>
    <w:p>
      <w:pPr>
        <w:spacing w:after="0"/>
        <w:ind w:left="0"/>
        <w:jc w:val="both"/>
      </w:pPr>
      <w:r>
        <w:rPr>
          <w:rFonts w:ascii="Times New Roman"/>
          <w:b w:val="false"/>
          <w:i w:val="false"/>
          <w:color w:val="000000"/>
          <w:sz w:val="28"/>
        </w:rPr>
        <w:t>
      в) после позиции с кодом ПЛ дополнить позицией следующего содержания:</w:t>
      </w:r>
    </w:p>
    <w:bookmarkEnd w:id="5"/>
    <w:tbl>
      <w:tblPr>
        <w:tblW w:w="0" w:type="auto"/>
        <w:tblCellSpacing w:w="0" w:type="auto"/>
        <w:tblBorders>
          <w:top w:val="none"/>
          <w:left w:val="none"/>
          <w:bottom w:val="none"/>
          <w:right w:val="none"/>
          <w:insideH w:val="none"/>
          <w:insideV w:val="none"/>
        </w:tblBorders>
      </w:tblPr>
      <w:tblGrid>
        <w:gridCol w:w="12678"/>
        <w:gridCol w:w="1322"/>
      </w:tblGrid>
      <w:tr>
        <w:trPr>
          <w:trHeight w:val="30" w:hRule="atLeast"/>
        </w:trPr>
        <w:tc>
          <w:tcPr>
            <w:tcW w:w="12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уплаты ввозной таможенной пошлины в отношении товаров, ввозимых на территорию Кыргызской Республики в 2016 году в целях строительства Дома приемов и проведения официальных мероприятий согласно перечню товаров, ввозимых на территорию Кыргызской Республики в целях строительства Дома приемов и проведения официальных мероприятий, утвержденному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11 июля 2016 г. № 57</w:t>
            </w:r>
          </w:p>
        </w:tc>
        <w:tc>
          <w:tcPr>
            <w:tcW w:w="1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w:t>
            </w:r>
          </w:p>
        </w:tc>
      </w:tr>
    </w:tbl>
    <w:bookmarkStart w:name="z11" w:id="6"/>
    <w:p>
      <w:pPr>
        <w:spacing w:after="0"/>
        <w:ind w:left="0"/>
        <w:jc w:val="both"/>
      </w:pPr>
      <w:r>
        <w:rPr>
          <w:rFonts w:ascii="Times New Roman"/>
          <w:b w:val="false"/>
          <w:i w:val="false"/>
          <w:color w:val="000000"/>
          <w:sz w:val="28"/>
        </w:rPr>
        <w:t>
      г) после позиции с кодом СК дополнить позицией следующего содержания:</w:t>
      </w:r>
    </w:p>
    <w:bookmarkEnd w:id="6"/>
    <w:tbl>
      <w:tblPr>
        <w:tblW w:w="0" w:type="auto"/>
        <w:tblCellSpacing w:w="0" w:type="auto"/>
        <w:tblBorders>
          <w:top w:val="none"/>
          <w:left w:val="none"/>
          <w:bottom w:val="none"/>
          <w:right w:val="none"/>
          <w:insideH w:val="none"/>
          <w:insideV w:val="none"/>
        </w:tblBorders>
      </w:tblPr>
      <w:tblGrid>
        <w:gridCol w:w="12678"/>
        <w:gridCol w:w="1322"/>
      </w:tblGrid>
      <w:tr>
        <w:trPr>
          <w:trHeight w:val="30" w:hRule="atLeast"/>
        </w:trPr>
        <w:tc>
          <w:tcPr>
            <w:tcW w:w="12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уплаты ввозной таможенной пошлины в отношении станков для судостроительной промышленности, ввозимых в Российскую Федерацию с 1 июля 2016 г. по 31 октября 2016 г. включительно для целей выполнения государственного оборонного заказа Российской Федерации, согласно перечню отдельных видов станков для судостроительной промышленности, ввозимых на территорию Российской Федерации, утвержденному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9 августа 2016 г. № 64</w:t>
            </w:r>
          </w:p>
        </w:tc>
        <w:tc>
          <w:tcPr>
            <w:tcW w:w="13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w:t>
            </w:r>
          </w:p>
        </w:tc>
      </w:tr>
    </w:tbl>
    <w:bookmarkStart w:name="z7" w:id="7"/>
    <w:p>
      <w:pPr>
        <w:spacing w:after="0"/>
        <w:ind w:left="0"/>
        <w:jc w:val="both"/>
      </w:pPr>
      <w:r>
        <w:rPr>
          <w:rFonts w:ascii="Times New Roman"/>
          <w:b w:val="false"/>
          <w:i w:val="false"/>
          <w:color w:val="000000"/>
          <w:sz w:val="28"/>
        </w:rPr>
        <w:t>
      2. В классификаторе видов документов и сведений, используемых при таможенном декларировании (Приложение 8):</w:t>
      </w:r>
      <w:r>
        <w:br/>
      </w:r>
      <w:r>
        <w:rPr>
          <w:rFonts w:ascii="Times New Roman"/>
          <w:b w:val="false"/>
          <w:i w:val="false"/>
          <w:color w:val="000000"/>
          <w:sz w:val="28"/>
        </w:rPr>
        <w:t>
</w:t>
      </w:r>
      <w:r>
        <w:rPr>
          <w:rFonts w:ascii="Times New Roman"/>
          <w:b w:val="false"/>
          <w:i w:val="false"/>
          <w:color w:val="000000"/>
          <w:sz w:val="28"/>
        </w:rPr>
        <w:t>
      а) в разделе 1:</w:t>
      </w:r>
      <w:r>
        <w:br/>
      </w:r>
      <w:r>
        <w:rPr>
          <w:rFonts w:ascii="Times New Roman"/>
          <w:b w:val="false"/>
          <w:i w:val="false"/>
          <w:color w:val="000000"/>
          <w:sz w:val="28"/>
        </w:rPr>
        <w:t>
</w:t>
      </w:r>
      <w:r>
        <w:rPr>
          <w:rFonts w:ascii="Times New Roman"/>
          <w:b w:val="false"/>
          <w:i w:val="false"/>
          <w:color w:val="000000"/>
          <w:sz w:val="28"/>
        </w:rPr>
        <w:t>
      позицию с кодом 01018 исключить;</w:t>
      </w:r>
      <w:r>
        <w:br/>
      </w:r>
      <w:r>
        <w:rPr>
          <w:rFonts w:ascii="Times New Roman"/>
          <w:b w:val="false"/>
          <w:i w:val="false"/>
          <w:color w:val="000000"/>
          <w:sz w:val="28"/>
        </w:rPr>
        <w:t>
</w:t>
      </w:r>
      <w:r>
        <w:rPr>
          <w:rFonts w:ascii="Times New Roman"/>
          <w:b w:val="false"/>
          <w:i w:val="false"/>
          <w:color w:val="000000"/>
          <w:sz w:val="28"/>
        </w:rPr>
        <w:t>
      позицию с кодом 01081 изложить в следующей редакции:</w:t>
      </w:r>
    </w:p>
    <w:bookmarkEnd w:id="7"/>
    <w:tbl>
      <w:tblPr>
        <w:tblW w:w="0" w:type="auto"/>
        <w:tblCellSpacing w:w="0" w:type="auto"/>
        <w:tblBorders>
          <w:top w:val="none"/>
          <w:left w:val="none"/>
          <w:bottom w:val="none"/>
          <w:right w:val="none"/>
          <w:insideH w:val="none"/>
          <w:insideV w:val="none"/>
        </w:tblBorders>
      </w:tblPr>
      <w:tblGrid>
        <w:gridCol w:w="1570"/>
        <w:gridCol w:w="12430"/>
      </w:tblGrid>
      <w:tr>
        <w:trPr>
          <w:trHeight w:val="30" w:hRule="atLeast"/>
        </w:trPr>
        <w:tc>
          <w:tcPr>
            <w:tcW w:w="1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«01081</w:t>
            </w:r>
          </w:p>
        </w:tc>
        <w:tc>
          <w:tcPr>
            <w:tcW w:w="12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(разрешительный документ) на ввоз лекарственных средств»;</w:t>
            </w:r>
          </w:p>
        </w:tc>
      </w:tr>
    </w:tbl>
    <w:bookmarkStart w:name="z15" w:id="8"/>
    <w:p>
      <w:pPr>
        <w:spacing w:after="0"/>
        <w:ind w:left="0"/>
        <w:jc w:val="both"/>
      </w:pPr>
      <w:r>
        <w:rPr>
          <w:rFonts w:ascii="Times New Roman"/>
          <w:b w:val="false"/>
          <w:i w:val="false"/>
          <w:color w:val="000000"/>
          <w:sz w:val="28"/>
        </w:rPr>
        <w:t>
      после позиции с кодом 01332 дополнить позицией следующего содержания:</w:t>
      </w:r>
    </w:p>
    <w:bookmarkEnd w:id="8"/>
    <w:tbl>
      <w:tblPr>
        <w:tblW w:w="0" w:type="auto"/>
        <w:tblCellSpacing w:w="0" w:type="auto"/>
        <w:tblBorders>
          <w:top w:val="none"/>
          <w:left w:val="none"/>
          <w:bottom w:val="none"/>
          <w:right w:val="none"/>
          <w:insideH w:val="none"/>
          <w:insideV w:val="none"/>
        </w:tblBorders>
      </w:tblPr>
      <w:tblGrid>
        <w:gridCol w:w="1570"/>
        <w:gridCol w:w="12430"/>
      </w:tblGrid>
      <w:tr>
        <w:trPr>
          <w:trHeight w:val="30" w:hRule="atLeast"/>
        </w:trPr>
        <w:tc>
          <w:tcPr>
            <w:tcW w:w="1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«01341</w:t>
            </w:r>
          </w:p>
        </w:tc>
        <w:tc>
          <w:tcPr>
            <w:tcW w:w="12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(разрешительный документ) на ввоз и (или) вывоз озоноразрушающих веществ и продукции, содержащей озоноразрушающие вещества»;</w:t>
            </w:r>
          </w:p>
        </w:tc>
      </w:tr>
    </w:tbl>
    <w:bookmarkStart w:name="z16" w:id="9"/>
    <w:p>
      <w:pPr>
        <w:spacing w:after="0"/>
        <w:ind w:left="0"/>
        <w:jc w:val="both"/>
      </w:pPr>
      <w:r>
        <w:rPr>
          <w:rFonts w:ascii="Times New Roman"/>
          <w:b w:val="false"/>
          <w:i w:val="false"/>
          <w:color w:val="000000"/>
          <w:sz w:val="28"/>
        </w:rPr>
        <w:t>
      б) позицию с кодом 10051 раздела 10 изложить в следующей редакции:</w:t>
      </w:r>
    </w:p>
    <w:bookmarkEnd w:id="9"/>
    <w:tbl>
      <w:tblPr>
        <w:tblW w:w="0" w:type="auto"/>
        <w:tblCellSpacing w:w="0" w:type="auto"/>
        <w:tblBorders>
          <w:top w:val="none"/>
          <w:left w:val="none"/>
          <w:bottom w:val="none"/>
          <w:right w:val="none"/>
          <w:insideH w:val="none"/>
          <w:insideV w:val="none"/>
        </w:tblBorders>
      </w:tblPr>
      <w:tblGrid>
        <w:gridCol w:w="1570"/>
        <w:gridCol w:w="12430"/>
      </w:tblGrid>
      <w:tr>
        <w:trPr>
          <w:trHeight w:val="30" w:hRule="atLeast"/>
        </w:trPr>
        <w:tc>
          <w:tcPr>
            <w:tcW w:w="1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w:t>
            </w:r>
          </w:p>
        </w:tc>
        <w:tc>
          <w:tcPr>
            <w:tcW w:w="12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включении лекарственных средств в единый реестр зарегистрированных лекарственных средств Евразийского экономического союза, предусмотренный статьей 14 Соглашения о единых принципах и правилах обращения лекарственных средств в рамках Евразийского экономического союза от 23 декабря 2014 года, или в соответствующий государственный реестр лекарственных средств государства – члена Евразийского экономического союза».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