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f842" w14:textId="0dff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мероприятий, необходимых для реализации технического регламента Таможенного союза "Электромагнитная совместимость технических средств" (ТР ТС 020/2011)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2016 года № 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Позицию 5 раздела «Мероприятия по реализации технического регламента Таможенного союза «Электромагнитная совместимость технических средств» (ТР ТС 020/2011)» плана мероприятий, необходимых для реализации технического регламента Таможенного союза «Электромагнитная совместимость технических средств» (ТР ТС 020/2011),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апреля 2012 г. № 22,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