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3e5f" w14:textId="5893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государствами – членами Евразийского экономического союза обязательств в отношении чувствительных товаров при осуществлении мер промышленной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2016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результатах мониторинга выполнения государствами – членами Евразийского экономического союза (далее – государства-члены) обязательств в отношении чувствительных товаров при осуществлении мер промышленной политики в части обеспечения предварительного взаимного информирования о планируемых направлениях реализации национальной промышленной политики, отмечая неисполнение государствами-членами Порядка проведения консультаций в отношении чувствительных товаров и (или) взаимного информирования государств – членов Евразийского экономического союза о планируемых направлениях реализации национальной промышленной политики в отношении чувствительных товаров,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государства-члены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при планировании направлений реализации национальной промышленной политики в отношении чувствительных товаров, приоритетных для промышленного сотрудничества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проинформировать Евразийскую экономическую комиссию о принятых мерах, направленных на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Порядка проведения консультаций в отношении чувствительных товаров и (или) взаимного информирования государств – членов Евразийского экономического союза о планируемых направлениях реализации национальной промышленной политики в отношении чувствительных товаров, в течение 10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