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a46c" w14:textId="6caa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товаров и ставок,в отношении которых в течение переходного периода Кыргызская Республика применяет ставки ввозных таможенных пошлин, отличные от ставок пошлин, установленных Единым таможенным тарифом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4 октября 2016 года № 109.</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29.06.2021 </w:t>
      </w:r>
      <w:r>
        <w:rPr>
          <w:rFonts w:ascii="Times New Roman"/>
          <w:b w:val="false"/>
          <w:i w:val="false"/>
          <w:color w:val="ff0000"/>
          <w:sz w:val="28"/>
        </w:rPr>
        <w:t>№ 70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связи с принятием новой редакции единой Товарной номенклатуры внешнеэкономической деятельности Евразийского экономического союза, основанной на 6-м издании Гармонизированной системы описания и кодирования товаров Всемирной таможенной организации, 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42 Договора о Евразийском экономическом союзе от 29 мая 2014 года и </w:t>
      </w:r>
      <w:r>
        <w:rPr>
          <w:rFonts w:ascii="Times New Roman"/>
          <w:b w:val="false"/>
          <w:i w:val="false"/>
          <w:color w:val="000000"/>
          <w:sz w:val="28"/>
        </w:rPr>
        <w:t>пунктом 43</w:t>
      </w:r>
      <w:r>
        <w:rPr>
          <w:rFonts w:ascii="Times New Roman"/>
          <w:b w:val="false"/>
          <w:i w:val="false"/>
          <w:color w:val="000000"/>
          <w:sz w:val="28"/>
        </w:rPr>
        <w:t xml:space="preserve"> приложения № 1 к Протоколу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Внести в перечень товаров и ставок, в отношении которых в течение переходного периода Кыргызская Республика применяет ставки ввозных таможенных пошлин, отличные от ставок пошлин, установленных Единым таможенным тарифом Евразийского экономического союза, утвержденный Решением Коллегии Евразийской экономической комиссии от 30 июня 2015 г. № 68, следующие изменения:</w:t>
      </w:r>
    </w:p>
    <w:bookmarkEnd w:id="1"/>
    <w:p>
      <w:pPr>
        <w:spacing w:after="0"/>
        <w:ind w:left="0"/>
        <w:jc w:val="both"/>
      </w:pPr>
      <w:r>
        <w:rPr>
          <w:rFonts w:ascii="Times New Roman"/>
          <w:b w:val="false"/>
          <w:i w:val="false"/>
          <w:color w:val="000000"/>
          <w:sz w:val="28"/>
        </w:rPr>
        <w:t xml:space="preserve">
      а) исключить позиции согласно </w:t>
      </w:r>
      <w:r>
        <w:rPr>
          <w:rFonts w:ascii="Times New Roman"/>
          <w:b w:val="false"/>
          <w:i w:val="false"/>
          <w:color w:val="000000"/>
          <w:sz w:val="28"/>
        </w:rPr>
        <w:t>приложению №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 включить позиции согласно </w:t>
      </w:r>
      <w:r>
        <w:rPr>
          <w:rFonts w:ascii="Times New Roman"/>
          <w:b w:val="false"/>
          <w:i w:val="false"/>
          <w:color w:val="000000"/>
          <w:sz w:val="28"/>
        </w:rPr>
        <w:t>приложению № 2</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2. Настоящее Решение вступает в силу с 1 января 2017 г.</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Саркисян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2016 г. № 109</w:t>
            </w:r>
          </w:p>
        </w:tc>
      </w:tr>
    </w:tbl>
    <w:bookmarkStart w:name="z5" w:id="3"/>
    <w:p>
      <w:pPr>
        <w:spacing w:after="0"/>
        <w:ind w:left="0"/>
        <w:jc w:val="left"/>
      </w:pPr>
      <w:r>
        <w:rPr>
          <w:rFonts w:ascii="Times New Roman"/>
          <w:b/>
          <w:i w:val="false"/>
          <w:color w:val="000000"/>
        </w:rPr>
        <w:t xml:space="preserve"> Позиции, исключаемые из перечня</w:t>
      </w:r>
      <w:r>
        <w:br/>
      </w:r>
      <w:r>
        <w:rPr>
          <w:rFonts w:ascii="Times New Roman"/>
          <w:b/>
          <w:i w:val="false"/>
          <w:color w:val="000000"/>
        </w:rPr>
        <w:t>товаров и ставок, в отношении которых в течение переходного</w:t>
      </w:r>
      <w:r>
        <w:br/>
      </w:r>
      <w:r>
        <w:rPr>
          <w:rFonts w:ascii="Times New Roman"/>
          <w:b/>
          <w:i w:val="false"/>
          <w:color w:val="000000"/>
        </w:rPr>
        <w:t>периода Кыргызская Республика применяет ставки ввозных</w:t>
      </w:r>
      <w:r>
        <w:br/>
      </w:r>
      <w:r>
        <w:rPr>
          <w:rFonts w:ascii="Times New Roman"/>
          <w:b/>
          <w:i w:val="false"/>
          <w:color w:val="000000"/>
        </w:rPr>
        <w:t>таможенных пошлин, отличные от ставок пошлин, установленных</w:t>
      </w:r>
      <w:r>
        <w:br/>
      </w:r>
      <w:r>
        <w:rPr>
          <w:rFonts w:ascii="Times New Roman"/>
          <w:b/>
          <w:i w:val="false"/>
          <w:color w:val="000000"/>
        </w:rPr>
        <w:t>Единым таможенным тарифом Евразийского экономического союза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2015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2016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2017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2018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2019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2020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двойные гибриды и топкроссные гибриды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3002 10 100 9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гемоглобин, глобулины крови и сывороточные глобулины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факторы свертываемости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или его соли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спеpмицидов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3824 90 640 0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пропитывающая жидкость для производства силовых конденсаторов</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3907 60 800 0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3918 90 000 0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3919 10 120 0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 или полиэтилена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3919 10 150 0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растягивающаяся пленка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3923 30 109 0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3923 30 901 0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более 2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3923 90 000 0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наименьшим горизонтальным размером не более 100 см, вертикальным размером не более 130 см, номинальным напряжением не более 250 В, производительностью не более 1500 м</w:t>
            </w:r>
            <w:r>
              <w:rPr>
                <w:rFonts w:ascii="Times New Roman"/>
                <w:b w:val="false"/>
                <w:i w:val="false"/>
                <w:color w:val="000000"/>
                <w:vertAlign w:val="superscript"/>
              </w:rPr>
              <w:t>3</w:t>
            </w:r>
            <w:r>
              <w:rPr>
                <w:rFonts w:ascii="Times New Roman"/>
                <w:b w:val="false"/>
                <w:i w:val="false"/>
                <w:color w:val="000000"/>
                <w:sz w:val="20"/>
              </w:rPr>
              <w:t>/час, с жироулавливающим элементом или местом для его установки, с посадочным местом для подсоединения воздуховода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8424 81 910 0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распылители и распределители порошков, предназначенные для установки на тракторах или для буксирования этими тракторами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8424 81 990 0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8432 30 190 0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8701 90 110 0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18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18 кВт, но не более 37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8701 90 250 0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37 кВт, но не более 59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59 кВт, но не более 75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8701 90 350 0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75 кВт, но не более 90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8701 90 390 9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8702 90 909 0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8703 23 191 0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более 1500 см</w:t>
            </w:r>
            <w:r>
              <w:rPr>
                <w:rFonts w:ascii="Times New Roman"/>
                <w:b w:val="false"/>
                <w:i w:val="false"/>
                <w:color w:val="000000"/>
                <w:vertAlign w:val="superscript"/>
              </w:rPr>
              <w:t>3</w:t>
            </w:r>
            <w:r>
              <w:rPr>
                <w:rFonts w:ascii="Times New Roman"/>
                <w:b w:val="false"/>
                <w:i w:val="false"/>
                <w:color w:val="000000"/>
                <w:sz w:val="20"/>
              </w:rPr>
              <w:t>, но не более 1800 см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8703 23 192 1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рабочим объемом цилиндров двигателя более 1800 см</w:t>
            </w:r>
            <w:r>
              <w:rPr>
                <w:rFonts w:ascii="Times New Roman"/>
                <w:b w:val="false"/>
                <w:i w:val="false"/>
                <w:color w:val="000000"/>
                <w:vertAlign w:val="superscript"/>
              </w:rPr>
              <w:t>3</w:t>
            </w:r>
            <w:r>
              <w:rPr>
                <w:rFonts w:ascii="Times New Roman"/>
                <w:b w:val="false"/>
                <w:i w:val="false"/>
                <w:color w:val="000000"/>
                <w:sz w:val="20"/>
              </w:rPr>
              <w:t>, но не более 2300 см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8703 23 192 2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не более 5 т, содержащие в качестве ходовых исключительно электродвигатели (один или несколько)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теплицы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2016 г. № 109</w:t>
            </w:r>
          </w:p>
        </w:tc>
      </w:tr>
    </w:tbl>
    <w:bookmarkStart w:name="z7" w:id="4"/>
    <w:p>
      <w:pPr>
        <w:spacing w:after="0"/>
        <w:ind w:left="0"/>
        <w:jc w:val="left"/>
      </w:pPr>
      <w:r>
        <w:rPr>
          <w:rFonts w:ascii="Times New Roman"/>
          <w:b/>
          <w:i w:val="false"/>
          <w:color w:val="000000"/>
        </w:rPr>
        <w:t xml:space="preserve"> Позиции, включаемые в перечень</w:t>
      </w:r>
      <w:r>
        <w:br/>
      </w:r>
      <w:r>
        <w:rPr>
          <w:rFonts w:ascii="Times New Roman"/>
          <w:b/>
          <w:i w:val="false"/>
          <w:color w:val="000000"/>
        </w:rPr>
        <w:t>товаров и ставок, в отношении которых в течение переходного</w:t>
      </w:r>
      <w:r>
        <w:br/>
      </w:r>
      <w:r>
        <w:rPr>
          <w:rFonts w:ascii="Times New Roman"/>
          <w:b/>
          <w:i w:val="false"/>
          <w:color w:val="000000"/>
        </w:rPr>
        <w:t>периода Кыргызская Республика применяет ставки ввозных</w:t>
      </w:r>
      <w:r>
        <w:br/>
      </w:r>
      <w:r>
        <w:rPr>
          <w:rFonts w:ascii="Times New Roman"/>
          <w:b/>
          <w:i w:val="false"/>
          <w:color w:val="000000"/>
        </w:rPr>
        <w:t>таможенных пошлин, отличные от ставок пошлин, установленных</w:t>
      </w:r>
      <w:r>
        <w:br/>
      </w:r>
      <w:r>
        <w:rPr>
          <w:rFonts w:ascii="Times New Roman"/>
          <w:b/>
          <w:i w:val="false"/>
          <w:color w:val="000000"/>
        </w:rPr>
        <w:t>Единым таможенным тарифом Евразийского экономического союза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2015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2016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2017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2018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2019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2020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1005 10 180 1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двойные гибриды и топкроссные гибриды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наборы для диагностики малярии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глобулины крови и сывороточные глобулины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гербициды, содержащие алахлор (ISO) или алдикарб (ISO), или азинфос метил (ISO), или эндосульфан (ISO), или простые эфиры пента- и октабромдифенила, или пентафтороктансульфоновую кислоту и ее соли, или перфтороктансульфонамиды, или перфтороктансульфонилфторид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3824 84 000 0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альдрин (ISO), камфехлор (ISO) (токсафен), хлордан (ISO), хлордекон (ISO), ДДТ (ISO) (клофенотан (INN), 1,1,1-трихлор-2,2-бис(п-хлорфенил)этан), диэлдрин (ISO, INN), эндосульфан (ISO), эндрин (ISO), гептахлор (ISO) или мирекс (ISO)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3824 85 000 0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1,2,3,4,5,6-гексахлорциклогексан (ГХГ (ISO)), включая линдан (ISO, INN)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3824 86 000 0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пентахлорбензол (ISO) или гексахлорбензол (ISO)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3824 87 000 0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перфтороктансульфоновую кислоту, ее соли, перфтороктансульфонамиды или перфтороктансульфонилфторид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3824 88 000 0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тетра-, пента-, гекса-, гепта- или октабромдифениловые простые эфиры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3824 99 640 0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пропитывающая жидкость для производства силовых конденсаторов</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3824 99 930 9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наименьшим горизонтальным размером не более 100 см, вертикальным размером не более 130 см, номинальным напряжением не более 250 В, производительностью не более 1500 м</w:t>
            </w:r>
            <w:r>
              <w:rPr>
                <w:rFonts w:ascii="Times New Roman"/>
                <w:b w:val="false"/>
                <w:i w:val="false"/>
                <w:color w:val="000000"/>
                <w:vertAlign w:val="superscript"/>
              </w:rPr>
              <w:t>3</w:t>
            </w:r>
            <w:r>
              <w:rPr>
                <w:rFonts w:ascii="Times New Roman"/>
                <w:b w:val="false"/>
                <w:i w:val="false"/>
                <w:color w:val="000000"/>
                <w:sz w:val="20"/>
              </w:rPr>
              <w:t>/ч, с жироулавливающим элементом или местом для его установки, с посадочным местом для подсоединения воздуховода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установки на тракторах или для буксирования тракторами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распределители порошков, предназначенные для установки на тракторах или для буксирования тракторами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8432 39 190 0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8702 40 000 9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8702 90 809 0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рабочим объемом цилиндров двигателя более 1500 см</w:t>
            </w:r>
            <w:r>
              <w:rPr>
                <w:rFonts w:ascii="Times New Roman"/>
                <w:b w:val="false"/>
                <w:i w:val="false"/>
                <w:color w:val="000000"/>
                <w:vertAlign w:val="superscript"/>
              </w:rPr>
              <w:t>3</w:t>
            </w:r>
            <w:r>
              <w:rPr>
                <w:rFonts w:ascii="Times New Roman"/>
                <w:b w:val="false"/>
                <w:i w:val="false"/>
                <w:color w:val="000000"/>
                <w:sz w:val="20"/>
              </w:rPr>
              <w:t>, но не более 1800 см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рабочим объемом цилиндров двигателя более 1800 см</w:t>
            </w:r>
            <w:r>
              <w:rPr>
                <w:rFonts w:ascii="Times New Roman"/>
                <w:b w:val="false"/>
                <w:i w:val="false"/>
                <w:color w:val="000000"/>
                <w:vertAlign w:val="superscript"/>
              </w:rPr>
              <w:t>3</w:t>
            </w:r>
            <w:r>
              <w:rPr>
                <w:rFonts w:ascii="Times New Roman"/>
                <w:b w:val="false"/>
                <w:i w:val="false"/>
                <w:color w:val="000000"/>
                <w:sz w:val="20"/>
              </w:rPr>
              <w:t>, но не более 2300 см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не более 5 т, приводимые в движение только электрическим двигателем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теплицы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