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46c" w14:textId="6caa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и ставок,в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4 октября 2016 года № 109.</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29.06.2021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основанной на 6-м издании Гармонизированной системы описания и кодирования товаров Всемирной таможенной организации, 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Договора о Евразийском экономическом союзе от 29 мая 2014 года и </w:t>
      </w:r>
      <w:r>
        <w:rPr>
          <w:rFonts w:ascii="Times New Roman"/>
          <w:b w:val="false"/>
          <w:i w:val="false"/>
          <w:color w:val="000000"/>
          <w:sz w:val="28"/>
        </w:rPr>
        <w:t>пунктом 43</w:t>
      </w:r>
      <w:r>
        <w:rPr>
          <w:rFonts w:ascii="Times New Roman"/>
          <w:b w:val="false"/>
          <w:i w:val="false"/>
          <w:color w:val="000000"/>
          <w:sz w:val="28"/>
        </w:rPr>
        <w:t xml:space="preserve">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Внести в перечень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утвержденный Решением Коллегии Евразийской экономической комиссии от 30 июня 2015 г. № 68, следующие изменения:</w:t>
      </w:r>
    </w:p>
    <w:bookmarkEnd w:id="1"/>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Настоящее Решение вступает в силу с 1 января 2017 г.</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109</w:t>
            </w:r>
          </w:p>
        </w:tc>
      </w:tr>
    </w:tbl>
    <w:bookmarkStart w:name="z5" w:id="3"/>
    <w:p>
      <w:pPr>
        <w:spacing w:after="0"/>
        <w:ind w:left="0"/>
        <w:jc w:val="left"/>
      </w:pPr>
      <w:r>
        <w:rPr>
          <w:rFonts w:ascii="Times New Roman"/>
          <w:b/>
          <w:i w:val="false"/>
          <w:color w:val="000000"/>
        </w:rPr>
        <w:t xml:space="preserve"> Позиции, исключаемые из перечня</w:t>
      </w:r>
      <w:r>
        <w:br/>
      </w:r>
      <w:r>
        <w:rPr>
          <w:rFonts w:ascii="Times New Roman"/>
          <w:b/>
          <w:i w:val="false"/>
          <w:color w:val="000000"/>
        </w:rPr>
        <w:t>товаров и ставок, в отношении которых в течение переходного</w:t>
      </w:r>
      <w:r>
        <w:br/>
      </w:r>
      <w:r>
        <w:rPr>
          <w:rFonts w:ascii="Times New Roman"/>
          <w:b/>
          <w:i w:val="false"/>
          <w:color w:val="000000"/>
        </w:rPr>
        <w:t>периода Кыргызская Республика применяет ставки ввозных</w:t>
      </w:r>
      <w:r>
        <w:br/>
      </w:r>
      <w:r>
        <w:rPr>
          <w:rFonts w:ascii="Times New Roman"/>
          <w:b/>
          <w:i w:val="false"/>
          <w:color w:val="000000"/>
        </w:rPr>
        <w:t>таможенных пошлин, отличные от ставок пошлин, установленных</w:t>
      </w:r>
      <w:r>
        <w:br/>
      </w:r>
      <w:r>
        <w:rPr>
          <w:rFonts w:ascii="Times New Roman"/>
          <w:b/>
          <w:i w:val="false"/>
          <w:color w:val="000000"/>
        </w:rPr>
        <w:t>Единым таможенным тарифом Евразийского экономического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2020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двойные гибриды и топкроссные гибриды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пропитывающая жидкость для производства силовых конденсаторов</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/час, с жироулавливающим элементом или местом для его установки, с посадочным местом для подсоединения воздуховода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распылители и распределители порошков, предназначенные для установки на тракторах или для буксирования этими тракторами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18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1800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1800 см</w:t>
            </w:r>
            <w:r>
              <w:rPr>
                <w:rFonts w:ascii="Times New Roman"/>
                <w:b w:val="false"/>
                <w:i w:val="false"/>
                <w:color w:val="000000"/>
                <w:vertAlign w:val="superscript"/>
              </w:rPr>
              <w:t>3</w:t>
            </w:r>
            <w:r>
              <w:rPr>
                <w:rFonts w:ascii="Times New Roman"/>
                <w:b w:val="false"/>
                <w:i w:val="false"/>
                <w:color w:val="000000"/>
                <w:sz w:val="20"/>
              </w:rPr>
              <w:t>, но не более 2300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содержащие в качестве ходовых исключительно электродвигатели (один или несколько)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109</w:t>
            </w:r>
          </w:p>
        </w:tc>
      </w:tr>
    </w:tbl>
    <w:bookmarkStart w:name="z7" w:id="4"/>
    <w:p>
      <w:pPr>
        <w:spacing w:after="0"/>
        <w:ind w:left="0"/>
        <w:jc w:val="left"/>
      </w:pPr>
      <w:r>
        <w:rPr>
          <w:rFonts w:ascii="Times New Roman"/>
          <w:b/>
          <w:i w:val="false"/>
          <w:color w:val="000000"/>
        </w:rPr>
        <w:t xml:space="preserve"> Позиции, включаемые в перечень</w:t>
      </w:r>
      <w:r>
        <w:br/>
      </w:r>
      <w:r>
        <w:rPr>
          <w:rFonts w:ascii="Times New Roman"/>
          <w:b/>
          <w:i w:val="false"/>
          <w:color w:val="000000"/>
        </w:rPr>
        <w:t>товаров и ставок, в отношении которых в течение переходного</w:t>
      </w:r>
      <w:r>
        <w:br/>
      </w:r>
      <w:r>
        <w:rPr>
          <w:rFonts w:ascii="Times New Roman"/>
          <w:b/>
          <w:i w:val="false"/>
          <w:color w:val="000000"/>
        </w:rPr>
        <w:t>периода Кыргызская Республика применяет ставки ввозных</w:t>
      </w:r>
      <w:r>
        <w:br/>
      </w:r>
      <w:r>
        <w:rPr>
          <w:rFonts w:ascii="Times New Roman"/>
          <w:b/>
          <w:i w:val="false"/>
          <w:color w:val="000000"/>
        </w:rPr>
        <w:t>таможенных пошлин, отличные от ставок пошлин, установленных</w:t>
      </w:r>
      <w:r>
        <w:br/>
      </w:r>
      <w:r>
        <w:rPr>
          <w:rFonts w:ascii="Times New Roman"/>
          <w:b/>
          <w:i w:val="false"/>
          <w:color w:val="000000"/>
        </w:rPr>
        <w:t>Единым таможенным тарифом Евразийского экономического союза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2020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двойные гибриды и топкроссные гибриды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гербициды,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1,1,1-трихлор-2,2-бис(п-хлорфенил)этан), диэлдрин (ISO, INN), эндосульфан (ISO), эндрин (ISO), гептахлор (ISO) или мирекс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1,2,3,4,5,6-гексахлорциклогексан (ГХГ (ISO)), включая линдан (ISO, INN)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 пента-, гекса-, гепта- или октабромдифениловые простые эфиры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пропитывающая жидкость для производства силовых конденсаторов</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 с жироулавливающим элементом или местом для его установки, с посадочным местом для подсоединения воздуховода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1800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w:t>
            </w:r>
            <w:r>
              <w:rPr>
                <w:rFonts w:ascii="Times New Roman"/>
                <w:b w:val="false"/>
                <w:i w:val="false"/>
                <w:color w:val="000000"/>
                <w:vertAlign w:val="superscript"/>
              </w:rPr>
              <w:t>3</w:t>
            </w:r>
            <w:r>
              <w:rPr>
                <w:rFonts w:ascii="Times New Roman"/>
                <w:b w:val="false"/>
                <w:i w:val="false"/>
                <w:color w:val="000000"/>
                <w:sz w:val="20"/>
              </w:rPr>
              <w:t>, но не более 2300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приводимые в движение только электрическим двигателем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