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246d3" w14:textId="ad246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электрических стеклоподъемников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26 июля 2016 года № 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Решение вступает в силу 27.08.2016 - сайт Евразийского экономического союза.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первым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решением Коллегии Евразийской экономической комиссии от 29.11.2021 </w:t>
      </w:r>
      <w:r>
        <w:rPr>
          <w:rFonts w:ascii="Times New Roman"/>
          <w:b w:val="false"/>
          <w:i w:val="false"/>
          <w:color w:val="00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Электрические стеклоподъемники, предназначенные для закрывания (открывания) окна автомобиля путем подъема (опускания) стекла двери автомобиля, состоящие из таких основных компонентов, как электрический мотор постоянного тока, редуктор, механизм подъема (опускания) стекла, в соответствии с Основными правилами интерпретации Товарной номенклатуры внешнеэкономической деятельности 1 и 6 классифицируются в подсубпозиции 8479 89 970 7 единой Товарной номенклатуры внешнеэкономической деятельности Евразийского экономического союза.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Коллегии Евразийской экономической комиссии от 29.11.2021 </w:t>
      </w:r>
      <w:r>
        <w:rPr>
          <w:rFonts w:ascii="Times New Roman"/>
          <w:b w:val="false"/>
          <w:i w:val="false"/>
          <w:color w:val="00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Врио</w:t>
      </w:r>
      <w:r>
        <w:rPr>
          <w:rFonts w:ascii="Times New Roman"/>
          <w:b w:val="false"/>
          <w:i/>
          <w:color w:val="000000"/>
          <w:sz w:val="28"/>
        </w:rPr>
        <w:t xml:space="preserve"> Председателя Коллегии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Евразийской экономической комиссии         К. </w:t>
      </w:r>
      <w:r>
        <w:rPr>
          <w:rFonts w:ascii="Times New Roman"/>
          <w:b w:val="false"/>
          <w:i/>
          <w:color w:val="000000"/>
          <w:sz w:val="28"/>
        </w:rPr>
        <w:t>Минасян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