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db4f" w14:textId="5e3d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2016 года № 67. Отменено решением Коллегии Евразийской экономической комиссии от 24 апреля 2017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Отменено решением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раздел II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г. № 317,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в Единый перечень товаров, подлежащих ветеринарному контролю (надзору), изменений в части дополнения такими товарам, как овощи бобовые и кормовые добавки.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г. № 67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II приложения № 1 к Единым ветеринарным</w:t>
      </w:r>
      <w:r>
        <w:br/>
      </w:r>
      <w:r>
        <w:rPr>
          <w:rFonts w:ascii="Times New Roman"/>
          <w:b/>
          <w:i w:val="false"/>
          <w:color w:val="000000"/>
        </w:rPr>
        <w:t>(ветеринарно-санитарным) требованиям, предъявляемым к товарам,</w:t>
      </w:r>
      <w:r>
        <w:br/>
      </w:r>
      <w:r>
        <w:rPr>
          <w:rFonts w:ascii="Times New Roman"/>
          <w:b/>
          <w:i w:val="false"/>
          <w:color w:val="000000"/>
        </w:rPr>
        <w:t>подлежащим ветеринарному контролю (надзору)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позиции 39 текст в графе 6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оборот подконтрольный товар".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После позиции 46 дополнить позицией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2048"/>
        <w:gridCol w:w="1699"/>
        <w:gridCol w:w="460"/>
        <w:gridCol w:w="282"/>
        <w:gridCol w:w="6180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"461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0713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бобовые, используемые для корма животных5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оборот подконтрольный товар".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После позиции 68 дополнить позицией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338"/>
        <w:gridCol w:w="315"/>
        <w:gridCol w:w="3105"/>
        <w:gridCol w:w="193"/>
        <w:gridCol w:w="4232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"681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1518 00, из 2102,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2309,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2936,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3203 00, из 3302,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3504 00, из 3507,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3808,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добавки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 для товаров, содержащих компоненты животного происхождения, и товаров, используемых для ветеринарных целей, в том числе в кормах для животных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оборот подконтрольный товар".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позиции 94 текст в графе 6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оборот подконтрольный товар".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позиции 95 текст в графе 4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"ветеринарный сертификат для товаров, содержащих компоненты животного происхождения, и товаров, используемых для ветеринарных целей, в том числе в кормах для животных".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