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55abb" w14:textId="7355a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обмена информацией между уполномоченными органами государств - членов Евразийского экономического союза и Евразийской экономической комиссией в целях проведения согласованной макроэкономической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 июня 2016 года № 59.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проведении согласованной макроэкономической политики (приложение № 14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обмена информацией между уполномоченными органами государств – членов Евразийского экономического союза и Евразийской экономической комиссией в целях проведения согласованной макроэкономической политики.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11 декабря 2012 г. № 270 "О Порядке обмена информацией между уполномоченными органами государств – членов Таможенного союза и Единого экономического пространства и Евразийской экономической комиссией в целях проведения согласованной макроэкономической политики";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10 февраля 2015 г. № 13 "О внесении изменений в Решение Коллегии Евразийской экономической комиссии от 11 декабря 2012 г. № 270".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Саркисян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2016 г. № 59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обмена информацией между уполномоченными органами государств –</w:t>
      </w:r>
      <w:r>
        <w:br/>
      </w:r>
      <w:r>
        <w:rPr>
          <w:rFonts w:ascii="Times New Roman"/>
          <w:b/>
          <w:i w:val="false"/>
          <w:color w:val="000000"/>
        </w:rPr>
        <w:t>членов Евразийского экономического союза и Евразийской</w:t>
      </w:r>
      <w:r>
        <w:br/>
      </w:r>
      <w:r>
        <w:rPr>
          <w:rFonts w:ascii="Times New Roman"/>
          <w:b/>
          <w:i w:val="false"/>
          <w:color w:val="000000"/>
        </w:rPr>
        <w:t>экономической комиссией в целях проведения согласованной</w:t>
      </w:r>
      <w:r>
        <w:br/>
      </w:r>
      <w:r>
        <w:rPr>
          <w:rFonts w:ascii="Times New Roman"/>
          <w:b/>
          <w:i w:val="false"/>
          <w:color w:val="000000"/>
        </w:rPr>
        <w:t>макроэкономической политики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проведении согласованной макроэкономической политики (приложение № 14 к Договору о Евразийском экономическом союзе от 29 мая 2014 года) в целях обеспечения эффективного взаимодействия между уполномоченными органами государств – членов Евразийского экономического союза, осуществляющими функции по выработке государственной политики и нормативно-правовому регулированию в области экономики, финансов и в других сферах и ответственными за формирование и (или) представление информации в Евразийскую экономическую комиссию, национальными (центральными) банками (далее соответственно – уполномоченные органы, государства-члены) и Евразийской экономической комиссией (далее – Комиссия) посредством обмена информацией по вопросам проведения согласованной макроэкономической политики и определяет последовательность действий уполномоченных органов и Комиссии.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Уполномоченные органы представляют в Комиссию в соответствии с законодательством государств-членов следующие информацию, материалы и документы: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показатели, характеризующие социально-экономическое развитие государств-членов (представляются в соответствии с Протоколом о порядке формирования и распространения официальной статистической информации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макроэкономические показатели, определяющие устойчивость экономического развития: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годовой дефицит консолидированного бюджета сектора государственного управления (в процентах к валовому внутреннему продукту);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долг сектора государственного управления (в процентах к валовому внутреннему продукту);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инфляции (индекс потребительских цен) в годовом выражении (декабрь к декабрю предыдущего года, в процентах);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макроэкономические показатели, определяющие уровень и динамику развития экономики: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темпы роста валового внутреннего продукта (в процентах к предыдущему году) (рассчитываются как индекс физического объема валового внутреннего продукта);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счета текущих операций платежного баланса (в долларах США и процентах к валовому внутреннему продукту);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реального эффективного обменного курса национальной валюты (для Республики Беларусь и Российской Федерации – индекс реального эффективного курса национальной валюты) (в среднегодовом выражении и декабрь к декабрю предыдущего года, в процентах);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макроэкономические показатели, определяющие степень интеграции: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национальных инвестиций, направленных в экономику каждого государства-члена, в том числе прямых инвестиций (в долларах США);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инвестиций, поступивших в национальную экономику от каждого государства-члена, в том числе прямых инвестиций (в долларах США);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прогнозы (программы) социально-экономического развития на среднесрочный период (представляются ежегодно),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 первого этапа разработки прогнозов социально-экономического развития (для Республики Армения – проект прогноза социально-экономического развития на среднесрочную перспективу, для Республики Беларусь – проект прогноза социально-экономического развития на краткосрочную перспективу, для Республики Казахстан – проект прогноза социально-экономического развития на 5-летний период, для Кыргызской Республики – сценарные макроэкономические условия для разработки прогноза социально-экономического развития на 3-летний период, для Российской Федерации – сценарные условия функционирования экономики и основные параметры прогноза социально-экономического развития на очередной финансовый год и плановый период) (представляются в течение 5 рабочих дней с даты их утверждения (одобрения));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второго этапа разработки прогнозов социально-экономического развития (для Республики Армения – прогноз социально-экономического развития на очередной финансовый год, для Республики Беларусь – прогноз социально-экономического развития на краткосрочную перспективу, для Республики Казахстан – прогноз социально-экономического развития на 5-летний период, для Кыргызской Республики – прогноз социально-экономического развития на 3-летний период, включая прогноз на предстоящий финансовый год, для Российской Федерации – прогноз социально-экономического развития на очередной финансовый год и плановый период) (представляются в течение 5 рабочих дней с даты их утверждения (одобрения));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долгосрочные (свыше 5 лет) программы (планы, стратегии, концепции) социально-экономического развития, планы действий (концепции, стратегии) в сфере экономического развития и макроэкономической политики (представляются в течение 7 рабочих дней с даты их утверждения (одобрения, принятия));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основные нормативные правовые акты в сфере разработки и реализации макроэкономической, бюджетной, налоговой и денежно-кредитной политики, а также нормативные правовые акты, направленные на стабилизацию экономической ситуации и повышение устойчивости экономического развития (представляются в течение 7 рабочих дней с даты их утверждения (одобрения, принятия));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иная информация (представляется на разовой или периодической основе по запросам Комиссии).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проведения мониторинга не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 показателей уровня и динамики развития экономики государств-членов и показателей степени интеграции Комиссия: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формирует информацию о валовом внутреннем продукте на душу населения по паритету покупательной способности (в долларах США) (для Российской Федерации – на основе данных, опубликованных на официальном сайте Федеральной службы государственной статистики в информационно-телекоммуникационной сети "Интернет" (далее – сеть Интернет) и согласованных с Организацией экономического сотрудничества и развития (ОЭСР), для других государств-членов – на основе данных Всемирного банка, а также на основе международных сопоставлений СНГ – ОЭСР);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рассчитывает долю каждого государства-члена в общем объеме экспорта, импорта и внешнеторгового оборота (в процентах).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Уполномоченные органы самостоятельно определяют состав информации, материалов и документов, представляемых в соответствии с подпунктами "в" и "г"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Информация, материалы и документы, указанные в подпунктах "б" – "д"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направляются на адрес электронной почты Департамента макроэкономической политики Комиссии (dmp@eecommission.org). Если данная информация размещена государством-членом в открытом доступе на официальных сайтах уполномоченных органов в сети Интернет, то вместо этой информации может указываться ссылка на соответствующий источник.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Комиссия готовит, в том числе на основе полученных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 информации, материалов и документов: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информацию о результатах анализа социально-экономического развития государств-членов (ежеквартально, в течение 30 календарных дней с даты получения соответствующей информации);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информацию о результатах мониторинга макроэкономических показателей, определяющих устойчивость экономического развития государств-членов (ежеквартально, в течение 30 календарных дней с даты получения соответствующей информации);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аналитический обзор результатов мониторинга соблюдения государствами-членами макроэкономических показателей, определяющих устойчивость экономического развития, и предложения, направленные на улучшение экономической ситуации и повышение устойчивости экономического развития государств-членов (ежегодно, к 1 апреля);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доклад об итогах и перспективах социально-экономического развития государств-членов и мерах, предпринятых государствами-членами в области макроэкономической политики (ежегодно, к 1 апреля);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рекомендации, направленные на стабилизацию экономической ситуации, в случае превышения государствами-членам количественных значений макроэкономических показателей, определяющих устойчивость экономического развития, в соответствии с подпунктом 3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проведении согласованной макроэкономической политики (приложение № 14 к Договору о Евразийском экономическом союзе от 29 мая 2014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 доклад о ходе реализации Основных направлений экономического развития Евразийского экономического союза,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16 октября 2015 г. № 28 (1 раз в 2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основные ориентиры макроэкономической политики государств-членов (1 раз в 2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отчет о реализации основных ориентиров макроэкономической политики государств-членов (1 раз в 2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перечень мероприятий по реализации основных ориентиров макроэкономической политики государств-членов (1 раз в 2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 иные документы и материалы.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решением Коллегии Евразийской экономической комиссии от 01.11.2022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Информация, материалы и документы, подготовленные Комиссией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размещаются в открытом доступе на официальном сайте Евразийского экономического союза в сети Интернет (в части информации, материалов и документов, подготовленных на основе информации, материалов и документов, представленных уполномоченными органами, – по согласованию с государствами-членами).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Комиссия принимает необходимые организационные и технические меры, направленные на исключение неправомерного разглашения, доступа, уничтожения, изменения, копирования и иных неправомерных действий в отношении полученных информации и материалов, и несет ответственность за их хранение и защиту.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