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c190" w14:textId="069c1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антидемпинговой меры посредством введения антидемпинговой пошлины в отношении прутков, происходящих из Украины и ввозимых на таможенную территорию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29 марта 2016 года № 28</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Решение вступило в силу 30.04.2016 - сайт Евразийского экономического союза.</w:t>
      </w:r>
    </w:p>
    <w:bookmarkStart w:name="z1" w:id="0"/>
    <w:p>
      <w:pPr>
        <w:spacing w:after="0"/>
        <w:ind w:left="0"/>
        <w:jc w:val="both"/>
      </w:pPr>
      <w:r>
        <w:rPr>
          <w:rFonts w:ascii="Times New Roman"/>
          <w:b w:val="false"/>
          <w:i w:val="false"/>
          <w:color w:val="000000"/>
          <w:sz w:val="28"/>
        </w:rPr>
        <w:t>
      В соответствии c </w:t>
      </w:r>
      <w:r>
        <w:rPr>
          <w:rFonts w:ascii="Times New Roman"/>
          <w:b w:val="false"/>
          <w:i w:val="false"/>
          <w:color w:val="000000"/>
          <w:sz w:val="28"/>
        </w:rPr>
        <w:t>пунктом 107</w:t>
      </w:r>
      <w:r>
        <w:rPr>
          <w:rFonts w:ascii="Times New Roman"/>
          <w:b w:val="false"/>
          <w:i w:val="false"/>
          <w:color w:val="000000"/>
          <w:sz w:val="28"/>
        </w:rPr>
        <w:t xml:space="preserve"> Протокола о применении специальных защитных, антидемпинговых и компенсационных мер по отношению к третьим странам (приложение № 8 к Договору о Евразийском экономическом союзе от 29 мая 2014 года) и на основании доклада Департамента защиты внутреннего рынка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r>
        <w:br/>
      </w:r>
      <w:r>
        <w:rPr>
          <w:rFonts w:ascii="Times New Roman"/>
          <w:b w:val="false"/>
          <w:i w:val="false"/>
          <w:color w:val="000000"/>
          <w:sz w:val="28"/>
        </w:rPr>
        <w:t>
</w:t>
      </w:r>
      <w:r>
        <w:rPr>
          <w:rFonts w:ascii="Times New Roman"/>
          <w:b w:val="false"/>
          <w:i w:val="false"/>
          <w:color w:val="000000"/>
          <w:sz w:val="28"/>
        </w:rPr>
        <w:t>
      1. Применить антидемпинговую меру посредством введения антидемпинговой пошлины в размерах согласно </w:t>
      </w:r>
      <w:r>
        <w:rPr>
          <w:rFonts w:ascii="Times New Roman"/>
          <w:b w:val="false"/>
          <w:i w:val="false"/>
          <w:color w:val="000000"/>
          <w:sz w:val="28"/>
        </w:rPr>
        <w:t>приложению</w:t>
      </w:r>
      <w:r>
        <w:rPr>
          <w:rFonts w:ascii="Times New Roman"/>
          <w:b w:val="false"/>
          <w:i w:val="false"/>
          <w:color w:val="000000"/>
          <w:sz w:val="28"/>
        </w:rPr>
        <w:t xml:space="preserve"> в отношении ввозимых на таможенную территорию Евразийского экономического союза прутков стальных горячекатаных, имеющих одинаковое сплошное поперечное сечение по всей длине в форме кругов, в бухтах или разрезанных по заданной длине, которые могут иметь выемки, выступы, борозды или другие деформации, полученные в процессе прокатки, с дальнейшей обработкой или без нее (за исключением прутков из автоматной, быстрорежущей, инструментальной, подшипниковой и коррозионностойкой стали, кованых или после холодной деформации, полых прутков или прутков пустотелых для буровых работ), происходящих из Украины, классифицируемых кодами 7213 10 000 0, 7213 91 100 0, 7213 91 410 0, 7213 91 490 0, 7213 91 700 0, 7213 91 900 0, 7213 99 100 0, 7213 99 900 0, 7214 20 000 0, 7214 99 100 0, 7214 99 390 0, 7214 99 790 0, 7227 20 000 0, 7227 90 100 0, 7227 90 950 0, 7228 20 910 0, 7228 20 990 0, 7228 30 690 0, 7228 30 890 0 и 7228 60 800 0 ТН ВЭД ЕАЭС, установив срок действия данной антидемпинговой меры 5 лет.</w:t>
      </w:r>
      <w:r>
        <w:br/>
      </w:r>
      <w:r>
        <w:rPr>
          <w:rFonts w:ascii="Times New Roman"/>
          <w:b w:val="false"/>
          <w:i w:val="false"/>
          <w:color w:val="000000"/>
          <w:sz w:val="28"/>
        </w:rPr>
        <w:t>
</w:t>
      </w:r>
      <w:r>
        <w:rPr>
          <w:rFonts w:ascii="Times New Roman"/>
          <w:b w:val="false"/>
          <w:i w:val="false"/>
          <w:color w:val="000000"/>
          <w:sz w:val="28"/>
        </w:rPr>
        <w:t>
      2. Государственным органам государств – членов Евразийского экономического союза, уполномоченным в сфере таможенного дела, обеспечить взимание антидемпинговой пошлины, предусмотренной настоящим Решением, руководствуясь как кодами ТН ВЭД ЕАЭС, так и наименованием товара.</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Т. Саркисян</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29 марта 2016 г. № 28       </w:t>
      </w:r>
    </w:p>
    <w:bookmarkEnd w:id="1"/>
    <w:bookmarkStart w:name="z6" w:id="2"/>
    <w:p>
      <w:pPr>
        <w:spacing w:after="0"/>
        <w:ind w:left="0"/>
        <w:jc w:val="both"/>
      </w:pPr>
      <w:r>
        <w:rPr>
          <w:rFonts w:ascii="Times New Roman"/>
          <w:b w:val="false"/>
          <w:i w:val="false"/>
          <w:color w:val="000000"/>
          <w:sz w:val="28"/>
        </w:rPr>
        <w:t>
</w:t>
      </w:r>
      <w:r>
        <w:rPr>
          <w:rFonts w:ascii="Times New Roman"/>
          <w:b/>
          <w:i w:val="false"/>
          <w:color w:val="000000"/>
          <w:sz w:val="28"/>
        </w:rPr>
        <w:t>                         РАЗМЕРЫ СТАВОК</w:t>
      </w:r>
      <w:r>
        <w:br/>
      </w:r>
      <w:r>
        <w:rPr>
          <w:rFonts w:ascii="Times New Roman"/>
          <w:b w:val="false"/>
          <w:i w:val="false"/>
          <w:color w:val="000000"/>
          <w:sz w:val="28"/>
        </w:rPr>
        <w:t>
                      </w:t>
      </w:r>
      <w:r>
        <w:rPr>
          <w:rFonts w:ascii="Times New Roman"/>
          <w:b/>
          <w:i w:val="false"/>
          <w:color w:val="000000"/>
          <w:sz w:val="28"/>
        </w:rPr>
        <w:t>антидемпинговой пошлины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5"/>
        <w:gridCol w:w="6823"/>
        <w:gridCol w:w="3612"/>
      </w:tblGrid>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ставки антидемпинговой пошлины (процентов от таможенной стоимости)</w:t>
            </w:r>
          </w:p>
        </w:tc>
      </w:tr>
    </w:tbl>
    <w:tbl>
      <w:tblPr>
        <w:tblW w:w="0" w:type="auto"/>
        <w:tblCellSpacing w:w="0" w:type="auto"/>
        <w:tblBorders>
          <w:top w:val="none"/>
          <w:left w:val="none"/>
          <w:bottom w:val="none"/>
          <w:right w:val="none"/>
          <w:insideH w:val="none"/>
          <w:insideV w:val="none"/>
        </w:tblBorders>
      </w:tblPr>
      <w:tblGrid>
        <w:gridCol w:w="3562"/>
        <w:gridCol w:w="6830"/>
        <w:gridCol w:w="3608"/>
      </w:tblGrid>
      <w:tr>
        <w:trPr>
          <w:trHeight w:val="30" w:hRule="atLeast"/>
        </w:trPr>
        <w:tc>
          <w:tcPr>
            <w:tcW w:w="356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Прутки стальные горячекатаные, указанные в </w:t>
            </w:r>
            <w:r>
              <w:rPr>
                <w:rFonts w:ascii="Times New Roman"/>
                <w:b w:val="false"/>
                <w:i w:val="false"/>
                <w:color w:val="000000"/>
                <w:sz w:val="20"/>
              </w:rPr>
              <w:t>пункте 1</w:t>
            </w:r>
            <w:r>
              <w:rPr>
                <w:rFonts w:ascii="Times New Roman"/>
                <w:b w:val="false"/>
                <w:i w:val="false"/>
                <w:color w:val="000000"/>
                <w:sz w:val="20"/>
              </w:rPr>
              <w:t xml:space="preserve"> Решения Коллегии Евразийской экономической комиссии от 29 марта 2016 г. № 28</w:t>
            </w:r>
          </w:p>
        </w:tc>
        <w:tc>
          <w:tcPr>
            <w:tcW w:w="68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публичное акционерное общество «Енакиевский металлургический завод» (Украина, Донецкая область, г. Енакиево, </w:t>
            </w:r>
            <w:r>
              <w:br/>
            </w:r>
            <w:r>
              <w:rPr>
                <w:rFonts w:ascii="Times New Roman"/>
                <w:b w:val="false"/>
                <w:i w:val="false"/>
                <w:color w:val="000000"/>
                <w:sz w:val="20"/>
              </w:rPr>
              <w:t>
пр. Металлургов, 9),</w:t>
            </w:r>
            <w:r>
              <w:br/>
            </w:r>
            <w:r>
              <w:rPr>
                <w:rFonts w:ascii="Times New Roman"/>
                <w:b w:val="false"/>
                <w:i w:val="false"/>
                <w:color w:val="000000"/>
                <w:sz w:val="20"/>
              </w:rPr>
              <w:t xml:space="preserve">
макеевский филиал публичного акционерного общества «Енакиевский металлургический завод» (Украина, Донецкая область, г. Макеевка, </w:t>
            </w:r>
            <w:r>
              <w:br/>
            </w:r>
            <w:r>
              <w:rPr>
                <w:rFonts w:ascii="Times New Roman"/>
                <w:b w:val="false"/>
                <w:i w:val="false"/>
                <w:color w:val="000000"/>
                <w:sz w:val="20"/>
              </w:rPr>
              <w:t>
ул. Металлургическая, 47)</w:t>
            </w:r>
          </w:p>
          <w:p>
            <w:pPr>
              <w:spacing w:after="20"/>
              <w:ind w:left="20"/>
              <w:jc w:val="both"/>
            </w:pPr>
            <w:r>
              <w:rPr>
                <w:rFonts w:ascii="Times New Roman"/>
                <w:b w:val="false"/>
                <w:i w:val="false"/>
                <w:color w:val="000000"/>
                <w:sz w:val="20"/>
              </w:rPr>
              <w:t>публичное акционерное общество «АрселорМиттал Кривой Рог» (Украина, Днепропетровская область, г. Кривой Рог,</w:t>
            </w:r>
            <w:r>
              <w:br/>
            </w:r>
            <w:r>
              <w:rPr>
                <w:rFonts w:ascii="Times New Roman"/>
                <w:b w:val="false"/>
                <w:i w:val="false"/>
                <w:color w:val="000000"/>
                <w:sz w:val="20"/>
              </w:rPr>
              <w:t>
ул. Орджоникидзе, 1)</w:t>
            </w:r>
          </w:p>
        </w:tc>
        <w:tc>
          <w:tcPr>
            <w:tcW w:w="3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9,32</w:t>
            </w:r>
          </w:p>
        </w:tc>
      </w:tr>
      <w:tr>
        <w:trPr>
          <w:trHeight w:val="30" w:hRule="atLeast"/>
        </w:trPr>
        <w:tc>
          <w:tcPr>
            <w:tcW w:w="0" w:type="auto"/>
            <w:vMerge/>
            <w:tcBorders>
              <w:top w:val="nil"/>
            </w:tcBorders>
          </w:tcPr>
          <w:p/>
        </w:tc>
        <w:tc>
          <w:tcPr>
            <w:tcW w:w="68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3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