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7876" w14:textId="e9f7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товаров, используемых в полиграфической промышленности, и о внесении изменений некоторые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февраля 2016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Решение вступило в силу 04.03.2016 - сайт Евразийского экономического союза.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утвержденный Решением Совета Евразийской экономической комиссии от 10 декабря 2014 г. № 113, и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утвержденный Решением Совета Евразийской экономической комиссии от 14 октября 2015 г. № 59,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г. № 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2016 г. № 13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товаров и ставок, в отношении которых в</w:t>
      </w:r>
      <w:r>
        <w:br/>
      </w:r>
      <w:r>
        <w:rPr>
          <w:rFonts w:ascii="Times New Roman"/>
          <w:b/>
          <w:i w:val="false"/>
          <w:color w:val="000000"/>
        </w:rPr>
        <w:t>течение переходного периода Республикой Армения применяются</w:t>
      </w:r>
      <w:r>
        <w:br/>
      </w:r>
      <w:r>
        <w:rPr>
          <w:rFonts w:ascii="Times New Roman"/>
          <w:b/>
          <w:i w:val="false"/>
          <w:color w:val="000000"/>
        </w:rPr>
        <w:t>ставки ввозных таможенных пошлин, отличные от ставок Единого</w:t>
      </w:r>
      <w:r>
        <w:br/>
      </w:r>
      <w:r>
        <w:rPr>
          <w:rFonts w:ascii="Times New Roman"/>
          <w:b/>
          <w:i w:val="false"/>
          <w:color w:val="000000"/>
        </w:rPr>
        <w:t>таможенного тарифа Евразийского экономического союза, и в</w:t>
      </w:r>
      <w:r>
        <w:br/>
      </w:r>
      <w:r>
        <w:rPr>
          <w:rFonts w:ascii="Times New Roman"/>
          <w:b/>
          <w:i w:val="false"/>
          <w:color w:val="000000"/>
        </w:rPr>
        <w:t>перечень товаров, в отношении которых Республикой Казахстан в</w:t>
      </w:r>
      <w:r>
        <w:br/>
      </w:r>
      <w:r>
        <w:rPr>
          <w:rFonts w:ascii="Times New Roman"/>
          <w:b/>
          <w:i w:val="false"/>
          <w:color w:val="000000"/>
        </w:rPr>
        <w:t>соответствии с обязательствами, принятыми в качестве условия</w:t>
      </w:r>
      <w:r>
        <w:br/>
      </w:r>
      <w:r>
        <w:rPr>
          <w:rFonts w:ascii="Times New Roman"/>
          <w:b/>
          <w:i w:val="false"/>
          <w:color w:val="000000"/>
        </w:rPr>
        <w:t>присоединения к Всемирной торговой организации, применяются</w:t>
      </w:r>
      <w:r>
        <w:br/>
      </w:r>
      <w:r>
        <w:rPr>
          <w:rFonts w:ascii="Times New Roman"/>
          <w:b/>
          <w:i w:val="false"/>
          <w:color w:val="000000"/>
        </w:rPr>
        <w:t>ставки ввозных таможенных пошлин, более низкие по сравнению со</w:t>
      </w:r>
      <w:r>
        <w:br/>
      </w:r>
      <w:r>
        <w:rPr>
          <w:rFonts w:ascii="Times New Roman"/>
          <w:b/>
          <w:i w:val="false"/>
          <w:color w:val="000000"/>
        </w:rPr>
        <w:t>ставками пошлин Единого таможенного тарифа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союза, и размеров таких ставок пошлин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с кодами 4810 13 800 9, 4810 19 900 0, 4810 22 900 0, 4810 29 300 0 ТН ВЭД ЕАЭС в графе третьей дополнить знаком сноски "***";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сноской третьей следующего содержания: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 С даты вступления в силу Решения Коллегии Евразийской экономической комиссии от 2 февраля 2016 г. № 13 по 31 августа 2017 г. включительно применяется ставка ввозной таможенной пошлины Единого таможенного тарифа Евразийского экономического союза.".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