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8074" w14:textId="c108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введения в действие технических регламентов Таможенного союза в Кыргызской Республике</w:t>
      </w:r>
    </w:p>
    <w:p>
      <w:pPr>
        <w:spacing w:after="0"/>
        <w:ind w:left="0"/>
        <w:jc w:val="both"/>
      </w:pPr>
      <w:r>
        <w:rPr>
          <w:rFonts w:ascii="Times New Roman"/>
          <w:b w:val="false"/>
          <w:i w:val="false"/>
          <w:color w:val="000000"/>
          <w:sz w:val="28"/>
        </w:rPr>
        <w:t>Решение Коллегии Евразийской экономической комиссии от 26 января 2016 года № 11.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Решение вступило в силу 28.02.2016 - сайт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 пунктом 52 приложения № 1 к Протоколу от 8 мая 2015 года об условиях и переходных положениях по применению Кыргызской Республикой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52 Договора о Евразийском экономическом союзе от 29 мая 2014 года и </w:t>
      </w:r>
      <w:r>
        <w:rPr>
          <w:rFonts w:ascii="Times New Roman"/>
          <w:b w:val="false"/>
          <w:i w:val="false"/>
          <w:color w:val="000000"/>
          <w:sz w:val="28"/>
        </w:rPr>
        <w:t>пунктом 11</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введения в действие технических регламентов Таможенного союза в Кыргызской Республике.</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w:t>
      </w:r>
    </w:p>
    <w:bookmarkEnd w:id="2"/>
    <w:p>
      <w:pPr>
        <w:spacing w:after="0"/>
        <w:ind w:left="0"/>
        <w:jc w:val="both"/>
      </w:pPr>
      <w:r>
        <w:rPr>
          <w:rFonts w:ascii="Times New Roman"/>
          <w:b w:val="false"/>
          <w:i w:val="false"/>
          <w:color w:val="000000"/>
          <w:sz w:val="28"/>
        </w:rPr>
        <w:t>
      30 календарных дней с даты его официального опубликования и распространяется на правоотношения, возникающие с 12 февраля 2016 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января 2016 г. № 11</w:t>
            </w:r>
          </w:p>
        </w:tc>
      </w:tr>
    </w:tbl>
    <w:bookmarkStart w:name="z5" w:id="3"/>
    <w:p>
      <w:pPr>
        <w:spacing w:after="0"/>
        <w:ind w:left="0"/>
        <w:jc w:val="left"/>
      </w:pPr>
      <w:r>
        <w:rPr>
          <w:rFonts w:ascii="Times New Roman"/>
          <w:b/>
          <w:i w:val="false"/>
          <w:color w:val="000000"/>
        </w:rPr>
        <w:t xml:space="preserve"> ПОРЯДОК</w:t>
      </w:r>
      <w:r>
        <w:br/>
      </w:r>
      <w:r>
        <w:rPr>
          <w:rFonts w:ascii="Times New Roman"/>
          <w:b/>
          <w:i w:val="false"/>
          <w:color w:val="000000"/>
        </w:rPr>
        <w:t>введения в действие технических регламентов</w:t>
      </w:r>
      <w:r>
        <w:br/>
      </w:r>
      <w:r>
        <w:rPr>
          <w:rFonts w:ascii="Times New Roman"/>
          <w:b/>
          <w:i w:val="false"/>
          <w:color w:val="000000"/>
        </w:rPr>
        <w:t>Таможенного союза в Кыргызской Республике</w:t>
      </w:r>
    </w:p>
    <w:bookmarkEnd w:id="3"/>
    <w:bookmarkStart w:name="z6" w:id="4"/>
    <w:p>
      <w:pPr>
        <w:spacing w:after="0"/>
        <w:ind w:left="0"/>
        <w:jc w:val="left"/>
      </w:pPr>
      <w:r>
        <w:rPr>
          <w:rFonts w:ascii="Times New Roman"/>
          <w:b/>
          <w:i w:val="false"/>
          <w:color w:val="000000"/>
        </w:rPr>
        <w:t xml:space="preserve"> I. Технические регламенты Таможенного союза, указанные  в абзаце первом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4"/>
    <w:p>
      <w:pPr>
        <w:spacing w:after="0"/>
        <w:ind w:left="0"/>
        <w:jc w:val="both"/>
      </w:pPr>
      <w:r>
        <w:rPr>
          <w:rFonts w:ascii="Times New Roman"/>
          <w:b w:val="false"/>
          <w:i w:val="false"/>
          <w:color w:val="000000"/>
          <w:sz w:val="28"/>
        </w:rPr>
        <w:t>
      Установить следующий порядок применения для технических регламентов Таможенного союза:</w:t>
      </w:r>
    </w:p>
    <w:p>
      <w:pPr>
        <w:spacing w:after="0"/>
        <w:ind w:left="0"/>
        <w:jc w:val="both"/>
      </w:pPr>
      <w:r>
        <w:rPr>
          <w:rFonts w:ascii="Times New Roman"/>
          <w:b w:val="false"/>
          <w:i w:val="false"/>
          <w:color w:val="000000"/>
          <w:sz w:val="28"/>
        </w:rPr>
        <w:t xml:space="preserve">
      "О безопасности высокоскоростного железнодорожного транспорта" (ТР ТС 002/2011),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710;</w:t>
      </w:r>
    </w:p>
    <w:p>
      <w:pPr>
        <w:spacing w:after="0"/>
        <w:ind w:left="0"/>
        <w:jc w:val="both"/>
      </w:pPr>
      <w:r>
        <w:rPr>
          <w:rFonts w:ascii="Times New Roman"/>
          <w:b w:val="false"/>
          <w:i w:val="false"/>
          <w:color w:val="000000"/>
          <w:sz w:val="28"/>
        </w:rPr>
        <w:t xml:space="preserve">
      "О безопасности низковольтного оборудования" (ТР ТС 004/2011),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768;</w:t>
      </w:r>
    </w:p>
    <w:p>
      <w:pPr>
        <w:spacing w:after="0"/>
        <w:ind w:left="0"/>
        <w:jc w:val="both"/>
      </w:pPr>
      <w:r>
        <w:rPr>
          <w:rFonts w:ascii="Times New Roman"/>
          <w:b w:val="false"/>
          <w:i w:val="false"/>
          <w:color w:val="000000"/>
          <w:sz w:val="28"/>
        </w:rPr>
        <w:t xml:space="preserve">
      "О безопасности парфюмерно-косметической продукции" (ТР ТС 009/2011),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 № 799;</w:t>
      </w:r>
    </w:p>
    <w:p>
      <w:pPr>
        <w:spacing w:after="0"/>
        <w:ind w:left="0"/>
        <w:jc w:val="both"/>
      </w:pPr>
      <w:r>
        <w:rPr>
          <w:rFonts w:ascii="Times New Roman"/>
          <w:b w:val="false"/>
          <w:i w:val="false"/>
          <w:color w:val="000000"/>
          <w:sz w:val="28"/>
        </w:rPr>
        <w:t xml:space="preserve">
      "Безопасность автомобильных дорог" (ТР ТС 014/2011),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827;</w:t>
      </w:r>
    </w:p>
    <w:p>
      <w:pPr>
        <w:spacing w:after="0"/>
        <w:ind w:left="0"/>
        <w:jc w:val="both"/>
      </w:pPr>
      <w:r>
        <w:rPr>
          <w:rFonts w:ascii="Times New Roman"/>
          <w:b w:val="false"/>
          <w:i w:val="false"/>
          <w:color w:val="000000"/>
          <w:sz w:val="28"/>
        </w:rPr>
        <w:t xml:space="preserve">
      "О безопасности зерна" (ТР ТС 015/2011),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874;</w:t>
      </w:r>
    </w:p>
    <w:p>
      <w:pPr>
        <w:spacing w:after="0"/>
        <w:ind w:left="0"/>
        <w:jc w:val="both"/>
      </w:pPr>
      <w:r>
        <w:rPr>
          <w:rFonts w:ascii="Times New Roman"/>
          <w:b w:val="false"/>
          <w:i w:val="false"/>
          <w:color w:val="000000"/>
          <w:sz w:val="28"/>
        </w:rPr>
        <w:t xml:space="preserve">
      "О безопасности аппаратов, работающих на газообразном топливе" (ТР ТС 016/2011),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875;</w:t>
      </w:r>
    </w:p>
    <w:p>
      <w:pPr>
        <w:spacing w:after="0"/>
        <w:ind w:left="0"/>
        <w:jc w:val="both"/>
      </w:pPr>
      <w:r>
        <w:rPr>
          <w:rFonts w:ascii="Times New Roman"/>
          <w:b w:val="false"/>
          <w:i w:val="false"/>
          <w:color w:val="000000"/>
          <w:sz w:val="28"/>
        </w:rPr>
        <w:t xml:space="preserve">
      "О безопасности колесных транспортных средств" (ТР ТС 018/2011),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877;</w:t>
      </w:r>
    </w:p>
    <w:p>
      <w:pPr>
        <w:spacing w:after="0"/>
        <w:ind w:left="0"/>
        <w:jc w:val="both"/>
      </w:pPr>
      <w:r>
        <w:rPr>
          <w:rFonts w:ascii="Times New Roman"/>
          <w:b w:val="false"/>
          <w:i w:val="false"/>
          <w:color w:val="000000"/>
          <w:sz w:val="28"/>
        </w:rPr>
        <w:t xml:space="preserve">
      "О безопасности средств индивидуальной защиты" (ТР ТС 019/2011),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878;</w:t>
      </w:r>
    </w:p>
    <w:p>
      <w:pPr>
        <w:spacing w:after="0"/>
        <w:ind w:left="0"/>
        <w:jc w:val="both"/>
      </w:pPr>
      <w:r>
        <w:rPr>
          <w:rFonts w:ascii="Times New Roman"/>
          <w:b w:val="false"/>
          <w:i w:val="false"/>
          <w:color w:val="000000"/>
          <w:sz w:val="28"/>
        </w:rPr>
        <w:t xml:space="preserve">
      "Электромагнитная совместимость технических средств" (ТР ТС 020/2011),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879;</w:t>
      </w:r>
    </w:p>
    <w:p>
      <w:pPr>
        <w:spacing w:after="0"/>
        <w:ind w:left="0"/>
        <w:jc w:val="both"/>
      </w:pPr>
      <w:r>
        <w:rPr>
          <w:rFonts w:ascii="Times New Roman"/>
          <w:b w:val="false"/>
          <w:i w:val="false"/>
          <w:color w:val="000000"/>
          <w:sz w:val="28"/>
        </w:rPr>
        <w:t xml:space="preserve">
      "О безопасности маломерных судов" (ТР ТС 026/2012),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33;</w:t>
      </w:r>
    </w:p>
    <w:p>
      <w:pPr>
        <w:spacing w:after="0"/>
        <w:ind w:left="0"/>
        <w:jc w:val="both"/>
      </w:pPr>
      <w:r>
        <w:rPr>
          <w:rFonts w:ascii="Times New Roman"/>
          <w:b w:val="false"/>
          <w:i w:val="false"/>
          <w:color w:val="000000"/>
          <w:sz w:val="28"/>
        </w:rPr>
        <w:t xml:space="preserve">
      "О требованиях к смазочным материалам, маслам и специальным жидкостям" (ТР ТС 030/2012),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59;</w:t>
      </w:r>
    </w:p>
    <w:p>
      <w:pPr>
        <w:spacing w:after="0"/>
        <w:ind w:left="0"/>
        <w:jc w:val="both"/>
      </w:pPr>
      <w:r>
        <w:rPr>
          <w:rFonts w:ascii="Times New Roman"/>
          <w:b w:val="false"/>
          <w:i w:val="false"/>
          <w:color w:val="000000"/>
          <w:sz w:val="28"/>
        </w:rPr>
        <w:t xml:space="preserve">
      "О безопасности оборудования, работающего под избыточным давлением" (ТР ТС 032/2013),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 июля 2013 г. № 41:</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указанных технических регламентов Таможенного союза, до 12 февраля 2016 г., действительны до окончания срока их действия, но не позднее 12 февраля 2018 г.</w:t>
      </w:r>
    </w:p>
    <w:p>
      <w:pPr>
        <w:spacing w:after="0"/>
        <w:ind w:left="0"/>
        <w:jc w:val="both"/>
      </w:pPr>
      <w:r>
        <w:rPr>
          <w:rFonts w:ascii="Times New Roman"/>
          <w:b w:val="false"/>
          <w:i w:val="false"/>
          <w:color w:val="000000"/>
          <w:sz w:val="28"/>
        </w:rPr>
        <w:t>
      С 12 февраля 2016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февраля 2018 г. допускаются производство и выпуск в обращение продукции, являющейся объектом технического регулирования указанных технических регламентов, в соответствии с обязательными требованиями, установленными законодательством Кыргызской Республики, при наличии документов об оценке соответствия, указанных в абзаце четырнадцатом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февраля 2017 г. допускаются производство и выпуск в обращение на территории Кыргызской Республики продукции, являющейся объектом технического регулирования указанных технических регламентов, не подлежавшей до 12 февраля 2016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четырнадцатом настоящего раздела, а также продукции, указанной в абзаце восемнадцатом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bookmarkStart w:name="z7" w:id="5"/>
    <w:p>
      <w:pPr>
        <w:spacing w:after="0"/>
        <w:ind w:left="0"/>
        <w:jc w:val="left"/>
      </w:pPr>
      <w:r>
        <w:rPr>
          <w:rFonts w:ascii="Times New Roman"/>
          <w:b/>
          <w:i w:val="false"/>
          <w:color w:val="000000"/>
        </w:rPr>
        <w:t xml:space="preserve"> II. Технические регламенты Таможенного союза, указанные  в абзацах третьем – пятом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5"/>
    <w:p>
      <w:pPr>
        <w:spacing w:after="0"/>
        <w:ind w:left="0"/>
        <w:jc w:val="both"/>
      </w:pPr>
      <w:r>
        <w:rPr>
          <w:rFonts w:ascii="Times New Roman"/>
          <w:b w:val="false"/>
          <w:i w:val="false"/>
          <w:color w:val="000000"/>
          <w:sz w:val="28"/>
        </w:rPr>
        <w:t>
      Установить следующий порядок применения для технических регламентов Таможенного союза:</w:t>
      </w:r>
    </w:p>
    <w:p>
      <w:pPr>
        <w:spacing w:after="0"/>
        <w:ind w:left="0"/>
        <w:jc w:val="both"/>
      </w:pPr>
      <w:r>
        <w:rPr>
          <w:rFonts w:ascii="Times New Roman"/>
          <w:b w:val="false"/>
          <w:i w:val="false"/>
          <w:color w:val="000000"/>
          <w:sz w:val="28"/>
        </w:rPr>
        <w:t xml:space="preserve">
      "О безопасности машин и оборудования" (ТР ТС 010/2011),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823;</w:t>
      </w:r>
    </w:p>
    <w:p>
      <w:pPr>
        <w:spacing w:after="0"/>
        <w:ind w:left="0"/>
        <w:jc w:val="both"/>
      </w:pPr>
      <w:r>
        <w:rPr>
          <w:rFonts w:ascii="Times New Roman"/>
          <w:b w:val="false"/>
          <w:i w:val="false"/>
          <w:color w:val="000000"/>
          <w:sz w:val="28"/>
        </w:rPr>
        <w:t xml:space="preserve">
      "О безопасности оборудования для работы во взрывоопасных средах" (ТР ТС 012/2011),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825;</w:t>
      </w:r>
    </w:p>
    <w:p>
      <w:pPr>
        <w:spacing w:after="0"/>
        <w:ind w:left="0"/>
        <w:jc w:val="both"/>
      </w:pPr>
      <w:r>
        <w:rPr>
          <w:rFonts w:ascii="Times New Roman"/>
          <w:b w:val="false"/>
          <w:i w:val="false"/>
          <w:color w:val="000000"/>
          <w:sz w:val="28"/>
        </w:rPr>
        <w:t xml:space="preserve">
      "О безопасности сельскохозяйственных и лесохозяйственных тракторов и прицепов к ним" (ТР ТС 031/2012),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60:</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указанных технических регламентов Таможенного союза, до 12 августа 2016 г., действительны до окончания срока их действия, но не позднее 12 августа 2018 г.</w:t>
      </w:r>
    </w:p>
    <w:p>
      <w:pPr>
        <w:spacing w:after="0"/>
        <w:ind w:left="0"/>
        <w:jc w:val="both"/>
      </w:pPr>
      <w:r>
        <w:rPr>
          <w:rFonts w:ascii="Times New Roman"/>
          <w:b w:val="false"/>
          <w:i w:val="false"/>
          <w:color w:val="000000"/>
          <w:sz w:val="28"/>
        </w:rPr>
        <w:t>
      С 12 августа 2016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августа 2018 г. допускаются производство и выпуск в обращение продукции, являющейся объектом технического регулирования указанных технических регламентов, в соответствии с обязательными требованиями, установленными законодательством Кыргызской Республики, при наличии документов об оценке соответствия, указанных в абзаце пятом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августа 2017 г. допускаются производство и выпуск в обращение на территории Кыргызской Республики продукции, являющейся объектом технического регулирования указанных технических регламентов, не подлежавшей до 12 августа 2016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пятом настоящего раздела, а также продукции, указанной в абзаце девятом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bookmarkStart w:name="z8" w:id="6"/>
    <w:p>
      <w:pPr>
        <w:spacing w:after="0"/>
        <w:ind w:left="0"/>
        <w:jc w:val="left"/>
      </w:pPr>
      <w:r>
        <w:rPr>
          <w:rFonts w:ascii="Times New Roman"/>
          <w:b/>
          <w:i w:val="false"/>
          <w:color w:val="000000"/>
        </w:rPr>
        <w:t xml:space="preserve"> III. Технические регламенты Таможенного союза, указанные  в абзацах седьмом – двадцать четвертом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6"/>
    <w:p>
      <w:pPr>
        <w:spacing w:after="0"/>
        <w:ind w:left="0"/>
        <w:jc w:val="both"/>
      </w:pPr>
      <w:r>
        <w:rPr>
          <w:rFonts w:ascii="Times New Roman"/>
          <w:b w:val="false"/>
          <w:i w:val="false"/>
          <w:color w:val="ff0000"/>
          <w:sz w:val="28"/>
        </w:rPr>
        <w:t xml:space="preserve">
      Сноска. Раздел III с изменениями, внесенными решением Коллегии Евразийской экономической комиссии от 16.07.2019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Установить следующий порядок применения для технических регламентов Таможенного союза:</w:t>
      </w:r>
    </w:p>
    <w:p>
      <w:pPr>
        <w:spacing w:after="0"/>
        <w:ind w:left="0"/>
        <w:jc w:val="both"/>
      </w:pPr>
      <w:r>
        <w:rPr>
          <w:rFonts w:ascii="Times New Roman"/>
          <w:b w:val="false"/>
          <w:i w:val="false"/>
          <w:color w:val="000000"/>
          <w:sz w:val="28"/>
        </w:rPr>
        <w:t xml:space="preserve">
      "О безопасности железнодорожного подвижного состава" (ТР ТС 001/2011), "О безопасности инфраструктуры железнодорожного транспорта" (ТР ТС 003/2011), принятых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710;</w:t>
      </w:r>
    </w:p>
    <w:p>
      <w:pPr>
        <w:spacing w:after="0"/>
        <w:ind w:left="0"/>
        <w:jc w:val="both"/>
      </w:pPr>
      <w:r>
        <w:rPr>
          <w:rFonts w:ascii="Times New Roman"/>
          <w:b w:val="false"/>
          <w:i w:val="false"/>
          <w:color w:val="000000"/>
          <w:sz w:val="28"/>
        </w:rPr>
        <w:t xml:space="preserve">
      "О безопасности упаковки" (ТР ТС 005/2011),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769;</w:t>
      </w:r>
    </w:p>
    <w:p>
      <w:pPr>
        <w:spacing w:after="0"/>
        <w:ind w:left="0"/>
        <w:jc w:val="both"/>
      </w:pPr>
      <w:r>
        <w:rPr>
          <w:rFonts w:ascii="Times New Roman"/>
          <w:b w:val="false"/>
          <w:i w:val="false"/>
          <w:color w:val="000000"/>
          <w:sz w:val="28"/>
        </w:rPr>
        <w:t xml:space="preserve">
      "О безопасности пиротехнических изделий" (ТР ТС 006/2011),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770;</w:t>
      </w:r>
    </w:p>
    <w:p>
      <w:pPr>
        <w:spacing w:after="0"/>
        <w:ind w:left="0"/>
        <w:jc w:val="both"/>
      </w:pPr>
      <w:r>
        <w:rPr>
          <w:rFonts w:ascii="Times New Roman"/>
          <w:b w:val="false"/>
          <w:i w:val="false"/>
          <w:color w:val="000000"/>
          <w:sz w:val="28"/>
        </w:rPr>
        <w:t xml:space="preserve">
      "О безопасности продукции, предназначенной для детей и подростков" (ТР ТС 007/2011),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 № 797; </w:t>
      </w:r>
    </w:p>
    <w:p>
      <w:pPr>
        <w:spacing w:after="0"/>
        <w:ind w:left="0"/>
        <w:jc w:val="both"/>
      </w:pPr>
      <w:r>
        <w:rPr>
          <w:rFonts w:ascii="Times New Roman"/>
          <w:b w:val="false"/>
          <w:i w:val="false"/>
          <w:color w:val="000000"/>
          <w:sz w:val="28"/>
        </w:rPr>
        <w:t xml:space="preserve">
      "О безопасности игрушек" (ТР ТС 008/2011),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 № 798;</w:t>
      </w:r>
    </w:p>
    <w:p>
      <w:pPr>
        <w:spacing w:after="0"/>
        <w:ind w:left="0"/>
        <w:jc w:val="both"/>
      </w:pPr>
      <w:r>
        <w:rPr>
          <w:rFonts w:ascii="Times New Roman"/>
          <w:b w:val="false"/>
          <w:i w:val="false"/>
          <w:color w:val="000000"/>
          <w:sz w:val="28"/>
        </w:rPr>
        <w:t xml:space="preserve">
      "Безопасность лифтов" (ТР ТС 011/2011),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824;</w:t>
      </w:r>
    </w:p>
    <w:p>
      <w:pPr>
        <w:spacing w:after="0"/>
        <w:ind w:left="0"/>
        <w:jc w:val="both"/>
      </w:pPr>
      <w:r>
        <w:rPr>
          <w:rFonts w:ascii="Times New Roman"/>
          <w:b w:val="false"/>
          <w:i w:val="false"/>
          <w:color w:val="000000"/>
          <w:sz w:val="28"/>
        </w:rPr>
        <w:t xml:space="preserve">
      "О безопасности продукции легкой промышленности" (ТР ТС 017/2011),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876;</w:t>
      </w:r>
    </w:p>
    <w:p>
      <w:pPr>
        <w:spacing w:after="0"/>
        <w:ind w:left="0"/>
        <w:jc w:val="both"/>
      </w:pPr>
      <w:r>
        <w:rPr>
          <w:rFonts w:ascii="Times New Roman"/>
          <w:b w:val="false"/>
          <w:i w:val="false"/>
          <w:color w:val="000000"/>
          <w:sz w:val="28"/>
        </w:rPr>
        <w:t xml:space="preserve">
      "О безопасности пищевой продукции" (ТР ТС 021/2011),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880;</w:t>
      </w:r>
    </w:p>
    <w:p>
      <w:pPr>
        <w:spacing w:after="0"/>
        <w:ind w:left="0"/>
        <w:jc w:val="both"/>
      </w:pPr>
      <w:r>
        <w:rPr>
          <w:rFonts w:ascii="Times New Roman"/>
          <w:b w:val="false"/>
          <w:i w:val="false"/>
          <w:color w:val="000000"/>
          <w:sz w:val="28"/>
        </w:rPr>
        <w:t xml:space="preserve">
      "Пищевая продукция в части ее маркировки" (ТР ТС 022/2011),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881; </w:t>
      </w:r>
    </w:p>
    <w:p>
      <w:pPr>
        <w:spacing w:after="0"/>
        <w:ind w:left="0"/>
        <w:jc w:val="both"/>
      </w:pPr>
      <w:r>
        <w:rPr>
          <w:rFonts w:ascii="Times New Roman"/>
          <w:b w:val="false"/>
          <w:i w:val="false"/>
          <w:color w:val="000000"/>
          <w:sz w:val="28"/>
        </w:rPr>
        <w:t xml:space="preserve">
      "Технический регламент на соковую продукцию из фруктов и овощей" (ТР ТС 023/2011),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882;</w:t>
      </w:r>
    </w:p>
    <w:p>
      <w:pPr>
        <w:spacing w:after="0"/>
        <w:ind w:left="0"/>
        <w:jc w:val="both"/>
      </w:pPr>
      <w:r>
        <w:rPr>
          <w:rFonts w:ascii="Times New Roman"/>
          <w:b w:val="false"/>
          <w:i w:val="false"/>
          <w:color w:val="000000"/>
          <w:sz w:val="28"/>
        </w:rPr>
        <w:t xml:space="preserve">
      "Технический регламент на масложировую продукцию" (ТР ТС 024/2011),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883; </w:t>
      </w:r>
    </w:p>
    <w:p>
      <w:pPr>
        <w:spacing w:after="0"/>
        <w:ind w:left="0"/>
        <w:jc w:val="both"/>
      </w:pPr>
      <w:r>
        <w:rPr>
          <w:rFonts w:ascii="Times New Roman"/>
          <w:b w:val="false"/>
          <w:i w:val="false"/>
          <w:color w:val="000000"/>
          <w:sz w:val="28"/>
        </w:rPr>
        <w:t xml:space="preserve">
      "О безопасности мебельной продукции" (ТР ТС 025/2012),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32;</w:t>
      </w:r>
    </w:p>
    <w:p>
      <w:pPr>
        <w:spacing w:after="0"/>
        <w:ind w:left="0"/>
        <w:jc w:val="both"/>
      </w:pPr>
      <w:r>
        <w:rPr>
          <w:rFonts w:ascii="Times New Roman"/>
          <w:b w:val="false"/>
          <w:i w:val="false"/>
          <w:color w:val="000000"/>
          <w:sz w:val="28"/>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15 июня 2012 г. № 34;</w:t>
      </w:r>
    </w:p>
    <w:p>
      <w:pPr>
        <w:spacing w:after="0"/>
        <w:ind w:left="0"/>
        <w:jc w:val="both"/>
      </w:pPr>
      <w:r>
        <w:rPr>
          <w:rFonts w:ascii="Times New Roman"/>
          <w:b w:val="false"/>
          <w:i w:val="false"/>
          <w:color w:val="000000"/>
          <w:sz w:val="28"/>
        </w:rPr>
        <w:t xml:space="preserve">
      "О безопасности взрывчатых веществ и изделий на их основе" (ТР ТС 028/2012),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57;</w:t>
      </w:r>
    </w:p>
    <w:p>
      <w:pPr>
        <w:spacing w:after="0"/>
        <w:ind w:left="0"/>
        <w:jc w:val="both"/>
      </w:pPr>
      <w:r>
        <w:rPr>
          <w:rFonts w:ascii="Times New Roman"/>
          <w:b w:val="false"/>
          <w:i w:val="false"/>
          <w:color w:val="000000"/>
          <w:sz w:val="28"/>
        </w:rPr>
        <w:t xml:space="preserve">
      "Требования безопасности пищевых добавок, ароматизаторов и технологических вспомогательных средств" (ТР ТС 029/2012),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 № 58; </w:t>
      </w:r>
    </w:p>
    <w:p>
      <w:pPr>
        <w:spacing w:after="0"/>
        <w:ind w:left="0"/>
        <w:jc w:val="both"/>
      </w:pPr>
      <w:r>
        <w:rPr>
          <w:rFonts w:ascii="Times New Roman"/>
          <w:b w:val="false"/>
          <w:i w:val="false"/>
          <w:color w:val="000000"/>
          <w:sz w:val="28"/>
        </w:rPr>
        <w:t xml:space="preserve">
       "О безопасности мяса и мясной продукции" (ТР ТС 034/2013),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w:t>
      </w:r>
    </w:p>
    <w:p>
      <w:pPr>
        <w:spacing w:after="0"/>
        <w:ind w:left="0"/>
        <w:jc w:val="both"/>
      </w:pPr>
      <w:r>
        <w:rPr>
          <w:rFonts w:ascii="Times New Roman"/>
          <w:b w:val="false"/>
          <w:i w:val="false"/>
          <w:color w:val="000000"/>
          <w:sz w:val="28"/>
        </w:rPr>
        <w:t>
      от 9 октября 2013 г. № 68:</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указанных технических регламентов Таможенного союза, до 12 августа 2017 г., действительны до окончания срока их действия, но не позднее 12 августа 2019 г.</w:t>
      </w:r>
    </w:p>
    <w:p>
      <w:pPr>
        <w:spacing w:after="0"/>
        <w:ind w:left="0"/>
        <w:jc w:val="both"/>
      </w:pPr>
      <w:r>
        <w:rPr>
          <w:rFonts w:ascii="Times New Roman"/>
          <w:b w:val="false"/>
          <w:i w:val="false"/>
          <w:color w:val="000000"/>
          <w:sz w:val="28"/>
        </w:rPr>
        <w:t>
      С 12 августа 2017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августа 2019 г. допускаются производство и выпуск в обращение продукции, являющейся объектом технического регулирования указанных технических регламентов Таможенного союза, в соответствии с обязательными требованиями, установленными законодательством Кыргызской Республики, при наличии документов об оценке соответствия продукции, указанных в абзаце девятнадцатом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августа 2018 г. допускаются производство и выпуск в обращение на территории Кыргызской Республики продукции, являющейся объектом технического регулирования указанных технических регламентов, не подлежавшей до 12 августа 2017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девятнадцатом настоящего раздела, а также продукции, указанной в абзаце двадцать третьем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объектов и элементов инфраструктуры железнодорожного транспорта, являющихся объектами технического регулирования технического регламента Таможенного союза "О безопасности инфраструктуры железнодорожного транспорта" (ТР ТС 003/2011) (далее в настоящем разделе – объекты и элементы инфраструктуры железнодорожного транспорта), до 12 августа 2017 г., действительны до окончания срока их действия, но не позднее 12 августа 2019 г.</w:t>
      </w:r>
    </w:p>
    <w:p>
      <w:pPr>
        <w:spacing w:after="0"/>
        <w:ind w:left="0"/>
        <w:jc w:val="both"/>
      </w:pPr>
      <w:r>
        <w:rPr>
          <w:rFonts w:ascii="Times New Roman"/>
          <w:b w:val="false"/>
          <w:i w:val="false"/>
          <w:color w:val="000000"/>
          <w:sz w:val="28"/>
        </w:rPr>
        <w:t>
      Объекты и элементы инфраструктуры железнодорожного транспорта маркируются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С 12 августа 2017 г. выдача или принятие документов об оценке соответствия объектов и элементов инфраструктуры железнодорожного транспорта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12 августа 2019 г. допускается ввод в эксплуатацию объектов и элементов инфраструктуры железнодорожного транспорта в соответствии с обязательными требованиями, установленными законодательством Кыргызской Республики, при наличии документов об оценке соответствия объектов и элементов инфраструктуры железнодорожного транспорта.</w:t>
      </w:r>
    </w:p>
    <w:bookmarkStart w:name="z10" w:id="7"/>
    <w:p>
      <w:pPr>
        <w:spacing w:after="0"/>
        <w:ind w:left="0"/>
        <w:jc w:val="both"/>
      </w:pPr>
      <w:r>
        <w:rPr>
          <w:rFonts w:ascii="Times New Roman"/>
          <w:b w:val="false"/>
          <w:i w:val="false"/>
          <w:color w:val="000000"/>
          <w:sz w:val="28"/>
        </w:rPr>
        <w:t xml:space="preserve">
      "О безопасности молока и молочной продукции" (ТР ТС 033/2013), принятого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 № 67: </w:t>
      </w:r>
    </w:p>
    <w:bookmarkEnd w:id="7"/>
    <w:bookmarkStart w:name="z11" w:id="8"/>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молока и молочной продукции" (ТР ТС 033/2013) (далее – молочная продукция), до 12 августа 2017 г., действительны до окончания срока их действия, но не позднее 12 августа 2022 г.</w:t>
      </w:r>
    </w:p>
    <w:bookmarkEnd w:id="8"/>
    <w:bookmarkStart w:name="z12" w:id="9"/>
    <w:p>
      <w:pPr>
        <w:spacing w:after="0"/>
        <w:ind w:left="0"/>
        <w:jc w:val="both"/>
      </w:pPr>
      <w:r>
        <w:rPr>
          <w:rFonts w:ascii="Times New Roman"/>
          <w:b w:val="false"/>
          <w:i w:val="false"/>
          <w:color w:val="000000"/>
          <w:sz w:val="28"/>
        </w:rPr>
        <w:t>
      С 12 августа 2017 г. выдача или принятие документов об оценке соответствия молочной продукции обязательным требованиям, ранее установленным законодательством Кыргызской Республики, не допускается;</w:t>
      </w:r>
    </w:p>
    <w:bookmarkEnd w:id="9"/>
    <w:bookmarkStart w:name="z13" w:id="10"/>
    <w:p>
      <w:pPr>
        <w:spacing w:after="0"/>
        <w:ind w:left="0"/>
        <w:jc w:val="both"/>
      </w:pPr>
      <w:r>
        <w:rPr>
          <w:rFonts w:ascii="Times New Roman"/>
          <w:b w:val="false"/>
          <w:i w:val="false"/>
          <w:color w:val="000000"/>
          <w:sz w:val="28"/>
        </w:rPr>
        <w:t>
      до 12 августа 2022 г. допускаются производство и выпуск в обращение молочной продукции в соответствии с обязательными требованиями, установленными законодательством Кыргызской Республики, при наличии документов об оценке соответствия молочной продукции, указанных в абзаце двадцать девятом настоящего раздела.</w:t>
      </w:r>
    </w:p>
    <w:bookmarkEnd w:id="10"/>
    <w:bookmarkStart w:name="z14" w:id="11"/>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bookmarkEnd w:id="11"/>
    <w:bookmarkStart w:name="z15" w:id="12"/>
    <w:p>
      <w:pPr>
        <w:spacing w:after="0"/>
        <w:ind w:left="0"/>
        <w:jc w:val="both"/>
      </w:pPr>
      <w:r>
        <w:rPr>
          <w:rFonts w:ascii="Times New Roman"/>
          <w:b w:val="false"/>
          <w:i w:val="false"/>
          <w:color w:val="000000"/>
          <w:sz w:val="28"/>
        </w:rPr>
        <w:t>
      до 12 августа 2018 г. допускаются производство и выпуск в обращение на территории Кыргызской Республики молочной продукции, не подлежавшей до 12 августа 2017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bookmarkEnd w:id="12"/>
    <w:bookmarkStart w:name="z16" w:id="13"/>
    <w:p>
      <w:pPr>
        <w:spacing w:after="0"/>
        <w:ind w:left="0"/>
        <w:jc w:val="both"/>
      </w:pPr>
      <w:r>
        <w:rPr>
          <w:rFonts w:ascii="Times New Roman"/>
          <w:b w:val="false"/>
          <w:i w:val="false"/>
          <w:color w:val="000000"/>
          <w:sz w:val="28"/>
        </w:rPr>
        <w:t>
      обращение молочной продукции, выпущенной в обращение в период действия документов об оценке соответствия, указанных в абзаце двадцать девятом настоящего раздела, а также молочной продукции, указанной в абзаце тридцать третьем настоящего раздела, допускается в течение срока годности продукции, установленного в соответствии с законодательством Кыргызской Республики.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комиссии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Технический регламент Таможенного союза, указанный  в абзаце двадцать шестом пункта 50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ff0000"/>
          <w:sz w:val="28"/>
        </w:rPr>
        <w:t xml:space="preserve">
      Сноска. Раздел IV с изменениями, внесенными решениями Коллегии Евразийской экономической комиссии от 06.08.2019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29.06.2021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 апреля 2023 года </w:t>
      </w:r>
      <w:r>
        <w:rPr>
          <w:rFonts w:ascii="Times New Roman"/>
          <w:b w:val="false"/>
          <w:i w:val="false"/>
          <w:color w:val="ff0000"/>
          <w:sz w:val="28"/>
        </w:rPr>
        <w:t>№ 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23.09.2025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12.08.2025).</w:t>
      </w:r>
    </w:p>
    <w:p>
      <w:pPr>
        <w:spacing w:after="0"/>
        <w:ind w:left="0"/>
        <w:jc w:val="both"/>
      </w:pPr>
      <w:r>
        <w:rPr>
          <w:rFonts w:ascii="Times New Roman"/>
          <w:b w:val="false"/>
          <w:i w:val="false"/>
          <w:color w:val="000000"/>
          <w:sz w:val="28"/>
        </w:rPr>
        <w:t xml:space="preserve">
      Установить для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 № 826 (далее в настоящем разделе – технический регламент), следующий порядок применения:</w:t>
      </w:r>
    </w:p>
    <w:p>
      <w:pPr>
        <w:spacing w:after="0"/>
        <w:ind w:left="0"/>
        <w:jc w:val="both"/>
      </w:pPr>
      <w:r>
        <w:rPr>
          <w:rFonts w:ascii="Times New Roman"/>
          <w:b w:val="false"/>
          <w:i w:val="false"/>
          <w:color w:val="000000"/>
          <w:sz w:val="28"/>
        </w:rPr>
        <w:t>
      документы об оценке соответствия обязательным требованиям, установленным законодательством Кыргызской Республики, выданные или принятые в отношении продукции, являющейся объектом технического регулирования технического регламента, до 12 августа 2027 г., действительны до окончания срока их действия, но не позднее 1 января 2029 г.</w:t>
      </w:r>
    </w:p>
    <w:p>
      <w:pPr>
        <w:spacing w:after="0"/>
        <w:ind w:left="0"/>
        <w:jc w:val="both"/>
      </w:pPr>
      <w:r>
        <w:rPr>
          <w:rFonts w:ascii="Times New Roman"/>
          <w:b w:val="false"/>
          <w:i w:val="false"/>
          <w:color w:val="000000"/>
          <w:sz w:val="28"/>
        </w:rPr>
        <w:t>
      С 12 августа 2027 г. выдача или принятие документов об оценке соответствия продукции обязательным требованиям, ранее установленным законодательством Кыргызской Республики, не допускается;</w:t>
      </w:r>
    </w:p>
    <w:p>
      <w:pPr>
        <w:spacing w:after="0"/>
        <w:ind w:left="0"/>
        <w:jc w:val="both"/>
      </w:pPr>
      <w:r>
        <w:rPr>
          <w:rFonts w:ascii="Times New Roman"/>
          <w:b w:val="false"/>
          <w:i w:val="false"/>
          <w:color w:val="000000"/>
          <w:sz w:val="28"/>
        </w:rPr>
        <w:t>
      до 1 января 2029 г. допускаются производство и выпуск в обращение продукции, являющейся объектом технического регулирования технического регламента, в соответствии с обязательными требованиями, установленными законодательством Кыргызской Республики, при наличии документов об оценке соответствия продукции, указанных в абзаце втором настоящего раздела.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Кыргызской Республики. Маркировка такой продукции единым знаком обращения продукции на рынке государств – членов Евразийского экономического союза не допускается;</w:t>
      </w:r>
    </w:p>
    <w:p>
      <w:pPr>
        <w:spacing w:after="0"/>
        <w:ind w:left="0"/>
        <w:jc w:val="both"/>
      </w:pPr>
      <w:r>
        <w:rPr>
          <w:rFonts w:ascii="Times New Roman"/>
          <w:b w:val="false"/>
          <w:i w:val="false"/>
          <w:color w:val="000000"/>
          <w:sz w:val="28"/>
        </w:rPr>
        <w:t>
      до 12 августа 2028 г. допускаются производство и выпуск в обращение на территории Кыргызской Республики продукции, являющейся объектом технического регулирования технического регламента, не подлежавшей до 12 августа 2027 г. обязательной оценке соответствия обязательным требованиям, установленным законодательством Кыргызской Республики, без документов об обязательной оценке соответствия и без маркировки национальным знаком соответствия;</w:t>
      </w:r>
    </w:p>
    <w:p>
      <w:pPr>
        <w:spacing w:after="0"/>
        <w:ind w:left="0"/>
        <w:jc w:val="both"/>
      </w:pPr>
      <w:r>
        <w:rPr>
          <w:rFonts w:ascii="Times New Roman"/>
          <w:b w:val="false"/>
          <w:i w:val="false"/>
          <w:color w:val="000000"/>
          <w:sz w:val="28"/>
        </w:rPr>
        <w:t>
      обращение продукции, выпущенной в обращение в период действия документов об оценке соответствия, указанных в абзаце втором настоящего раздела, а также продукции, указанной в абзаце шестом настоящего раздела, допускается в течение срока годности (срока службы) продукции, установленного в соответствии с законодательством Кыргызской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