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f270" w14:textId="b3df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по совместной разработке специализированных средств криптографической защиты информации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26 декабря 2016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поддержания надлежащего уровня защиты информации при развитии электронных форм взаимодействия между уполномоченными органами, хозяйствующими субъектами и физическими лицами государств – членов Евразийского экономического союза (далее государства-члены):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(далее – Комиссия):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уполномоченными органами и организациями государств-членов, указанными в пункте 2 настоящего распоряжения, обеспечить разработку и реализацию в 2017 - 2025 годах проекта по совместной разработке специализированных средств криптографической защиты информации Евразийского экономического союза, предназначенных для обеспечения взаимодействия доверенных третьих сторон и национальных интеграционных шлюзов (далее – проект);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финансовое обеспечение проекта за счет средств, предусматриваемых Комиссией в бюджете Евразийского экономического союза на соответствующий финансовый год, в рамках работ на создание, обеспечение функционирования и развитие интегрированной информационной системы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распоряжением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 качестве ответственных за реализацию проекта в государствах-членах: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Службу национальной безопасности Республики Армения;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Оперативно-аналитический центр при Президенте Республики Беларусь;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Комитет национальной безопасности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– Государственный комитет национальной безопасности Кыргызской Республики;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Федеральную службу безопасности Российской Федерации.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Создать при Комиссии рабочую группу по реализации проекта (далее - рабочая группа) под руководством члена Коллегии (Министра) по внутренним рынкам, информатизации, информационнокоммуникационным технологиям.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распоряжения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Уполномоченным органам и организациям, указанным в пункте 2 настоящего распоряжения, в месячный срок представить в Комиссию кандидатуры на уровне заместителей руководителей указанных уполномоченных органов и организаций (руководителей структурных подразделений соответствующих органов и организаций или их заместителей) для включения в состав рабочей группы.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Коллегии Комиссии утвердить положение о рабочей группе и ее состав, включив в него представителей уполномоченных органов и организаций, указанных в пункте 2 настоящего распоряжения, а также сотрудников Комиссии.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Комиссии по итогам реализации проекта представить на рассмотрение Высшего Евразийского экономического совета предложения об организации производств специализированных средств криптографической защиты информации в государствах-членах.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