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6672" w14:textId="c5f6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в соответствии с подпунктом 5 пункта 20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31 мая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01.06.2016 -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информации Евразийской экономической комиссии о результатах проведенной в 2015 году работы, указанной в подпунктах 3 и 4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работу по проведению сравнительного анализа системы и практики регулирования деятельности субъектов естественных монополий в государствах - членах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до 1 июля 2017 г. для рассмотрения Высшим Евразийским экономическим советом согласованную с уполномоченными органами государств - членов Евразийского экономического союза информацию о результатах проведенной работы в соответствии с подпунктом 5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