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92fc" w14:textId="be19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 гармонизации показателей статистической отчетности (отчетности) в сфере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 ноября 2015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реализации полномочий Евразийской экономической комиссии, предусмотренных подпунктами 4 и 6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членам Евразийского экономического союза со дня официального опубликования настоящей 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Вести статистическую отчетность либо отчетность в сфере государственных (муниципальных) закупок в соответствии с показателями, указанными в разделе 27 перечня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- членов Евразийского экономического союза, утвержденного Решением Коллегии Евразийской экономической комиссии от 2 декабря 2014 г. № 224.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