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92fc" w14:textId="be19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 гармонизации показателей статистической отчетности (отчетности) в сфере государственных (муниципальных)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3 ноября 2015 года № 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формирования и распространения официальной статистической информации Евразийского экономического союза (приложение № 4 к Договору о Евразийском экономическом союзе от 29 мая 2014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реализации полномочий Евразийской экономической комиссии, предусмотренных подпунктами 4 и 6 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рекомендует </w:t>
      </w:r>
      <w:r>
        <w:rPr>
          <w:rFonts w:ascii="Times New Roman"/>
          <w:b w:val="false"/>
          <w:i w:val="false"/>
          <w:color w:val="000000"/>
          <w:sz w:val="28"/>
        </w:rPr>
        <w:t>государствам членам Евразийского экономического союза со дня официального опубликования настоящей Рекомендации: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Вести статистическую отчетность либо отчетность в сфере государственных (муниципальных) закупок в соответствии с показателями, указанными в разделе 27 перечня статистических показателей официальной статистической информации, предоставляемой Евразийской экономической комиссии уполномоченными органами государств - членов Евразийского экономического союза, утвержденного Решением Коллегии Евразийской экономической комиссии от 2 декабря 2014 г. № 224.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