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e867" w14:textId="9cfe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18 августа 2015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официального опубликования настоящей Рекомендации: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марта 2013 г. № 4) с учетом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Рекомендации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2015 г. № 19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ИЗМЕНЕНИЕ,</w:t>
      </w:r>
      <w:r>
        <w:br/>
      </w:r>
      <w:r>
        <w:rPr>
          <w:rFonts w:ascii="Times New Roman"/>
          <w:b/>
          <w:i w:val="false"/>
          <w:color w:val="000000"/>
        </w:rPr>
        <w:t>
вносимое в том VI Пояснений к единой Товарной номенклатуре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союза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84 после наименования товарной позиции 8426 ТН ВЭД ЕАЭС дополнить пояснениями следующего содержания: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54"/>
        <w:gridCol w:w="10546"/>
      </w:tblGrid>
      <w:tr>
        <w:trPr>
          <w:trHeight w:val="30" w:hRule="atLeast"/>
        </w:trPr>
        <w:tc>
          <w:tcPr>
            <w:tcW w:w="3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«8426 30 000 1*</w:t>
            </w:r>
          </w:p>
        </w:tc>
        <w:tc>
          <w:tcPr>
            <w:tcW w:w="10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Краны портальные (контейнерные перегружатели) на рельсовом ходу грузоподъемностью не более 80 т</w:t>
            </w:r>
          </w:p>
        </w:tc>
      </w:tr>
      <w:tr>
        <w:trPr>
          <w:trHeight w:val="30" w:hRule="atLeast"/>
        </w:trPr>
        <w:tc>
          <w:tcPr>
            <w:tcW w:w="3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данную подсубпозицию включаются, например, краны-перегружатели причальные, предназначенные для погрузки в трюм судна с площадки и разгрузки из трюма судна на площадку. Кран представляет собой портал, на котором установлены главная балка и стрела, выступающая за пределы портала, находящаяся над трюмом корабля при осуществлении погрузочно-разгрузочных работ и оснащенная передвижной грузовой тележкой с кабиной крановщика (когда кран не эксплуатируется, стрела может быть поднята почти в вертикальное положение). Для выполнения операций по перемещению контейнеров используется спредер.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 изображения таких кранов приведен ниже.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84700" cy="478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700" cy="478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    ».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