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d893" w14:textId="03ad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участии представителей Евразийской экономической комиссии в межгосударственных мероприятиях (консультациях) по вопросам, регулируемым международными договорами, входящими в право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25 мая 2015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с целью обеспечения реализации полномочий Евразийской экономической комиссии (далее – Комиссия), предусмотренных подпунктами 4, 6, 8 и 10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Договору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официального опубликования настоящей Рекомендации при проведении межгосударственных мероприятий (консультаций) по вопросам, регулируемым международными договорами, входящими в право Евразийского экономического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учитывать, что участие представителей Комиссии в указанных мероприятиях (консультациях) позволит повысить эффективность реализации соответствующих 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Комиссию о предстоящем мероприятии (консультациях) путем направления информации в письменном и (или) электронном виде.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 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