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f76b" w14:textId="719f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гармонизацию ставок акцизов на алкогольную и табачную продукцию в государствах -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Заслушав информацию Евразийской экономической комиссии о мерах, направленных на гармонизацию ставок акцизов на алкогольную и табачную продукцию в государствах - членах Евразийского экономического союза, Евразийский межправительственный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государствами - членами Евразийского экономического союза продолжить работу по разработке и согласованию проектов Соглашения о принципах ведения налоговой политики в области акцизов на алкогольную продукцию государств членов Евразийского экономического союза и Соглашения о принципах ведения налоговой политики в области акцизов на табачную продукцию государств -членов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- членами Евразийского экономического союза обеспечить учет особенностей экономического развития Республики Армения и Кыргызской Республики при разработке соглашений, указанных в пункте 1 настоящего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Государствам - членам и Евразийской экономической комиссии обеспечить принятие и вступление в силу соглашений, указанных в пункте 1 настоящего распоряжения, одновременно с Соглашением о регулировании алкогольного рынка в рамках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Правительствам государств - членов при проведении работы по согласованию проектов Соглашений, указанных в пунктах 1 и 3 настоящего распоряжения, исходить из необходимости ее завершения до 1 декабря 2015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распоряжение вступает в силу с даты его принятия.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 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