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abee" w14:textId="a68a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администрировании обращения отдельных категорий моторных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октября 2015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Решения Высшего Евразийского экономического совета от 29 мая 2014 г. № 72 «Об условиях применения понятия «промышленная сборка моторных транспортных средств» на территориях государств – членов Таможенного союза и Единого экономического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государствам – членам Евразийского экономического союза (далее – Союз) использовать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техники, разработка которых предусмотрена Соглашением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– электронные паспорта), в качестве инструмента администрирования обращения моторных транспортных средств товарных позиций 8701 – 8705  единой Товарной номенклатуры внешнеэкономической деятельности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произведенных юридическим лицом на территории государства – члена Союза с соблюдением условий применения понятия «промышленная сборка моторных транспортных средств», установленных в соответствии с Решением Высшего Евразийского экономического совета от 29 мая 2014 г. № 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произведенных юридическим лицом с использованием автокомпонентов и их частей, а также узлов и агрегатов, ввезенных на таможенную территорию Союза с применением тарифных льгот в виде освобождения от уплаты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произведенных юридическим лицом на территории свободной (специальной, особой) экономической зоны или свободного склада, созданных на территории государства – члена Союза, с использованием иностранных автокомпонентов и их частей, а также узлов и агрегатов, помещенных под таможенную процедуру свободной таможенной зоны или свободного склада, признанных товарами Союза и помещенных под таможенную процедуру реимпорта без уплаты ввозных таможенных пошлин,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при разработке правил оформления, структуры и формата электронных паспортов предусмотреть включение: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раздел электронного паспорта, касающийся административной информации, сведений о льготном режиме, в рамках которого произведены моторные транспортные средства, указанные в пункте 1 настоящего распоряжения (режим «промышленной сборки», таможенная процедура свободной таможенной зоны, таможенная процедура свободного склада, инвестиционный проект), и об ограничении обращения таких моторных транспортных средств в случаях, установленных правом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правила оформления электронных паспортов информации по внесению юридическим лицом, осуществляющим производство моторных транспортных средств, указанных в пункте 1 настоящего распоряжения, сведений, указанных в подпункте «а»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