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dc9" w14:textId="4636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Евразийского межправительственного совета "О плане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28 апреля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«О плане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годы» (прилагается) и представить его для рассмотрения Евразийским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плане мероприятий по обеспечению стимулирования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моторных транспортных средств с электрическими</w:t>
      </w:r>
      <w:r>
        <w:br/>
      </w:r>
      <w:r>
        <w:rPr>
          <w:rFonts w:ascii="Times New Roman"/>
          <w:b/>
          <w:i w:val="false"/>
          <w:color w:val="000000"/>
        </w:rPr>
        <w:t>
двигателями в государствах – членах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на 2015 – 2017 годы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Правительством Республики Армения, Правительством Республики Беларусь, Правительством Республики Казахстан и Правительством Российской Федерации обеспечить реализацию мероприятий, предусмотренных планом, утвержденным настоящим распоряжением, в части, соответствующей национальным приоритетам развития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Евразийского межправительственного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г. № 11 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мероприятий по обеспечению стимулирования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использования моторных транспортных средств с электрическими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двигателями в государствах – членах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экономического союза на 2015 – 2017 годы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6"/>
        <w:gridCol w:w="2134"/>
        <w:gridCol w:w="1868"/>
        <w:gridCol w:w="3162"/>
      </w:tblGrid>
      <w:tr>
        <w:trPr>
          <w:trHeight w:val="30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реализации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Мероприятия по обеспечению стимулирования производства моторных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 электрическими двигателями, их базовых компонентов, а также объектов зарядной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сервисной инфраструктуры в государствах – членах 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6"/>
        <w:gridCol w:w="2134"/>
        <w:gridCol w:w="1868"/>
        <w:gridCol w:w="3162"/>
      </w:tblGrid>
      <w:tr>
        <w:trPr>
          <w:trHeight w:val="1440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системы мер поддержки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 в государствах – членах Евразийского экономического союза (далее – государства-члены), предусматривающей в том числе: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1440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и предоставление грантов на разработку и производство моторных транспортных средств с электрическими двигателями, их базовых компонентов, оборудования для их производства, а также на реализацию проектов по созданию объектов зарядной и сервисной инфраструктуры для таких транспортных средств и по их обслуживанию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механизма привлечения инвестиций для развития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финансовые и нефинансовые механизмы стимулирования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ставок ввозных таможенных пошлин на ввозимые комплектующие, предназначенные для производства моторных транспортных средств с электрическими двигателями, их базовых компонентов и объектов зарядной и сервисной инфраструктуры, не производимые в государствах-членах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на основании предложений государств-членов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510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плана мероприятий по обеспечению готовности имеющихся в государствах-членах машиноиспытательных станций по апробации созданных образцов моторных транспортных средств с электрическими двигателями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Комиссии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по обеспечению стимулирования использования моторных транспортных средств с электрическими двигателями в государствах-членах</w:t>
            </w:r>
          </w:p>
        </w:tc>
      </w:tr>
      <w:tr>
        <w:trPr>
          <w:trHeight w:val="70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системы мер по стимулированию использования моторных транспортных средств с электрическими двигателями в государствах-членах, предусматривающей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владельцам моторных транспортных средств с электрическими двигателями права пользования бесплатными парковочными местами, оснащенными зарядными устройствами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</w:tr>
      <w:tr>
        <w:trPr>
          <w:trHeight w:val="70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бесплатного проезда по платным автомобильным дорогам для моторных транспортных средств с электрическими двигателями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моторным транспортным средствам с электрическими двигателями права передвигаться по полосам для общественного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автозаправочных станций, а также вводимых в эксплуатацию зданий и сооружений общественного назначения зарядными устройствами для моторных транспортных средств с электрическими двигателями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 сбору, хранению и утилизации использованных тяговых батарей предоставление моторных транспортных средств с электрическими двигателями в лизинг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системы льгот для организаций, размещающих на своей территории объекты зарядной и сервисной инфраструктуры для моторных транспортных средств с электрическими двигателями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570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упрощенного порядка оформления разрешительной документации при строительстве объектов зарядной и сервисной инфраструктуры для моторных транспортных средств с электрическими двигателями, а также их присоединении к электрическим сетям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Комиссии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570" w:hRule="atLeast"/>
        </w:trPr>
        <w:tc>
          <w:tcPr>
            <w:tcW w:w="6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информационных проектов, направленных на стимулирование спроса на моторные транспортные средства с электрическими двигателями, и размещение их на официальных сайтах уполномоченных органов государств-членов в информационно-телекоммуникационной сети «Интернет»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Комиссии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годы</w:t>
            </w:r>
          </w:p>
        </w:tc>
        <w:tc>
          <w:tcPr>
            <w:tcW w:w="3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