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c116" w14:textId="dd3c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Рекомендациях по содержанию и типовой структуре технического регламента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21 августа 2015 года № 50</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пункта 3</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в соответствии с </w:t>
      </w:r>
      <w:r>
        <w:rPr>
          <w:rFonts w:ascii="Times New Roman"/>
          <w:b w:val="false"/>
          <w:i w:val="false"/>
          <w:color w:val="000000"/>
          <w:sz w:val="28"/>
        </w:rPr>
        <w:t>пунктом 39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Рекомендации</w:t>
      </w:r>
      <w:r>
        <w:rPr>
          <w:rFonts w:ascii="Times New Roman"/>
          <w:b w:val="false"/>
          <w:i w:val="false"/>
          <w:color w:val="000000"/>
          <w:sz w:val="28"/>
        </w:rPr>
        <w:t xml:space="preserve"> по содержанию и типовой структуре технического регламента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Установить, что в отношении проектов технических регламентов Евразийского экономического союза, разработка которых начата до вступления в силу настоящего Решения, утвержденные настоящим Решением Рекомендации применяются при условии, что процедуры внутригосударственного согласования, предусмотренные </w:t>
      </w:r>
      <w:r>
        <w:rPr>
          <w:rFonts w:ascii="Times New Roman"/>
          <w:b w:val="false"/>
          <w:i w:val="false"/>
          <w:color w:val="000000"/>
          <w:sz w:val="28"/>
        </w:rPr>
        <w:t>Положением</w:t>
      </w:r>
      <w:r>
        <w:rPr>
          <w:rFonts w:ascii="Times New Roman"/>
          <w:b w:val="false"/>
          <w:i w:val="false"/>
          <w:color w:val="000000"/>
          <w:sz w:val="28"/>
        </w:rPr>
        <w:t xml:space="preserve"> о порядке разработки, принятия, внесения изменений и отмены технического регламента Таможенного союза, утвержденным Решением Совета Евразийской экономической комиссии от 20 июня 2012 г. № 48, на дату вступления в силу настоящего Решения не завершены.</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bookmarkStart w:name="z5" w:id="1"/>
    <w:p>
      <w:pPr>
        <w:spacing w:after="0"/>
        <w:ind w:left="0"/>
        <w:jc w:val="left"/>
      </w:pPr>
      <w:r>
        <w:rPr>
          <w:rFonts w:ascii="Times New Roman"/>
          <w:b/>
          <w:i w:val="false"/>
          <w:color w:val="000000"/>
        </w:rPr>
        <w:t xml:space="preserve"> 
Члены Совета Евразийской экономической комиссии:</w:t>
      </w:r>
    </w:p>
    <w:bookmarkEnd w:id="1"/>
    <w:tbl>
      <w:tblPr>
        <w:tblW w:w="0" w:type="auto"/>
        <w:tblCellSpacing w:w="0" w:type="auto"/>
        <w:tblBorders>
          <w:top w:val="none"/>
          <w:left w:val="none"/>
          <w:bottom w:val="none"/>
          <w:right w:val="none"/>
          <w:insideH w:val="none"/>
          <w:insideV w:val="none"/>
        </w:tblBorders>
      </w:tblPr>
      <w:tblGrid>
        <w:gridCol w:w="2882"/>
        <w:gridCol w:w="2947"/>
        <w:gridCol w:w="2687"/>
        <w:gridCol w:w="2796"/>
        <w:gridCol w:w="2688"/>
      </w:tblGrid>
      <w:tr>
        <w:trPr>
          <w:trHeight w:val="6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Армения</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Диль</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 Шувалов </w:t>
            </w:r>
          </w:p>
        </w:tc>
      </w:tr>
    </w:tbl>
    <w:bookmarkStart w:name="z6" w:id="2"/>
    <w:p>
      <w:pPr>
        <w:spacing w:after="0"/>
        <w:ind w:left="0"/>
        <w:jc w:val="both"/>
      </w:pPr>
      <w:r>
        <w:rPr>
          <w:rFonts w:ascii="Times New Roman"/>
          <w:b w:val="false"/>
          <w:i w:val="false"/>
          <w:color w:val="000000"/>
          <w:sz w:val="28"/>
        </w:rPr>
        <w:t xml:space="preserve">
УТВЕРЖДЕНЫ            </w:t>
      </w:r>
    </w:p>
    <w:bookmarkEnd w:id="2"/>
    <w:p>
      <w:pPr>
        <w:spacing w:after="0"/>
        <w:ind w:left="0"/>
        <w:jc w:val="both"/>
      </w:pPr>
      <w:r>
        <w:rPr>
          <w:rFonts w:ascii="Times New Roman"/>
          <w:b w:val="false"/>
          <w:i w:val="false"/>
          <w:color w:val="000000"/>
          <w:sz w:val="28"/>
        </w:rPr>
        <w:t xml:space="preserve">Решением Совета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21 августа 2015 г. № 50       </w:t>
      </w:r>
    </w:p>
    <w:bookmarkStart w:name="z7" w:id="3"/>
    <w:p>
      <w:pPr>
        <w:spacing w:after="0"/>
        <w:ind w:left="0"/>
        <w:jc w:val="left"/>
      </w:pPr>
      <w:r>
        <w:rPr>
          <w:rFonts w:ascii="Times New Roman"/>
          <w:b/>
          <w:i w:val="false"/>
          <w:color w:val="000000"/>
        </w:rPr>
        <w:t xml:space="preserve"> 
Рекомендации</w:t>
      </w:r>
      <w:r>
        <w:br/>
      </w:r>
      <w:r>
        <w:rPr>
          <w:rFonts w:ascii="Times New Roman"/>
          <w:b/>
          <w:i w:val="false"/>
          <w:color w:val="000000"/>
        </w:rPr>
        <w:t>
по содержанию и типовой структуре технического регламента</w:t>
      </w:r>
      <w:r>
        <w:br/>
      </w:r>
      <w:r>
        <w:rPr>
          <w:rFonts w:ascii="Times New Roman"/>
          <w:b/>
          <w:i w:val="false"/>
          <w:color w:val="000000"/>
        </w:rPr>
        <w:t xml:space="preserve">
Евразийского экономического союза </w:t>
      </w:r>
    </w:p>
    <w:bookmarkEnd w:id="3"/>
    <w:bookmarkStart w:name="z8" w:id="4"/>
    <w:p>
      <w:pPr>
        <w:spacing w:after="0"/>
        <w:ind w:left="0"/>
        <w:jc w:val="both"/>
      </w:pPr>
      <w:r>
        <w:rPr>
          <w:rFonts w:ascii="Times New Roman"/>
          <w:b w:val="false"/>
          <w:i w:val="false"/>
          <w:color w:val="000000"/>
          <w:sz w:val="28"/>
        </w:rPr>
        <w:t>
      1. Настоящие Рекомендации разработаны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23 декабря 2014 г. № 98, определяют содержание и типовую структуру технического регламента Евразийского экономического союза (далее соответственно –технический регламент Союза, Союз) и учитываются при разработке технических регламентов Союза.</w:t>
      </w:r>
      <w:r>
        <w:br/>
      </w:r>
      <w:r>
        <w:rPr>
          <w:rFonts w:ascii="Times New Roman"/>
          <w:b w:val="false"/>
          <w:i w:val="false"/>
          <w:color w:val="000000"/>
          <w:sz w:val="28"/>
        </w:rPr>
        <w:t>
</w:t>
      </w:r>
      <w:r>
        <w:rPr>
          <w:rFonts w:ascii="Times New Roman"/>
          <w:b w:val="false"/>
          <w:i w:val="false"/>
          <w:color w:val="000000"/>
          <w:sz w:val="28"/>
        </w:rPr>
        <w:t>
      2. В целях определения содержания технического регламента Союза в наименовании технического регламента Союза целесообразно указывать наименование основной продукции, в отношении которой этим техническим регламентом Союза устанавливаются обязательные требования. Наименование технического регламента Союза рекомендуется начинать словами «О безопасности».</w:t>
      </w:r>
      <w:r>
        <w:br/>
      </w:r>
      <w:r>
        <w:rPr>
          <w:rFonts w:ascii="Times New Roman"/>
          <w:b w:val="false"/>
          <w:i w:val="false"/>
          <w:color w:val="000000"/>
          <w:sz w:val="28"/>
        </w:rPr>
        <w:t>
</w:t>
      </w:r>
      <w:r>
        <w:rPr>
          <w:rFonts w:ascii="Times New Roman"/>
          <w:b w:val="false"/>
          <w:i w:val="false"/>
          <w:color w:val="000000"/>
          <w:sz w:val="28"/>
        </w:rPr>
        <w:t>
      3. Структурными элементами технического регламента Союза могут быть разделы, пункты, подпункты и абзацы. Технический регламент Союза может содержать такой структурный элемент как приложение.</w:t>
      </w:r>
      <w:r>
        <w:br/>
      </w:r>
      <w:r>
        <w:rPr>
          <w:rFonts w:ascii="Times New Roman"/>
          <w:b w:val="false"/>
          <w:i w:val="false"/>
          <w:color w:val="000000"/>
          <w:sz w:val="28"/>
        </w:rPr>
        <w:t>
      Разделы рекомендуется обозначать римскими цифрами с точкой. Рекомендуется указывать наименования разделов, отражающие содержание соответствующих частей текста. Разделы могут включать в себя пункты. Указывать наименования пунктов не следует. Пункты могут нумероваться арабскими цифрами с точкой и подразделяться на подпункты. Подпункты могут обозначаться буквами или арабскими цифрами с закрывающей круглой скобкой. Пункты и подпункты могут подразделяться на абзацы.</w:t>
      </w:r>
      <w:r>
        <w:br/>
      </w:r>
      <w:r>
        <w:rPr>
          <w:rFonts w:ascii="Times New Roman"/>
          <w:b w:val="false"/>
          <w:i w:val="false"/>
          <w:color w:val="000000"/>
          <w:sz w:val="28"/>
        </w:rPr>
        <w:t>
</w:t>
      </w:r>
      <w:r>
        <w:rPr>
          <w:rFonts w:ascii="Times New Roman"/>
          <w:b w:val="false"/>
          <w:i w:val="false"/>
          <w:color w:val="000000"/>
          <w:sz w:val="28"/>
        </w:rPr>
        <w:t>
      4. Технический регламент Союза может содержать следующие разделы:</w:t>
      </w:r>
      <w:r>
        <w:br/>
      </w:r>
      <w:r>
        <w:rPr>
          <w:rFonts w:ascii="Times New Roman"/>
          <w:b w:val="false"/>
          <w:i w:val="false"/>
          <w:color w:val="000000"/>
          <w:sz w:val="28"/>
        </w:rPr>
        <w:t>
      «Область применения»;</w:t>
      </w:r>
      <w:r>
        <w:br/>
      </w:r>
      <w:r>
        <w:rPr>
          <w:rFonts w:ascii="Times New Roman"/>
          <w:b w:val="false"/>
          <w:i w:val="false"/>
          <w:color w:val="000000"/>
          <w:sz w:val="28"/>
        </w:rPr>
        <w:t>
      «Основные понятия»;</w:t>
      </w:r>
      <w:r>
        <w:br/>
      </w:r>
      <w:r>
        <w:rPr>
          <w:rFonts w:ascii="Times New Roman"/>
          <w:b w:val="false"/>
          <w:i w:val="false"/>
          <w:color w:val="000000"/>
          <w:sz w:val="28"/>
        </w:rPr>
        <w:t>
      «Правила идентификации продукции»;</w:t>
      </w:r>
      <w:r>
        <w:br/>
      </w:r>
      <w:r>
        <w:rPr>
          <w:rFonts w:ascii="Times New Roman"/>
          <w:b w:val="false"/>
          <w:i w:val="false"/>
          <w:color w:val="000000"/>
          <w:sz w:val="28"/>
        </w:rPr>
        <w:t>
      «Правила обращения продукции на рынке Евразийского экономического союза и (или) правила ввода в эксплуатацию»;</w:t>
      </w:r>
      <w:r>
        <w:br/>
      </w:r>
      <w:r>
        <w:rPr>
          <w:rFonts w:ascii="Times New Roman"/>
          <w:b w:val="false"/>
          <w:i w:val="false"/>
          <w:color w:val="000000"/>
          <w:sz w:val="28"/>
        </w:rPr>
        <w:t>
      «Требования к объектам технического регулирования»;</w:t>
      </w:r>
      <w:r>
        <w:br/>
      </w:r>
      <w:r>
        <w:rPr>
          <w:rFonts w:ascii="Times New Roman"/>
          <w:b w:val="false"/>
          <w:i w:val="false"/>
          <w:color w:val="000000"/>
          <w:sz w:val="28"/>
        </w:rPr>
        <w:t>
      «Обеспечение соответствия объектов технического регулирования требованиям технического регламента Евразийского экономического союза»;</w:t>
      </w:r>
      <w:r>
        <w:br/>
      </w:r>
      <w:r>
        <w:rPr>
          <w:rFonts w:ascii="Times New Roman"/>
          <w:b w:val="false"/>
          <w:i w:val="false"/>
          <w:color w:val="000000"/>
          <w:sz w:val="28"/>
        </w:rPr>
        <w:t>
      «Оценка соответствия объектов технического регулирования»;</w:t>
      </w:r>
      <w:r>
        <w:br/>
      </w:r>
      <w:r>
        <w:rPr>
          <w:rFonts w:ascii="Times New Roman"/>
          <w:b w:val="false"/>
          <w:i w:val="false"/>
          <w:color w:val="000000"/>
          <w:sz w:val="28"/>
        </w:rPr>
        <w:t>
      «Маркировка единым знаком обращения продукции на рынке Евразийского экономического союза»;</w:t>
      </w:r>
      <w:r>
        <w:br/>
      </w:r>
      <w:r>
        <w:rPr>
          <w:rFonts w:ascii="Times New Roman"/>
          <w:b w:val="false"/>
          <w:i w:val="false"/>
          <w:color w:val="000000"/>
          <w:sz w:val="28"/>
        </w:rPr>
        <w:t>
      «Порядок введения в действие технического регламента Евразийского экономического союза и переходные положения».</w:t>
      </w:r>
      <w:r>
        <w:br/>
      </w:r>
      <w:r>
        <w:rPr>
          <w:rFonts w:ascii="Times New Roman"/>
          <w:b w:val="false"/>
          <w:i w:val="false"/>
          <w:color w:val="000000"/>
          <w:sz w:val="28"/>
        </w:rPr>
        <w:t>
</w:t>
      </w:r>
      <w:r>
        <w:rPr>
          <w:rFonts w:ascii="Times New Roman"/>
          <w:b w:val="false"/>
          <w:i w:val="false"/>
          <w:color w:val="000000"/>
          <w:sz w:val="28"/>
        </w:rPr>
        <w:t>
      5. Содержание положений технического регламента Союза должно быть логичным, юридически грамотным, без стилистических и грамматических ошибок. Обязательные требования должны быть изложены в техническом регламенте Союза четко и ясно, чтобы исключить возможность их различного толкования.</w:t>
      </w:r>
      <w:r>
        <w:br/>
      </w:r>
      <w:r>
        <w:rPr>
          <w:rFonts w:ascii="Times New Roman"/>
          <w:b w:val="false"/>
          <w:i w:val="false"/>
          <w:color w:val="000000"/>
          <w:sz w:val="28"/>
        </w:rPr>
        <w:t xml:space="preserve">
      В техническом регламенте Союза не следует дублировать положения, уже установленные Договором, а также другими международными договорами, заключенными в рамках Союза. </w:t>
      </w:r>
      <w:r>
        <w:br/>
      </w:r>
      <w:r>
        <w:rPr>
          <w:rFonts w:ascii="Times New Roman"/>
          <w:b w:val="false"/>
          <w:i w:val="false"/>
          <w:color w:val="000000"/>
          <w:sz w:val="28"/>
        </w:rPr>
        <w:t>
      В техническом регламенте Союза допускается приводить ссылки на международные договоры или соглашения в случае, если все государства – члены Союза являются участниками таких международных договоров или соглашений.</w:t>
      </w:r>
      <w:r>
        <w:br/>
      </w:r>
      <w:r>
        <w:rPr>
          <w:rFonts w:ascii="Times New Roman"/>
          <w:b w:val="false"/>
          <w:i w:val="false"/>
          <w:color w:val="000000"/>
          <w:sz w:val="28"/>
        </w:rPr>
        <w:t>
</w:t>
      </w:r>
      <w:r>
        <w:rPr>
          <w:rFonts w:ascii="Times New Roman"/>
          <w:b w:val="false"/>
          <w:i w:val="false"/>
          <w:color w:val="000000"/>
          <w:sz w:val="28"/>
        </w:rPr>
        <w:t>
      6. В разделе «Область применения» технического регламента Союза следует определить объекты технического регулирования и сферу действия технического регламента Союза, а также целесообразно указывать цели разработки технического регламента Союза.</w:t>
      </w:r>
      <w:r>
        <w:br/>
      </w:r>
      <w:r>
        <w:rPr>
          <w:rFonts w:ascii="Times New Roman"/>
          <w:b w:val="false"/>
          <w:i w:val="false"/>
          <w:color w:val="000000"/>
          <w:sz w:val="28"/>
        </w:rPr>
        <w:t xml:space="preserve">
      Объектами технического регулирования являются продукция, включенная в единый перечень продукции, в отношении которой устанавливаются обязательные требования в рамках Союза (далее – единый перечень), или продукция, включенная в единый перечень, и связанные с требованиями к такой продукции процессы проектирования (включая изыскания), производства, строительства, монтажа, наладки, эксплуатации, хранения, перевозки, реализации и утилизации. </w:t>
      </w:r>
      <w:r>
        <w:br/>
      </w:r>
      <w:r>
        <w:rPr>
          <w:rFonts w:ascii="Times New Roman"/>
          <w:b w:val="false"/>
          <w:i w:val="false"/>
          <w:color w:val="000000"/>
          <w:sz w:val="28"/>
        </w:rPr>
        <w:t>
      Объекты технического регулирования целесообразно определять на основе анализа характерных для них рисков с учетом предполагаемой сферы действия технического регламента Союза.</w:t>
      </w:r>
      <w:r>
        <w:br/>
      </w:r>
      <w:r>
        <w:rPr>
          <w:rFonts w:ascii="Times New Roman"/>
          <w:b w:val="false"/>
          <w:i w:val="false"/>
          <w:color w:val="000000"/>
          <w:sz w:val="28"/>
        </w:rPr>
        <w:t>
      Продукция, на которую распространяются требования технического регламента Союза, определяется в техническом регламенте Союза посредством указания идентифицирующих признаков, включая характерные свойства продукции (в том числе характеристики свойств, физические величины, параметры и показатели, характеризующие продукцию, и др.), и (или) приведения перечня продукции, на которую распространяются (не распространяются) требования технического регламента Союза.</w:t>
      </w:r>
      <w:r>
        <w:br/>
      </w:r>
      <w:r>
        <w:rPr>
          <w:rFonts w:ascii="Times New Roman"/>
          <w:b w:val="false"/>
          <w:i w:val="false"/>
          <w:color w:val="000000"/>
          <w:sz w:val="28"/>
        </w:rPr>
        <w:t>
      При значительном объеме перечней продукции, на которую распространяются (не распространяются) требования технического регламента Союза, допускается приведение таких перечней в приложении к техническому регламенту Союза.</w:t>
      </w:r>
      <w:r>
        <w:br/>
      </w:r>
      <w:r>
        <w:rPr>
          <w:rFonts w:ascii="Times New Roman"/>
          <w:b w:val="false"/>
          <w:i w:val="false"/>
          <w:color w:val="000000"/>
          <w:sz w:val="28"/>
        </w:rPr>
        <w:t>
      При определении сферы действия технического регламента Союза в разделе «Область применения» технического регламента Союза может устанавливаться, что действие технического регламента Союза распространяется (не распространяется) на выпускаемую в обращение (вводимую в эксплуатацию) на рынке Союза новую продукцию, продукцию, ранее не выпускавшуюся в обращение (не вводившуюся в эксплуатацию), продукцию, находящуюся в эксплуатации при ее модернизации, продукцию, бывшую в эксплуатации, а также в обоснованных случаях могут указываться опасные факторы, характеризующие объекты технического регулирования.</w:t>
      </w:r>
      <w:r>
        <w:br/>
      </w:r>
      <w:r>
        <w:rPr>
          <w:rFonts w:ascii="Times New Roman"/>
          <w:b w:val="false"/>
          <w:i w:val="false"/>
          <w:color w:val="000000"/>
          <w:sz w:val="28"/>
        </w:rPr>
        <w:t xml:space="preserve">
      При определении сферы действия технического регламента </w:t>
      </w:r>
      <w:r>
        <w:br/>
      </w:r>
      <w:r>
        <w:rPr>
          <w:rFonts w:ascii="Times New Roman"/>
          <w:b w:val="false"/>
          <w:i w:val="false"/>
          <w:color w:val="000000"/>
          <w:sz w:val="28"/>
        </w:rPr>
        <w:t xml:space="preserve">
в разделе «Область применения» технического регламента Союза также целесообразно указывать, что действие технического регламента Союза распространяется на требования к упаковке, маркировке, этикеткам </w:t>
      </w:r>
      <w:r>
        <w:br/>
      </w:r>
      <w:r>
        <w:rPr>
          <w:rFonts w:ascii="Times New Roman"/>
          <w:b w:val="false"/>
          <w:i w:val="false"/>
          <w:color w:val="000000"/>
          <w:sz w:val="28"/>
        </w:rPr>
        <w:t xml:space="preserve">
и правилам их нанесения, на санитарные требования и процедуры, </w:t>
      </w:r>
      <w:r>
        <w:br/>
      </w:r>
      <w:r>
        <w:rPr>
          <w:rFonts w:ascii="Times New Roman"/>
          <w:b w:val="false"/>
          <w:i w:val="false"/>
          <w:color w:val="000000"/>
          <w:sz w:val="28"/>
        </w:rPr>
        <w:t xml:space="preserve">
а также ветеринарно-санитарные и карантинные фитосанитарные требования, имеющие общий характер, и специфические требования </w:t>
      </w:r>
      <w:r>
        <w:br/>
      </w:r>
      <w:r>
        <w:rPr>
          <w:rFonts w:ascii="Times New Roman"/>
          <w:b w:val="false"/>
          <w:i w:val="false"/>
          <w:color w:val="000000"/>
          <w:sz w:val="28"/>
        </w:rPr>
        <w:t>
к объектам технического регулирования, в случае если указанные требования и процедуры приведены в иных разделах технического регламента Союза.</w:t>
      </w:r>
      <w:r>
        <w:br/>
      </w:r>
      <w:r>
        <w:rPr>
          <w:rFonts w:ascii="Times New Roman"/>
          <w:b w:val="false"/>
          <w:i w:val="false"/>
          <w:color w:val="000000"/>
          <w:sz w:val="28"/>
        </w:rPr>
        <w:t>
      При необходимости в разделе «Область применения» технического регламента Союза может быть указана взаимосвязь разрабатываемого технического регламента Союза с другими техническими регламентами Союза.</w:t>
      </w:r>
      <w:r>
        <w:br/>
      </w:r>
      <w:r>
        <w:rPr>
          <w:rFonts w:ascii="Times New Roman"/>
          <w:b w:val="false"/>
          <w:i w:val="false"/>
          <w:color w:val="000000"/>
          <w:sz w:val="28"/>
        </w:rPr>
        <w:t>
</w:t>
      </w:r>
      <w:r>
        <w:rPr>
          <w:rFonts w:ascii="Times New Roman"/>
          <w:b w:val="false"/>
          <w:i w:val="false"/>
          <w:color w:val="000000"/>
          <w:sz w:val="28"/>
        </w:rPr>
        <w:t xml:space="preserve">
      7. В разделе «Основные понятия» технического регламента Союза следует приводить определения основных понятий, используемых </w:t>
      </w:r>
      <w:r>
        <w:br/>
      </w:r>
      <w:r>
        <w:rPr>
          <w:rFonts w:ascii="Times New Roman"/>
          <w:b w:val="false"/>
          <w:i w:val="false"/>
          <w:color w:val="000000"/>
          <w:sz w:val="28"/>
        </w:rPr>
        <w:t xml:space="preserve">
в техническом регламенте Союза. </w:t>
      </w:r>
      <w:r>
        <w:br/>
      </w:r>
      <w:r>
        <w:rPr>
          <w:rFonts w:ascii="Times New Roman"/>
          <w:b w:val="false"/>
          <w:i w:val="false"/>
          <w:color w:val="000000"/>
          <w:sz w:val="28"/>
        </w:rPr>
        <w:t xml:space="preserve">
      Приводимые в указанном разделе технического регламента Союза определения понятий должны быть изложены точно и ясно, чтобы исключить возможность расхождений в толковании понятий </w:t>
      </w:r>
      <w:r>
        <w:br/>
      </w:r>
      <w:r>
        <w:rPr>
          <w:rFonts w:ascii="Times New Roman"/>
          <w:b w:val="false"/>
          <w:i w:val="false"/>
          <w:color w:val="000000"/>
          <w:sz w:val="28"/>
        </w:rPr>
        <w:t>
и обеспечить однозначное понимание и единообразное применение положений технического регламента Союза.</w:t>
      </w:r>
      <w:r>
        <w:br/>
      </w:r>
      <w:r>
        <w:rPr>
          <w:rFonts w:ascii="Times New Roman"/>
          <w:b w:val="false"/>
          <w:i w:val="false"/>
          <w:color w:val="000000"/>
          <w:sz w:val="28"/>
        </w:rPr>
        <w:t>
      При этом при раскрытии содержания понятия следует перечислять не все его признаки, а лишь существенные, формулируя логическую конструкцию емко и четко.</w:t>
      </w:r>
      <w:r>
        <w:br/>
      </w:r>
      <w:r>
        <w:rPr>
          <w:rFonts w:ascii="Times New Roman"/>
          <w:b w:val="false"/>
          <w:i w:val="false"/>
          <w:color w:val="000000"/>
          <w:sz w:val="28"/>
        </w:rPr>
        <w:t>
      Понятия с соответствующими определениями приводятся в алфавитном порядке.</w:t>
      </w:r>
      <w:r>
        <w:br/>
      </w:r>
      <w:r>
        <w:rPr>
          <w:rFonts w:ascii="Times New Roman"/>
          <w:b w:val="false"/>
          <w:i w:val="false"/>
          <w:color w:val="000000"/>
          <w:sz w:val="28"/>
        </w:rPr>
        <w:t>
</w:t>
      </w:r>
      <w:r>
        <w:rPr>
          <w:rFonts w:ascii="Times New Roman"/>
          <w:b w:val="false"/>
          <w:i w:val="false"/>
          <w:color w:val="000000"/>
          <w:sz w:val="28"/>
        </w:rPr>
        <w:t xml:space="preserve">
      8. В разделе «Правила идентификации продукции» технического регламента Союза целесообразно устанавливать правила идентификации продукции для целей ее отнесения к продукции, </w:t>
      </w:r>
      <w:r>
        <w:br/>
      </w:r>
      <w:r>
        <w:rPr>
          <w:rFonts w:ascii="Times New Roman"/>
          <w:b w:val="false"/>
          <w:i w:val="false"/>
          <w:color w:val="000000"/>
          <w:sz w:val="28"/>
        </w:rPr>
        <w:t>
в отношении которой техническим регламентом Союза установлены обязательные требования и приведены идентифицирующие признаки.</w:t>
      </w:r>
      <w:r>
        <w:br/>
      </w:r>
      <w:r>
        <w:rPr>
          <w:rFonts w:ascii="Times New Roman"/>
          <w:b w:val="false"/>
          <w:i w:val="false"/>
          <w:color w:val="000000"/>
          <w:sz w:val="28"/>
        </w:rPr>
        <w:t>
      К идентифицирующим признакам относятся наименование продукции, вида продукции или группы продукции, характерные свойства продукции, включающие характеристики свойств (в том числе органолептические свойства), физические величины, параметры, показатели (в том числе их числовые значения), характеризующие продукцию, и другие признаки, обеспечивающие возможность однозначного отнесения продукции к продукции, в отношении которой техническим регламентом Союза установлены обязательные требования.</w:t>
      </w:r>
      <w:r>
        <w:br/>
      </w:r>
      <w:r>
        <w:rPr>
          <w:rFonts w:ascii="Times New Roman"/>
          <w:b w:val="false"/>
          <w:i w:val="false"/>
          <w:color w:val="000000"/>
          <w:sz w:val="28"/>
        </w:rPr>
        <w:t xml:space="preserve">
      В разделе «Правила идентификации продукции» технического регламента Союза может устанавливаться круг лиц, проводящих идентификацию продукции, а также могут быть указаны способы </w:t>
      </w:r>
      <w:r>
        <w:br/>
      </w:r>
      <w:r>
        <w:rPr>
          <w:rFonts w:ascii="Times New Roman"/>
          <w:b w:val="false"/>
          <w:i w:val="false"/>
          <w:color w:val="000000"/>
          <w:sz w:val="28"/>
        </w:rPr>
        <w:t xml:space="preserve">
и (или) методы проведения идентификации продукции. К способам проведения идентификации можно отнести в том числе способ идентификации по документации, способы проведения идентификации опробованием или испытаниями, к методам проведения </w:t>
      </w:r>
      <w:r>
        <w:br/>
      </w:r>
      <w:r>
        <w:rPr>
          <w:rFonts w:ascii="Times New Roman"/>
          <w:b w:val="false"/>
          <w:i w:val="false"/>
          <w:color w:val="000000"/>
          <w:sz w:val="28"/>
        </w:rPr>
        <w:t>
идентификации – инструментальный, органолептический, визуальный методы.</w:t>
      </w:r>
      <w:r>
        <w:br/>
      </w:r>
      <w:r>
        <w:rPr>
          <w:rFonts w:ascii="Times New Roman"/>
          <w:b w:val="false"/>
          <w:i w:val="false"/>
          <w:color w:val="000000"/>
          <w:sz w:val="28"/>
        </w:rPr>
        <w:t>
</w:t>
      </w:r>
      <w:r>
        <w:rPr>
          <w:rFonts w:ascii="Times New Roman"/>
          <w:b w:val="false"/>
          <w:i w:val="false"/>
          <w:color w:val="000000"/>
          <w:sz w:val="28"/>
        </w:rPr>
        <w:t xml:space="preserve">
      9. В разделе «Правила обращения продукции на рынке Евразийского экономического союза и (или) правила ввода </w:t>
      </w:r>
      <w:r>
        <w:br/>
      </w:r>
      <w:r>
        <w:rPr>
          <w:rFonts w:ascii="Times New Roman"/>
          <w:b w:val="false"/>
          <w:i w:val="false"/>
          <w:color w:val="000000"/>
          <w:sz w:val="28"/>
        </w:rPr>
        <w:t xml:space="preserve">
в эксплуатацию» технического регламента Союза следует устанавливать правила выпуска продукции в обращение на рынок Союза, правила обращения и (или) ввода в эксплуатацию продукции, </w:t>
      </w:r>
      <w:r>
        <w:br/>
      </w:r>
      <w:r>
        <w:rPr>
          <w:rFonts w:ascii="Times New Roman"/>
          <w:b w:val="false"/>
          <w:i w:val="false"/>
          <w:color w:val="000000"/>
          <w:sz w:val="28"/>
        </w:rPr>
        <w:t>
на которую распространяется действие технического регламента Союза.</w:t>
      </w:r>
      <w:r>
        <w:br/>
      </w:r>
      <w:r>
        <w:rPr>
          <w:rFonts w:ascii="Times New Roman"/>
          <w:b w:val="false"/>
          <w:i w:val="false"/>
          <w:color w:val="000000"/>
          <w:sz w:val="28"/>
        </w:rPr>
        <w:t>
      Правила обращения продукции на рынке Союза и (или) правила ввода в эксплуатацию, устанавливаемые в указанном разделе, могут содержать условия выпуска продукции в обращение на рынок Союза, обязанности лиц, выпускающих продукцию в обращение или вводящих ее в эксплуатацию, в том числе в части обеспечения безопасности продукции и ее соответствия требованиям технического регламента Союза, предоставления заинтересованным лицам информации о соответствии продукции требованиям технического регламента Союза, информирования о вносимых в конструкцию (рецептуру) продукции изменениях, приостановлении или прекращении производства, выпуска в обращение и обращения продукции, не соответствующей требованиям технического регламента Союза, а также продукции, в отношении которой действие документов об оценке соответствия требованиям технического регламента Союза приостановлено или прекращено, и др.</w:t>
      </w:r>
      <w:r>
        <w:br/>
      </w:r>
      <w:r>
        <w:rPr>
          <w:rFonts w:ascii="Times New Roman"/>
          <w:b w:val="false"/>
          <w:i w:val="false"/>
          <w:color w:val="000000"/>
          <w:sz w:val="28"/>
        </w:rPr>
        <w:t>
</w:t>
      </w:r>
      <w:r>
        <w:rPr>
          <w:rFonts w:ascii="Times New Roman"/>
          <w:b w:val="false"/>
          <w:i w:val="false"/>
          <w:color w:val="000000"/>
          <w:sz w:val="28"/>
        </w:rPr>
        <w:t>
      10. В разделе «Требования к объектам технического регулирования» технического регламента Союза следует устанавливать требования к объектам технического регулирования на основании состава и общей характеристики объектов технического регулирования технического регламента Союза с учетом результатов анализа международных стандартов (правил, директив, рекомендаций и иных документов, принятых международными организациями по стандартизации), а в случае их отсутствия или несоответствия целям принятия технического регламента Союза, в том числе вследствие климатических и географических факторов или технологических и других особенностей, – региональных документов (регламентов, директив, решений, стандартов, правил и иных документов), национальных (государственных) стандартов, национальных технических регламентов и их проектов, на основе которых разрабатывается проект технического регламента Союза.</w:t>
      </w:r>
      <w:r>
        <w:br/>
      </w:r>
      <w:r>
        <w:rPr>
          <w:rFonts w:ascii="Times New Roman"/>
          <w:b w:val="false"/>
          <w:i w:val="false"/>
          <w:color w:val="000000"/>
          <w:sz w:val="28"/>
        </w:rPr>
        <w:t>
      В указанном разделе могут быть установлены требования только в отношении тех объектов технического регулирования, на которые распространяется действие разрабатываемого технического регламента Союза в соответствии с разделом «Область применения» этого технического регламента Союза.</w:t>
      </w:r>
      <w:r>
        <w:br/>
      </w:r>
      <w:r>
        <w:rPr>
          <w:rFonts w:ascii="Times New Roman"/>
          <w:b w:val="false"/>
          <w:i w:val="false"/>
          <w:color w:val="000000"/>
          <w:sz w:val="28"/>
        </w:rPr>
        <w:t>
      В разделе «Требования к объектам технического регулирования» технического регламента Союза также могут быть установлены:</w:t>
      </w:r>
      <w:r>
        <w:br/>
      </w:r>
      <w:r>
        <w:rPr>
          <w:rFonts w:ascii="Times New Roman"/>
          <w:b w:val="false"/>
          <w:i w:val="false"/>
          <w:color w:val="000000"/>
          <w:sz w:val="28"/>
        </w:rPr>
        <w:t xml:space="preserve">
      требования к упаковке, маркировке, этикеткам и правилам </w:t>
      </w:r>
      <w:r>
        <w:br/>
      </w:r>
      <w:r>
        <w:rPr>
          <w:rFonts w:ascii="Times New Roman"/>
          <w:b w:val="false"/>
          <w:i w:val="false"/>
          <w:color w:val="000000"/>
          <w:sz w:val="28"/>
        </w:rPr>
        <w:t>
их нанесения;</w:t>
      </w:r>
      <w:r>
        <w:br/>
      </w:r>
      <w:r>
        <w:rPr>
          <w:rFonts w:ascii="Times New Roman"/>
          <w:b w:val="false"/>
          <w:i w:val="false"/>
          <w:color w:val="000000"/>
          <w:sz w:val="28"/>
        </w:rPr>
        <w:t>
      санитарные требования и процедуры;</w:t>
      </w:r>
      <w:r>
        <w:br/>
      </w:r>
      <w:r>
        <w:rPr>
          <w:rFonts w:ascii="Times New Roman"/>
          <w:b w:val="false"/>
          <w:i w:val="false"/>
          <w:color w:val="000000"/>
          <w:sz w:val="28"/>
        </w:rPr>
        <w:t>
      ветеринарно-санитарные и карантинные фитосанитарные требования, имеющие общий характер;</w:t>
      </w:r>
      <w:r>
        <w:br/>
      </w:r>
      <w:r>
        <w:rPr>
          <w:rFonts w:ascii="Times New Roman"/>
          <w:b w:val="false"/>
          <w:i w:val="false"/>
          <w:color w:val="000000"/>
          <w:sz w:val="28"/>
        </w:rPr>
        <w:t>
      специфические требования, отражающие особенности, связанные с характерными для государств – членов Союза климатическими и географическими факторами или технологическими особенностями, и действующие только на территориях государств – членов Союза;</w:t>
      </w:r>
      <w:r>
        <w:br/>
      </w:r>
      <w:r>
        <w:rPr>
          <w:rFonts w:ascii="Times New Roman"/>
          <w:b w:val="false"/>
          <w:i w:val="false"/>
          <w:color w:val="000000"/>
          <w:sz w:val="28"/>
        </w:rPr>
        <w:t>
      специальные требования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требования к терминологии, упаковке, маркировке, этикеткам и правилам их нанесения, обеспечивающие защиту отдельных категорий граждан (несовершеннолетних, беременных женщин, кормящих матерей, инвалидов), с учетом степени риска причинения вреда.</w:t>
      </w:r>
      <w:r>
        <w:br/>
      </w:r>
      <w:r>
        <w:rPr>
          <w:rFonts w:ascii="Times New Roman"/>
          <w:b w:val="false"/>
          <w:i w:val="false"/>
          <w:color w:val="000000"/>
          <w:sz w:val="28"/>
        </w:rPr>
        <w:t>
      В зависимости от подхода к изложению требований с учетом анализа рисков, характерных для объектов технического регулирования, раздел «Требования к объектам технического регулирования» технического регламента Союза может содержать перечень и описание характерных опасных факторов объектов технического регулирования, а также требования к объектам технического регулирования технического регламента Союза, которые могут быть установлены в общем виде и (или) содержать конкретные значения показателей, включая числовые значения.</w:t>
      </w:r>
      <w:r>
        <w:br/>
      </w:r>
      <w:r>
        <w:rPr>
          <w:rFonts w:ascii="Times New Roman"/>
          <w:b w:val="false"/>
          <w:i w:val="false"/>
          <w:color w:val="000000"/>
          <w:sz w:val="28"/>
        </w:rPr>
        <w:t>
      При установлении в разделе «Требования к объектам технического регулирования» технического регламента Союза конкретных значений показателей, включая числовые значения, следует применять единицы величин в соответствии с Международной системой единиц (СИ) или единицы величин в соответствии с перечнем внесистемных единиц величин, применяемых при разработке технических регламентов Союза, включая их соотношения с Международной системой единиц (СИ), утверждаемым Комиссией.</w:t>
      </w:r>
      <w:r>
        <w:br/>
      </w:r>
      <w:r>
        <w:rPr>
          <w:rFonts w:ascii="Times New Roman"/>
          <w:b w:val="false"/>
          <w:i w:val="false"/>
          <w:color w:val="000000"/>
          <w:sz w:val="28"/>
        </w:rPr>
        <w:t>
      В раздел «Требования к объектам технического регулирования» технического регламента Союза при установлении требований к процессу эксплуатации могут быть также включены требования к содержанию эксплуатационной документации.</w:t>
      </w:r>
      <w:r>
        <w:br/>
      </w:r>
      <w:r>
        <w:rPr>
          <w:rFonts w:ascii="Times New Roman"/>
          <w:b w:val="false"/>
          <w:i w:val="false"/>
          <w:color w:val="000000"/>
          <w:sz w:val="28"/>
        </w:rPr>
        <w:t>
      Раздел «Требования к объектам технического регулирования» технического регламента Союза может содержать подразделы, в которых устанавливаются требования к отдельным объектам технического регулирования технического регламента Союза.</w:t>
      </w:r>
      <w:r>
        <w:br/>
      </w:r>
      <w:r>
        <w:rPr>
          <w:rFonts w:ascii="Times New Roman"/>
          <w:b w:val="false"/>
          <w:i w:val="false"/>
          <w:color w:val="000000"/>
          <w:sz w:val="28"/>
        </w:rPr>
        <w:t>
      При значительном объеме требований к объектам технического регулирования технического регламента Союза допускается их приведение в приложениях к техническому регламенту Союза.</w:t>
      </w:r>
      <w:r>
        <w:br/>
      </w:r>
      <w:r>
        <w:rPr>
          <w:rFonts w:ascii="Times New Roman"/>
          <w:b w:val="false"/>
          <w:i w:val="false"/>
          <w:color w:val="000000"/>
          <w:sz w:val="28"/>
        </w:rPr>
        <w:t>
      В разделе «Требования к объектам технического регулирования» технического регламента Союза могут быть также указаны ссылки на принятые технические регламенты Союза, в которых уже установлены требования к объектам технического регулирования технического регламента Союза.</w:t>
      </w:r>
      <w:r>
        <w:br/>
      </w:r>
      <w:r>
        <w:rPr>
          <w:rFonts w:ascii="Times New Roman"/>
          <w:b w:val="false"/>
          <w:i w:val="false"/>
          <w:color w:val="000000"/>
          <w:sz w:val="28"/>
        </w:rPr>
        <w:t>
      В разделе «Требования к объектам технического регулирования» технического регламента Союза рекомендуется не использовать ссылки на законодательство государств – членов Союза, где это возможно.</w:t>
      </w:r>
      <w:r>
        <w:br/>
      </w:r>
      <w:r>
        <w:rPr>
          <w:rFonts w:ascii="Times New Roman"/>
          <w:b w:val="false"/>
          <w:i w:val="false"/>
          <w:color w:val="000000"/>
          <w:sz w:val="28"/>
        </w:rPr>
        <w:t>
      Технический регламент Союза не должен содержать требования к конструкции продукции, являющейся объектом технического регулирования технического регламента Союза, за исключением случаев, если установление таких требований необходимо для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а также обеспечения энергетической эффективности и ресурсосбережения.</w:t>
      </w:r>
      <w:r>
        <w:br/>
      </w:r>
      <w:r>
        <w:rPr>
          <w:rFonts w:ascii="Times New Roman"/>
          <w:b w:val="false"/>
          <w:i w:val="false"/>
          <w:color w:val="000000"/>
          <w:sz w:val="28"/>
        </w:rPr>
        <w:t>
      В случае если установление в техническом регламенте Союза требований к конструкции продукции, являющейся объектом технического регулирования технического регламента Союза, необходимо для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 а также обеспечения энергетической эффективности и ресурсосбережения, в разделе «Требования к объектам технического регулирования» допускается приведение таких требований непосредственно.</w:t>
      </w:r>
      <w:r>
        <w:br/>
      </w:r>
      <w:r>
        <w:rPr>
          <w:rFonts w:ascii="Times New Roman"/>
          <w:b w:val="false"/>
          <w:i w:val="false"/>
          <w:color w:val="000000"/>
          <w:sz w:val="28"/>
        </w:rPr>
        <w:t>
</w:t>
      </w:r>
      <w:r>
        <w:rPr>
          <w:rFonts w:ascii="Times New Roman"/>
          <w:b w:val="false"/>
          <w:i w:val="false"/>
          <w:color w:val="000000"/>
          <w:sz w:val="28"/>
        </w:rPr>
        <w:t>
      11. В разделе «Обеспечение соответствия объектов технического регулирования требованиям технического регламента Евразийского экономического союза» технического регламента Союза целесообразно устанавливать условия обеспечения соответствия объектов технического регулирования требованиям технического регламента Союза, в том числе положения о том, что обеспечение соответствия может осуществляться в обоснованных случаях путем применения на добровольной основе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Союза, или иным способом с учетом специфики объектов технического регулирования.</w:t>
      </w:r>
      <w:r>
        <w:br/>
      </w:r>
      <w:r>
        <w:rPr>
          <w:rFonts w:ascii="Times New Roman"/>
          <w:b w:val="false"/>
          <w:i w:val="false"/>
          <w:color w:val="000000"/>
          <w:sz w:val="28"/>
        </w:rPr>
        <w:t>
      В разделе «Обеспечение соответствия объектов технического регулирования требованиям технического регламента Евразийского экономического союза» технического регламента Союза также может быть указано, что методы исследований (испытаний) и измерений, проводимых при оценке соответствия объектов технического регулирования требованиям технического регламента Союза,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Союза и осуществления оценки соответствия объектов технического регулирования.</w:t>
      </w:r>
      <w:r>
        <w:br/>
      </w:r>
      <w:r>
        <w:rPr>
          <w:rFonts w:ascii="Times New Roman"/>
          <w:b w:val="false"/>
          <w:i w:val="false"/>
          <w:color w:val="000000"/>
          <w:sz w:val="28"/>
        </w:rPr>
        <w:t>
</w:t>
      </w:r>
      <w:r>
        <w:rPr>
          <w:rFonts w:ascii="Times New Roman"/>
          <w:b w:val="false"/>
          <w:i w:val="false"/>
          <w:color w:val="000000"/>
          <w:sz w:val="28"/>
        </w:rPr>
        <w:t>
      12. В разделе «Оценка соответствия объектов технического регулирования» технического регламента Союза целесообразно устанавливать:</w:t>
      </w:r>
      <w:r>
        <w:br/>
      </w:r>
      <w:r>
        <w:rPr>
          <w:rFonts w:ascii="Times New Roman"/>
          <w:b w:val="false"/>
          <w:i w:val="false"/>
          <w:color w:val="000000"/>
          <w:sz w:val="28"/>
        </w:rPr>
        <w:t>
      формы, схемы и процедуры оценки соответствия объектов технического регулирования требованиям технического регламента Союза;</w:t>
      </w:r>
      <w:r>
        <w:br/>
      </w:r>
      <w:r>
        <w:rPr>
          <w:rFonts w:ascii="Times New Roman"/>
          <w:b w:val="false"/>
          <w:i w:val="false"/>
          <w:color w:val="000000"/>
          <w:sz w:val="28"/>
        </w:rPr>
        <w:t>
      круг заявителей при оценке соответствия объектов технического регулирования требованиям технического регламента Союза;</w:t>
      </w:r>
      <w:r>
        <w:br/>
      </w:r>
      <w:r>
        <w:rPr>
          <w:rFonts w:ascii="Times New Roman"/>
          <w:b w:val="false"/>
          <w:i w:val="false"/>
          <w:color w:val="000000"/>
          <w:sz w:val="28"/>
        </w:rPr>
        <w:t>
      комплект доказательственных материалов, формируемый заявителем при проведении оценки соответствия;</w:t>
      </w:r>
      <w:r>
        <w:br/>
      </w:r>
      <w:r>
        <w:rPr>
          <w:rFonts w:ascii="Times New Roman"/>
          <w:b w:val="false"/>
          <w:i w:val="false"/>
          <w:color w:val="000000"/>
          <w:sz w:val="28"/>
        </w:rPr>
        <w:t>
      сроки действия документов об оценке соответствия;</w:t>
      </w:r>
      <w:r>
        <w:br/>
      </w:r>
      <w:r>
        <w:rPr>
          <w:rFonts w:ascii="Times New Roman"/>
          <w:b w:val="false"/>
          <w:i w:val="false"/>
          <w:color w:val="000000"/>
          <w:sz w:val="28"/>
        </w:rPr>
        <w:t>
      положения, касающиеся регистрации и оформления документов об оценке соответствия в соответствии с актами Евразийской экономической комиссии (при необходимости);</w:t>
      </w:r>
      <w:r>
        <w:br/>
      </w:r>
      <w:r>
        <w:rPr>
          <w:rFonts w:ascii="Times New Roman"/>
          <w:b w:val="false"/>
          <w:i w:val="false"/>
          <w:color w:val="000000"/>
          <w:sz w:val="28"/>
        </w:rPr>
        <w:t>
      процедуры и условия продления, приостановления или прекращения действия документов об оценке соответствия (при необходимости).</w:t>
      </w:r>
      <w:r>
        <w:br/>
      </w:r>
      <w:r>
        <w:rPr>
          <w:rFonts w:ascii="Times New Roman"/>
          <w:b w:val="false"/>
          <w:i w:val="false"/>
          <w:color w:val="000000"/>
          <w:sz w:val="28"/>
        </w:rPr>
        <w:t>
      В разделе «Оценка соответствия объектов технического регулирования» технического регламента Союза формы, схемы и процедуры оценки соответствия устанавливаются на основе типовых схем оценки соответствия, утверждаемых Евразийской экономической комиссией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w:t>
      </w:r>
      <w:r>
        <w:br/>
      </w:r>
      <w:r>
        <w:rPr>
          <w:rFonts w:ascii="Times New Roman"/>
          <w:b w:val="false"/>
          <w:i w:val="false"/>
          <w:color w:val="000000"/>
          <w:sz w:val="28"/>
        </w:rPr>
        <w:t xml:space="preserve">
      Выбор форм и схем оценки соответствия осуществляется с учетом опасных факторов и на основе анализа рисков, характерных </w:t>
      </w:r>
      <w:r>
        <w:br/>
      </w:r>
      <w:r>
        <w:rPr>
          <w:rFonts w:ascii="Times New Roman"/>
          <w:b w:val="false"/>
          <w:i w:val="false"/>
          <w:color w:val="000000"/>
          <w:sz w:val="28"/>
        </w:rPr>
        <w:t>
для объектов технического регулирования технического регламента Союза.</w:t>
      </w:r>
      <w:r>
        <w:br/>
      </w:r>
      <w:r>
        <w:rPr>
          <w:rFonts w:ascii="Times New Roman"/>
          <w:b w:val="false"/>
          <w:i w:val="false"/>
          <w:color w:val="000000"/>
          <w:sz w:val="28"/>
        </w:rPr>
        <w:t>
      В случае если в ранее принятых технических регламентах Союза в отношении объектов технического регулирования технического регламента Союза уже установлены формы, схемы и процедуры оценки соответствия, в разделе «Оценка соответствия объектов технического регулирования» технического регламента Союза целесообразно устанавливать аналогичные формы, схемы и процедуры оценки соответствия.</w:t>
      </w:r>
      <w:r>
        <w:br/>
      </w:r>
      <w:r>
        <w:rPr>
          <w:rFonts w:ascii="Times New Roman"/>
          <w:b w:val="false"/>
          <w:i w:val="false"/>
          <w:color w:val="000000"/>
          <w:sz w:val="28"/>
        </w:rPr>
        <w:t>
</w:t>
      </w:r>
      <w:r>
        <w:rPr>
          <w:rFonts w:ascii="Times New Roman"/>
          <w:b w:val="false"/>
          <w:i w:val="false"/>
          <w:color w:val="000000"/>
          <w:sz w:val="28"/>
        </w:rPr>
        <w:t>
      13. В разделе «Маркировка единым знаком обращения продукции на рынке Евразийского экономического союза» технического регламента Союза могут быть приведены правила, условия и способы нанесения единого знака обращения продукции на рынке Евразийского экономического союза, а также может указываться этап, на котором осуществляется маркировка единым знаком обращения продукции на рынке Евразийского экономического союза.</w:t>
      </w:r>
      <w:r>
        <w:br/>
      </w:r>
      <w:r>
        <w:rPr>
          <w:rFonts w:ascii="Times New Roman"/>
          <w:b w:val="false"/>
          <w:i w:val="false"/>
          <w:color w:val="000000"/>
          <w:sz w:val="28"/>
        </w:rPr>
        <w:t>
      При необходимости в разделе «Маркировка единым знаком обращения продукции на рынке Евразийского экономического союза» технического регламента Союза также указывается, что маркировка продукции, являющейся объектом технического регулирования технического регламента Союза, единым знаком обращения продукции на рынке Евразийского экономического союза свидетельствует о ее соответствии всем техническим регламентам Союза, действие которых на нее распространяется.</w:t>
      </w:r>
      <w:r>
        <w:br/>
      </w:r>
      <w:r>
        <w:rPr>
          <w:rFonts w:ascii="Times New Roman"/>
          <w:b w:val="false"/>
          <w:i w:val="false"/>
          <w:color w:val="000000"/>
          <w:sz w:val="28"/>
        </w:rPr>
        <w:t>
</w:t>
      </w:r>
      <w:r>
        <w:rPr>
          <w:rFonts w:ascii="Times New Roman"/>
          <w:b w:val="false"/>
          <w:i w:val="false"/>
          <w:color w:val="000000"/>
          <w:sz w:val="28"/>
        </w:rPr>
        <w:t>
      14. В разделе «Порядок введения в действие технического регламента Евразийского экономического союза и переходные положения» технического регламента Союза определяются порядок введения в действие требований технического регламента Союза и переходные положения.</w:t>
      </w:r>
      <w:r>
        <w:br/>
      </w:r>
      <w:r>
        <w:rPr>
          <w:rFonts w:ascii="Times New Roman"/>
          <w:b w:val="false"/>
          <w:i w:val="false"/>
          <w:color w:val="000000"/>
          <w:sz w:val="28"/>
        </w:rPr>
        <w:t>
      Порядок введения в действие требований технического регламента Союза и переходные положения, которые устанавливаются в указанном разделе, могут содержать:</w:t>
      </w:r>
      <w:r>
        <w:br/>
      </w:r>
      <w:r>
        <w:rPr>
          <w:rFonts w:ascii="Times New Roman"/>
          <w:b w:val="false"/>
          <w:i w:val="false"/>
          <w:color w:val="000000"/>
          <w:sz w:val="28"/>
        </w:rPr>
        <w:t>
      сроки действия документов об оценке соответствия обязательным требованиям, установленным актами, входящими в право Союза, или законодательством государства – члена Союза, выданных или принятых в отношении продукции, являющейся объектом технического регулирования технического регламента Союза, до дня вступления в силу технического регламента Союза;</w:t>
      </w:r>
      <w:r>
        <w:br/>
      </w:r>
      <w:r>
        <w:rPr>
          <w:rFonts w:ascii="Times New Roman"/>
          <w:b w:val="false"/>
          <w:i w:val="false"/>
          <w:color w:val="000000"/>
          <w:sz w:val="28"/>
        </w:rPr>
        <w:t>
      сроки и условия производства и выпуска в обращение продукции, являющейся объектом технического регулирования технического регламента Союза, в соответствии с обязательными требованиями, ранее установленными актами, входящими в право Союза, или законодательством государства – члена Союза;</w:t>
      </w:r>
      <w:r>
        <w:br/>
      </w:r>
      <w:r>
        <w:rPr>
          <w:rFonts w:ascii="Times New Roman"/>
          <w:b w:val="false"/>
          <w:i w:val="false"/>
          <w:color w:val="000000"/>
          <w:sz w:val="28"/>
        </w:rPr>
        <w:t>
      сроки и условия производства и выпуска в обращение продукции, являющейся объектом технического регулирования технического регламента Союза, не подлежавшей до дня вступления в силу технического регламента Союза обязательной оценке соответствия согласно актам, входящим в право Союза, или законодательству государств – членов Союза;</w:t>
      </w:r>
      <w:r>
        <w:br/>
      </w:r>
      <w:r>
        <w:rPr>
          <w:rFonts w:ascii="Times New Roman"/>
          <w:b w:val="false"/>
          <w:i w:val="false"/>
          <w:color w:val="000000"/>
          <w:sz w:val="28"/>
        </w:rPr>
        <w:t>
      иные положения.</w:t>
      </w:r>
      <w:r>
        <w:br/>
      </w:r>
      <w:r>
        <w:rPr>
          <w:rFonts w:ascii="Times New Roman"/>
          <w:b w:val="false"/>
          <w:i w:val="false"/>
          <w:color w:val="000000"/>
          <w:sz w:val="28"/>
        </w:rPr>
        <w:t>
</w:t>
      </w:r>
      <w:r>
        <w:rPr>
          <w:rFonts w:ascii="Times New Roman"/>
          <w:b w:val="false"/>
          <w:i w:val="false"/>
          <w:color w:val="000000"/>
          <w:sz w:val="28"/>
        </w:rPr>
        <w:t>
      15. В приложениях к техническому регламенту Союза в случае значительного объема могут приводиться:</w:t>
      </w:r>
      <w:r>
        <w:br/>
      </w:r>
      <w:r>
        <w:rPr>
          <w:rFonts w:ascii="Times New Roman"/>
          <w:b w:val="false"/>
          <w:i w:val="false"/>
          <w:color w:val="000000"/>
          <w:sz w:val="28"/>
        </w:rPr>
        <w:t>
      перечень объектов технического регулирования, на которые распространяется (не распространяется) действие технического регламента Союза;</w:t>
      </w:r>
      <w:r>
        <w:br/>
      </w:r>
      <w:r>
        <w:rPr>
          <w:rFonts w:ascii="Times New Roman"/>
          <w:b w:val="false"/>
          <w:i w:val="false"/>
          <w:color w:val="000000"/>
          <w:sz w:val="28"/>
        </w:rPr>
        <w:t>
      требования к объектам технического регулирования технического регламента Союза;</w:t>
      </w:r>
      <w:r>
        <w:br/>
      </w:r>
      <w:r>
        <w:rPr>
          <w:rFonts w:ascii="Times New Roman"/>
          <w:b w:val="false"/>
          <w:i w:val="false"/>
          <w:color w:val="000000"/>
          <w:sz w:val="28"/>
        </w:rPr>
        <w:t>
      перечень опасных факторов, характерных для объектов технического регулирования технического регламента Союза;</w:t>
      </w:r>
      <w:r>
        <w:br/>
      </w:r>
      <w:r>
        <w:rPr>
          <w:rFonts w:ascii="Times New Roman"/>
          <w:b w:val="false"/>
          <w:i w:val="false"/>
          <w:color w:val="000000"/>
          <w:sz w:val="28"/>
        </w:rPr>
        <w:t>
      иные положения.</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