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bd65" w14:textId="867bd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Евразийского межправительственного совета "О причинах изменения динамики взаимной торговли государств – членов Таможенного союза и Единого экономического пространства в 2010 – 2014 годах и предложениях по наращиванию объемов взаимного товарооборота государств – членов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апреля 2015 года   № 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пункта 1 распоряжения Евразийского межправительственного совета от 6 февраля 2015 г. № 4 и приняв к сведению доклад Коллегии Евразийской экономической комиссии о причинах изменения динамики взаимной торговли государств – членов Таможенного союза и Единого экономического пространства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– 2014 годах и предложениях по наращиванию объемов взаимного товарооборота государств – членов Евразийского экономического союза (далее – доклад),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 </w:t>
      </w:r>
      <w:r>
        <w:rPr>
          <w:rFonts w:ascii="Times New Roman"/>
          <w:b w:val="false"/>
          <w:i w:val="false"/>
          <w:color w:val="000000"/>
          <w:sz w:val="28"/>
        </w:rPr>
        <w:t>распоряжения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«О причинах изменения динамики взаимной торговли государств – членов Таможенного союза и Единого экономического пространства в 2010 – 2014 годах и предложениях по наращиванию объемов взаимного товарооборота государств – членов Евразийского экономического союза» (прилагается) и представить его для рассмотрения Евразийским межправительственным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Государствам – членам Евразийского экономического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10 мая 2015 г. представить в Евразийскую экономическую комиссию предложения по наращиванию объемов взаимного товарооборота государств – членов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Евразийской экономической комиссии совместно с государствами – членами Евразийского экономического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18 мая 2015 г. обеспечить проведение на уровне заместителей министров, ответственных за развитие торгово-экономических отношений, совещания для рассмотрения предложений, представленных в соответствии с пунктом 2 настоящего Решения, и доработки доклада.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по истечении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39"/>
        <w:gridCol w:w="3563"/>
        <w:gridCol w:w="3449"/>
        <w:gridCol w:w="3449"/>
      </w:tblGrid>
      <w:tr>
        <w:trPr>
          <w:trHeight w:val="30" w:hRule="atLeast"/>
        </w:trPr>
        <w:tc>
          <w:tcPr>
            <w:tcW w:w="3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4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4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3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3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34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34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РАСПОРЯЖЕНИЕ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00"/>
        <w:gridCol w:w="2720"/>
        <w:gridCol w:w="4940"/>
      </w:tblGrid>
      <w:tr>
        <w:trPr>
          <w:trHeight w:val="30" w:hRule="atLeast"/>
        </w:trPr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«   » 20   г.</w:t>
            </w:r>
          </w:p>
        </w:tc>
        <w:tc>
          <w:tcPr>
            <w:tcW w:w="2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 №</w:t>
            </w:r>
          </w:p>
        </w:tc>
        <w:tc>
          <w:tcPr>
            <w:tcW w:w="4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              г.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причинах изменения динамики взаимной торговли</w:t>
      </w:r>
      <w:r>
        <w:br/>
      </w:r>
      <w:r>
        <w:rPr>
          <w:rFonts w:ascii="Times New Roman"/>
          <w:b/>
          <w:i w:val="false"/>
          <w:color w:val="000000"/>
        </w:rPr>
        <w:t>
государств – членов Таможенного союза и Единого экономического</w:t>
      </w:r>
      <w:r>
        <w:br/>
      </w:r>
      <w:r>
        <w:rPr>
          <w:rFonts w:ascii="Times New Roman"/>
          <w:b/>
          <w:i w:val="false"/>
          <w:color w:val="000000"/>
        </w:rPr>
        <w:t>
пространства в 2010 – 2014 годах и предложениях по наращиванию</w:t>
      </w:r>
      <w:r>
        <w:br/>
      </w:r>
      <w:r>
        <w:rPr>
          <w:rFonts w:ascii="Times New Roman"/>
          <w:b/>
          <w:i w:val="false"/>
          <w:color w:val="000000"/>
        </w:rPr>
        <w:t>
объемов взаимного товарооборота государств – членов</w:t>
      </w:r>
      <w:r>
        <w:br/>
      </w:r>
      <w:r>
        <w:rPr>
          <w:rFonts w:ascii="Times New Roman"/>
          <w:b/>
          <w:i w:val="false"/>
          <w:color w:val="000000"/>
        </w:rPr>
        <w:t>
Евразийского экономического союза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Государствам – членам Евразийской экономического союза при проведении работы по расширению торгово-экономического сотрудничества учитывать положения доклада Евразийской экономической комиссии о результатах анализа динамики взаимной торговли государств – членов Таможенного союза и Единого экономического пространства в 2010 – 2014 годах, включая предложения по наращиванию объемов взаимного товарооборота государств – членов Евразийского экономического союза.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Члены Евразийского межправительственного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709"/>
        <w:gridCol w:w="3505"/>
        <w:gridCol w:w="3506"/>
        <w:gridCol w:w="3280"/>
      </w:tblGrid>
      <w:tr>
        <w:trPr>
          <w:trHeight w:val="30" w:hRule="atLeast"/>
        </w:trPr>
        <w:tc>
          <w:tcPr>
            <w:tcW w:w="37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