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2b03" w14:textId="5ce2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начале переговоров с Китайской Народной Республикой по заключению соглашения о торгово-экономическом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 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начале переговоров с Китайской Народной Республикой по заключению соглашения о торгово-экономическом сотрудничестве» (прилагается) и внести его для рассмотрения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2"/>
        <w:gridCol w:w="3488"/>
        <w:gridCol w:w="3135"/>
        <w:gridCol w:w="3095"/>
      </w:tblGrid>
      <w:tr>
        <w:trPr>
          <w:trHeight w:val="30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1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начале переговоров с Китайской Народной Республикой по</w:t>
      </w:r>
      <w:r>
        <w:br/>
      </w:r>
      <w:r>
        <w:rPr>
          <w:rFonts w:ascii="Times New Roman"/>
          <w:b/>
          <w:i w:val="false"/>
          <w:color w:val="000000"/>
        </w:rPr>
        <w:t>
заключению соглашения о торгово-экономическом сотрудничестве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 участием государств – членов Евразийского экономического союза начать переговоры с Китайской Народной Республикой о заключении соглашения о торгово-экономическом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в установленном порядке утвердить директивы для проведения переговоров, указанных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50"/>
        <w:gridCol w:w="3250"/>
        <w:gridCol w:w="3250"/>
        <w:gridCol w:w="3250"/>
      </w:tblGrid>
      <w:tr>
        <w:trPr>
          <w:trHeight w:val="30" w:hRule="atLeast"/>
        </w:trPr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