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d2b6" w14:textId="5e1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Высшего Евразийского экономического совета "О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распоряжения Высшего Евразийского экономического совета «О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года» (прилагается) и представить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результатах работы по реализации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регулирования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от 9 декабря 2010 года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Евразийской экономической комиссии о результатах работы по реализации в 2014 году Соглашения о единых принципах и правилах регулирования деятельности субъектов естественных монополий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в соответствии с подпунктом 5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года) представить для рассмотрения Высшим Евразийским экономическим советом в первом полугодии 2016 г. согласованную с уполномоченными органами государств – членов Евразийского экономического союза информацию о результатах проведенной в 2015 году работы, указанной в подпунктах 3 и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 20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