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8d9" w14:textId="44a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октября 2015 года № 105.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2012 г. № 113,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3"/>
        <w:gridCol w:w="1973"/>
        <w:gridCol w:w="893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агропромышленного и лесного комплексов, окружающей среды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Феофанович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агропромышленного и лесного комплексов, окружающей среды Министерства экономики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2"/>
        <w:gridCol w:w="1943"/>
        <w:gridCol w:w="898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Жумабекович</w:t>
            </w:r>
          </w:p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продовольственной безопасности и агромаркетинга Министерства сельского хозяйства и мелиорации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1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мелиорации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1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 Абылкасымович</w:t>
            </w:r>
          </w:p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предпринимательству в агропромышленном комплексе и перерабатывающей промышленности Торгово-промышленной палаты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7"/>
        <w:gridCol w:w="3140"/>
        <w:gridCol w:w="694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Гангало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Львович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Кудасова А.Э., Ошакбаева Р.С., Шестакова И.В. и Юрьева Д.В.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экономической</w:t>
      </w:r>
      <w:r>
        <w:rPr>
          <w:rFonts w:ascii="Times New Roman"/>
          <w:b w:val="false"/>
          <w:i/>
          <w:color w:val="000000"/>
          <w:sz w:val="28"/>
        </w:rPr>
        <w:t xml:space="preserve"> комиссии                    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