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e48f" w14:textId="133e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безопасности, качества и эффективности медицинских изделий</w:t>
      </w:r>
    </w:p>
    <w:p>
      <w:pPr>
        <w:spacing w:after="0"/>
        <w:ind w:left="0"/>
        <w:jc w:val="both"/>
      </w:pPr>
      <w:r>
        <w:rPr>
          <w:rFonts w:ascii="Times New Roman"/>
          <w:b w:val="false"/>
          <w:i w:val="false"/>
          <w:color w:val="000000"/>
          <w:sz w:val="28"/>
        </w:rPr>
        <w:t>Решение Коллегии Евразийской экономической комиссии от 22 декабря 2015 года № 174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8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25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мониторинга безопасности, качества и эффективности медицинских изделий.</w:t>
      </w:r>
      <w:r>
        <w:br/>
      </w:r>
      <w:r>
        <w:rPr>
          <w:rFonts w:ascii="Times New Roman"/>
          <w:b w:val="false"/>
          <w:i w:val="false"/>
          <w:color w:val="000000"/>
          <w:sz w:val="28"/>
        </w:rPr>
        <w:t>
</w:t>
      </w:r>
      <w:r>
        <w:rPr>
          <w:rFonts w:ascii="Times New Roman"/>
          <w:b w:val="false"/>
          <w:i w:val="false"/>
          <w:color w:val="000000"/>
          <w:sz w:val="28"/>
        </w:rPr>
        <w:t>
      2.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по истечении 30 календарных дней с даты вступления в силу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либо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в зависимости от того, какая дата является более поздней, но не ранее чем по истечении 30 календарных дней с даты официального опубликования настоящего Решения.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Коллегии Евразийской</w:t>
      </w:r>
      <w:r>
        <w:br/>
      </w:r>
      <w:r>
        <w:rPr>
          <w:rFonts w:ascii="Times New Roman"/>
          <w:b w:val="false"/>
          <w:i w:val="false"/>
          <w:color w:val="000000"/>
          <w:sz w:val="28"/>
        </w:rPr>
        <w:t>
</w:t>
      </w:r>
      <w:r>
        <w:rPr>
          <w:rFonts w:ascii="Times New Roman"/>
          <w:b w:val="false"/>
          <w:i/>
          <w:color w:val="000000"/>
          <w:sz w:val="28"/>
        </w:rPr>
        <w:t>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УТВЕРЖДЕНЫ             </w:t>
      </w:r>
    </w:p>
    <w:bookmarkEnd w:id="1"/>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22 декабря 2015 г. № 174    </w:t>
      </w:r>
    </w:p>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проведения мониторинга безопасности, </w:t>
      </w:r>
      <w:r>
        <w:br/>
      </w:r>
      <w:r>
        <w:rPr>
          <w:rFonts w:ascii="Times New Roman"/>
          <w:b/>
          <w:i w:val="false"/>
          <w:color w:val="000000"/>
        </w:rPr>
        <w:t>
качества и эффективности медицинских изделий</w:t>
      </w:r>
    </w:p>
    <w:bookmarkEnd w:id="2"/>
    <w:bookmarkStart w:name="z6"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и </w:t>
      </w:r>
      <w:r>
        <w:rPr>
          <w:rFonts w:ascii="Times New Roman"/>
          <w:b w:val="false"/>
          <w:i w:val="false"/>
          <w:color w:val="000000"/>
          <w:sz w:val="28"/>
        </w:rPr>
        <w:t>пунктом 2</w:t>
      </w:r>
      <w:r>
        <w:rPr>
          <w:rFonts w:ascii="Times New Roman"/>
          <w:b w:val="false"/>
          <w:i w:val="false"/>
          <w:color w:val="000000"/>
          <w:sz w:val="28"/>
        </w:rPr>
        <w:t xml:space="preserve"> статьи 8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проведения мониторинга безопасности, качества и эффективности медицинских изделий (далее – мониторинг).</w:t>
      </w:r>
      <w:r>
        <w:br/>
      </w:r>
      <w:r>
        <w:rPr>
          <w:rFonts w:ascii="Times New Roman"/>
          <w:b w:val="false"/>
          <w:i w:val="false"/>
          <w:color w:val="000000"/>
          <w:sz w:val="28"/>
        </w:rPr>
        <w:t>
</w:t>
      </w:r>
      <w:r>
        <w:rPr>
          <w:rFonts w:ascii="Times New Roman"/>
          <w:b w:val="false"/>
          <w:i w:val="false"/>
          <w:color w:val="000000"/>
          <w:sz w:val="28"/>
        </w:rPr>
        <w:t>
      2. Целями проведения мониторинга являются обеспечение безопасности пользователей, сохранение и укрепление здоровья населения, повышение качества оказания медицинской помощи, выявление и предотвращение побочных действий и нежелательных реакций, не указанных в инструкции по применению или руководстве по эксплуатации медицинского изделия (далее – инструкция по применению), неблагоприятных событий (инцидентов), обращения медицинских изделий, не соответствующих утверждаемым Евразийской экономической комиссией общим требованиям безопасности и эффективности медицинских изделий, требованиям к их маркировке и эксплуатационной документации на них.</w:t>
      </w:r>
      <w:r>
        <w:br/>
      </w:r>
      <w:r>
        <w:rPr>
          <w:rFonts w:ascii="Times New Roman"/>
          <w:b w:val="false"/>
          <w:i w:val="false"/>
          <w:color w:val="000000"/>
          <w:sz w:val="28"/>
        </w:rPr>
        <w:t>
</w:t>
      </w:r>
      <w:r>
        <w:rPr>
          <w:rFonts w:ascii="Times New Roman"/>
          <w:b w:val="false"/>
          <w:i w:val="false"/>
          <w:color w:val="000000"/>
          <w:sz w:val="28"/>
        </w:rPr>
        <w:t xml:space="preserve">
      3. Мониторинг включает в себя сбор, регистрацию, анализ информации о неблагоприятных событиях (инцидентах) и принятие соответствующих решений. </w:t>
      </w:r>
      <w:r>
        <w:br/>
      </w:r>
      <w:r>
        <w:rPr>
          <w:rFonts w:ascii="Times New Roman"/>
          <w:b w:val="false"/>
          <w:i w:val="false"/>
          <w:color w:val="000000"/>
          <w:sz w:val="28"/>
        </w:rPr>
        <w:t>
</w:t>
      </w:r>
      <w:r>
        <w:rPr>
          <w:rFonts w:ascii="Times New Roman"/>
          <w:b w:val="false"/>
          <w:i w:val="false"/>
          <w:color w:val="000000"/>
          <w:sz w:val="28"/>
        </w:rPr>
        <w:t>
      4. Мониторинг основывается на:</w:t>
      </w:r>
      <w:r>
        <w:br/>
      </w:r>
      <w:r>
        <w:rPr>
          <w:rFonts w:ascii="Times New Roman"/>
          <w:b w:val="false"/>
          <w:i w:val="false"/>
          <w:color w:val="000000"/>
          <w:sz w:val="28"/>
        </w:rPr>
        <w:t>
      а) анализе сообщений о неблагоприятных событиях (инцидентах) на всех этапах обращения медицинских изделий в рамках Евразийского экономического союза (далее – Союз), полученных:</w:t>
      </w:r>
      <w:r>
        <w:br/>
      </w:r>
      <w:r>
        <w:rPr>
          <w:rFonts w:ascii="Times New Roman"/>
          <w:b w:val="false"/>
          <w:i w:val="false"/>
          <w:color w:val="000000"/>
          <w:sz w:val="28"/>
        </w:rPr>
        <w:t>
      от пользователей медицинских изделий;</w:t>
      </w:r>
      <w:r>
        <w:br/>
      </w:r>
      <w:r>
        <w:rPr>
          <w:rFonts w:ascii="Times New Roman"/>
          <w:b w:val="false"/>
          <w:i w:val="false"/>
          <w:color w:val="000000"/>
          <w:sz w:val="28"/>
        </w:rPr>
        <w:t>
      от производителей медицинских изделий;</w:t>
      </w:r>
      <w:r>
        <w:br/>
      </w:r>
      <w:r>
        <w:rPr>
          <w:rFonts w:ascii="Times New Roman"/>
          <w:b w:val="false"/>
          <w:i w:val="false"/>
          <w:color w:val="000000"/>
          <w:sz w:val="28"/>
        </w:rPr>
        <w:t>
      при осуществлении уполномоченными органами государств –членов Союза государственного контроля (надзора) за обращением медицинских изделий;</w:t>
      </w:r>
      <w:r>
        <w:br/>
      </w:r>
      <w:r>
        <w:rPr>
          <w:rFonts w:ascii="Times New Roman"/>
          <w:b w:val="false"/>
          <w:i w:val="false"/>
          <w:color w:val="000000"/>
          <w:sz w:val="28"/>
        </w:rPr>
        <w:t>
      б) анализе периодических отчетов о безопасности и клинической эффективности медицинских изделий класса потенциального риска применения 3, а также имплантируемых в организм человека медицинских изделий классов потенциального риска применения 2б и 3 на пострегистрационном этапе, полученных от производителей медицинских изделий или от их уполномоченных представителей;</w:t>
      </w:r>
      <w:r>
        <w:br/>
      </w:r>
      <w:r>
        <w:rPr>
          <w:rFonts w:ascii="Times New Roman"/>
          <w:b w:val="false"/>
          <w:i w:val="false"/>
          <w:color w:val="000000"/>
          <w:sz w:val="28"/>
        </w:rPr>
        <w:t>
      в) системе сбора и анализа данных производителя медицинских изделий о безопасности и эффективности медицинских изделий на постпродажном этапе и проведения корректирующих действий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применения, утверждаемыми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5. Для целей настоящих Правил используются понятия, которые означают следующее:</w:t>
      </w:r>
      <w:r>
        <w:br/>
      </w:r>
      <w:r>
        <w:rPr>
          <w:rFonts w:ascii="Times New Roman"/>
          <w:b w:val="false"/>
          <w:i w:val="false"/>
          <w:color w:val="000000"/>
          <w:sz w:val="28"/>
        </w:rPr>
        <w:t>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r>
        <w:br/>
      </w:r>
      <w:r>
        <w:rPr>
          <w:rFonts w:ascii="Times New Roman"/>
          <w:b w:val="false"/>
          <w:i w:val="false"/>
          <w:color w:val="000000"/>
          <w:sz w:val="28"/>
        </w:rPr>
        <w:t>
      «корректирующее действие по безопасности медицинского изделия» – действие,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 связанное с применением медицинского изделия. Такие действия могут включать в себя:</w:t>
      </w:r>
      <w:r>
        <w:br/>
      </w:r>
      <w:r>
        <w:rPr>
          <w:rFonts w:ascii="Times New Roman"/>
          <w:b w:val="false"/>
          <w:i w:val="false"/>
          <w:color w:val="000000"/>
          <w:sz w:val="28"/>
        </w:rPr>
        <w:t>
      возврат медицинского изделия производителю медицинских изделий или его уполномоченному представителю;</w:t>
      </w:r>
      <w:r>
        <w:br/>
      </w:r>
      <w:r>
        <w:rPr>
          <w:rFonts w:ascii="Times New Roman"/>
          <w:b w:val="false"/>
          <w:i w:val="false"/>
          <w:color w:val="000000"/>
          <w:sz w:val="28"/>
        </w:rPr>
        <w:t>
      модификацию медицинского изделия (модернизацию в соответствии с произведенными производителем медицинских изделий изменениями в конструкции медицинского изделия, изменение инструкций по применению, обновление программного обеспечения медицинского изделия);</w:t>
      </w:r>
      <w:r>
        <w:br/>
      </w:r>
      <w:r>
        <w:rPr>
          <w:rFonts w:ascii="Times New Roman"/>
          <w:b w:val="false"/>
          <w:i w:val="false"/>
          <w:color w:val="000000"/>
          <w:sz w:val="28"/>
        </w:rPr>
        <w:t>
      замену медицинского изделия;</w:t>
      </w:r>
      <w:r>
        <w:br/>
      </w:r>
      <w:r>
        <w:rPr>
          <w:rFonts w:ascii="Times New Roman"/>
          <w:b w:val="false"/>
          <w:i w:val="false"/>
          <w:color w:val="000000"/>
          <w:sz w:val="28"/>
        </w:rPr>
        <w:t>
      изъятие медицинского изделия из обращения;</w:t>
      </w:r>
      <w:r>
        <w:br/>
      </w:r>
      <w:r>
        <w:rPr>
          <w:rFonts w:ascii="Times New Roman"/>
          <w:b w:val="false"/>
          <w:i w:val="false"/>
          <w:color w:val="000000"/>
          <w:sz w:val="28"/>
        </w:rPr>
        <w:t>
      уничтожение медицинского изделия;</w:t>
      </w:r>
      <w:r>
        <w:br/>
      </w:r>
      <w:r>
        <w:rPr>
          <w:rFonts w:ascii="Times New Roman"/>
          <w:b w:val="false"/>
          <w:i w:val="false"/>
          <w:color w:val="000000"/>
          <w:sz w:val="28"/>
        </w:rPr>
        <w:t>
      информирование о действиях пользователей медицинских изделий в случае, если медицинское изделие изъято из обращения, но имеется вероятность его использования;</w:t>
      </w:r>
      <w:r>
        <w:br/>
      </w:r>
      <w:r>
        <w:rPr>
          <w:rFonts w:ascii="Times New Roman"/>
          <w:b w:val="false"/>
          <w:i w:val="false"/>
          <w:color w:val="000000"/>
          <w:sz w:val="28"/>
        </w:rPr>
        <w:t xml:space="preserve">
      «неблагоприятное событие (инцидент)» – любая неисправность </w:t>
      </w:r>
      <w:r>
        <w:br/>
      </w:r>
      <w:r>
        <w:rPr>
          <w:rFonts w:ascii="Times New Roman"/>
          <w:b w:val="false"/>
          <w:i w:val="false"/>
          <w:color w:val="000000"/>
          <w:sz w:val="28"/>
        </w:rPr>
        <w:t>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прямо или косвенно привели или могли привести к смерти или серьезному ухудшению состояния здоровья пользователей или третьих лиц (при этом под серьезным ухудшением состояния здоровья понимаются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r>
        <w:br/>
      </w:r>
      <w:r>
        <w:rPr>
          <w:rFonts w:ascii="Times New Roman"/>
          <w:b w:val="false"/>
          <w:i w:val="false"/>
          <w:color w:val="000000"/>
          <w:sz w:val="28"/>
        </w:rPr>
        <w:t>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r>
        <w:br/>
      </w:r>
      <w:r>
        <w:rPr>
          <w:rFonts w:ascii="Times New Roman"/>
          <w:b w:val="false"/>
          <w:i w:val="false"/>
          <w:color w:val="000000"/>
          <w:sz w:val="28"/>
        </w:rPr>
        <w:t xml:space="preserve">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 медицинских изделий; </w:t>
      </w:r>
      <w:r>
        <w:br/>
      </w:r>
      <w:r>
        <w:rPr>
          <w:rFonts w:ascii="Times New Roman"/>
          <w:b w:val="false"/>
          <w:i w:val="false"/>
          <w:color w:val="000000"/>
          <w:sz w:val="28"/>
        </w:rPr>
        <w:t>
      «референтное государство» – выбранное заявителем государство – член Союза, уполномоченный орган которого осуществляет регистрацию медицинского изделия;</w:t>
      </w:r>
      <w:r>
        <w:br/>
      </w:r>
      <w:r>
        <w:rPr>
          <w:rFonts w:ascii="Times New Roman"/>
          <w:b w:val="false"/>
          <w:i w:val="false"/>
          <w:color w:val="000000"/>
          <w:sz w:val="28"/>
        </w:rPr>
        <w:t>
      «серьезная угроза здоровью»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привели или могут приводить к неминуемому риску смерти, опасному для жизни заболеванию, необратимому поражению функции организма, необратимому повреждению строения тела или состоянию,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 и которые требуют неотложных медицинских действий;</w:t>
      </w:r>
      <w:r>
        <w:br/>
      </w:r>
      <w:r>
        <w:rPr>
          <w:rFonts w:ascii="Times New Roman"/>
          <w:b w:val="false"/>
          <w:i w:val="false"/>
          <w:color w:val="000000"/>
          <w:sz w:val="28"/>
        </w:rPr>
        <w:t>
      «сопроводительная информация (документация)» – маркировка, инструкция по применению и другая информация, относящаяся к идентификации, описанию, назначению, правилам эксплуатации медицинского изделия, кроме отгрузочных документов;</w:t>
      </w:r>
      <w:r>
        <w:br/>
      </w:r>
      <w:r>
        <w:rPr>
          <w:rFonts w:ascii="Times New Roman"/>
          <w:b w:val="false"/>
          <w:i w:val="false"/>
          <w:color w:val="000000"/>
          <w:sz w:val="28"/>
        </w:rPr>
        <w:t xml:space="preserve">
      «субъекты обращения медицинских изделий» – организации, созданные в установленном порядке в государствах – членах Союза, либо представительства иностранных организаций, аккредитованные в установленном порядке в государствах – членах Союза, либо индивидуальные предприниматели, зарегистрированные в </w:t>
      </w:r>
      <w:r>
        <w:br/>
      </w:r>
      <w:r>
        <w:rPr>
          <w:rFonts w:ascii="Times New Roman"/>
          <w:b w:val="false"/>
          <w:i w:val="false"/>
          <w:color w:val="000000"/>
          <w:sz w:val="28"/>
        </w:rPr>
        <w:t>
государствах – членах Союза, либо физические лица, осуществляющие технические испытания, исследования (испытания) с целью оценки биологического действия, клинические испытания, экспертизу безопасности, качества и эффективности медицинских изделий, их регистрацию, производство (изготовление), хранение, транспортировку, реализацию, монтаж, наладку, применение (эксплуатацию), техническое обслуживание, ремонт и утилизацию;</w:t>
      </w:r>
      <w:r>
        <w:br/>
      </w:r>
      <w:r>
        <w:rPr>
          <w:rFonts w:ascii="Times New Roman"/>
          <w:b w:val="false"/>
          <w:i w:val="false"/>
          <w:color w:val="000000"/>
          <w:sz w:val="28"/>
        </w:rPr>
        <w:t>
      «уведомление по безопасности медицинского изделия» – сообщение,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w:t>
      </w:r>
      <w:r>
        <w:br/>
      </w:r>
      <w:r>
        <w:rPr>
          <w:rFonts w:ascii="Times New Roman"/>
          <w:b w:val="false"/>
          <w:i w:val="false"/>
          <w:color w:val="000000"/>
          <w:sz w:val="28"/>
        </w:rPr>
        <w:t>
      «уполномоченный представитель производителя» – юридическое лицо или физическое лицо, зарегистрированное в качестве индивидуального предпринимателя, являющиеся резидентами государства – члена Союза, уполномоченные на основании доверенности производителя медицинских изделий представлять его интересы и нести ответственность по вопросам обращения медицинских изделий в рамках Союза и исполнения обязательных требований, предъявляемых к медицинским изделиям.</w:t>
      </w:r>
      <w:r>
        <w:br/>
      </w:r>
      <w:r>
        <w:rPr>
          <w:rFonts w:ascii="Times New Roman"/>
          <w:b w:val="false"/>
          <w:i w:val="false"/>
          <w:color w:val="000000"/>
          <w:sz w:val="28"/>
        </w:rPr>
        <w:t>
</w:t>
      </w:r>
      <w:r>
        <w:rPr>
          <w:rFonts w:ascii="Times New Roman"/>
          <w:b w:val="false"/>
          <w:i w:val="false"/>
          <w:color w:val="000000"/>
          <w:sz w:val="28"/>
        </w:rPr>
        <w:t xml:space="preserve">
      6. Производитель медицинских изделий или его уполномоченный представитель обязан представлять в уполномоченный орган государства – члена Союза, на территории которого произошло неблагоприятное событие (инцидент), отчет о неблагоприятном событии (инциденте) (далее – отчет об инциденте) и отчет о корректирующих действиях по безопасности медицинского изделия (далее – отчет о корректирующих действиях) по формам согласно приложениям № 1 и 2 путем их заполнения на информационном ресурсе уполномоченного органа государства – члена Союза в информационно-телекоммуникационной сети «Интернет» (далее – сеть Интернет). </w:t>
      </w:r>
      <w:r>
        <w:br/>
      </w:r>
      <w:r>
        <w:rPr>
          <w:rFonts w:ascii="Times New Roman"/>
          <w:b w:val="false"/>
          <w:i w:val="false"/>
          <w:color w:val="000000"/>
          <w:sz w:val="28"/>
        </w:rPr>
        <w:t>
      Первоначальный отчет об инциденте направляется в следующие сроки:</w:t>
      </w:r>
      <w:r>
        <w:br/>
      </w:r>
      <w:r>
        <w:rPr>
          <w:rFonts w:ascii="Times New Roman"/>
          <w:b w:val="false"/>
          <w:i w:val="false"/>
          <w:color w:val="000000"/>
          <w:sz w:val="28"/>
        </w:rPr>
        <w:t>
      в случае возникновения серьезной угрозы здоровью – незамедлительно (без неоправданных задержек), но не позднее чем через 2 календарных дня после того, как производителю медицинских изделий стало известно о наличии угрозы;</w:t>
      </w:r>
      <w:r>
        <w:br/>
      </w:r>
      <w:r>
        <w:rPr>
          <w:rFonts w:ascii="Times New Roman"/>
          <w:b w:val="false"/>
          <w:i w:val="false"/>
          <w:color w:val="000000"/>
          <w:sz w:val="28"/>
        </w:rPr>
        <w:t xml:space="preserve">
      в случае смерти или непредвиденного серьезного ухудшения состояния здоровья пользователя – незамедлительно </w:t>
      </w:r>
      <w:r>
        <w:br/>
      </w:r>
      <w:r>
        <w:rPr>
          <w:rFonts w:ascii="Times New Roman"/>
          <w:b w:val="false"/>
          <w:i w:val="false"/>
          <w:color w:val="000000"/>
          <w:sz w:val="28"/>
        </w:rPr>
        <w:t>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10 календарных дней после того, как производителю медицинских изделий стало известно о событии;</w:t>
      </w:r>
      <w:r>
        <w:br/>
      </w:r>
      <w:r>
        <w:rPr>
          <w:rFonts w:ascii="Times New Roman"/>
          <w:b w:val="false"/>
          <w:i w:val="false"/>
          <w:color w:val="000000"/>
          <w:sz w:val="28"/>
        </w:rPr>
        <w:t>
      в прочих случаях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30 календарных дней после того, как производителю медицинских изделий стало известно о событии.</w:t>
      </w:r>
      <w:r>
        <w:br/>
      </w:r>
      <w:r>
        <w:rPr>
          <w:rFonts w:ascii="Times New Roman"/>
          <w:b w:val="false"/>
          <w:i w:val="false"/>
          <w:color w:val="000000"/>
          <w:sz w:val="28"/>
        </w:rPr>
        <w:t xml:space="preserve">
      Медицинские организации, осуществляющие деятельность в сфере обращения медицинских изделий, должны информировать производителя медицинских изделий или его уполномоченного представителя о нежелательных событиях, которые имеют признаки неблагоприятного события (инцидента), а также предоставлять доступ к медицинским изделиям, с которыми могут быть связаны указанные события. </w:t>
      </w:r>
      <w:r>
        <w:br/>
      </w:r>
      <w:r>
        <w:rPr>
          <w:rFonts w:ascii="Times New Roman"/>
          <w:b w:val="false"/>
          <w:i w:val="false"/>
          <w:color w:val="000000"/>
          <w:sz w:val="28"/>
        </w:rPr>
        <w:t xml:space="preserve">
      Сообщения о неблагоприятном событии (инциденте) направляются в уполномоченный орган государства – члена Союза, на территории которого произошло указанное событие, любыми субъектами обращения медицинских изделий, в том числе осуществляющими их применение (пользователями, организациями здравоохранения), в форме извещения о неблагоприятном событии (инциденте) согласно приложению № 3. Извещение заполняется машинописным или рукописным способом на русском языке и (или) государственном языке государства – члена Союза. </w:t>
      </w:r>
      <w:r>
        <w:br/>
      </w:r>
      <w:r>
        <w:rPr>
          <w:rFonts w:ascii="Times New Roman"/>
          <w:b w:val="false"/>
          <w:i w:val="false"/>
          <w:color w:val="000000"/>
          <w:sz w:val="28"/>
        </w:rPr>
        <w:t xml:space="preserve">
      В извещении указывается достоверная информация, подтверждаемая соответствующими документами, копии которых прилагаются к извещению. </w:t>
      </w:r>
      <w:r>
        <w:br/>
      </w:r>
      <w:r>
        <w:rPr>
          <w:rFonts w:ascii="Times New Roman"/>
          <w:b w:val="false"/>
          <w:i w:val="false"/>
          <w:color w:val="000000"/>
          <w:sz w:val="28"/>
        </w:rPr>
        <w:t>
</w:t>
      </w:r>
      <w:r>
        <w:rPr>
          <w:rFonts w:ascii="Times New Roman"/>
          <w:b w:val="false"/>
          <w:i w:val="false"/>
          <w:color w:val="000000"/>
          <w:sz w:val="28"/>
        </w:rPr>
        <w:t>
      7. Уполномоченный орган государства – члена Союза, на территории которого произошло неблагоприятное событие (инцидент), регистрирует поступивший первоначальный отчет об инциденте, информирует производителя медицинских изделий или его уполномоченного представителя о получении указанного отчета и согласовывает с ним сроки представления последующего или заключительного отчета об инциденте, а также сроки представления первоначального, последующего (при необходимости) и заключительного отчетов о корректирующих действиях.</w:t>
      </w:r>
      <w:r>
        <w:br/>
      </w:r>
      <w:r>
        <w:rPr>
          <w:rFonts w:ascii="Times New Roman"/>
          <w:b w:val="false"/>
          <w:i w:val="false"/>
          <w:color w:val="000000"/>
          <w:sz w:val="28"/>
        </w:rPr>
        <w:t>
      Производитель медицинских изделий или его уполномоченный представитель вправе выполнить корректирующие действия до направления уполномоченному органу государства – члена Союза, на территории которого произошло неблагоприятное событие (инцидент), первоначального отчета о корректирующих действиях в экстренных случаях защиты пользователей или третьих лиц от угрозы смерти или серьезного ухудшения состояния здоровья. В этом случае первоначальный отчет о корректирующих действиях должен быть направлен в уполномоченный орган государства – члена Союза не позднее чем через 2 календарных дня после выполнения производителем медицинских изделий или его уполномоченным представителем корректирующих действий.</w:t>
      </w:r>
      <w:r>
        <w:br/>
      </w:r>
      <w:r>
        <w:rPr>
          <w:rFonts w:ascii="Times New Roman"/>
          <w:b w:val="false"/>
          <w:i w:val="false"/>
          <w:color w:val="000000"/>
          <w:sz w:val="28"/>
        </w:rPr>
        <w:t>
</w:t>
      </w:r>
      <w:r>
        <w:rPr>
          <w:rFonts w:ascii="Times New Roman"/>
          <w:b w:val="false"/>
          <w:i w:val="false"/>
          <w:color w:val="000000"/>
          <w:sz w:val="28"/>
        </w:rPr>
        <w:t>
      8. В случае отсутствия у производителя медицинских изделий или его уполномоченного представителя возможности проведения расследования произошедшего неблагоприятного события (инцидента) он должен без промедления уведомить об этом уполномоченный орган государства – члена Союза, на территории которого произошло указанное событие (инцидент).</w:t>
      </w:r>
      <w:r>
        <w:br/>
      </w:r>
      <w:r>
        <w:rPr>
          <w:rFonts w:ascii="Times New Roman"/>
          <w:b w:val="false"/>
          <w:i w:val="false"/>
          <w:color w:val="000000"/>
          <w:sz w:val="28"/>
        </w:rPr>
        <w:t>
</w:t>
      </w:r>
      <w:r>
        <w:rPr>
          <w:rFonts w:ascii="Times New Roman"/>
          <w:b w:val="false"/>
          <w:i w:val="false"/>
          <w:color w:val="000000"/>
          <w:sz w:val="28"/>
        </w:rPr>
        <w:t xml:space="preserve">
      9. Производитель медицинских изделий или его уполномоченный представитель вправе обратиться в уполномоченный орган государства – члена Союза, на территории которого произошло неблагоприятное событие (инцидент), за содействием в осуществлении доступа к медицинскому изделию для определения связи медицинского изделия с нежелательным событием и соответствия нежелательного события критериям неблагоприятного события (инцидента) в максимально короткие сроки. </w:t>
      </w:r>
      <w:r>
        <w:br/>
      </w:r>
      <w:r>
        <w:rPr>
          <w:rFonts w:ascii="Times New Roman"/>
          <w:b w:val="false"/>
          <w:i w:val="false"/>
          <w:color w:val="000000"/>
          <w:sz w:val="28"/>
        </w:rPr>
        <w:t>
</w:t>
      </w:r>
      <w:r>
        <w:rPr>
          <w:rFonts w:ascii="Times New Roman"/>
          <w:b w:val="false"/>
          <w:i w:val="false"/>
          <w:color w:val="000000"/>
          <w:sz w:val="28"/>
        </w:rPr>
        <w:t>
      10. В случае если в процессе расследования неблагоприятного события (инцидента) задействованы несколько производителей медицинских изделий, уполномоченный орган государства – члена Союза должен осуществлять координацию их действий.</w:t>
      </w:r>
      <w:r>
        <w:br/>
      </w:r>
      <w:r>
        <w:rPr>
          <w:rFonts w:ascii="Times New Roman"/>
          <w:b w:val="false"/>
          <w:i w:val="false"/>
          <w:color w:val="000000"/>
          <w:sz w:val="28"/>
        </w:rPr>
        <w:t>
</w:t>
      </w:r>
      <w:r>
        <w:rPr>
          <w:rFonts w:ascii="Times New Roman"/>
          <w:b w:val="false"/>
          <w:i w:val="false"/>
          <w:color w:val="000000"/>
          <w:sz w:val="28"/>
        </w:rPr>
        <w:t xml:space="preserve">
      11. Уполномоченный орган государства – члена Союза, на территории которого произошло неблагоприятное событие (инцидент), не позднее 30 рабочих дней со дня получения от производителя медицинских изделий или его уполномоченного представителя заключительного отчета об инциденте, заключительного отчета о корректирующих действиях должен проинформировать производителя медицинских изделий или его уполномоченного представителя и уполномоченные органы других государств – членов Союза об итогах рассмотрения указанных отчетов. </w:t>
      </w:r>
      <w:r>
        <w:br/>
      </w:r>
      <w:r>
        <w:rPr>
          <w:rFonts w:ascii="Times New Roman"/>
          <w:b w:val="false"/>
          <w:i w:val="false"/>
          <w:color w:val="000000"/>
          <w:sz w:val="28"/>
        </w:rPr>
        <w:t>
      Информирование уполномоченных органов государств – членов Союза осуществляется посредством использования информационной системы Союза в сфере обращения медицинских изделий.</w:t>
      </w:r>
      <w:r>
        <w:br/>
      </w:r>
      <w:r>
        <w:rPr>
          <w:rFonts w:ascii="Times New Roman"/>
          <w:b w:val="false"/>
          <w:i w:val="false"/>
          <w:color w:val="000000"/>
          <w:sz w:val="28"/>
        </w:rPr>
        <w:t>
</w:t>
      </w:r>
      <w:r>
        <w:rPr>
          <w:rFonts w:ascii="Times New Roman"/>
          <w:b w:val="false"/>
          <w:i w:val="false"/>
          <w:color w:val="000000"/>
          <w:sz w:val="28"/>
        </w:rPr>
        <w:t xml:space="preserve">
      12. По результатам корректирующих действий по безопасности медицинского изделия производитель медицинских изделий или его уполномоченный представитель обязан выпустить уведомление по безопасности медицинского изделия по форме согласно приложению № 4 и довести его до пользователей. </w:t>
      </w:r>
      <w:r>
        <w:br/>
      </w:r>
      <w:r>
        <w:rPr>
          <w:rFonts w:ascii="Times New Roman"/>
          <w:b w:val="false"/>
          <w:i w:val="false"/>
          <w:color w:val="000000"/>
          <w:sz w:val="28"/>
        </w:rPr>
        <w:t>
</w:t>
      </w:r>
      <w:r>
        <w:rPr>
          <w:rFonts w:ascii="Times New Roman"/>
          <w:b w:val="false"/>
          <w:i w:val="false"/>
          <w:color w:val="000000"/>
          <w:sz w:val="28"/>
        </w:rPr>
        <w:t>
      13. Отчеты об инциденте, отчеты о корректирующих действиях и уведомление по безопасности медицинского изделия размещаются уполномоченным органом государства – члена Союза, на территории которого произошло неблагоприятное событие (инцидент), в единой информационной базе данных мониторинга безопасности, качества и эффективности медицинских изделий.</w:t>
      </w:r>
      <w:r>
        <w:br/>
      </w:r>
      <w:r>
        <w:rPr>
          <w:rFonts w:ascii="Times New Roman"/>
          <w:b w:val="false"/>
          <w:i w:val="false"/>
          <w:color w:val="000000"/>
          <w:sz w:val="28"/>
        </w:rPr>
        <w:t>
</w:t>
      </w:r>
      <w:r>
        <w:rPr>
          <w:rFonts w:ascii="Times New Roman"/>
          <w:b w:val="false"/>
          <w:i w:val="false"/>
          <w:color w:val="000000"/>
          <w:sz w:val="28"/>
        </w:rPr>
        <w:t xml:space="preserve">
      14. В отношении неблагоприятных событий (инцидентов), связанных с зарегистрированными на территории Союза медицинскими изделиями и произошедших в государствах, не являющихся членами Союза, производитель медицинских изделий или его уполномоченный представитель должен направлять уведомления по безопасности медицинских изделий в уполномоченный орган референтного государства. </w:t>
      </w:r>
      <w:r>
        <w:br/>
      </w:r>
      <w:r>
        <w:rPr>
          <w:rFonts w:ascii="Times New Roman"/>
          <w:b w:val="false"/>
          <w:i w:val="false"/>
          <w:color w:val="000000"/>
          <w:sz w:val="28"/>
        </w:rPr>
        <w:t>
      Уполномоченный орган референтного государства размещает поступившее уведомление по безопасности медицинского изделия в единой информационной базе данных мониторинга безопасности, качества и эффективности медицинских изделий.</w:t>
      </w:r>
      <w:r>
        <w:br/>
      </w:r>
      <w:r>
        <w:rPr>
          <w:rFonts w:ascii="Times New Roman"/>
          <w:b w:val="false"/>
          <w:i w:val="false"/>
          <w:color w:val="000000"/>
          <w:sz w:val="28"/>
        </w:rPr>
        <w:t>
</w:t>
      </w:r>
      <w:r>
        <w:rPr>
          <w:rFonts w:ascii="Times New Roman"/>
          <w:b w:val="false"/>
          <w:i w:val="false"/>
          <w:color w:val="000000"/>
          <w:sz w:val="28"/>
        </w:rPr>
        <w:t>
      15. Отчеты об инцидентах могут не представляться в уполномоченный орган государства – члена Союза:</w:t>
      </w:r>
      <w:r>
        <w:br/>
      </w:r>
      <w:r>
        <w:rPr>
          <w:rFonts w:ascii="Times New Roman"/>
          <w:b w:val="false"/>
          <w:i w:val="false"/>
          <w:color w:val="000000"/>
          <w:sz w:val="28"/>
        </w:rPr>
        <w:t>
      а) по каждому отдельному неблагоприятному событию (инциденту) из тех, что описаны в уведомлениях по безопасности медицинского изделия и произошли после расследования неблагоприятных событий (инцидентов) и рассылки производителем медицинских изделий или его уполномоченным представителем таких уведомлений и проведения корректирующих действий. Вместо этого производитель медицинских изделий или его уполномоченный представитель может согласовать с уполномоченным органом государства – члена Союза возможность периодического представления сводных отчетов по указанным неблагоприятным событиям (инцидентам), а также их содержание и сроки представления;</w:t>
      </w:r>
      <w:r>
        <w:br/>
      </w:r>
      <w:r>
        <w:rPr>
          <w:rFonts w:ascii="Times New Roman"/>
          <w:b w:val="false"/>
          <w:i w:val="false"/>
          <w:color w:val="000000"/>
          <w:sz w:val="28"/>
        </w:rPr>
        <w:t>
      б) по каждому отдельному неблагоприятному событию (инциденту) из числа часто происходящих и задокументированных неблагоприятных событий (инцидентов) (обозначенных в качестве таковых в анализе рисков, связанных с медицинским изделием, о которых уже были представлены отчеты, проанализированные производителем медицинских изделий или его уполномоченным представителем и уполномоченным органом). Вместо этого допускается представлять периодические сводные отчеты. Содержание и сроки представления периодических сводных отчетов должны быть согласованы с уполномоченным органом государства – члена Союза;</w:t>
      </w:r>
      <w:r>
        <w:br/>
      </w:r>
      <w:r>
        <w:rPr>
          <w:rFonts w:ascii="Times New Roman"/>
          <w:b w:val="false"/>
          <w:i w:val="false"/>
          <w:color w:val="000000"/>
          <w:sz w:val="28"/>
        </w:rPr>
        <w:t>
      в) о неблагоприятных событиях (инцидентах), связанных с очевидными дефектами медицинских изделий, которые пользователь всегда может выявить непосредственно перед использованием медицинского изделия;</w:t>
      </w:r>
      <w:r>
        <w:br/>
      </w:r>
      <w:r>
        <w:rPr>
          <w:rFonts w:ascii="Times New Roman"/>
          <w:b w:val="false"/>
          <w:i w:val="false"/>
          <w:color w:val="000000"/>
          <w:sz w:val="28"/>
        </w:rPr>
        <w:t xml:space="preserve">
      г) о неблагоприятных событиях (инцидентах), не приведших к серьезному ухудшению состояния здоровья или смерти из-за особенностей конструкции, защищающей от возникновения угрозы вследствие неисправности медицинского изделия; </w:t>
      </w:r>
      <w:r>
        <w:br/>
      </w:r>
      <w:r>
        <w:rPr>
          <w:rFonts w:ascii="Times New Roman"/>
          <w:b w:val="false"/>
          <w:i w:val="false"/>
          <w:color w:val="000000"/>
          <w:sz w:val="28"/>
        </w:rPr>
        <w:t>
      д) об ожидаемых и предвидимых неблагоприятных событиях (инцидентах), удовлетворяющих одновременно всем перечисленным ниже критериям:</w:t>
      </w:r>
      <w:r>
        <w:br/>
      </w:r>
      <w:r>
        <w:rPr>
          <w:rFonts w:ascii="Times New Roman"/>
          <w:b w:val="false"/>
          <w:i w:val="false"/>
          <w:color w:val="000000"/>
          <w:sz w:val="28"/>
        </w:rPr>
        <w:t>
      неблагоприятные события (инциденты) четко обозначены в сопроводительной информации (документации) на медицинское изделие;</w:t>
      </w:r>
      <w:r>
        <w:br/>
      </w:r>
      <w:r>
        <w:rPr>
          <w:rFonts w:ascii="Times New Roman"/>
          <w:b w:val="false"/>
          <w:i w:val="false"/>
          <w:color w:val="000000"/>
          <w:sz w:val="28"/>
        </w:rPr>
        <w:t>
      неблагоприятные события (инциденты) хорошо известны в клинической практике, их можно качественно и количественно предугадать в случае, если медицинское изделие используется и функционирует в соответствии со своим назначением;</w:t>
      </w:r>
      <w:r>
        <w:br/>
      </w:r>
      <w:r>
        <w:rPr>
          <w:rFonts w:ascii="Times New Roman"/>
          <w:b w:val="false"/>
          <w:i w:val="false"/>
          <w:color w:val="000000"/>
          <w:sz w:val="28"/>
        </w:rPr>
        <w:t>
      неблагоприятные события (инциденты) задокументированы в технической документации на медицинское изделие с соответствующей оценкой рисков, проведенной до того, как произошло неблагоприятное событие (инцидент);</w:t>
      </w:r>
      <w:r>
        <w:br/>
      </w:r>
      <w:r>
        <w:rPr>
          <w:rFonts w:ascii="Times New Roman"/>
          <w:b w:val="false"/>
          <w:i w:val="false"/>
          <w:color w:val="000000"/>
          <w:sz w:val="28"/>
        </w:rPr>
        <w:t>
      неблагоприятные события (инциденты) клинически допустимы с точки зрения пользы медицинского изделия для каждого отдельного пациента;</w:t>
      </w:r>
      <w:r>
        <w:br/>
      </w:r>
      <w:r>
        <w:rPr>
          <w:rFonts w:ascii="Times New Roman"/>
          <w:b w:val="false"/>
          <w:i w:val="false"/>
          <w:color w:val="000000"/>
          <w:sz w:val="28"/>
        </w:rPr>
        <w:t xml:space="preserve">
      е) если риск смерти или серьезного ухудшения состояния здоровья был проанализирован и признан ничтожно малым, если ни смерти, ни серьезного ухудшения здоровья не произошло, и риск был охарактеризован и задокументирован как допустимый в отчете об анализе рисков, представляемом в составе регистрационного досье при регистрации медицинского изделия. </w:t>
      </w:r>
      <w:r>
        <w:br/>
      </w:r>
      <w:r>
        <w:rPr>
          <w:rFonts w:ascii="Times New Roman"/>
          <w:b w:val="false"/>
          <w:i w:val="false"/>
          <w:color w:val="000000"/>
          <w:sz w:val="28"/>
        </w:rPr>
        <w:t>
</w:t>
      </w:r>
      <w:r>
        <w:rPr>
          <w:rFonts w:ascii="Times New Roman"/>
          <w:b w:val="false"/>
          <w:i w:val="false"/>
          <w:color w:val="000000"/>
          <w:sz w:val="28"/>
        </w:rPr>
        <w:t>
      16. Производитель медицинских изделий или его уполномоченный представитель должен сообщать в уполномоченный орган государства –члена Союза об ошибках, допущенных при использовании медицинских изделий, которые привели к смерти или серьезному ухудшению состояния здоровья пользователя.</w:t>
      </w:r>
      <w:r>
        <w:br/>
      </w:r>
      <w:r>
        <w:rPr>
          <w:rFonts w:ascii="Times New Roman"/>
          <w:b w:val="false"/>
          <w:i w:val="false"/>
          <w:color w:val="000000"/>
          <w:sz w:val="28"/>
        </w:rPr>
        <w:t>
</w:t>
      </w:r>
      <w:r>
        <w:rPr>
          <w:rFonts w:ascii="Times New Roman"/>
          <w:b w:val="false"/>
          <w:i w:val="false"/>
          <w:color w:val="000000"/>
          <w:sz w:val="28"/>
        </w:rPr>
        <w:t xml:space="preserve">
      17. При получении от уполномоченного органа государства – члена Союза сообщений о нежелательных событиях производитель медицинских изделий или его уполномоченный представитель должен проверить полученную информацию на соответствие критериям неблагоприятного события (инцидента) и направить в уполномоченный орган государства – члена Союза, на территории которого произошло нежелательное событие, отчеты об инциденте и корректирующих действиях. </w:t>
      </w:r>
      <w:r>
        <w:br/>
      </w:r>
      <w:r>
        <w:rPr>
          <w:rFonts w:ascii="Times New Roman"/>
          <w:b w:val="false"/>
          <w:i w:val="false"/>
          <w:color w:val="000000"/>
          <w:sz w:val="28"/>
        </w:rPr>
        <w:t>
      В случае если по оценке производителя медицинских изделий или его уполномоченного представителя нежелательное событие не удовлетворяет критериям неблагоприятного события (инцидента), производитель медицинских изделий или его уполномоченный представитель должен представить уполномоченному органу государства – члена Союза, на территории которого произошло нежелательное событие, обоснование того, что указанное событие не является неблагоприятным событием (инцидентом).</w:t>
      </w:r>
      <w:r>
        <w:br/>
      </w:r>
      <w:r>
        <w:rPr>
          <w:rFonts w:ascii="Times New Roman"/>
          <w:b w:val="false"/>
          <w:i w:val="false"/>
          <w:color w:val="000000"/>
          <w:sz w:val="28"/>
        </w:rPr>
        <w:t>
</w:t>
      </w:r>
      <w:r>
        <w:rPr>
          <w:rFonts w:ascii="Times New Roman"/>
          <w:b w:val="false"/>
          <w:i w:val="false"/>
          <w:color w:val="000000"/>
          <w:sz w:val="28"/>
        </w:rPr>
        <w:t xml:space="preserve">
      18. Уведомление по безопасности медицинского изделия направляется производителем медицинских изделий или его уполномоченным представителем с использованием информационно-телекоммуникационных средств связи, обеспечивающих его получение заинтересованными организациями с подтверждением получения. </w:t>
      </w:r>
      <w:r>
        <w:br/>
      </w:r>
      <w:r>
        <w:rPr>
          <w:rFonts w:ascii="Times New Roman"/>
          <w:b w:val="false"/>
          <w:i w:val="false"/>
          <w:color w:val="000000"/>
          <w:sz w:val="28"/>
        </w:rPr>
        <w:t>
</w:t>
      </w:r>
      <w:r>
        <w:rPr>
          <w:rFonts w:ascii="Times New Roman"/>
          <w:b w:val="false"/>
          <w:i w:val="false"/>
          <w:color w:val="000000"/>
          <w:sz w:val="28"/>
        </w:rPr>
        <w:t xml:space="preserve">
      19. Для медицинских изделий класса потенциального риска применения 3, а также имплантируемых в организм человека медицинских изделий класса потенциального риска применения 2б, производитель медицинских изделий или его уполномоченный представитель обязан проводить пострегистрационный клинический мониторинг безопасности и эффективности медицинских изделий (далее – пострегистрационный клинический мониторинг) и ежегодно,  в течение 3 лет, представлять в уполномоченный орган референтного государства отчеты по пострегистрационному клиническому мониторингу. </w:t>
      </w:r>
      <w:r>
        <w:br/>
      </w:r>
      <w:r>
        <w:rPr>
          <w:rFonts w:ascii="Times New Roman"/>
          <w:b w:val="false"/>
          <w:i w:val="false"/>
          <w:color w:val="000000"/>
          <w:sz w:val="28"/>
        </w:rPr>
        <w:t xml:space="preserve">
      Первоначальный,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уполномоченный орган референтного государства не позднее 1 февраля, начиная с года, следующего за годом получения регистрационного удостоверения. </w:t>
      </w:r>
      <w:r>
        <w:br/>
      </w:r>
      <w:r>
        <w:rPr>
          <w:rFonts w:ascii="Times New Roman"/>
          <w:b w:val="false"/>
          <w:i w:val="false"/>
          <w:color w:val="000000"/>
          <w:sz w:val="28"/>
        </w:rPr>
        <w:t>
</w:t>
      </w:r>
      <w:r>
        <w:rPr>
          <w:rFonts w:ascii="Times New Roman"/>
          <w:b w:val="false"/>
          <w:i w:val="false"/>
          <w:color w:val="000000"/>
          <w:sz w:val="28"/>
        </w:rPr>
        <w:t>
      20. Пострегистрационный клинический мониторинг проводится в соответствии с планом, включенным в отчет о клиническом доказательстве эффективности и безопасности медицинского изделия, представляемый производителем медицинского изделия или его уполномоченным представителем в составе регистрационного досье при регистрации медицинского изделия.</w:t>
      </w:r>
      <w:r>
        <w:br/>
      </w:r>
      <w:r>
        <w:rPr>
          <w:rFonts w:ascii="Times New Roman"/>
          <w:b w:val="false"/>
          <w:i w:val="false"/>
          <w:color w:val="000000"/>
          <w:sz w:val="28"/>
        </w:rPr>
        <w:t>
</w:t>
      </w:r>
      <w:r>
        <w:rPr>
          <w:rFonts w:ascii="Times New Roman"/>
          <w:b w:val="false"/>
          <w:i w:val="false"/>
          <w:color w:val="000000"/>
          <w:sz w:val="28"/>
        </w:rPr>
        <w:t>
      21.План пострегистрационного клинического мониторинга должен содержать:</w:t>
      </w:r>
      <w:r>
        <w:br/>
      </w:r>
      <w:r>
        <w:rPr>
          <w:rFonts w:ascii="Times New Roman"/>
          <w:b w:val="false"/>
          <w:i w:val="false"/>
          <w:color w:val="000000"/>
          <w:sz w:val="28"/>
        </w:rPr>
        <w:t>
      а) цели и задачи пострегистрационного клинического мониторинга с учетом имеющихся клинических данных, специфических особенностей и факторов риска, связанных с медицинским изделием;</w:t>
      </w:r>
      <w:r>
        <w:br/>
      </w:r>
      <w:r>
        <w:rPr>
          <w:rFonts w:ascii="Times New Roman"/>
          <w:b w:val="false"/>
          <w:i w:val="false"/>
          <w:color w:val="000000"/>
          <w:sz w:val="28"/>
        </w:rPr>
        <w:t>
      б) схему пострегистрационного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r>
        <w:br/>
      </w:r>
      <w:r>
        <w:rPr>
          <w:rFonts w:ascii="Times New Roman"/>
          <w:b w:val="false"/>
          <w:i w:val="false"/>
          <w:color w:val="000000"/>
          <w:sz w:val="28"/>
        </w:rPr>
        <w:t>
</w:t>
      </w:r>
      <w:r>
        <w:rPr>
          <w:rFonts w:ascii="Times New Roman"/>
          <w:b w:val="false"/>
          <w:i w:val="false"/>
          <w:color w:val="000000"/>
          <w:sz w:val="28"/>
        </w:rPr>
        <w:t xml:space="preserve">
      22. Отчеты о пострегистрационном клиническом мониторинге безопасности и эффективности медицинских изделий по форме согласно приложению № 5 представляются производителем медицинских изделий или его уполномоченным представителем в уполномоченный орган референтного государства с использованием информационного ресурса уполномоченного органа референтного государства в сети Интернет. </w:t>
      </w:r>
      <w:r>
        <w:br/>
      </w:r>
      <w:r>
        <w:rPr>
          <w:rFonts w:ascii="Times New Roman"/>
          <w:b w:val="false"/>
          <w:i w:val="false"/>
          <w:color w:val="000000"/>
          <w:sz w:val="28"/>
        </w:rPr>
        <w:t>
</w:t>
      </w:r>
      <w:r>
        <w:rPr>
          <w:rFonts w:ascii="Times New Roman"/>
          <w:b w:val="false"/>
          <w:i w:val="false"/>
          <w:color w:val="000000"/>
          <w:sz w:val="28"/>
        </w:rPr>
        <w:t>
      23. Уполномоченный орган референтного государства вправе привлечь экспертную организацию для анализа отчетов о пострегистрационном клиническом мониторинге. На основании экспертного заключения уполномоченный орган референтного государства вправе принять решение о необходимости проведения производителем медицинских изделий корректирующих действий.</w:t>
      </w:r>
      <w:r>
        <w:br/>
      </w:r>
      <w:r>
        <w:rPr>
          <w:rFonts w:ascii="Times New Roman"/>
          <w:b w:val="false"/>
          <w:i w:val="false"/>
          <w:color w:val="000000"/>
          <w:sz w:val="28"/>
        </w:rPr>
        <w:t>
</w:t>
      </w:r>
      <w:r>
        <w:rPr>
          <w:rFonts w:ascii="Times New Roman"/>
          <w:b w:val="false"/>
          <w:i w:val="false"/>
          <w:color w:val="000000"/>
          <w:sz w:val="28"/>
        </w:rPr>
        <w:t xml:space="preserve">
      24. Отчеты о пострегистрационном клиническом мониторинге направляются уполномоченным органом референтного государства на экспертизу в экспертную организацию. </w:t>
      </w:r>
      <w:r>
        <w:br/>
      </w:r>
      <w:r>
        <w:rPr>
          <w:rFonts w:ascii="Times New Roman"/>
          <w:b w:val="false"/>
          <w:i w:val="false"/>
          <w:color w:val="000000"/>
          <w:sz w:val="28"/>
        </w:rPr>
        <w:t>
</w:t>
      </w:r>
      <w:r>
        <w:rPr>
          <w:rFonts w:ascii="Times New Roman"/>
          <w:b w:val="false"/>
          <w:i w:val="false"/>
          <w:color w:val="000000"/>
          <w:sz w:val="28"/>
        </w:rPr>
        <w:t>
      25. Экспертная организация не позднее 20 рабочих дней со дня получения отчета о пострегистрационном клиническом мониторинге направляет в уполномоченный орган референтного государства заключение о возможности (невозможности) завершения пострегистрационного клинического мониторинга.</w:t>
      </w:r>
      <w:r>
        <w:br/>
      </w:r>
      <w:r>
        <w:rPr>
          <w:rFonts w:ascii="Times New Roman"/>
          <w:b w:val="false"/>
          <w:i w:val="false"/>
          <w:color w:val="000000"/>
          <w:sz w:val="28"/>
        </w:rPr>
        <w:t>
</w:t>
      </w:r>
      <w:r>
        <w:rPr>
          <w:rFonts w:ascii="Times New Roman"/>
          <w:b w:val="false"/>
          <w:i w:val="false"/>
          <w:color w:val="000000"/>
          <w:sz w:val="28"/>
        </w:rPr>
        <w:t>
      26. На основании экспертного заключения уполномоченный орган референтного государства принимает одно из следующих решений:</w:t>
      </w:r>
      <w:r>
        <w:br/>
      </w:r>
      <w:r>
        <w:rPr>
          <w:rFonts w:ascii="Times New Roman"/>
          <w:b w:val="false"/>
          <w:i w:val="false"/>
          <w:color w:val="000000"/>
          <w:sz w:val="28"/>
        </w:rPr>
        <w:t>
      а) о завершении пострегистрационного клинического мониторинга;</w:t>
      </w:r>
      <w:r>
        <w:br/>
      </w:r>
      <w:r>
        <w:rPr>
          <w:rFonts w:ascii="Times New Roman"/>
          <w:b w:val="false"/>
          <w:i w:val="false"/>
          <w:color w:val="000000"/>
          <w:sz w:val="28"/>
        </w:rPr>
        <w:t>
      б) о продлении пострегистрационного клинического мониторинга с указанием дополнительного срока, если полученных данных не достаточно для подтверждения безопасности и эффективности медицинского изделия или производитель медицинских изделий не предпринял необходимых корректирующих действий на основании полученных данных;</w:t>
      </w:r>
      <w:r>
        <w:br/>
      </w:r>
      <w:r>
        <w:rPr>
          <w:rFonts w:ascii="Times New Roman"/>
          <w:b w:val="false"/>
          <w:i w:val="false"/>
          <w:color w:val="000000"/>
          <w:sz w:val="28"/>
        </w:rPr>
        <w:t>
      в) о приостановлении действия регистрационного удостоверения медицинского изделия и продлении пострегистрационного клинического мониторинга с указанием дополнительного срока;</w:t>
      </w:r>
      <w:r>
        <w:br/>
      </w:r>
      <w:r>
        <w:rPr>
          <w:rFonts w:ascii="Times New Roman"/>
          <w:b w:val="false"/>
          <w:i w:val="false"/>
          <w:color w:val="000000"/>
          <w:sz w:val="28"/>
        </w:rPr>
        <w:t>
      г) об отмене (отзыве, аннулировании) регистрационного удостоверения и при необходимости изъятии медицинского изделия из обращения.</w:t>
      </w:r>
      <w:r>
        <w:br/>
      </w:r>
      <w:r>
        <w:rPr>
          <w:rFonts w:ascii="Times New Roman"/>
          <w:b w:val="false"/>
          <w:i w:val="false"/>
          <w:color w:val="000000"/>
          <w:sz w:val="28"/>
        </w:rPr>
        <w:t>
</w:t>
      </w:r>
      <w:r>
        <w:rPr>
          <w:rFonts w:ascii="Times New Roman"/>
          <w:b w:val="false"/>
          <w:i w:val="false"/>
          <w:color w:val="000000"/>
          <w:sz w:val="28"/>
        </w:rPr>
        <w:t>
      27. Уполномоченный орган референтного государства не позднее 10 рабочих дней со дня принятия им в соответствии с пунктом 26 настоящих Правил решения должен проинформировать о нем производителя медицинских изделий.</w:t>
      </w:r>
      <w:r>
        <w:br/>
      </w:r>
      <w:r>
        <w:rPr>
          <w:rFonts w:ascii="Times New Roman"/>
          <w:b w:val="false"/>
          <w:i w:val="false"/>
          <w:color w:val="000000"/>
          <w:sz w:val="28"/>
        </w:rPr>
        <w:t>
</w:t>
      </w:r>
      <w:r>
        <w:rPr>
          <w:rFonts w:ascii="Times New Roman"/>
          <w:b w:val="false"/>
          <w:i w:val="false"/>
          <w:color w:val="000000"/>
          <w:sz w:val="28"/>
        </w:rPr>
        <w:t xml:space="preserve">
      28. В случае если производителю медицинских изделий или его уполномоченному представителю стало известно о неблагоприятном событии (инциденте), но он не сообщил о нем в уполномоченный орган государства – члена Союза, на территории которого произошло неблагоприятное событие (инцидент), или нарушил сроки, установленные для сообщения, то указанный уполномоченный орган вправе приостановить действие выданного им регистрационного удостоверения медицинского изделия и провести собственное расследование неблагоприятного события (инцидента) либо приостановить или запретить применение медицинского изделия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29. В случае если производитель медицинских изделий или его уполномоченный представитель не представил в уполномоченный орган государства – члена Союза, на территории которого произошло неблагоприятное событие (инцидент), последующий или заключительный отчет об инциденте, то указанный уполномоченный орган после уведомления производителя медицинских изделий или его уполномоченного представителя о данном нарушении вправе приостановить действие выданного им регистрационного удостоверения медицинского изделия или принять решение о начале процедуры по его отмене (аннулированию, отзыву) не ранее чем через 30 рабочих дней со дня направления производителю медицинских изделий или его уполномоченному представителю соответствующего уведомления либо приостановить или запретить применение медицинского изделия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30. В случае если производитель медицинского изделия или его уполномоченный представитель не представил в уполномоченный орган референтного государства первоначальный, последующий или заключительный отчет о пострегистрационном клиническом мониторинге, указанный уполномоченный орган после уведомления производителя медицинского изделия или его уполномоченного представителя о данном нарушении вправе приостановить действие регистрационного удостоверения медицинского изделия или принять решение о начале процедуры по его отмене (аннулированию, отзыву) не ранее чем через 30 рабочих дней со дня направления производителю медицинских изделий или его уполномоченному представителю соответствующего уведомления.</w:t>
      </w:r>
    </w:p>
    <w:bookmarkEnd w:id="3"/>
    <w:bookmarkStart w:name="z36" w:id="4"/>
    <w:p>
      <w:pPr>
        <w:spacing w:after="0"/>
        <w:ind w:left="0"/>
        <w:jc w:val="both"/>
      </w:pPr>
      <w:r>
        <w:rPr>
          <w:rFonts w:ascii="Times New Roman"/>
          <w:b w:val="false"/>
          <w:i w:val="false"/>
          <w:color w:val="000000"/>
          <w:sz w:val="28"/>
        </w:rPr>
        <w:t xml:space="preserve">
ПРИЛОЖЕНИЕ № 1         </w:t>
      </w:r>
    </w:p>
    <w:bookmarkEnd w:id="4"/>
    <w:p>
      <w:pPr>
        <w:spacing w:after="0"/>
        <w:ind w:left="0"/>
        <w:jc w:val="both"/>
      </w:pPr>
      <w:r>
        <w:rPr>
          <w:rFonts w:ascii="Times New Roman"/>
          <w:b w:val="false"/>
          <w:i w:val="false"/>
          <w:color w:val="000000"/>
          <w:sz w:val="28"/>
        </w:rPr>
        <w:t>к Правилам проведения мониторинга</w:t>
      </w:r>
      <w:r>
        <w:br/>
      </w:r>
      <w:r>
        <w:rPr>
          <w:rFonts w:ascii="Times New Roman"/>
          <w:b w:val="false"/>
          <w:i w:val="false"/>
          <w:color w:val="000000"/>
          <w:sz w:val="28"/>
        </w:rPr>
        <w:t xml:space="preserve">
безопасности, качества и    </w:t>
      </w:r>
      <w:r>
        <w:br/>
      </w:r>
      <w:r>
        <w:rPr>
          <w:rFonts w:ascii="Times New Roman"/>
          <w:b w:val="false"/>
          <w:i w:val="false"/>
          <w:color w:val="000000"/>
          <w:sz w:val="28"/>
        </w:rPr>
        <w:t>
эффективности медицинских изделий</w:t>
      </w:r>
    </w:p>
    <w:bookmarkStart w:name="z37" w:id="5"/>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отчета о неблагоприятном событии (инциденте)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65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Административная информация</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r>
              <w:rPr>
                <w:rFonts w:ascii="Times New Roman"/>
                <w:b w:val="false"/>
                <w:i w:val="false"/>
                <w:color w:val="000000"/>
                <w:vertAlign w:val="superscript"/>
              </w:rPr>
              <w:t>1,2,3</w:t>
            </w:r>
          </w:p>
        </w:tc>
        <w:tc>
          <w:tcPr>
            <w:tcW w:w="6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отметки уполномоченного органа (входящая дата, регистрационный номер)</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уполномоченного органа</w:t>
            </w:r>
            <w:r>
              <w:rPr>
                <w:rFonts w:ascii="Times New Roman"/>
                <w:b w:val="false"/>
                <w:i w:val="false"/>
                <w:color w:val="000000"/>
                <w:vertAlign w:val="superscript"/>
              </w:rPr>
              <w:t>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отчета</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Первоначальный отчет</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Последующий отчет</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Заключительный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неблагоприятного события (инцидента) (присваивается производителем)</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неблагоприятного события (инцидента) (присваивается уполномоченным органом)</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неблагоприятное событие (инцидент) серьезную угрозу общественному здоровью?</w:t>
            </w:r>
            <w:r>
              <w:rPr>
                <w:rFonts w:ascii="Times New Roman"/>
                <w:b w:val="false"/>
                <w:i w:val="false"/>
                <w:color w:val="000000"/>
                <w:vertAlign w:val="superscript"/>
              </w:rPr>
              <w:t>1,2,3</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инцидента</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Смерть</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Непредвиденное серьезное ухудшение состояния здоровья </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Другие критерии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уполномоченные органы, в которые был направлен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Данные о лице, подающем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лица, подающего отчет</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Производитель</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Уполномоченный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Данные о производителе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Данные уполномоченного представителя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уполномоченного представителя </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1,2,3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Данные о медицинском изделии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потенциального риска применения медицинского изделия</w:t>
            </w:r>
            <w:r>
              <w:rPr>
                <w:rFonts w:ascii="Times New Roman"/>
                <w:b w:val="false"/>
                <w:i w:val="false"/>
                <w:color w:val="000000"/>
                <w:vertAlign w:val="superscript"/>
              </w:rPr>
              <w:t>1,2,3</w:t>
            </w:r>
            <w:r>
              <w:rPr>
                <w:rFonts w:ascii="Times New Roman"/>
                <w:b w:val="false"/>
                <w:i w:val="false"/>
                <w:color w:val="000000"/>
                <w:sz w:val="20"/>
              </w:rPr>
              <w:t>:</w:t>
            </w:r>
          </w:p>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2б</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2а</w:t>
            </w:r>
            <w:r>
              <w:br/>
            </w:r>
            <w:r>
              <w:rPr>
                <w:rFonts w:ascii="Times New Roman"/>
                <w:b w:val="false"/>
                <w:i w:val="false"/>
                <w:color w:val="000000"/>
                <w:sz w:val="20"/>
              </w:rPr>
              <w:t>
</w:t>
            </w: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30200"/>
                          </a:xfrm>
                          <a:prstGeom prst="rect">
                            <a:avLst/>
                          </a:prstGeom>
                        </pic:spPr>
                      </pic:pic>
                    </a:graphicData>
                  </a:graphic>
                </wp:inline>
              </w:drawing>
            </w: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медицинского изделия в соответствии с номенклатурой медицинских изделий, применяемой в Евразийском экономическом союзе</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код медицинского изделия (Unique device identifier (UDI) (при наличии)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медицинского изделия</w:t>
            </w:r>
            <w:r>
              <w:rPr>
                <w:rFonts w:ascii="Times New Roman"/>
                <w:b w:val="false"/>
                <w:i w:val="false"/>
                <w:color w:val="000000"/>
                <w:vertAlign w:val="superscript"/>
              </w:rPr>
              <w:t>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(если применимо)</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Каталожный номер (если применимо)</w:t>
            </w:r>
            <w:r>
              <w:rPr>
                <w:rFonts w:ascii="Times New Roman"/>
                <w:b w:val="false"/>
                <w:i w:val="false"/>
                <w:color w:val="000000"/>
                <w:vertAlign w:val="superscript"/>
              </w:rPr>
              <w:t>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(если применимо)</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партии (серии)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 программного обеспечения (если применимо)</w:t>
            </w:r>
            <w:r>
              <w:rPr>
                <w:rFonts w:ascii="Times New Roman"/>
                <w:b w:val="false"/>
                <w:i w:val="false"/>
                <w:color w:val="000000"/>
                <w:vertAlign w:val="superscript"/>
              </w:rPr>
              <w:t>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выпуска</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годности (если применимо)2,3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имплантации (только для имплантатов)</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эксплантации (только для имплантатов)</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 имплантации (заполняется в случае, если известна точная дата имплантации или начала эксплуатации)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и (или) совместно используемые медицинские изделия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 в едином реестре медицинских изделий, зарегистрированных в рамках Евразийского экономического союза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 в национальном реестре зарегистрированных медицинских изделий (при наличии)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Данные о неблагоприятном событии (инциденте)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когда произошло неблагоприятное событие (инцидент)</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неблагоприятного события (инцидента)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отчета медицинской организации-пользователя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когда производитель получил информацию о неблагоприятном событии (инциденте)</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вовлеченных пациентов </w:t>
            </w:r>
            <w:r>
              <w:br/>
            </w:r>
            <w:r>
              <w:rPr>
                <w:rFonts w:ascii="Times New Roman"/>
                <w:b w:val="false"/>
                <w:i w:val="false"/>
                <w:color w:val="000000"/>
                <w:sz w:val="20"/>
              </w:rPr>
              <w:t>
</w:t>
            </w:r>
            <w:r>
              <w:rPr>
                <w:rFonts w:ascii="Times New Roman"/>
                <w:b w:val="false"/>
                <w:i w:val="false"/>
                <w:color w:val="000000"/>
                <w:sz w:val="20"/>
              </w:rPr>
              <w:t>(если известно)</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вовлеченных медицинских изделий (если известно)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медицинского изделия в данный момент (если известно)</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использовал медицинское изделие в момент неблагоприятного события (инцидента) (выбрать одно)</w:t>
            </w:r>
            <w:r>
              <w:rPr>
                <w:rFonts w:ascii="Times New Roman"/>
                <w:b w:val="false"/>
                <w:i w:val="false"/>
                <w:color w:val="000000"/>
                <w:vertAlign w:val="superscript"/>
              </w:rPr>
              <w:t>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Медицинский персонал</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Пациент</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Другое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медицинского изделия (выбрать одно)</w:t>
            </w:r>
            <w:r>
              <w:rPr>
                <w:rFonts w:ascii="Times New Roman"/>
                <w:b w:val="false"/>
                <w:i w:val="false"/>
                <w:color w:val="000000"/>
                <w:vertAlign w:val="superscript"/>
              </w:rPr>
              <w:t>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первичное применение </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повторное применение медицинского изделия однократного применения </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повторное применение медицинского изделия многократного применения </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медицинское изделие после технического обслуживания или ремонта </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другое</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проблема была выявлена до применения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Данные о пациенте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проблемы пациента</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термин проблемы пациента в связи с неблагоприятным событием (инцидентом) </w:t>
            </w:r>
            <w:r>
              <w:br/>
            </w:r>
            <w:r>
              <w:rPr>
                <w:rFonts w:ascii="Times New Roman"/>
                <w:b w:val="false"/>
                <w:i w:val="false"/>
                <w:color w:val="000000"/>
                <w:sz w:val="20"/>
              </w:rPr>
              <w:t>
</w:t>
            </w:r>
            <w:r>
              <w:rPr>
                <w:rFonts w:ascii="Times New Roman"/>
                <w:b w:val="false"/>
                <w:i w:val="false"/>
                <w:color w:val="000000"/>
                <w:sz w:val="20"/>
              </w:rPr>
              <w:t>в соответствии с Международной статистической классификацией болезней и проблем, связанных со здоровьем, 10-го пересмотра (МКБ-10)</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где произошло неблагоприятное событие (инцидент)</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и помощь, оказанная медицинской организацией пациенту</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(если применимо)</w:t>
            </w:r>
            <w:r>
              <w:rPr>
                <w:rFonts w:ascii="Times New Roman"/>
                <w:b w:val="false"/>
                <w:i w:val="false"/>
                <w:color w:val="000000"/>
                <w:vertAlign w:val="superscript"/>
              </w:rPr>
              <w:t>2,3</w:t>
            </w:r>
            <w:r>
              <w:rPr>
                <w:rFonts w:ascii="Times New Roman"/>
                <w:b w:val="false"/>
                <w:i w:val="false"/>
                <w:color w:val="000000"/>
                <w:sz w:val="20"/>
              </w:rPr>
              <w:t xml:space="preserve">: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xml:space="preserve">Мужской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Женский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660"/>
            </w:tblGrid>
            <w:tr>
              <w:trPr>
                <w:trHeight w:val="855" w:hRule="atLeast"/>
              </w:trPr>
              <w:tc>
                <w:tcPr>
                  <w:tcW w:w="1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пациента (если применимо)</w:t>
                  </w:r>
                  <w:r>
                    <w:rPr>
                      <w:rFonts w:ascii="Times New Roman"/>
                      <w:b w:val="false"/>
                      <w:i w:val="false"/>
                      <w:color w:val="000000"/>
                      <w:vertAlign w:val="superscript"/>
                    </w:rPr>
                    <w:t>2,3</w:t>
                  </w:r>
                  <w:r>
                    <w:rPr>
                      <w:rFonts w:ascii="Times New Roman"/>
                      <w:b w:val="false"/>
                      <w:i w:val="false"/>
                      <w:color w:val="000000"/>
                      <w:sz w:val="20"/>
                    </w:rPr>
                    <w:t>:  лет      месяцев    дней</w:t>
                  </w:r>
                  <w:r>
                    <w:br/>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0"/>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317500"/>
                                </a:xfrm>
                                <a:prstGeom prst="rect">
                                  <a:avLst/>
                                </a:prstGeom>
                              </pic:spPr>
                            </pic:pic>
                          </a:graphicData>
                        </a:graphic>
                      </wp:inline>
                    </w:drawing>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пациента (кг)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Данные о медицинской организации (если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медицинской организации</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 медицинской организации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2,3</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2,3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Предварительное заключение производителя (для первоначального/последующего отчета)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анализ, проведенный производителем</w:t>
            </w:r>
            <w:r>
              <w:rPr>
                <w:rFonts w:ascii="Times New Roman"/>
                <w:b w:val="false"/>
                <w:i w:val="false"/>
                <w:color w:val="000000"/>
                <w:vertAlign w:val="superscript"/>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неблагоприятного события (инцидента) (код и термин уровня 1 – ISO/TS 19218-1)</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неблагоприятного события (инцидента) (код и термин уровня 2 – ISO/TS 19218-1)</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Начальные корректирующие действия, выполненные производителем</w:t>
            </w:r>
            <w:r>
              <w:rPr>
                <w:rFonts w:ascii="Times New Roman"/>
                <w:b w:val="false"/>
                <w:i w:val="false"/>
                <w:color w:val="000000"/>
                <w:vertAlign w:val="superscript"/>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дата следующего отчета</w:t>
            </w:r>
            <w:r>
              <w:rPr>
                <w:rFonts w:ascii="Times New Roman"/>
                <w:b w:val="false"/>
                <w:i w:val="false"/>
                <w:color w:val="000000"/>
                <w:vertAlign w:val="superscript"/>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Результаты заключительного расследования производителя (для заключительного отчета)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анализа, проведенного производителем3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неблагоприятного события (инцидента) (код и термин уровня 1 – </w:t>
            </w:r>
            <w:r>
              <w:br/>
            </w:r>
            <w:r>
              <w:rPr>
                <w:rFonts w:ascii="Times New Roman"/>
                <w:b w:val="false"/>
                <w:i w:val="false"/>
                <w:color w:val="000000"/>
                <w:sz w:val="20"/>
              </w:rPr>
              <w:t>
</w:t>
            </w:r>
            <w:r>
              <w:rPr>
                <w:rFonts w:ascii="Times New Roman"/>
                <w:b w:val="false"/>
                <w:i w:val="false"/>
                <w:color w:val="000000"/>
                <w:sz w:val="20"/>
              </w:rPr>
              <w:t>ISO/TS 19218-2)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неблагоприятного события (инцидента) (код и термин уровня 2 – </w:t>
            </w:r>
            <w:r>
              <w:br/>
            </w:r>
            <w:r>
              <w:rPr>
                <w:rFonts w:ascii="Times New Roman"/>
                <w:b w:val="false"/>
                <w:i w:val="false"/>
                <w:color w:val="000000"/>
                <w:sz w:val="20"/>
              </w:rPr>
              <w:t>
</w:t>
            </w:r>
            <w:r>
              <w:rPr>
                <w:rFonts w:ascii="Times New Roman"/>
                <w:b w:val="false"/>
                <w:i w:val="false"/>
                <w:color w:val="000000"/>
                <w:sz w:val="20"/>
              </w:rPr>
              <w:t>ISO/TS 19218-2)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Корректирующие действия по безопасности на местах3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 указанных мероприятий</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Заключительные комментарии производителя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Известно ли производителю о подобных неблагоприятных событиях (инцидентах) </w:t>
            </w:r>
            <w:r>
              <w:br/>
            </w:r>
            <w:r>
              <w:rPr>
                <w:rFonts w:ascii="Times New Roman"/>
                <w:b w:val="false"/>
                <w:i w:val="false"/>
                <w:color w:val="000000"/>
                <w:sz w:val="20"/>
              </w:rPr>
              <w:t>
</w:t>
            </w:r>
            <w:r>
              <w:rPr>
                <w:rFonts w:ascii="Times New Roman"/>
                <w:b w:val="false"/>
                <w:i w:val="false"/>
                <w:color w:val="000000"/>
                <w:sz w:val="20"/>
              </w:rPr>
              <w:t>с таким же типом медицинского изделия с подобной же главной причиной?</w:t>
            </w:r>
            <w:r>
              <w:rPr>
                <w:rFonts w:ascii="Times New Roman"/>
                <w:b w:val="false"/>
                <w:i w:val="false"/>
                <w:color w:val="000000"/>
                <w:vertAlign w:val="superscript"/>
              </w:rPr>
              <w:t>3</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Нет</w:t>
            </w:r>
          </w:p>
          <w:p>
            <w:pPr>
              <w:spacing w:after="20"/>
              <w:ind w:left="20"/>
              <w:jc w:val="both"/>
            </w:pPr>
            <w:r>
              <w:rPr>
                <w:rFonts w:ascii="Times New Roman"/>
                <w:b w:val="false"/>
                <w:i w:val="false"/>
                <w:color w:val="000000"/>
                <w:sz w:val="20"/>
              </w:rPr>
              <w:t>Если да, укажите в каких странах и укажите номера неблагоприятных событий (инцидентов)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подобных неблагоприятных событий (инцидентов)</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изделие было распространено в следующих государствах (при наличии)</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Армения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Беларусь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Казахстан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Кыргызская Республика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Российская Федерация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Другие государства (указать)</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Обязательное поле для заполнения при первоначальном отчете.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Обязательное поле для заполнения при последующем отчете.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Обязательное поле для заполнения при заключительном отчете.</w:t>
      </w:r>
    </w:p>
    <w:p>
      <w:pPr>
        <w:spacing w:after="0"/>
        <w:ind w:left="0"/>
        <w:jc w:val="both"/>
      </w:pPr>
      <w:r>
        <w:rPr>
          <w:rFonts w:ascii="Times New Roman"/>
          <w:b w:val="false"/>
          <w:i w:val="false"/>
          <w:color w:val="000000"/>
          <w:sz w:val="28"/>
        </w:rPr>
        <w:t>      Примечание.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 предполагаемому ухудшению состояния здоровья или смерти человека или способствовало этому.</w:t>
      </w:r>
    </w:p>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p>
      <w:pPr>
        <w:spacing w:after="0"/>
        <w:ind w:left="0"/>
        <w:jc w:val="both"/>
      </w:pPr>
      <w:r>
        <w:rPr>
          <w:rFonts w:ascii="Times New Roman"/>
          <w:b w:val="false"/>
          <w:i w:val="false"/>
          <w:color w:val="000000"/>
          <w:sz w:val="28"/>
        </w:rPr>
        <w:t>_________________      ______________        ________________________</w:t>
      </w:r>
      <w:r>
        <w:br/>
      </w: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«__» ___________ 20__ г.</w:t>
      </w:r>
    </w:p>
    <w:bookmarkStart w:name="z38" w:id="6"/>
    <w:p>
      <w:pPr>
        <w:spacing w:after="0"/>
        <w:ind w:left="0"/>
        <w:jc w:val="both"/>
      </w:pPr>
      <w:r>
        <w:rPr>
          <w:rFonts w:ascii="Times New Roman"/>
          <w:b w:val="false"/>
          <w:i w:val="false"/>
          <w:color w:val="000000"/>
          <w:sz w:val="28"/>
        </w:rPr>
        <w:t xml:space="preserve">
ПРИЛОЖЕНИЕ № 2          </w:t>
      </w:r>
    </w:p>
    <w:bookmarkEnd w:id="6"/>
    <w:p>
      <w:pPr>
        <w:spacing w:after="0"/>
        <w:ind w:left="0"/>
        <w:jc w:val="both"/>
      </w:pPr>
      <w:r>
        <w:rPr>
          <w:rFonts w:ascii="Times New Roman"/>
          <w:b w:val="false"/>
          <w:i w:val="false"/>
          <w:color w:val="000000"/>
          <w:sz w:val="28"/>
        </w:rPr>
        <w:t>к Правилам проведения мониторинга</w:t>
      </w:r>
      <w:r>
        <w:br/>
      </w:r>
      <w:r>
        <w:rPr>
          <w:rFonts w:ascii="Times New Roman"/>
          <w:b w:val="false"/>
          <w:i w:val="false"/>
          <w:color w:val="000000"/>
          <w:sz w:val="28"/>
        </w:rPr>
        <w:t xml:space="preserve">
безопасности, качества и    </w:t>
      </w:r>
      <w:r>
        <w:br/>
      </w:r>
      <w:r>
        <w:rPr>
          <w:rFonts w:ascii="Times New Roman"/>
          <w:b w:val="false"/>
          <w:i w:val="false"/>
          <w:color w:val="000000"/>
          <w:sz w:val="28"/>
        </w:rPr>
        <w:t>
эффективности медицинских изделий</w:t>
      </w:r>
    </w:p>
    <w:bookmarkStart w:name="z39" w:id="7"/>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xml:space="preserve">                    отчета о корректирующих действиях </w:t>
      </w:r>
      <w:r>
        <w:br/>
      </w:r>
      <w:r>
        <w:rPr>
          <w:rFonts w:ascii="Times New Roman"/>
          <w:b w:val="false"/>
          <w:i w:val="false"/>
          <w:color w:val="000000"/>
          <w:sz w:val="28"/>
        </w:rPr>
        <w:t>
</w:t>
      </w:r>
      <w:r>
        <w:rPr>
          <w:rFonts w:ascii="Times New Roman"/>
          <w:b/>
          <w:i w:val="false"/>
          <w:color w:val="000000"/>
          <w:sz w:val="28"/>
        </w:rPr>
        <w:t>                   по безопасности медицинского изделия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1"/>
        <w:gridCol w:w="7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Административная информация</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 в которые направляется отчет</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отметки уполномоченного органа (дата,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отчета</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Первоначальный отчет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Последующий отчет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Заключительный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отчета о корректирующих действиях (присваивается производителем)</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отчета о корректирующих действиях (присваивается уполномоченным органом)</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неблагоприятного события (инцидента) (присваивается уполномоченным органом)</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координирующего уполномоченного органа (если применимо)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Данные о лице, подающем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лица, подающего отчет</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Производитель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Уполномоченный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Данные о производителе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Данные уполномоченного представителя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представителя</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1,2,3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1,2,3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Данные о медицинском изделии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потенциального риска применения медицинского изделия</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2б</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медицинского изделия в соответствии с номенклатурой медицинских изделий, применяемой в Евразийском экономическом союзе</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код медицинского изделия (Unique device identifier (UDI) (при наличии)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медицинского изделия</w:t>
            </w:r>
            <w:r>
              <w:rPr>
                <w:rFonts w:ascii="Times New Roman"/>
                <w:b w:val="false"/>
                <w:i w:val="false"/>
                <w:color w:val="000000"/>
                <w:vertAlign w:val="superscript"/>
              </w:rPr>
              <w:t>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rPr>
                <w:rFonts w:ascii="Times New Roman"/>
                <w:b w:val="false"/>
                <w:i w:val="false"/>
                <w:color w:val="000000"/>
                <w:vertAlign w:val="superscript"/>
              </w:rPr>
              <w:t>2,3</w:t>
            </w:r>
            <w:r>
              <w:rPr>
                <w:rFonts w:ascii="Times New Roman"/>
                <w:b w:val="false"/>
                <w:i w:val="false"/>
                <w:color w:val="000000"/>
                <w:sz w:val="20"/>
              </w:rPr>
              <w:t xml:space="preserve"> (если применимо)</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Каталожный номер (если применимо)</w:t>
            </w:r>
            <w:r>
              <w:rPr>
                <w:rFonts w:ascii="Times New Roman"/>
                <w:b w:val="false"/>
                <w:i w:val="false"/>
                <w:color w:val="000000"/>
                <w:vertAlign w:val="superscript"/>
              </w:rPr>
              <w:t>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(если применимо)</w:t>
            </w:r>
            <w:r>
              <w:rPr>
                <w:rFonts w:ascii="Times New Roman"/>
                <w:b w:val="false"/>
                <w:i w:val="false"/>
                <w:color w:val="000000"/>
                <w:vertAlign w:val="superscript"/>
              </w:rPr>
              <w:t>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партии (серии)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 программного обеспечения (если применимо)</w:t>
            </w:r>
            <w:r>
              <w:rPr>
                <w:rFonts w:ascii="Times New Roman"/>
                <w:b w:val="false"/>
                <w:i w:val="false"/>
                <w:color w:val="000000"/>
                <w:vertAlign w:val="superscript"/>
              </w:rPr>
              <w:t>2,3</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выпуска</w:t>
            </w:r>
            <w:r>
              <w:rPr>
                <w:rFonts w:ascii="Times New Roman"/>
                <w:b w:val="false"/>
                <w:i w:val="false"/>
                <w:color w:val="000000"/>
                <w:vertAlign w:val="superscript"/>
              </w:rPr>
              <w:t>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годности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и (или) совместно используемые медицинские изделия (если применимо)</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 в едином реестре медицинских изделий, зарегистрированных в рамках Евразийского экономического союза</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 в национальном реестре зарегистрированных медицинских изделий (при наличии)</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Данные о корректирующих действиях по безопасности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и причина корректирующих действий</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 обоснование корректирующих действий</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для пользователей</w:t>
            </w:r>
            <w:r>
              <w:rPr>
                <w:rFonts w:ascii="Times New Roman"/>
                <w:b w:val="false"/>
                <w:i w:val="false"/>
                <w:color w:val="000000"/>
                <w:vertAlign w:val="superscript"/>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и сроки реализации корректирующих действий</w:t>
            </w:r>
            <w:r>
              <w:rPr>
                <w:rFonts w:ascii="Times New Roman"/>
                <w:b w:val="false"/>
                <w:i w:val="false"/>
                <w:color w:val="000000"/>
                <w:vertAlign w:val="superscript"/>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отчету</w:t>
            </w:r>
            <w:r>
              <w:rPr>
                <w:rFonts w:ascii="Times New Roman"/>
                <w:b w:val="false"/>
                <w:i w:val="false"/>
                <w:color w:val="000000"/>
                <w:vertAlign w:val="superscript"/>
              </w:rPr>
              <w:t>1,2,3</w:t>
            </w:r>
            <w:r>
              <w:rPr>
                <w:rFonts w:ascii="Times New Roman"/>
                <w:b w:val="false"/>
                <w:i w:val="false"/>
                <w:color w:val="000000"/>
                <w:sz w:val="20"/>
              </w:rPr>
              <w:t>:</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Уведомление по безопасности медицинского изделия на русском языке </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Уведомление по безопасности медицинского изделия на государственном языке государства – члена Евразийского экономического союза, на территории которого произошло неблагоприятное событие (инцидент)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изделие было распространено в следующих государствах</w:t>
            </w:r>
            <w:r>
              <w:rPr>
                <w:rFonts w:ascii="Times New Roman"/>
                <w:b w:val="false"/>
                <w:i w:val="false"/>
                <w:color w:val="000000"/>
                <w:vertAlign w:val="superscript"/>
              </w:rPr>
              <w:t>1,2,3</w:t>
            </w:r>
            <w:r>
              <w:rPr>
                <w:rFonts w:ascii="Times New Roman"/>
                <w:b w:val="false"/>
                <w:i w:val="false"/>
                <w:color w:val="000000"/>
                <w:sz w:val="20"/>
              </w:rPr>
              <w:t xml:space="preserve">: </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Армения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Беларусь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Республика Казахстан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Кыргызская Республика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Российская Федерация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Другие государства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Комментарии</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Обязательное поле для заполнения при первоначальном отчете.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Обязательное поле для заполнения при последующем отчете.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Обязательное поле для заполнения при заключительном отчете.</w:t>
      </w:r>
    </w:p>
    <w:p>
      <w:pPr>
        <w:spacing w:after="0"/>
        <w:ind w:left="0"/>
        <w:jc w:val="both"/>
      </w:pPr>
      <w:r>
        <w:rPr>
          <w:rFonts w:ascii="Times New Roman"/>
          <w:b w:val="false"/>
          <w:i w:val="false"/>
          <w:color w:val="000000"/>
          <w:sz w:val="28"/>
        </w:rPr>
        <w:t>      Примечание.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 предполагаемому ухудшению состояния здоровья или смерти человека или способствовало этому.</w:t>
      </w:r>
    </w:p>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p>
      <w:pPr>
        <w:spacing w:after="0"/>
        <w:ind w:left="0"/>
        <w:jc w:val="both"/>
      </w:pPr>
      <w:r>
        <w:rPr>
          <w:rFonts w:ascii="Times New Roman"/>
          <w:b w:val="false"/>
          <w:i w:val="false"/>
          <w:color w:val="000000"/>
          <w:sz w:val="28"/>
        </w:rPr>
        <w:t>_________________ ______________ ____________________________________</w:t>
      </w:r>
      <w:r>
        <w:br/>
      </w: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«__» ___________ 20__ г.</w:t>
      </w:r>
    </w:p>
    <w:bookmarkStart w:name="z40" w:id="8"/>
    <w:p>
      <w:pPr>
        <w:spacing w:after="0"/>
        <w:ind w:left="0"/>
        <w:jc w:val="both"/>
      </w:pPr>
      <w:r>
        <w:rPr>
          <w:rFonts w:ascii="Times New Roman"/>
          <w:b w:val="false"/>
          <w:i w:val="false"/>
          <w:color w:val="000000"/>
          <w:sz w:val="28"/>
        </w:rPr>
        <w:t xml:space="preserve">
ПРИЛОЖЕНИЕ № 3         </w:t>
      </w:r>
    </w:p>
    <w:bookmarkEnd w:id="8"/>
    <w:p>
      <w:pPr>
        <w:spacing w:after="0"/>
        <w:ind w:left="0"/>
        <w:jc w:val="both"/>
      </w:pPr>
      <w:r>
        <w:rPr>
          <w:rFonts w:ascii="Times New Roman"/>
          <w:b w:val="false"/>
          <w:i w:val="false"/>
          <w:color w:val="000000"/>
          <w:sz w:val="28"/>
        </w:rPr>
        <w:t>к Правилам проведения мониторинга</w:t>
      </w:r>
      <w:r>
        <w:br/>
      </w:r>
      <w:r>
        <w:rPr>
          <w:rFonts w:ascii="Times New Roman"/>
          <w:b w:val="false"/>
          <w:i w:val="false"/>
          <w:color w:val="000000"/>
          <w:sz w:val="28"/>
        </w:rPr>
        <w:t xml:space="preserve">
безопасности, качества и    </w:t>
      </w:r>
      <w:r>
        <w:br/>
      </w:r>
      <w:r>
        <w:rPr>
          <w:rFonts w:ascii="Times New Roman"/>
          <w:b w:val="false"/>
          <w:i w:val="false"/>
          <w:color w:val="000000"/>
          <w:sz w:val="28"/>
        </w:rPr>
        <w:t>
эффективности медицинских изделий</w:t>
      </w:r>
    </w:p>
    <w:bookmarkStart w:name="z41" w:id="9"/>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w:t>
      </w:r>
      <w:r>
        <w:br/>
      </w:r>
      <w:r>
        <w:rPr>
          <w:rFonts w:ascii="Times New Roman"/>
          <w:b w:val="false"/>
          <w:i w:val="false"/>
          <w:color w:val="000000"/>
          <w:sz w:val="28"/>
        </w:rPr>
        <w:t>
</w:t>
      </w:r>
      <w:r>
        <w:rPr>
          <w:rFonts w:ascii="Times New Roman"/>
          <w:b/>
          <w:i w:val="false"/>
          <w:color w:val="000000"/>
          <w:sz w:val="28"/>
        </w:rPr>
        <w:t xml:space="preserve">        извещения о неблагоприятном событии (инциденте), </w:t>
      </w:r>
      <w:r>
        <w:br/>
      </w:r>
      <w:r>
        <w:rPr>
          <w:rFonts w:ascii="Times New Roman"/>
          <w:b w:val="false"/>
          <w:i w:val="false"/>
          <w:color w:val="000000"/>
          <w:sz w:val="28"/>
        </w:rPr>
        <w:t>
</w:t>
      </w:r>
      <w:r>
        <w:rPr>
          <w:rFonts w:ascii="Times New Roman"/>
          <w:b/>
          <w:i w:val="false"/>
          <w:color w:val="000000"/>
          <w:sz w:val="28"/>
        </w:rPr>
        <w:t>          связанном с применением медицинского изделия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200"/>
        <w:gridCol w:w="5979"/>
      </w:tblGrid>
      <w:tr>
        <w:trPr>
          <w:trHeight w:val="945"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наименование лица (субъекта обращения медицинских изделий), направляющего извещение</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адрес</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контактный телефон, факс</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наименование медицинского изделия</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модель</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серийный номер</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номер партии или серии</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номер регистрационного удостоверения</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наименование производителя</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адрес (при наличии информации)</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наименование поставщика (при наличии информации)</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контакты (адрес, телефон)</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производства медицинского изделия (день/месяц/год)</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годности (день/месяц/год) (при наличии информации)</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гарантийного срока и срока эксплуатации, установленного производителем (день/месяц/год) (при наличии информации)</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выявления серьезных и (или) непредвиденных побочных реакций, побочных явлений, недостатков, неисправностей или несоответствий (день/месяц/год)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неблагоприятного события (инцидента), связанного с применением медицинского изделия (выбрать нужное):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серьезная и (или) непредвиденная побочная реакция, не указанная в инструкции по применению или руководстве по эксплуатации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побочное явление при применении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особенности взаимодействия медицинских изделий между собой</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ненадлежащее качество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обстоятельства, создающие угрозу жизни и здоровью населения и медицинских работников при применении и эксплуатации медицинских изделий</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иные случаи неблагоприятного события (инцидента)</w:t>
            </w:r>
          </w:p>
        </w:tc>
      </w:tr>
      <w:tr>
        <w:trPr>
          <w:trHeight w:val="9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пользователем или медицинской организацией меры по устранению неблагоприятного события (инцидента)</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Причиненный вред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Гарантирую достоверность сведений, содержащихся в настоящем извещении.</w:t>
      </w:r>
    </w:p>
    <w:p>
      <w:pPr>
        <w:spacing w:after="0"/>
        <w:ind w:left="0"/>
        <w:jc w:val="both"/>
      </w:pPr>
      <w:r>
        <w:rPr>
          <w:rFonts w:ascii="Times New Roman"/>
          <w:b w:val="false"/>
          <w:i w:val="false"/>
          <w:color w:val="000000"/>
          <w:sz w:val="28"/>
        </w:rPr>
        <w:t>      Приложение: копии документов, свидетельствующих о неблагоприятном событии (инциденте), на ___ л. в 1 экз.</w:t>
      </w:r>
    </w:p>
    <w:p>
      <w:pPr>
        <w:spacing w:after="0"/>
        <w:ind w:left="0"/>
        <w:jc w:val="both"/>
      </w:pPr>
      <w:r>
        <w:rPr>
          <w:rFonts w:ascii="Times New Roman"/>
          <w:b w:val="false"/>
          <w:i w:val="false"/>
          <w:color w:val="000000"/>
          <w:sz w:val="28"/>
        </w:rPr>
        <w:t>Лицо, направляющее извещение:</w:t>
      </w:r>
    </w:p>
    <w:p>
      <w:pPr>
        <w:spacing w:after="0"/>
        <w:ind w:left="0"/>
        <w:jc w:val="both"/>
      </w:pPr>
      <w:r>
        <w:rPr>
          <w:rFonts w:ascii="Times New Roman"/>
          <w:b w:val="false"/>
          <w:i w:val="false"/>
          <w:color w:val="000000"/>
          <w:sz w:val="28"/>
        </w:rPr>
        <w:t>_________________ ______________ ____________________________________</w:t>
      </w:r>
      <w:r>
        <w:br/>
      </w: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«__» ___________ 20__ г. </w:t>
      </w:r>
    </w:p>
    <w:bookmarkStart w:name="z42" w:id="10"/>
    <w:p>
      <w:pPr>
        <w:spacing w:after="0"/>
        <w:ind w:left="0"/>
        <w:jc w:val="both"/>
      </w:pPr>
      <w:r>
        <w:rPr>
          <w:rFonts w:ascii="Times New Roman"/>
          <w:b w:val="false"/>
          <w:i w:val="false"/>
          <w:color w:val="000000"/>
          <w:sz w:val="28"/>
        </w:rPr>
        <w:t xml:space="preserve">
ПРИЛОЖЕНИЕ № 4         </w:t>
      </w:r>
    </w:p>
    <w:bookmarkEnd w:id="10"/>
    <w:p>
      <w:pPr>
        <w:spacing w:after="0"/>
        <w:ind w:left="0"/>
        <w:jc w:val="both"/>
      </w:pPr>
      <w:r>
        <w:rPr>
          <w:rFonts w:ascii="Times New Roman"/>
          <w:b w:val="false"/>
          <w:i w:val="false"/>
          <w:color w:val="000000"/>
          <w:sz w:val="28"/>
        </w:rPr>
        <w:t>к Правилам проведения мониторинга</w:t>
      </w:r>
      <w:r>
        <w:br/>
      </w:r>
      <w:r>
        <w:rPr>
          <w:rFonts w:ascii="Times New Roman"/>
          <w:b w:val="false"/>
          <w:i w:val="false"/>
          <w:color w:val="000000"/>
          <w:sz w:val="28"/>
        </w:rPr>
        <w:t xml:space="preserve">
безопасности, качества и     </w:t>
      </w:r>
      <w:r>
        <w:br/>
      </w:r>
      <w:r>
        <w:rPr>
          <w:rFonts w:ascii="Times New Roman"/>
          <w:b w:val="false"/>
          <w:i w:val="false"/>
          <w:color w:val="000000"/>
          <w:sz w:val="28"/>
        </w:rPr>
        <w:t>
эффективности медицинских изделий</w:t>
      </w:r>
    </w:p>
    <w:bookmarkStart w:name="z43" w:id="11"/>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уведомления по безопасности медицинского изделия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8"/>
        <w:gridCol w:w="72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r>
              <w:br/>
            </w:r>
            <w:r>
              <w:rPr>
                <w:rFonts w:ascii="Times New Roman"/>
                <w:b w:val="false"/>
                <w:i w:val="false"/>
                <w:color w:val="000000"/>
                <w:sz w:val="20"/>
              </w:rPr>
              <w:t>
</w:t>
            </w:r>
            <w:r>
              <w:rPr>
                <w:rFonts w:ascii="Times New Roman"/>
                <w:b w:val="false"/>
                <w:i w:val="false"/>
                <w:color w:val="000000"/>
                <w:sz w:val="20"/>
              </w:rPr>
              <w:t>ПО БЕЗОПАСНОСТИ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Дата: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корректирующего действия: </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Приостановление использования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Замена медицинского изделия производителем или его уполномоченным</w:t>
            </w:r>
            <w:r>
              <w:br/>
            </w:r>
            <w:r>
              <w:rPr>
                <w:rFonts w:ascii="Times New Roman"/>
                <w:b w:val="false"/>
                <w:i w:val="false"/>
                <w:color w:val="000000"/>
                <w:sz w:val="20"/>
              </w:rPr>
              <w:t>
</w:t>
            </w:r>
            <w:r>
              <w:rPr>
                <w:rFonts w:ascii="Times New Roman"/>
                <w:b w:val="false"/>
                <w:i w:val="false"/>
                <w:color w:val="000000"/>
                <w:sz w:val="20"/>
              </w:rPr>
              <w:t>представителем</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Возврат медицинского изделия производителю или его уполномоченным</w:t>
            </w:r>
            <w:r>
              <w:br/>
            </w:r>
            <w:r>
              <w:rPr>
                <w:rFonts w:ascii="Times New Roman"/>
                <w:b w:val="false"/>
                <w:i w:val="false"/>
                <w:color w:val="000000"/>
                <w:sz w:val="20"/>
              </w:rPr>
              <w:t>
</w:t>
            </w:r>
            <w:r>
              <w:rPr>
                <w:rFonts w:ascii="Times New Roman"/>
                <w:b w:val="false"/>
                <w:i w:val="false"/>
                <w:color w:val="000000"/>
                <w:sz w:val="20"/>
              </w:rPr>
              <w:t>представителю</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Модернизация медицинского изделия на месте </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Уничтожение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Изменение инструкций по применению или руководства по эксплуатации</w:t>
            </w:r>
            <w:r>
              <w:br/>
            </w:r>
            <w:r>
              <w:rPr>
                <w:rFonts w:ascii="Times New Roman"/>
                <w:b w:val="false"/>
                <w:i w:val="false"/>
                <w:color w:val="000000"/>
                <w:sz w:val="20"/>
              </w:rPr>
              <w:t>
</w:t>
            </w:r>
            <w:r>
              <w:rPr>
                <w:rFonts w:ascii="Times New Roman"/>
                <w:b w:val="false"/>
                <w:i w:val="false"/>
                <w:color w:val="000000"/>
                <w:sz w:val="20"/>
              </w:rPr>
              <w:t>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Обновление программного обеспечения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медицинского изделия:</w:t>
            </w:r>
            <w:r>
              <w:br/>
            </w:r>
            <w:r>
              <w:rPr>
                <w:rFonts w:ascii="Times New Roman"/>
                <w:b w:val="false"/>
                <w:i w:val="false"/>
                <w:color w:val="000000"/>
                <w:sz w:val="20"/>
              </w:rPr>
              <w:t>
</w:t>
            </w:r>
            <w:r>
              <w:rPr>
                <w:rFonts w:ascii="Times New Roman"/>
                <w:b w:val="false"/>
                <w:i w:val="false"/>
                <w:color w:val="000000"/>
                <w:sz w:val="20"/>
              </w:rPr>
              <w:t>Вариант исполнения/модель/серийный номер/каталожный номер (по применимости):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проблемы: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которые должен выполнить пользователь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о необходимости передачи уведомления лицам, которые должны быть информированы о проблеме и (или) должны выполнять корректирующие действия: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о необходимости представления производителю (уполномоченному представителю производителя) сведений о медицинских изделиях, направленных в другие организации, и передачи этим организациям уведомления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лица, направившего уведомление1,2,3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rPr>
                <w:rFonts w:ascii="Times New Roman"/>
                <w:b w:val="false"/>
                <w:i w:val="false"/>
                <w:color w:val="000000"/>
                <w:vertAlign w:val="superscript"/>
              </w:rPr>
              <w:t>1,2,3</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rPr>
                <w:rFonts w:ascii="Times New Roman"/>
                <w:b w:val="false"/>
                <w:i w:val="false"/>
                <w:color w:val="000000"/>
                <w:vertAlign w:val="superscript"/>
              </w:rPr>
              <w:t>1,2,3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rPr>
                <w:rFonts w:ascii="Times New Roman"/>
                <w:b w:val="false"/>
                <w:i w:val="false"/>
                <w:color w:val="000000"/>
                <w:vertAlign w:val="superscript"/>
              </w:rPr>
              <w:t>1,2,3</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rPr>
                <w:rFonts w:ascii="Times New Roman"/>
                <w:b w:val="false"/>
                <w:i w:val="false"/>
                <w:color w:val="000000"/>
                <w:vertAlign w:val="superscript"/>
              </w:rPr>
              <w:t>1,2,3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r>
              <w:rPr>
                <w:rFonts w:ascii="Times New Roman"/>
                <w:b w:val="false"/>
                <w:i w:val="false"/>
                <w:color w:val="000000"/>
                <w:vertAlign w:val="superscript"/>
              </w:rPr>
              <w:t>1,2,3</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vertAlign w:val="superscript"/>
              </w:rPr>
              <w:t>1,2,3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rPr>
                <w:rFonts w:ascii="Times New Roman"/>
                <w:b w:val="false"/>
                <w:i w:val="false"/>
                <w:color w:val="000000"/>
                <w:vertAlign w:val="superscript"/>
              </w:rPr>
              <w:t>1,2,3</w:t>
            </w:r>
          </w:p>
        </w:tc>
      </w:tr>
    </w:tbl>
    <w:p>
      <w:pPr>
        <w:spacing w:after="0"/>
        <w:ind w:left="0"/>
        <w:jc w:val="both"/>
      </w:pPr>
      <w:r>
        <w:rPr>
          <w:rFonts w:ascii="Times New Roman"/>
          <w:b w:val="false"/>
          <w:i w:val="false"/>
          <w:color w:val="000000"/>
          <w:sz w:val="28"/>
        </w:rPr>
        <w:t>      Подтверждаю, что соответствующий уполномоченный орган проинформирован о данной проблеме и о настоящем уведомлении по безопасности медицинского изделия.</w:t>
      </w:r>
    </w:p>
    <w:tbl>
      <w:tblPr>
        <w:tblW w:w="0" w:type="auto"/>
        <w:tblCellSpacing w:w="0" w:type="auto"/>
        <w:tblBorders>
          <w:top w:val="none"/>
          <w:left w:val="none"/>
          <w:bottom w:val="none"/>
          <w:right w:val="none"/>
          <w:insideH w:val="none"/>
          <w:insideV w:val="none"/>
        </w:tblBorders>
      </w:tblPr>
      <w:tblGrid>
        <w:gridCol w:w="5862"/>
        <w:gridCol w:w="3456"/>
        <w:gridCol w:w="4682"/>
      </w:tblGrid>
      <w:tr>
        <w:trPr>
          <w:trHeight w:val="30" w:hRule="atLeast"/>
        </w:trPr>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«__» ___________ 20__ г.</w:t>
            </w:r>
          </w:p>
        </w:tc>
        <w:tc>
          <w:tcPr>
            <w:tcW w:w="3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p>
        </w:tc>
        <w:tc>
          <w:tcPr>
            <w:tcW w:w="4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(инициалы, фамилия)</w:t>
            </w:r>
          </w:p>
        </w:tc>
      </w:tr>
    </w:tbl>
    <w:bookmarkStart w:name="z44" w:id="12"/>
    <w:p>
      <w:pPr>
        <w:spacing w:after="0"/>
        <w:ind w:left="0"/>
        <w:jc w:val="both"/>
      </w:pPr>
      <w:r>
        <w:rPr>
          <w:rFonts w:ascii="Times New Roman"/>
          <w:b w:val="false"/>
          <w:i w:val="false"/>
          <w:color w:val="000000"/>
          <w:sz w:val="28"/>
        </w:rPr>
        <w:t xml:space="preserve">
ПРИЛОЖЕНИЕ № 5         </w:t>
      </w:r>
    </w:p>
    <w:bookmarkEnd w:id="12"/>
    <w:p>
      <w:pPr>
        <w:spacing w:after="0"/>
        <w:ind w:left="0"/>
        <w:jc w:val="both"/>
      </w:pPr>
      <w:r>
        <w:rPr>
          <w:rFonts w:ascii="Times New Roman"/>
          <w:b w:val="false"/>
          <w:i w:val="false"/>
          <w:color w:val="000000"/>
          <w:sz w:val="28"/>
        </w:rPr>
        <w:t>к Правилам проведения мониторинга</w:t>
      </w:r>
      <w:r>
        <w:br/>
      </w:r>
      <w:r>
        <w:rPr>
          <w:rFonts w:ascii="Times New Roman"/>
          <w:b w:val="false"/>
          <w:i w:val="false"/>
          <w:color w:val="000000"/>
          <w:sz w:val="28"/>
        </w:rPr>
        <w:t xml:space="preserve">
безопасности, качества и    </w:t>
      </w:r>
      <w:r>
        <w:br/>
      </w:r>
      <w:r>
        <w:rPr>
          <w:rFonts w:ascii="Times New Roman"/>
          <w:b w:val="false"/>
          <w:i w:val="false"/>
          <w:color w:val="000000"/>
          <w:sz w:val="28"/>
        </w:rPr>
        <w:t>
эффективности медицинских изделий</w:t>
      </w:r>
    </w:p>
    <w:bookmarkStart w:name="z45" w:id="13"/>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отчета о пострегистрационном клиническом мониторинге</w:t>
      </w:r>
      <w:r>
        <w:br/>
      </w:r>
      <w:r>
        <w:rPr>
          <w:rFonts w:ascii="Times New Roman"/>
          <w:b w:val="false"/>
          <w:i w:val="false"/>
          <w:color w:val="000000"/>
          <w:sz w:val="28"/>
        </w:rPr>
        <w:t>
</w:t>
      </w:r>
      <w:r>
        <w:rPr>
          <w:rFonts w:ascii="Times New Roman"/>
          <w:b/>
          <w:i w:val="false"/>
          <w:color w:val="000000"/>
          <w:sz w:val="28"/>
        </w:rPr>
        <w:t>         безопасности и эффективности медицинского изделия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7"/>
        <w:gridCol w:w="61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Административная информация</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p>
        </w:tc>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отметки уполномоченного органа (дата, регистрационный номер)</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уполномоченного органа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отчета: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Первоначальный отчет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Последующий отчет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Заключительный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отчета (присваивается производителем)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отчета (присваивается уполномоченным органом)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Данные о лице, подающем отчет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лица, подающего отчет: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Производитель</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Уполномоченный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Данные о производителе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Данные уполномоченного представителя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 контактного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(при наличии)</w:t>
            </w:r>
          </w:p>
        </w:tc>
      </w:tr>
      <w:tr>
        <w:trPr>
          <w:trHeight w:val="30" w:hRule="atLeast"/>
        </w:trPr>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Данные о медицинском изделии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потенциального риска применения медицинского изделия:</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 неимплантируемое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3, имплантируемое</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2б, имплантируемое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медицинского изделия в соответствии с номенклатурой медицинских изделий, применяемой в Евразийском экономическом союзе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исполнения (модификации)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регистрационного удостоверения в едином реестре медицинских изделий, зарегистрированных в рамках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Перечень идентифицированных остаточных рисков, связанных с медицинским изделием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Цели и задачи пострегистрационного клинического мониторинга безопасности и эффективности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Схема пострегистрационного клинического мониторинга безопасности и эффективности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Клинические данные, полученные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Оценка клинических данных, полученных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Оценка всех клинических данных, полученных в период пострегистрационного клинического мониторинга безопасности и эффективности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Заключение о необходимости (отсутствии необходимости) выполнения корректирующих действий по безопасности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Описание корректирующих действий по безопасности медицинского изделия </w:t>
            </w:r>
            <w:r>
              <w:br/>
            </w:r>
            <w:r>
              <w:rPr>
                <w:rFonts w:ascii="Times New Roman"/>
                <w:b w:val="false"/>
                <w:i w:val="false"/>
                <w:color w:val="000000"/>
                <w:sz w:val="20"/>
              </w:rPr>
              <w:t>
</w:t>
            </w:r>
            <w:r>
              <w:rPr>
                <w:rFonts w:ascii="Times New Roman"/>
                <w:b w:val="false"/>
                <w:i w:val="false"/>
                <w:color w:val="000000"/>
                <w:sz w:val="20"/>
              </w:rPr>
              <w:t>(при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Заключение (обоснование) о клинической безопасности и эффективности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 (для заключительного отчета)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Комментарии</w:t>
            </w:r>
          </w:p>
        </w:tc>
      </w:tr>
    </w:tbl>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tbl>
      <w:tblPr>
        <w:tblW w:w="0" w:type="auto"/>
        <w:tblCellSpacing w:w="0" w:type="auto"/>
        <w:tblBorders>
          <w:top w:val="none"/>
          <w:left w:val="none"/>
          <w:bottom w:val="none"/>
          <w:right w:val="none"/>
          <w:insideH w:val="none"/>
          <w:insideV w:val="none"/>
        </w:tblBorders>
      </w:tblPr>
      <w:tblGrid>
        <w:gridCol w:w="5862"/>
        <w:gridCol w:w="3456"/>
        <w:gridCol w:w="4682"/>
      </w:tblGrid>
      <w:tr>
        <w:trPr>
          <w:trHeight w:val="30" w:hRule="atLeast"/>
        </w:trPr>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«__» ___________ 20__ г.</w:t>
            </w:r>
          </w:p>
        </w:tc>
        <w:tc>
          <w:tcPr>
            <w:tcW w:w="3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p>
        </w:tc>
        <w:tc>
          <w:tcPr>
            <w:tcW w:w="4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(инициалы, фамилия)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