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5f1b" w14:textId="8705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19 главы II Единых санитарно-эпидемиологических и гигиенических требований к товарам, подлежащим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2015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 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19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товарам, подлежащим санитарно-эпидемиологическому надзору (контролю), утвержденных Решением Комиссии Таможенного союза от 28 мая 2010 г. № 299, дополнить пунктом 4.4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«4.4. Не допускается содержание метилового спирта (массовая доля) в охлаждающих жидкостях (код 3820 00 000 0 ТН ВЭД ЕАЭС) более 0,05 %».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решения Совета Евразийской экономической комиссии о внесении изменений в части установления показателя содержания метилового спирта (массовой доли) в охлаждающих жидкостях (код 3820 00 000 0 ТН ВЭД ЕАЭС) на уровне не более 0,05 % в технический регламент Таможенного союза «О требованиях к смазочным материалам, маслам и специальным жидкостям» (ТР ТС 030/2012), но не ранее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