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1d3f" w14:textId="a671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2015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 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«О формах Единых ветеринарных сертификатов на ввозимые на таможенную территорию Таможенного союза Республики Беларусь, Республики Казахстан и Российской Федерации подконтрольные товары из третьих стран»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изготовленные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бланки ветеринарных сертификатов, выпущенные до вступления в силу настоящего Решения, используются до 1 июня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2015 г. № 161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7 апреля 2011 г. № 607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 абзаце первом слова «Таможенного союза Республики Беларусь, Республики Казахстан и Российской Федерации»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«Таможенного союза Республики Беларусь, Республики Казахстан и Российской Федерации»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пунктом 43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«43. Ветеринарный сертификат на экспортируемых на таможенную территорию Евразийского экономического союза лабораторных животных (мышей, песчанок, крыс, морских свинок, кроликов, хомяков, кошек, собак, нечеловекообразных приматов, птиц), а также их оплодотворенные яйцеклетки (зиготы) и эмбрионы (Форма № 43) (прилагается).».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формах Единых ветеринарных сертификатов,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 тексту </w:t>
      </w:r>
      <w:r>
        <w:rPr>
          <w:rFonts w:ascii="Times New Roman"/>
          <w:b w:val="false"/>
          <w:i w:val="false"/>
          <w:color w:val="000000"/>
          <w:sz w:val="28"/>
        </w:rPr>
        <w:t>форм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«Таможенного союза Республики Беларусь, Республики Казахстан и Российской Федерации»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пункте 4.5 </w:t>
      </w:r>
      <w:r>
        <w:rPr>
          <w:rFonts w:ascii="Times New Roman"/>
          <w:b w:val="false"/>
          <w:i w:val="false"/>
          <w:color w:val="000000"/>
          <w:sz w:val="28"/>
        </w:rPr>
        <w:t>формы 4</w:t>
      </w:r>
      <w:r>
        <w:rPr>
          <w:rFonts w:ascii="Times New Roman"/>
          <w:b w:val="false"/>
          <w:i w:val="false"/>
          <w:color w:val="000000"/>
          <w:sz w:val="28"/>
        </w:rPr>
        <w:t>, абзаце втором пункта 3.2 </w:t>
      </w:r>
      <w:r>
        <w:rPr>
          <w:rFonts w:ascii="Times New Roman"/>
          <w:b w:val="false"/>
          <w:i w:val="false"/>
          <w:color w:val="000000"/>
          <w:sz w:val="28"/>
        </w:rPr>
        <w:t>формы 11</w:t>
      </w:r>
      <w:r>
        <w:rPr>
          <w:rFonts w:ascii="Times New Roman"/>
          <w:b w:val="false"/>
          <w:i w:val="false"/>
          <w:color w:val="000000"/>
          <w:sz w:val="28"/>
        </w:rPr>
        <w:t>, пункте 4.4 </w:t>
      </w:r>
      <w:r>
        <w:rPr>
          <w:rFonts w:ascii="Times New Roman"/>
          <w:b w:val="false"/>
          <w:i w:val="false"/>
          <w:color w:val="000000"/>
          <w:sz w:val="28"/>
        </w:rPr>
        <w:t>формы 18</w:t>
      </w:r>
      <w:r>
        <w:rPr>
          <w:rFonts w:ascii="Times New Roman"/>
          <w:b w:val="false"/>
          <w:i w:val="false"/>
          <w:color w:val="000000"/>
          <w:sz w:val="28"/>
        </w:rPr>
        <w:t>, абзаце девятом пункта 4.6, пунктах 4.7 и 4.10 </w:t>
      </w:r>
      <w:r>
        <w:rPr>
          <w:rFonts w:ascii="Times New Roman"/>
          <w:b w:val="false"/>
          <w:i w:val="false"/>
          <w:color w:val="000000"/>
          <w:sz w:val="28"/>
        </w:rPr>
        <w:t>формы 22</w:t>
      </w:r>
      <w:r>
        <w:rPr>
          <w:rFonts w:ascii="Times New Roman"/>
          <w:b w:val="false"/>
          <w:i w:val="false"/>
          <w:color w:val="000000"/>
          <w:sz w:val="28"/>
        </w:rPr>
        <w:t>, абзаце восьмом пункта 4.6, пунктах 4.7 и 4.10 </w:t>
      </w:r>
      <w:r>
        <w:rPr>
          <w:rFonts w:ascii="Times New Roman"/>
          <w:b w:val="false"/>
          <w:i w:val="false"/>
          <w:color w:val="000000"/>
          <w:sz w:val="28"/>
        </w:rPr>
        <w:t>формы 23</w:t>
      </w:r>
      <w:r>
        <w:rPr>
          <w:rFonts w:ascii="Times New Roman"/>
          <w:b w:val="false"/>
          <w:i w:val="false"/>
          <w:color w:val="000000"/>
          <w:sz w:val="28"/>
        </w:rPr>
        <w:t>, абзаце шестом пункта 4.6 и пункте 4.10 </w:t>
      </w:r>
      <w:r>
        <w:rPr>
          <w:rFonts w:ascii="Times New Roman"/>
          <w:b w:val="false"/>
          <w:i w:val="false"/>
          <w:color w:val="000000"/>
          <w:sz w:val="28"/>
        </w:rPr>
        <w:t>формы 24</w:t>
      </w:r>
      <w:r>
        <w:rPr>
          <w:rFonts w:ascii="Times New Roman"/>
          <w:b w:val="false"/>
          <w:i w:val="false"/>
          <w:color w:val="000000"/>
          <w:sz w:val="28"/>
        </w:rPr>
        <w:t>, пункте 4.10 </w:t>
      </w:r>
      <w:r>
        <w:rPr>
          <w:rFonts w:ascii="Times New Roman"/>
          <w:b w:val="false"/>
          <w:i w:val="false"/>
          <w:color w:val="000000"/>
          <w:sz w:val="28"/>
        </w:rPr>
        <w:t>формы 25</w:t>
      </w:r>
      <w:r>
        <w:rPr>
          <w:rFonts w:ascii="Times New Roman"/>
          <w:b w:val="false"/>
          <w:i w:val="false"/>
          <w:color w:val="000000"/>
          <w:sz w:val="28"/>
        </w:rPr>
        <w:t>, пунктах 4.5 и 4.8 </w:t>
      </w:r>
      <w:r>
        <w:rPr>
          <w:rFonts w:ascii="Times New Roman"/>
          <w:b w:val="false"/>
          <w:i w:val="false"/>
          <w:color w:val="000000"/>
          <w:sz w:val="28"/>
        </w:rPr>
        <w:t>формы 26</w:t>
      </w:r>
      <w:r>
        <w:rPr>
          <w:rFonts w:ascii="Times New Roman"/>
          <w:b w:val="false"/>
          <w:i w:val="false"/>
          <w:color w:val="000000"/>
          <w:sz w:val="28"/>
        </w:rPr>
        <w:t>, пунктах 4.6 и 4.9 </w:t>
      </w:r>
      <w:r>
        <w:rPr>
          <w:rFonts w:ascii="Times New Roman"/>
          <w:b w:val="false"/>
          <w:i w:val="false"/>
          <w:color w:val="000000"/>
          <w:sz w:val="28"/>
        </w:rPr>
        <w:t>формы 27</w:t>
      </w:r>
      <w:r>
        <w:rPr>
          <w:rFonts w:ascii="Times New Roman"/>
          <w:b w:val="false"/>
          <w:i w:val="false"/>
          <w:color w:val="000000"/>
          <w:sz w:val="28"/>
        </w:rPr>
        <w:t>, пунктах 4.4 и 4.6 </w:t>
      </w:r>
      <w:r>
        <w:rPr>
          <w:rFonts w:ascii="Times New Roman"/>
          <w:b w:val="false"/>
          <w:i w:val="false"/>
          <w:color w:val="000000"/>
          <w:sz w:val="28"/>
        </w:rPr>
        <w:t>формы 28</w:t>
      </w:r>
      <w:r>
        <w:rPr>
          <w:rFonts w:ascii="Times New Roman"/>
          <w:b w:val="false"/>
          <w:i w:val="false"/>
          <w:color w:val="000000"/>
          <w:sz w:val="28"/>
        </w:rPr>
        <w:t>, пункте 4.9 </w:t>
      </w:r>
      <w:r>
        <w:rPr>
          <w:rFonts w:ascii="Times New Roman"/>
          <w:b w:val="false"/>
          <w:i w:val="false"/>
          <w:color w:val="000000"/>
          <w:sz w:val="28"/>
        </w:rPr>
        <w:t>формы 29</w:t>
      </w:r>
      <w:r>
        <w:rPr>
          <w:rFonts w:ascii="Times New Roman"/>
          <w:b w:val="false"/>
          <w:i w:val="false"/>
          <w:color w:val="000000"/>
          <w:sz w:val="28"/>
        </w:rPr>
        <w:t>, пункте 4.7 </w:t>
      </w:r>
      <w:r>
        <w:rPr>
          <w:rFonts w:ascii="Times New Roman"/>
          <w:b w:val="false"/>
          <w:i w:val="false"/>
          <w:color w:val="000000"/>
          <w:sz w:val="28"/>
        </w:rPr>
        <w:t>формы 30</w:t>
      </w:r>
      <w:r>
        <w:rPr>
          <w:rFonts w:ascii="Times New Roman"/>
          <w:b w:val="false"/>
          <w:i w:val="false"/>
          <w:color w:val="000000"/>
          <w:sz w:val="28"/>
        </w:rPr>
        <w:t>, пункте 4.8 </w:t>
      </w:r>
      <w:r>
        <w:rPr>
          <w:rFonts w:ascii="Times New Roman"/>
          <w:b w:val="false"/>
          <w:i w:val="false"/>
          <w:color w:val="000000"/>
          <w:sz w:val="28"/>
        </w:rPr>
        <w:t>формы 31</w:t>
      </w:r>
      <w:r>
        <w:rPr>
          <w:rFonts w:ascii="Times New Roman"/>
          <w:b w:val="false"/>
          <w:i w:val="false"/>
          <w:color w:val="000000"/>
          <w:sz w:val="28"/>
        </w:rPr>
        <w:t>, пункте 4.6 </w:t>
      </w:r>
      <w:r>
        <w:rPr>
          <w:rFonts w:ascii="Times New Roman"/>
          <w:b w:val="false"/>
          <w:i w:val="false"/>
          <w:color w:val="000000"/>
          <w:sz w:val="28"/>
        </w:rPr>
        <w:t>формы 32</w:t>
      </w:r>
      <w:r>
        <w:rPr>
          <w:rFonts w:ascii="Times New Roman"/>
          <w:b w:val="false"/>
          <w:i w:val="false"/>
          <w:color w:val="000000"/>
          <w:sz w:val="28"/>
        </w:rPr>
        <w:t>, пункте 4.3 </w:t>
      </w:r>
      <w:r>
        <w:rPr>
          <w:rFonts w:ascii="Times New Roman"/>
          <w:b w:val="false"/>
          <w:i w:val="false"/>
          <w:color w:val="000000"/>
          <w:sz w:val="28"/>
        </w:rPr>
        <w:t>формы 33</w:t>
      </w:r>
      <w:r>
        <w:rPr>
          <w:rFonts w:ascii="Times New Roman"/>
          <w:b w:val="false"/>
          <w:i w:val="false"/>
          <w:color w:val="000000"/>
          <w:sz w:val="28"/>
        </w:rPr>
        <w:t>, пункте 4.4 </w:t>
      </w:r>
      <w:r>
        <w:rPr>
          <w:rFonts w:ascii="Times New Roman"/>
          <w:b w:val="false"/>
          <w:i w:val="false"/>
          <w:color w:val="000000"/>
          <w:sz w:val="28"/>
        </w:rPr>
        <w:t>формы 34</w:t>
      </w:r>
      <w:r>
        <w:rPr>
          <w:rFonts w:ascii="Times New Roman"/>
          <w:b w:val="false"/>
          <w:i w:val="false"/>
          <w:color w:val="000000"/>
          <w:sz w:val="28"/>
        </w:rPr>
        <w:t>, пункте 4.6 </w:t>
      </w:r>
      <w:r>
        <w:rPr>
          <w:rFonts w:ascii="Times New Roman"/>
          <w:b w:val="false"/>
          <w:i w:val="false"/>
          <w:color w:val="000000"/>
          <w:sz w:val="28"/>
        </w:rPr>
        <w:t>формы 35</w:t>
      </w:r>
      <w:r>
        <w:rPr>
          <w:rFonts w:ascii="Times New Roman"/>
          <w:b w:val="false"/>
          <w:i w:val="false"/>
          <w:color w:val="000000"/>
          <w:sz w:val="28"/>
        </w:rPr>
        <w:t>, пункте 4.7 </w:t>
      </w:r>
      <w:r>
        <w:rPr>
          <w:rFonts w:ascii="Times New Roman"/>
          <w:b w:val="false"/>
          <w:i w:val="false"/>
          <w:color w:val="000000"/>
          <w:sz w:val="28"/>
        </w:rPr>
        <w:t>формы 38</w:t>
      </w:r>
      <w:r>
        <w:rPr>
          <w:rFonts w:ascii="Times New Roman"/>
          <w:b w:val="false"/>
          <w:i w:val="false"/>
          <w:color w:val="000000"/>
          <w:sz w:val="28"/>
        </w:rPr>
        <w:t>, абзаце девятом пункта 4.6, пунктах 4.7 и 4.10 </w:t>
      </w:r>
      <w:r>
        <w:rPr>
          <w:rFonts w:ascii="Times New Roman"/>
          <w:b w:val="false"/>
          <w:i w:val="false"/>
          <w:color w:val="000000"/>
          <w:sz w:val="28"/>
        </w:rPr>
        <w:t>формы 39</w:t>
      </w:r>
      <w:r>
        <w:rPr>
          <w:rFonts w:ascii="Times New Roman"/>
          <w:b w:val="false"/>
          <w:i w:val="false"/>
          <w:color w:val="000000"/>
          <w:sz w:val="28"/>
        </w:rPr>
        <w:t>, пунктах 4.3 и 4.5 </w:t>
      </w:r>
      <w:r>
        <w:rPr>
          <w:rFonts w:ascii="Times New Roman"/>
          <w:b w:val="false"/>
          <w:i w:val="false"/>
          <w:color w:val="000000"/>
          <w:sz w:val="28"/>
        </w:rPr>
        <w:t>формы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«Таможенный союз» в соответствующем падеже заменить словами «Евразийский экономический союз»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пункте 4.6 </w:t>
      </w:r>
      <w:r>
        <w:rPr>
          <w:rFonts w:ascii="Times New Roman"/>
          <w:b w:val="false"/>
          <w:i w:val="false"/>
          <w:color w:val="000000"/>
          <w:sz w:val="28"/>
        </w:rPr>
        <w:t>формы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«технических регламентов Таможенного союза, действие которых на них распространяется»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форме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1.12 слова «пересечения границы Таможенного союза» заменить словами «пропуска товаров через таможенную границу»;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«4.2. Упаковка и упаковочный материал одноразовые и соответствуют требованиям технических регламентов Таможенного союза, действия которых на них распространяются» заменить словами «4.3. Упаковка одноразовая и соответствует требованиям Евразийского экономического союза», слова «4.3. Транспортное» заменить словами «4.4. Транспортное»;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дополнить ветеринарным сертификатом на экспортируемых на таможенную территорию Евразийского экономического союза лабораторных животных (мышей, песчанок, крыс, морских свинок, кроликов, хомяков, кошек, собак, нечеловекообразных приматов, птиц), а также их оплодотворенные яйцеклетки (зиготы) и эмбрионы (Форма № 43)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«</w:t>
      </w:r>
      <w:r>
        <w:rPr>
          <w:rFonts w:ascii="Times New Roman"/>
          <w:b/>
          <w:i w:val="false"/>
          <w:color w:val="000000"/>
          <w:sz w:val="28"/>
        </w:rPr>
        <w:t>Форма № 43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2"/>
        <w:gridCol w:w="12201"/>
      </w:tblGrid>
      <w:tr>
        <w:trPr>
          <w:trHeight w:val="465" w:hRule="atLeast"/>
        </w:trPr>
        <w:tc>
          <w:tcPr>
            <w:tcW w:w="11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1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Сертификат №_____________</w:t>
            </w:r>
          </w:p>
        </w:tc>
      </w:tr>
      <w:tr>
        <w:trPr>
          <w:trHeight w:val="735" w:hRule="atLeast"/>
        </w:trPr>
        <w:tc>
          <w:tcPr>
            <w:tcW w:w="11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Название и адрес грузоотправителя:</w:t>
            </w:r>
          </w:p>
        </w:tc>
        <w:tc>
          <w:tcPr>
            <w:tcW w:w="122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Ветеринарный сертификат на экспортируемых на таможенную территорию Евразийского экономического союза лабораторных животных (мышей, песчанок, крыс, морских свинок, кроликов, хомяков, кошек, собак, нечеловекообразных приматов, птиц), а также их оплодотворенные яйцеклетки (зиготы) и эмбрионы </w:t>
            </w:r>
          </w:p>
        </w:tc>
      </w:tr>
      <w:tr>
        <w:trPr>
          <w:trHeight w:val="840" w:hRule="atLeast"/>
        </w:trPr>
        <w:tc>
          <w:tcPr>
            <w:tcW w:w="11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Название и адрес грузополучателя: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735" w:hRule="atLeast"/>
        </w:trPr>
        <w:tc>
          <w:tcPr>
            <w:tcW w:w="111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Страна, выдавшая сертификат: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 страны-экспортера: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2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 выдавшее сертификат:</w:t>
            </w:r>
          </w:p>
        </w:tc>
      </w:tr>
      <w:tr>
        <w:trPr>
          <w:trHeight w:val="210" w:hRule="atLeast"/>
        </w:trPr>
        <w:tc>
          <w:tcPr>
            <w:tcW w:w="111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пропуска товаров через таможенную границу:</w:t>
            </w:r>
          </w:p>
        </w:tc>
      </w:tr>
      <w:tr>
        <w:trPr>
          <w:trHeight w:val="334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Наименование товара: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Вид и порода лабораторного животного (лабораторного животного-донора, от которого получены оплодотворенные яйцеклетки (зиготы) или эмбрионы) (линия или сток для грызунов):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Сведения о генетическом статусе лабораторного животного (лабораторного животного-донора, от которого получены оплодотворенные яйцеклетки (зиготы) или эмбрионы):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лабораторных животных (голов):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единиц (боксов, клеток и ящиков):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Тип идентификации: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номер: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Административно-территориальная единица: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Название, регистрационный номер и адрес предприятия: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Экспортируемые на таможенную территорию Евразийского экономического союза лабораторные животные (мыши, песчанки, крысы, морские свинки, кролики, хомяки, кошки, собаки, нечеловекообразные приматы, птицы), а также их оплодотворенные яйцеклетки (зиготы) и эмбрионы предназначены для использования в лабораторных исследованиях и (или) научных целях.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Лабораторные животные и лабораторные животные-доноры, от которых получены оплодотворенные яйцеклетки (зиготы) или эмбрионы, клинически здоровы, не получены от животных, отловленных в дикой природе, и происходят из специализированных питомников, официально свободных от заразных болезней животных (в том числе в день отбора оплодотворенных яйцеклеток (зигот)).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Статус здоровья лабораторных животных и лабораторных животных-доноров, от которых получены оплодотворенные яйцеклетки (зиготы) или эмбрионы (в соответствии с рекомендациями Кодекса здоровья наземных животных МЭБ):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Оплодотворенные яйцеклетки (зиготы) и эмбрионы не содержат патогенных и токсикогенных микроорганизмов. Отбор и хранение оплодотворенных яйцеклеток (зигот) и эмбрионов осуществлялись в соответствии с рекомендациями Кодекса здоровья наземных животных МЭБ.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Лабораторные животные транспортируются при условии соблюдения следующих требований перевозки: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______________________________________________________________________________________________________________________________________________________________________________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(заполняется при необходимости соблюдения особых требований перевозки)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Лабораторные животные транспортируются в новых контейнерах или контейнерах, прошедших очистку и дезинфекцию с целью уничтожения возбудителей болезней, в соответствии с правилами, принятыми в стране-экспортере.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Транспортировка лабораторных животных исключает возможность их контакта с другими животными.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Каждый контейнер маркирован этикеткой и пронумерован.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Транспортное средство подготовлено в соответствии с правилами, 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________________________       Дата __________________         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государственного/официального ветеринарного врача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 должность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  1. Подпись и печать должны отличаться цветом от бланка.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2. Ветеринарный сертификат оформляется на русском языке, а также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языке страны-экспортера и (или) английском языке.».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