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17a6" w14:textId="175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октября 2015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827 «О принятии технического регламента Таможенного союза «Безопасность автомобильных дорог»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«Переоформление проектной документации, разработанной и утвержденной до вступления в силу Технического регламента, не требуется;»;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подпунктами 3.31 и 3.32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 сентября 2016 года допускается производство и выпуск в обращение на таможенной территории Евразийского экономического союза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 Евразийской экономической комиссии, входящими в право Евразийского экономического союза, или законодательством государства – члена Евразийского экономического союза, без документов об обязательной оценке соответствия и без маркировки национальным знаком соответствия (знаком обращения на рынке);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До 1 сентября 2016 года допускается разработка и утверждение проектной документации на основании нормативных правовых актов государств – членов Евразийского экономического союза, принятых до вступления в силу Технического регламента;».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