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6e83" w14:textId="0e96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организационной структуре механизма, обеспечивающего выполнение плана мероприятий по реализации Основных направлений развития механизма "единого окна" в системе регулирования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сентября 2015 года № 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6.1 раздела XII плана мероприятий по реализации Основных направлений развития механизма «единого окна» в системе регулирования внешнеэкономической деятельности,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8 мая 2015 г. № 19,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организационной структуре механизма, обеспечивающего выполнение плана мероприятий по реализации Основных направлений развития механизма «единого окна» в системе регулирования внешнеэкономической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рабочую группу по выполнению плана мероприятий по реализации Основных направлений развития механизма «единого окна» в системе регулирования внешнеэкономической деятельности (далее – рабочая группа).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решением Коллегии Евразийской экономической комиссии от 13.02.2017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 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Просить правительства государств – членов Евразийского экономического союза до 15 октября 2015 г. представить в Евразийскую экономическую комиссию кандидатуры для включения в состав рабочей группы в соответствии с критериями формирования состава рабочей группы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Руководителю рабочей группы до 28 октября 2015 г. сформировать состав рабочей группы и представить его для утверждения Коллегией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 2015 г. № 124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об организационной структуре механизма, обеспечивающего</w:t>
      </w:r>
      <w:r>
        <w:br/>
      </w:r>
      <w:r>
        <w:rPr>
          <w:rFonts w:ascii="Times New Roman"/>
          <w:b/>
          <w:i w:val="false"/>
          <w:color w:val="000000"/>
        </w:rPr>
        <w:t>
выполнение плана мероприятий по реализации Основных направлений</w:t>
      </w:r>
      <w:r>
        <w:br/>
      </w:r>
      <w:r>
        <w:rPr>
          <w:rFonts w:ascii="Times New Roman"/>
          <w:b/>
          <w:i w:val="false"/>
          <w:color w:val="000000"/>
        </w:rPr>
        <w:t>
развития механизма «единого окна» в системе регулирования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внешнеэкономической деятельности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во исполнение пункта 6.1 раздела XII плана мероприятий по реализации Основных направлений развития механизма «единого окна» в системе регулирования внешнеэкономической деятельности,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8 мая 2015 г. № 19 (далее – план мероприятий), и пункта 6.1 детализированного плана на 2015 год по выполнению плана мероприятий по реализации Основных направлений развития механизма «единого окна» в системе регулирования внешнеэкономической деятельности,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4 февраля 2015 г.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Основной целью создания механизма, обеспечивающего выполнение плана мероприятий (далее – механизм управления), является обеспечение согласованности действий государственных органов и организаций государств – членов Евразийского экономического союза (далее соответственно – государства-члены, Союз), регулирующих внешнеэкономическую деятельность, бизнес-сообщества и участников внешнеэкономической деятельности государств-членов в целях развития национальных механизмов «единого окна».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Описание механизма управления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Механизм управления представляет собой единую систему, состоящую из наднационального и национальных сегментов, обеспечивающих выполнение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разделом XI плана мероприятий структура наднационального сегмента механизма управления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Совет Евразийской экономической комиссии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Коллегию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рабочую группу по реализации плана мероприятий (далее – рабочая группа);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экспертные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Структуры национальных сегментов механизма управления, а также полномочия и функции элементов таких структур устанавливаются законодательством государств-членов.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Рабочая группа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Рабочая группа в пределах своих полномочий выполняет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подготовка проектов актов органов Союза, направленных на реализацию Основных направлений развития механизма «единого окна» в системе регулирования внешнеэкономической деятельности, одобренных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29 мая 2014 г. № 68 (далее – Основные направления), и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организация выполнения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проведение мониторинга выполнения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организация разработки проектов детализированных планов на очередной год по выполнению плана мероприятий (далее – ежегодные детализированные планы).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Рабочая группа в своей деятельности руководствуется международными договорами и актами, составляющими право Союза,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(с учетом рекомендаций органов и специализированных учреждений Организации Объединенных Наций по созданию механизма «единого окна», а также государственных программ государств-членов по развитию внешнеэкономической деятельности).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Рабочая группа состоит из координационного совета рабочей группы и тематических блоков рабочей группы (далее – тематические блоки).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Состав рабочей группы утверждается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рабочей группы включаются представители Комиссии, государственных органов и организаций государств-членов, регулирующих внешнеэкономическую деятельность, а также бизнес-сообщества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состав координационного совета рабочей группы включаются: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руководитель рабочей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 1 представителю от каждого государства-члена на уровне руководителя либо заместителя руководителя государственного органа исполнительной власти государства-члена, ответственного за развитие механизма «единого окна» в этом государстве;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руководители тематических блоков;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руководитель организационно-аналитической экспертной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изменением, внесеным решением Коллегии Евразийской экономической комиссии от 13.02.2017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состав тематических блоков включаются: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от государств-членов: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государственных органов на уровне руководителей либо заместителей руководителей структурных подразделений этих органов или их уполномоченных организаций, деятельность которых непосредственно связана со сферой функционирования соответствующего тематического блока;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бизнес-сообщества;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от Комиссии – должностные лица и сотрудники департаментов Комиссии, сфера деятельности которых связана с функционированием соответствующего тематического блока.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Порядок деятельности рабочей группы определяется регламентом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рабочей группы утверждается руководителем рабочей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Заседания рабочей группы могут проводиться как в очном режиме, так и в режиме видеоконференции: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полном составе;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координационного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отдельных тематических блоков.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Заседания рабочей группы проводятся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внесеным решением Коллегии Евразийской экономической комиссии от 13.02.2017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Заседания рабочей группы проводятся, как правило, в помещениях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могут проводиться в любом из государств-членов по решению рабочей группы, принимаемому на основе предложений членов рабочей группы. В этом случае принимающий уполномоченный орган государства-члена обеспечивает все необходимые условия для организации и проведения заседаний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участием в деятельности рабочей группы должностных лиц и сотрудников Комиссии, а также представителей государственных органов и организаций государств-членов, несут направляющие их Комиссия и государственные органы (организации)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деятельности рабочей группы представителей научных и образовательных учреждений, общественных организаций, бизнес-сообщества государств-членов и независимых экспертов, указанные лица несут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Руководитель рабочей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руководит деятельностью рабочей группы и организует выполнение возложенных на рабочую группу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возглавляет координационный совет рабочей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утверждает повестку дня заседания рабочей группы, за исключением заседаний, проводимых в составе отдельных тематических блоков;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председательствует на заседаниях рабочей группы, за исключением заседаний, проводимых в составе отдельных тематических блоков;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подписывает протоколы заседаний рабочей группы, за исключением заседаний, проводимых в составе отдельных тематических блоков;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определяет дату, время, место и формат проведения заседания рабочей группы, за исключением заседаний, проводимых в составе отдельных тематических блоков.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Руководитель рабочей группы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запрашивать у органов государственной власти государств-членов информацию по вопросам, связанным с выполнением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распределять работу между членами рабочей группы, а также между тематическими блоками.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Координационный совет рабочей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разрабатывает предложения по определению стратегии осуществления деятельности по выполнению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координирует работу тематических блоков;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рассматривает итоги работы тематических блоков;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обеспечивает согласованность действий по выполнению плана мероприятий в государствах-членах;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осуществляет контроль за подготовкой ежегодного детализированного плана и при необходимости готовит предложения по внесению изменений в план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рассматривает вопросы, касающиеся целесообразности привлечения Комиссией сторонних организаций для выполнения работ и оказания услуг по развитию механизма «единого окна» в рамках реализации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Члены координационного совета рабочей группы, являющиеся представителями государств-членов, организуют и координируют деятельность по выполнению плана мероприятий в своих государствах с учетом договоренностей, достигнутых в рамках работы рабочей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Член координационного совета рабочей группы, являющийся представителем государства-члена, представляет согласованную позицию, выработанную координирующим (совещательным) органом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Член координационного совета рабочей группы, являющийся представителем государства-члена, имеет право в случае необходимости привлекать для участия в заседаниях координационного совета рабочей группы одного или нескольких представителей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Тематические блоки осуществляют деятельность в соответствии с перечнем работ согласно приложению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таможенное (по вопросам электронной таможни);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финансовое и налоговое (по вопросам оплаты и платежей, электронной коммерции);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регулятивное (по вопросам оборота разрешительных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транспортное (по вопросам транспорта и логистики);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(по вопросам информационных технологий).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внесению изменений в указанный перечень работ рассматриваются рабочей группой и принимаются Коллегией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Для выполнения плана мероприятий и работ, указанных в перечне,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могут создаваться экспертные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состав экспертных групп по направлениям деятельности тематических блоков включаются представители департаментов Комиссии, уполномоченных государственных органов и организаций, а также бизнес-сообщества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к работе экспертной группы могут привлекаться представители научных организаций и иные независимые эксперты.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Руководитель тематического блока является заместителем руководителя рабочей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Руководитель тематического блока: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руководит деятельностью тематического блока и организует выполнение возложенных на тематический блок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представляет предложения по формированию проекта ежегодного детализированного плана по соответствующему направлению;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представляет итоги работы тематического блока за отчетный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создает экспертные группы по согласованию с руководителем рабочей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осуществляет контроль работы экспертных групп по соответствующему направлению;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подписывает протоколы заседаний рабочей группы, проводимых в составе соответствующего тематического блока;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утверждает повестку дня, дату, время и место заседания, а также председательствует на заседаниях рабочей группы, проводимых в составе соответствующего тематического блока;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организует взаимодействие с координирующими (совещательными) органами, государственными органами и организациями, а также с бизнес-сообществами государств-членов по вопросам выполнения плана мероприятий, отнесенным к компетенции тематического блока.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Руководитель тематического блока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инициировать рассмотрение отдельных вопросов по направлениям деятельности тематического блока на заседаниях соответствующих консультативных органов и рабочих групп, созданных при Коллегии Комиссии, а также на заседаниях вспомогательных органов, созданных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в рамках компетенции этих органов и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определять функции и задачи экспертных групп при их создании, а также критерии по формированию состава экспертных групп.</w:t>
      </w:r>
    </w:p>
    <w:bookmarkEnd w:id="8"/>
    <w:bookmarkStart w:name="z9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Организационно-аналитическая экспертная группа</w:t>
      </w:r>
    </w:p>
    <w:bookmarkEnd w:id="9"/>
    <w:bookmarkStart w:name="z9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состав организационно-аналитической экспертной группы включаются представители департаментов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такой группы утверждается руководителем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Организационно-техническое обеспечение деятельности организационно-аналитической экспертной группы осуществляется департаментом Комиссии, в компетенцию которого входят вопросы таможенного законодательства и правоприменительной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Руководителем организационно-аналитической экспертной группы является должностное лицо департамента Комиссии, в компетенцию которого входят вопросы таможенного законодательства и правоприменительной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организационно-аналитической экспертной группы является заместителем руководителя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организационно-аналитической экспертной группы руководит деятельностью указанной экспертной группы и организует выполнение возложенных на нее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организационно-аналитической экспертной группы по согласованию с руководителем рабочей группы проводит рабочие совещания с руководителями тематических блоков по вопросам выполнения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изменениями, внесенными решением Коллегии Евразийской экономической комиссии от 13.02.2017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Организационно-аналитическая экспертная группа: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проводит аналитическую работу по выполнению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вносит предложения по распределению между тематическими блоками работ по реализации Основных направлений (развитие национальных механизмов «единого окна», сближение подходов к их развитию, взаимное признание электронных документов, организация информационного взаимодействия);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осуществляет мониторинг реализации Основных направлений и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осуществляет подготовку проектов приказов, предусматривающих определение департаментов Комиссии, ответственных за исполнение мероприятий, предусмотренных ежегодными детализированными планами;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осуществляет обобщение, свод и подготовку материалов по результатам деятельности экспертных групп для рассмотрения членами рабочей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организует заседания рабочей группы, за исключением заседаний, проводимых в составе отдельных тематических блоков;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обеспечивает решение общих организационных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обеспечивает взаимодействие рабочей группы с координирующими (совещательными) органами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осуществляет организацию подготовки проекта ежегодного детализированного плана и проекта акта о внесении изменений в план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к) осуществляет подготовку материалов к заседаниям Коллегии и Совета Комиссии, Евразийского межправительственного совета, Высшего Евразийского экономического совета в рамках компетенции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Члены организационно-аналитической экспертной группы могут участвовать в заседаниях тематических блоков и экспертных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Руководитель организационно-аналитической экспертной группы вправе представлять предложения: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руководителю рабочей группы – по составу организационно-аналитической экспертной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руководителям тематических блоков – по рассмотрению отдельных вопросов, связанных с выполнением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Руководитель организационно-аналитической экспертной группы вправе запрашивать у руководителей тематических блоков информацию о ходе работы соответствующих блоков для осуществления мониторинга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10"/>
    <w:bookmarkStart w:name="z1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Взаимодействие наднационального и национальных</w:t>
      </w:r>
      <w:r>
        <w:br/>
      </w:r>
      <w:r>
        <w:rPr>
          <w:rFonts w:ascii="Times New Roman"/>
          <w:b/>
          <w:i w:val="false"/>
          <w:color w:val="000000"/>
        </w:rPr>
        <w:t>
сегментов механизма управления</w:t>
      </w:r>
    </w:p>
    <w:bookmarkEnd w:id="11"/>
    <w:bookmarkStart w:name="z1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Взаимодействие наднационального и национальных сегментов механизма управления осуществляется на основании Договора о Евразийском экономическом союзе от 29 мая 2014 года, международных договоров и актов, составляющих право Союза, регулирующих порядок взаимодействия Комиссии с государствами-членами, а также в соответствии с настоящим Положением.</w:t>
      </w:r>
    </w:p>
    <w:bookmarkEnd w:id="12"/>
    <w:bookmarkStart w:name="z1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об организационной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структуре механизма, обеспечивающего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выполнение плана мероприятий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Основных направлений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механизма «единого окна»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системе регулирования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внешнеэкономической деятельности  </w:t>
      </w:r>
    </w:p>
    <w:bookmarkEnd w:id="13"/>
    <w:bookmarkStart w:name="z1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работ для тематических блоков рабочей группы по выполнению</w:t>
      </w:r>
      <w:r>
        <w:br/>
      </w:r>
      <w:r>
        <w:rPr>
          <w:rFonts w:ascii="Times New Roman"/>
          <w:b/>
          <w:i w:val="false"/>
          <w:color w:val="000000"/>
        </w:rPr>
        <w:t>
плана мероприятий по реализации Основных направлений развития</w:t>
      </w:r>
      <w:r>
        <w:br/>
      </w:r>
      <w:r>
        <w:rPr>
          <w:rFonts w:ascii="Times New Roman"/>
          <w:b/>
          <w:i w:val="false"/>
          <w:color w:val="000000"/>
        </w:rPr>
        <w:t>
механизма «единого окна» в системе регулирования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</w:t>
      </w:r>
    </w:p>
    <w:bookmarkEnd w:id="14"/>
    <w:bookmarkStart w:name="z1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 Электронная таможня</w:t>
      </w:r>
    </w:p>
    <w:bookmarkEnd w:id="15"/>
    <w:bookmarkStart w:name="z1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Установление соответствия между государственными органами, организациями государств-членов, предоставляющими государственные услуги и сервисы в сфере таможенного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Сбор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 бизнес-процессах, возникающих при взаимодействии участников внешнеэкономической деятельности и таможенных органов государств – членов Евразийского экономического союза (далее соответственно – таможенные органы, государства-члены, Союз);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 документах и сведениях;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о международных договорах и актах, составляющих право Союза, нормативных правовых актах государств-членов в сфере таможенного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о государственных программах государств-членов по совершенствованию таможенного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Проведение анализа: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бизнес-процессов, возникающих при взаимодействии участников внешнеэкономической деятельности и таможенных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документов и сведений (на предмет избыточности и дублирования документов и сведений при совершении таможенных операций и осуществлении таможенного контроля);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международных договоров и актов, составляющих право Союза, нормативных правовых актов государств-членов, регламентирующих порядок совершения таможенных операций и осуществления таможенного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государственных программ государств-членов по совершенствованию таможенного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уровня развития электронного декларирования в государствах-членах.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Проведение анализа проблем межведомственного информационного взаимодействия государственных контролирующих органов, организаций государств-членов, возникающих при совершении таможенных операций и осуществлении таможенного контроля (в том числе при проведении таможенной проверки после выпуска товаров) и совместного контроля в пунктах пропуска.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Проведение консультаций, круглых столов с целью определения направлений совершенствования электронного декларирования, согласование подходов к развитию электронного декларирования в государствах-членах.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Разработка рекомендаций по оптимизации (с учетом соответствующих международных стандартов):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комплексного управления таможенной границей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межведомственного информационного взаимодействия государственных контролирующих органов, организаций государств-членов;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электронного декларирования в государствах-членах, порядка совершения таможенных операций и осуществления таможенного контроля (в том числе проведения таможенной проверки после выпуска товаров).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Развитие технологий автоматической регистрации таможенной декларации и автоматического выпуска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Подготовка предложений по внесению изменений в международные договоры и акты, составляющие право Союза, и нормативные правовые акты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Мониторинг и контроль выполнения плана мероприятий по реализации Основных направлений развития механизма «единого окна» в системе регулирования внешнеэкономической деятельности, утвержденного 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8 мая 2015 г. № 19 (далее – план мероприятий), в рамках компетенции соответствующего блока рабочей группы. </w:t>
      </w:r>
    </w:p>
    <w:bookmarkEnd w:id="16"/>
    <w:bookmarkStart w:name="z1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Оплата, платежи и электронная коммерция</w:t>
      </w:r>
    </w:p>
    <w:bookmarkEnd w:id="17"/>
    <w:bookmarkStart w:name="z1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перечня государственных органов и организаций государств-членов, которые задействованы в информационном взаимодействии в сферах государственного налогового, валютного, регулирования, регулирования финансовых услуг (банковские, страховые), а также при осуществлении банковской и страховой видов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внесеным решением Коллегии Евразийской экономической комиссии от 13.02.2017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Установление соответствия между государственными органами, организациями государств-членов, предоставляющими схожие государственные услуги и сервисы в сферах государственного регулирования, указанных в пункте 1 настоящего раздела.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Сбор данных для проведения анализа в рамках сфер государственного регулирования,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 бизнес-процессах;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 документах и сведениях;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о международных договорах и актах, составляющих право Союза, нормативных правовых актах государств-членов, регламентирующих бизнес-процессы и оборот документов и сведений при совершении финансовых операций (проведение оплаты по международным внешнеторговым договорам, уплаты таможенных пошлин, налогов, сборов и т.п);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о государственных программах государств-членов по совершенствованию государственных услуг и процедур в сферах государственного регулирования,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Проведение анализа: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бизнес-процессов, возникающих при информационном взаимодействии на уровнях В2В, В2G/G2В, G2G и S2S;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документов и сведений (на предмет избыточности и дублирования документов и сведений при формировании и обороте инвойсов, контрактов, форм отчетности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международных договоров и актов, составляющих право Союза, нормативных правовых актов государств-членов, регламентирующих предоставление финансовых услуг (банковских, страховых), проведение валютного контроля, порядок совершения международных платежей, уплаты таможенных платежей, налогов и сборов;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государственных программ государств-членов по совершенствованию государственных услуг и процедур в сферах государственного регулирования,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внесеным решением Коллегии Евразийской экономической комиссии от 13.02.2017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Проведение консультаций, круглых столов в целях определения направлений по сближению требований нормативных правовых актов государств-членов (унификация, гармонизация или регламентация требований при выполнении бизнес-процессов, включая состав сведений электронных документов, необходимых для осуществления внешнеэкономической деятельности в государствах-членах).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Разработка рекомендаций по оптимизации (с учетом соответствующих международных стандартов):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перечня сведений в коммерческих и отчетно-контрольных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порядков осуществления валютного, налогового, финансового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уплаты таможенных платежей, налогов и сборов.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внесеным решением Коллегии Евразийской экономической комиссии от 13.02.2017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Подготовка предложений по созданию и развитию электронных платежных систем в механизме «единого окна».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Подготовка предложений по внесению изменений в международные договоры и акты, составляющие право Союза, и нормативные правовые акты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Мониторинг и контроль выполнения плана мероприятий в рамках компетенции соответствующего блока рабочей группы. </w:t>
      </w:r>
    </w:p>
    <w:bookmarkEnd w:id="18"/>
    <w:bookmarkStart w:name="z16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Разрешительные документы</w:t>
      </w:r>
    </w:p>
    <w:bookmarkEnd w:id="19"/>
    <w:bookmarkStart w:name="z1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перечня государственных органов и организаций государств-членов, которые задействованы в информационном взаимодействии в сферах государственного нетарифного, технического регулирования, регулирования обращения лекарственных средств и медицинских изделий, применения санитарных, ветеринарно-санитарных, карантинных фитосанитарных мер, регулирования охраны и защиты прав на объекты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Установление соответствия между государственными органами государств-членов, предоставляющими схожие государственные услуги и сервисы.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Сбор данных для проведения анализа в рамках сфер государственного регулирования,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 бизнес-процессах;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 документах и сведениях;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 международных договорах и актах, составляющих право Союза, нормативных правовых актах государств-членов, касающихся вопросов, связанных с разрешительными документами при осуществлении государственного регулирования внешнеторговой деятельности государств-членов;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о государственных программах государств-членов по вопросам, связанным с разрешительными документами при осуществлении государственного регулирования внешнеторговой деятельности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Проведение анализа: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бизнес-процессов, возникающих при информационном взаимодействии на уровнях В2В, В2G/G2В, G2G и S2S;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документов и сведений (на предмет избыточности и дублирования документов и сведений при формировании и обороте разрешительных документов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международных договоров и актов, составляющих право Союза, нормативных правовых актов государств-членов, регламентирующих выдачу разрешительных документов, необходимых для осуществления экспортных, импортных и транзитных операций в отношении определенных категорий товаров, а также для проведения соответствующего вида контроля (надзора) в зависимости от категории товаров (санитарно-эпидемиологического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государственных программ государств-членов по совершенствованию государственных услуг и процедур по вопросам, связанным с разрешительными документами при осуществлении государственного регулирования внешнеторговой деятельности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Проведение консультаций, круглых столов в целях определения направлений по сближению требований нормативных правовых актов государств-членов (унификация, гармонизация или регламентация требований при выполнении бизнес-процессов, включая состав сведений электронных документов, необходимых для осуществления внешнеэкономической деятельности в государствах-членах).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Разработка рекомендаций по оптимизации (с учетом соответствующих международных стандартов):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перечня сведений в разрешительных документах;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порядков проведения санитарно-эпидемиологического надзора (контроля), ветеринарного, карантинного фитосанитарного контроля (надзора), а также контроля правомерности перемещения товаров, содержащих объекты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Подготовка предложений по внесению изменений в международные договоры и акты, составляющие право Союза, и нормативные правовые акты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Мониторинг и контроль выполнения плана мероприятий в рамках компетенции соответствующего блока рабочей группы. </w:t>
      </w:r>
    </w:p>
    <w:bookmarkEnd w:id="20"/>
    <w:bookmarkStart w:name="z18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Транспорт и логистика</w:t>
      </w:r>
    </w:p>
    <w:bookmarkEnd w:id="21"/>
    <w:bookmarkStart w:name="z1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перечня государственных органов и организаций государств-членов, которые задействованы в информационном взаимодействии в сфере государственного регулирования транспорта и перевозок, а также при осуществлении видов деятельности по предоставлению транспортных и логистических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Сопоставление перечней государственных услуг и сервисов, предоставляемых государственными органами и организациями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Сбор данных для проведения анализа в рамках сферы государственного регулирования и видов деятельности, которые указаны в пункте 1 настоящего раздела: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 бизнес-процессах;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 документах и сведениях;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о международных договорах и актах, составляющих право Союза, нормативных правовых актах государств-членов, международных договорах государств-членов с третьими сторонами в области транспорта, развития инфраструктуры, пересечения границ и проведения транспортного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Проведение анализа: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бизнес-процессов, возникающих при информационном взаимодействии на уровнях В2В, В2G/G2В, G2G и S2S;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документов и сведений (на предмет избыточности и дублирования документов и сведений при совершении транспортно-логистических операций и осуществлении транспортного контроля);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международных договоров и актов, составляющих право Союза, нормативных правовых актов государств-членов, международных договоров государств-членов с третьими сторонами в области транспорта, развития инфраструктуры, пересечения границ и проведения транспортного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государственных программ государств-членов по совершенствованию государственных услуг и процедур в сфере государственного регулирования транспорта 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Проведение консультаций, круглых столов в целях определения направлений по сближению требований международных договоров и актов, составляющих право Союза, нормативных правовых актов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Разработка рекомендаций по оптимизации: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бизнес-процессов;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перечней документов, используемых при перемещении товаров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перечня сведений в документах, необходимых для целей транспортного контроля (разрешения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порядка осуществления транспортного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Подготовка предложений по внесению изменений в международные договоры и акты, составляющие право Союза, и нормативные правовые акты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Мониторинг и контроль выполнения плана мероприятий в рамках компетенции соответствующего блока рабочей группы.</w:t>
      </w:r>
    </w:p>
    <w:bookmarkEnd w:id="22"/>
    <w:bookmarkStart w:name="z20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Информационные технологии</w:t>
      </w:r>
    </w:p>
    <w:bookmarkEnd w:id="23"/>
    <w:bookmarkStart w:name="z20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перечня государственных органов и организаций государств-членов, ответственных за информатизацию в государствах-членах.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Сбор данных для формирования единой системы нормативно-справочной информации, содержащей необходимые сведения для осуществления в государствах-членах внешнеэкономической деятельности в рамках механизма «единого окна»: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 нормативных правовых актах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 справочниках и классификаторах, разрабатываемых и применяемых государствами-членами.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Проведение анализа существующих технологических подходов и информационных систем государств-членов на уровнях информационного взаимодействия В2G/G2B и G2G в целях актуализации перечня процедур межведомственного информационного взаимодействия (G2G) в рамках национальных механизмов «единого окна», а также подготовки рекомендаций по реализации типовых процедур G2G.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Унификация и гармонизация сведений из документов, необходимых для осуществления внешнеэкономической деятельности в государствах-членах, на основе общей модели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Проведение анализа подходов к построению архитектуры информационных систем, обеспечивающих оборот юридически значимых электронных документов и сведений в национальных механизмах «единого окна», в целях дальнейшей организации взаимодействия этих механизмов.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Применение технологии доверенной третьей стороны в целях придания юридической значимости электронным документам и сведениям, используемым в национальных механизмах «единого окна».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206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. Применение возможностей передовых информационных систем и сервисов (бронирование отелей, авиабилетов, оценка обслуживания, навигация, мобильный банк).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Проведение анализа международных договоров и актов, составляющих право Союза, и нормативных правовых актов государств-членов в целях определения необходимости внесения в них изменений для обеспечения реализации межгосударственного информационного взаимодействия между национальными механизмами «единого окна».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Определение технической архитектуры и выработка технологических решений по реализации информационного взаимодействия между национальными механизмами «единого окна».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Разработка проектов актов, входящих в право Союза, обеспечивающих актуализацию перечня общих процессов в рамках Союза в части, касающейся функционирования национальных механизмов «единого окна», регламентации соответствующих общих процессов, а также развитие общей модели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Мониторинг процессов межгосударственного информационного взаимодействия в целях обеспечения функционирования национальных механизмов «единого окна».</w:t>
      </w:r>
    </w:p>
    <w:bookmarkEnd w:id="24"/>
    <w:bookmarkStart w:name="z2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настоящем перечне используются следующие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«B2B» – информационное взаимодействие заинтересованных лиц между собой;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«B2G/G2B» – информационное взаимодействие между заинтересованными лицами, государственными органами и (или) уполномоченными организациями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«G2G» – межведомственное информационное взаимодействие;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«S2S» – межгосударственное информационное взаимодействие.</w:t>
      </w:r>
    </w:p>
    <w:bookmarkEnd w:id="25"/>
    <w:bookmarkStart w:name="z1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 Евразийской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 2015 г. № 124 </w:t>
      </w:r>
    </w:p>
    <w:bookmarkEnd w:id="26"/>
    <w:bookmarkStart w:name="z1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КРИТЕРИИ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формирования состава рабочей группы по выполнению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мероприятий по реализации Основных направлений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механизма «единого окна» в системе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внешнеэкономической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Критерии формирования рабочей группы с изменением, внесенным решением Коллегии Евразийской экономической комиссии от 13.02.2017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 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по истечении 30 календарных дней с даты его официального опубликования).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60"/>
        <w:gridCol w:w="3220"/>
        <w:gridCol w:w="2660"/>
        <w:gridCol w:w="4760"/>
      </w:tblGrid>
      <w:tr>
        <w:trPr>
          <w:trHeight w:val="30" w:hRule="atLeast"/>
        </w:trPr>
        <w:tc>
          <w:tcPr>
            <w:tcW w:w="3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структуры  рабочей группы</w:t>
            </w:r>
          </w:p>
        </w:tc>
        <w:tc>
          <w:tcPr>
            <w:tcW w:w="3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</w:t>
            </w:r>
          </w:p>
        </w:tc>
        <w:tc>
          <w:tcPr>
            <w:tcW w:w="2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Максимальное количество представителей от государства – члена Евразийского экономического союза</w:t>
            </w:r>
          </w:p>
        </w:tc>
        <w:tc>
          <w:tcPr>
            <w:tcW w:w="4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формирования состава рабочей группы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60"/>
        <w:gridCol w:w="3220"/>
        <w:gridCol w:w="2660"/>
        <w:gridCol w:w="4760"/>
      </w:tblGrid>
      <w:tr>
        <w:trPr>
          <w:trHeight w:val="30" w:hRule="atLeast"/>
        </w:trPr>
        <w:tc>
          <w:tcPr>
            <w:tcW w:w="3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Координационный совет</w:t>
            </w:r>
          </w:p>
        </w:tc>
        <w:tc>
          <w:tcPr>
            <w:tcW w:w="3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координация деятельности рабочей группы по сферам регулирования и видам  экономической деятельности </w:t>
            </w:r>
          </w:p>
        </w:tc>
        <w:tc>
          <w:tcPr>
            <w:tcW w:w="2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либо заместитель руководителя государственного органа исполнительной власти государства – члена Евразийского экономического союза, ответственного за развитие механизма «единого окна» в своем государстве </w:t>
            </w:r>
          </w:p>
        </w:tc>
      </w:tr>
      <w:tr>
        <w:trPr>
          <w:trHeight w:val="30" w:hRule="atLeast"/>
        </w:trPr>
        <w:tc>
          <w:tcPr>
            <w:tcW w:w="3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Тематический блок «Электронная таможня» </w:t>
            </w:r>
          </w:p>
        </w:tc>
        <w:tc>
          <w:tcPr>
            <w:tcW w:w="3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таможенное регулирование </w:t>
            </w:r>
          </w:p>
        </w:tc>
        <w:tc>
          <w:tcPr>
            <w:tcW w:w="2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каждый тематический блок рабочей группы должен включать представителей: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государств – членов Евразийского экономического союза или уполномоченных организаций, к сфере ведения которых относятся вопросы, непосредственно связанные с направлением деятельности, указанным в графе 2 настоящей таблицы;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бизнес-сообщества;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 таможенных органов, функциональная деятельность которых связана с направлением деятельности тематического блока.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представителей от государственных органов государств – членов Евразийского экономического союза и уполномоченных организаций – не ниже заместителя руководителя структурного подразделения (департамент, управление).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Представители государства – члена Евразийского экономического союза являются участниками работ по развитию национальных механизмов «единого окна» в соответствующей сфере регулирования либо по соответствующему виду деятельности</w:t>
            </w:r>
          </w:p>
        </w:tc>
      </w:tr>
      <w:tr>
        <w:trPr>
          <w:trHeight w:val="30" w:hRule="atLeast"/>
        </w:trPr>
        <w:tc>
          <w:tcPr>
            <w:tcW w:w="3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Тематический блок «Оплата, платежи и электронная коммерция»</w:t>
            </w:r>
          </w:p>
        </w:tc>
        <w:tc>
          <w:tcPr>
            <w:tcW w:w="3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валютное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банковское 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страховое регулирование</w:t>
            </w:r>
          </w:p>
        </w:tc>
        <w:tc>
          <w:tcPr>
            <w:tcW w:w="2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Тематический блок «Разрешительные документы»</w:t>
            </w:r>
          </w:p>
        </w:tc>
        <w:tc>
          <w:tcPr>
            <w:tcW w:w="3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нетарифное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обращения лекарственных средств и медицинских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санитарные, ветеринарно-санитарные, карантинные фитосанитарные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интеллектуальная собственность</w:t>
            </w:r>
          </w:p>
        </w:tc>
        <w:tc>
          <w:tcPr>
            <w:tcW w:w="2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Тематический блок «Транспорт и логистика»</w:t>
            </w:r>
          </w:p>
        </w:tc>
        <w:tc>
          <w:tcPr>
            <w:tcW w:w="3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(автомобильный, водный, воздушный, железнодорожный, трубопроводный и др.)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</w:t>
            </w:r>
          </w:p>
        </w:tc>
        <w:tc>
          <w:tcPr>
            <w:tcW w:w="2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Тематический блок «Информационные технологии»</w:t>
            </w:r>
          </w:p>
        </w:tc>
        <w:tc>
          <w:tcPr>
            <w:tcW w:w="3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государственные услуги</w:t>
            </w:r>
          </w:p>
        </w:tc>
        <w:tc>
          <w:tcPr>
            <w:tcW w:w="2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