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94f5" w14:textId="2bb9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Методике оценки состояния развития национальных механизмов "единого окна"</w:t>
      </w:r>
    </w:p>
    <w:p>
      <w:pPr>
        <w:spacing w:after="0"/>
        <w:ind w:left="0"/>
        <w:jc w:val="both"/>
      </w:pPr>
      <w:r>
        <w:rPr>
          <w:rFonts w:ascii="Times New Roman"/>
          <w:b w:val="false"/>
          <w:i w:val="false"/>
          <w:color w:val="000000"/>
          <w:sz w:val="28"/>
        </w:rPr>
        <w:t>Решение Коллегии Евразийской экономической комиссии от 28 сентября 2015 года № 123</w:t>
      </w:r>
    </w:p>
    <w:p>
      <w:pPr>
        <w:spacing w:after="0"/>
        <w:ind w:left="0"/>
        <w:jc w:val="both"/>
      </w:pPr>
      <w:bookmarkStart w:name="z1" w:id="0"/>
      <w:r>
        <w:rPr>
          <w:rFonts w:ascii="Times New Roman"/>
          <w:b w:val="false"/>
          <w:i w:val="false"/>
          <w:color w:val="000000"/>
          <w:sz w:val="28"/>
        </w:rPr>
        <w:t>
      В соответствии с пунктом 1.3 </w:t>
      </w:r>
      <w:r>
        <w:rPr>
          <w:rFonts w:ascii="Times New Roman"/>
          <w:b w:val="false"/>
          <w:i w:val="false"/>
          <w:color w:val="000000"/>
          <w:sz w:val="28"/>
        </w:rPr>
        <w:t>раздела XII</w:t>
      </w:r>
      <w:r>
        <w:rPr>
          <w:rFonts w:ascii="Times New Roman"/>
          <w:b w:val="false"/>
          <w:i w:val="false"/>
          <w:color w:val="000000"/>
          <w:sz w:val="28"/>
        </w:rPr>
        <w:t xml:space="preserve"> плана мероприятий по реализации Основных направлений развития механизма «единого окна» в системе регулирования внешнеэкономической деятельности, утвержденного Решением Высшего Евразийского экономического совета от 8 мая 2015 г. № 19, и в целях реализации подпункта 1.3.4 детализированного </w:t>
      </w:r>
      <w:r>
        <w:rPr>
          <w:rFonts w:ascii="Times New Roman"/>
          <w:b w:val="false"/>
          <w:i w:val="false"/>
          <w:color w:val="000000"/>
          <w:sz w:val="28"/>
        </w:rPr>
        <w:t>плана</w:t>
      </w:r>
      <w:r>
        <w:rPr>
          <w:rFonts w:ascii="Times New Roman"/>
          <w:b w:val="false"/>
          <w:i w:val="false"/>
          <w:color w:val="000000"/>
          <w:sz w:val="28"/>
        </w:rPr>
        <w:t xml:space="preserve"> на 2015 год по выполнению плана мероприятий по реализации Основных направлений развития механизма «единого окна» в системе регулирования внешнеэкономической деятельности,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4 февраля 2015 г. № 4,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состояния развития национальных механизмов «единого окна».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28 сентября 2015 г. № 123   </w:t>
      </w:r>
    </w:p>
    <w:bookmarkEnd w:id="1"/>
    <w:bookmarkStart w:name="z5" w:id="2"/>
    <w:p>
      <w:pPr>
        <w:spacing w:after="0"/>
        <w:ind w:left="0"/>
        <w:jc w:val="left"/>
      </w:pPr>
      <w:r>
        <w:rPr>
          <w:rFonts w:ascii="Times New Roman"/>
          <w:b/>
          <w:i w:val="false"/>
          <w:color w:val="000000"/>
        </w:rPr>
        <w:t xml:space="preserve"> 
МЕТОДИКА</w:t>
      </w:r>
      <w:r>
        <w:br/>
      </w:r>
      <w:r>
        <w:rPr>
          <w:rFonts w:ascii="Times New Roman"/>
          <w:b/>
          <w:i w:val="false"/>
          <w:color w:val="000000"/>
        </w:rPr>
        <w:t>
оценки состояния развития национальных механизмов</w:t>
      </w:r>
      <w:r>
        <w:br/>
      </w:r>
      <w:r>
        <w:rPr>
          <w:rFonts w:ascii="Times New Roman"/>
          <w:b/>
          <w:i w:val="false"/>
          <w:color w:val="000000"/>
        </w:rPr>
        <w:t>
«единого окна»</w:t>
      </w:r>
    </w:p>
    <w:bookmarkEnd w:id="2"/>
    <w:bookmarkStart w:name="z110" w:id="3"/>
    <w:p>
      <w:pPr>
        <w:spacing w:after="0"/>
        <w:ind w:left="0"/>
        <w:jc w:val="left"/>
      </w:pPr>
      <w:r>
        <w:rPr>
          <w:rFonts w:ascii="Times New Roman"/>
          <w:b/>
          <w:i w:val="false"/>
          <w:color w:val="000000"/>
        </w:rPr>
        <w:t xml:space="preserve"> 
I. Общие положения</w:t>
      </w:r>
    </w:p>
    <w:bookmarkEnd w:id="3"/>
    <w:bookmarkStart w:name="z6" w:id="4"/>
    <w:p>
      <w:pPr>
        <w:spacing w:after="0"/>
        <w:ind w:left="0"/>
        <w:jc w:val="both"/>
      </w:pPr>
      <w:r>
        <w:rPr>
          <w:rFonts w:ascii="Times New Roman"/>
          <w:b w:val="false"/>
          <w:i w:val="false"/>
          <w:color w:val="000000"/>
          <w:sz w:val="28"/>
        </w:rPr>
        <w:t>
      1. Настоящая Методика разработана в соответствии с пунктом 1.3 </w:t>
      </w:r>
      <w:r>
        <w:rPr>
          <w:rFonts w:ascii="Times New Roman"/>
          <w:b w:val="false"/>
          <w:i w:val="false"/>
          <w:color w:val="000000"/>
          <w:sz w:val="28"/>
        </w:rPr>
        <w:t>раздела XII</w:t>
      </w:r>
      <w:r>
        <w:rPr>
          <w:rFonts w:ascii="Times New Roman"/>
          <w:b w:val="false"/>
          <w:i w:val="false"/>
          <w:color w:val="000000"/>
          <w:sz w:val="28"/>
        </w:rPr>
        <w:t xml:space="preserve"> плана мероприятий по реализации Основных направлений развития механизма «единого окна» в системе регулирования внешнеэкономической деятельности, утвержденного Решением Высшего Евразийского экономического совета от 8 мая 2015 г. № 19 (далее – план мероприятий), и подпунктом 1.3.4 детализированного </w:t>
      </w:r>
      <w:r>
        <w:rPr>
          <w:rFonts w:ascii="Times New Roman"/>
          <w:b w:val="false"/>
          <w:i w:val="false"/>
          <w:color w:val="000000"/>
          <w:sz w:val="28"/>
        </w:rPr>
        <w:t>плана</w:t>
      </w:r>
      <w:r>
        <w:rPr>
          <w:rFonts w:ascii="Times New Roman"/>
          <w:b w:val="false"/>
          <w:i w:val="false"/>
          <w:color w:val="000000"/>
          <w:sz w:val="28"/>
        </w:rPr>
        <w:t xml:space="preserve"> на 2015 год по выполнению плана мероприятий по реализации Основных направлений развития механизма «единого окна» в системе регулирования внешнеэкономической деятельности, утвержденного Решением Совета Евразийской экономической комиссии от 4 февраля 2015 г. № 4 (далее – детализированный план), в целях оценки состояния развития национальных механизмов «единого окна» и определяет порядок проведения анализа состояния развития национальных механизмов «единого окна», предусмотренного пунктом 1.4 раздела XII плана мероприятий и пунктом 1.4 детализированного плана.</w:t>
      </w:r>
      <w:r>
        <w:br/>
      </w:r>
      <w:r>
        <w:rPr>
          <w:rFonts w:ascii="Times New Roman"/>
          <w:b w:val="false"/>
          <w:i w:val="false"/>
          <w:color w:val="000000"/>
          <w:sz w:val="28"/>
        </w:rPr>
        <w:t>
      Настоящая Методика предназначена для применения Евразийской экономической комиссией (далее – Комиссия) и государствами – членами Евразийского экономического союза (далее соответственно – государства-члены, Союз) в качестве методических рекомендаций при проведении такого анализа.</w:t>
      </w:r>
      <w:r>
        <w:br/>
      </w:r>
      <w:r>
        <w:rPr>
          <w:rFonts w:ascii="Times New Roman"/>
          <w:b w:val="false"/>
          <w:i w:val="false"/>
          <w:color w:val="000000"/>
          <w:sz w:val="28"/>
        </w:rPr>
        <w:t>
</w:t>
      </w:r>
      <w:r>
        <w:rPr>
          <w:rFonts w:ascii="Times New Roman"/>
          <w:b w:val="false"/>
          <w:i w:val="false"/>
          <w:color w:val="000000"/>
          <w:sz w:val="28"/>
        </w:rPr>
        <w:t>
      2. Настоящая Методика основывается на положениях рекомендаций и руководств организаций и специализированных учреждений Организации Объединенных Наций по созданию механизма «единого окна», Руководства Всемирной таможенной организации по исследованию времени выпуска, Компендиума Всемирной таможенной организации «Как построить среду «единого окна», Методических рекомендаций по сравнительному анализу законодательства государств – участников Содружества Независимых Государств, Методики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Комиссии от 9 июня 2015 г. № 63 (далее – Методика по общим процессам).</w:t>
      </w:r>
      <w:r>
        <w:br/>
      </w:r>
      <w:r>
        <w:rPr>
          <w:rFonts w:ascii="Times New Roman"/>
          <w:b w:val="false"/>
          <w:i w:val="false"/>
          <w:color w:val="000000"/>
          <w:sz w:val="28"/>
        </w:rPr>
        <w:t>
      В настоящей Методике учтены:</w:t>
      </w:r>
      <w:r>
        <w:br/>
      </w:r>
      <w:r>
        <w:rPr>
          <w:rFonts w:ascii="Times New Roman"/>
          <w:b w:val="false"/>
          <w:i w:val="false"/>
          <w:color w:val="000000"/>
          <w:sz w:val="28"/>
        </w:rPr>
        <w:t>
      результаты проведенного Комиссией тематического исследования «О реализации механизма «единого окна» в системе регулирования внешнеэкономической деятельности»;</w:t>
      </w:r>
      <w:r>
        <w:br/>
      </w:r>
      <w:r>
        <w:rPr>
          <w:rFonts w:ascii="Times New Roman"/>
          <w:b w:val="false"/>
          <w:i w:val="false"/>
          <w:color w:val="000000"/>
          <w:sz w:val="28"/>
        </w:rPr>
        <w:t>
      отчет о подходах к моделированию и анализу государственных процедур и бизнес-процессов, связанных с внешнеэкономической деятельностью в государствах-членах (далее – бизнес-процессы), подготовленный в соответствии с пунктом 1.2 детализированного плана;</w:t>
      </w:r>
      <w:r>
        <w:br/>
      </w:r>
      <w:r>
        <w:rPr>
          <w:rFonts w:ascii="Times New Roman"/>
          <w:b w:val="false"/>
          <w:i w:val="false"/>
          <w:color w:val="000000"/>
          <w:sz w:val="28"/>
        </w:rPr>
        <w:t>
      опыт и знания, полученные в ходе международных семинаров, конференций и консультаций с международными экспертами.</w:t>
      </w:r>
      <w:r>
        <w:br/>
      </w:r>
      <w:r>
        <w:rPr>
          <w:rFonts w:ascii="Times New Roman"/>
          <w:b w:val="false"/>
          <w:i w:val="false"/>
          <w:color w:val="000000"/>
          <w:sz w:val="28"/>
        </w:rPr>
        <w:t>
      Анализ возможностей по гармонизации и минимизации сведений, содержащихся в документах, необходимых для осуществления внешнеэкономической деятельности, предусмотренный подпунктом 1.4.4 детализированного плана, проводится на основании методики, разрабатываемой в соответствии с разделом 3 детализированного плана.</w:t>
      </w:r>
    </w:p>
    <w:bookmarkEnd w:id="4"/>
    <w:bookmarkStart w:name="z8" w:id="5"/>
    <w:p>
      <w:pPr>
        <w:spacing w:after="0"/>
        <w:ind w:left="0"/>
        <w:jc w:val="left"/>
      </w:pPr>
      <w:r>
        <w:rPr>
          <w:rFonts w:ascii="Times New Roman"/>
          <w:b/>
          <w:i w:val="false"/>
          <w:color w:val="000000"/>
        </w:rPr>
        <w:t xml:space="preserve"> 
II. Определения</w:t>
      </w:r>
    </w:p>
    <w:bookmarkEnd w:id="5"/>
    <w:bookmarkStart w:name="z9" w:id="6"/>
    <w:p>
      <w:pPr>
        <w:spacing w:after="0"/>
        <w:ind w:left="0"/>
        <w:jc w:val="both"/>
      </w:pPr>
      <w:r>
        <w:rPr>
          <w:rFonts w:ascii="Times New Roman"/>
          <w:b w:val="false"/>
          <w:i w:val="false"/>
          <w:color w:val="000000"/>
          <w:sz w:val="28"/>
        </w:rPr>
        <w:t>
      3. Для целей настоящей Методики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«акты» – международные договоры и акты, составляющие право Союза, и нормативные правовые акты государств-членов в области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«анализ бизнес-процессов» – систематизированный сбор данных о процессах, совершаемых заинтересованными лицами, государственными органами и (или) уполномоченными организациями государств-членов, с целью их идентификации, оценки и последующей оптимизации;</w:t>
      </w:r>
      <w:r>
        <w:br/>
      </w:r>
      <w:r>
        <w:rPr>
          <w:rFonts w:ascii="Times New Roman"/>
          <w:b w:val="false"/>
          <w:i w:val="false"/>
          <w:color w:val="000000"/>
          <w:sz w:val="28"/>
        </w:rPr>
        <w:t>
</w:t>
      </w:r>
      <w:r>
        <w:rPr>
          <w:rFonts w:ascii="Times New Roman"/>
          <w:b w:val="false"/>
          <w:i w:val="false"/>
          <w:color w:val="000000"/>
          <w:sz w:val="28"/>
        </w:rPr>
        <w:t>
      «графики временных и финансовых затрат» – графики, описывающие взаимосвязь бизнес-процессов с временными и финансовыми затратами, необходимыми для их завершения;</w:t>
      </w:r>
      <w:r>
        <w:br/>
      </w:r>
      <w:r>
        <w:rPr>
          <w:rFonts w:ascii="Times New Roman"/>
          <w:b w:val="false"/>
          <w:i w:val="false"/>
          <w:color w:val="000000"/>
          <w:sz w:val="28"/>
        </w:rPr>
        <w:t>
</w:t>
      </w:r>
      <w:r>
        <w:rPr>
          <w:rFonts w:ascii="Times New Roman"/>
          <w:b w:val="false"/>
          <w:i w:val="false"/>
          <w:color w:val="000000"/>
          <w:sz w:val="28"/>
        </w:rPr>
        <w:t>
      «диаграмма прецедентов» – диаграмма, отображающая основные бизнес-процессы и участвующих в них субъектов;</w:t>
      </w:r>
      <w:r>
        <w:br/>
      </w:r>
      <w:r>
        <w:rPr>
          <w:rFonts w:ascii="Times New Roman"/>
          <w:b w:val="false"/>
          <w:i w:val="false"/>
          <w:color w:val="000000"/>
          <w:sz w:val="28"/>
        </w:rPr>
        <w:t>
</w:t>
      </w:r>
      <w:r>
        <w:rPr>
          <w:rFonts w:ascii="Times New Roman"/>
          <w:b w:val="false"/>
          <w:i w:val="false"/>
          <w:color w:val="000000"/>
          <w:sz w:val="28"/>
        </w:rPr>
        <w:t>
      «заинтересованные лица» – юридическое лицо, организация, не являющаяся юридическим лицом, созданные в соответствии с законодательством государства-члена, а также физическое лицо, зарегистрированное в качестве индивидуального предпринимателя в соответствии с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«карточка бизнес-процесса» – подробное текстовое описание бизнес-процесса, указанного в схеме действий;</w:t>
      </w:r>
      <w:r>
        <w:br/>
      </w:r>
      <w:r>
        <w:rPr>
          <w:rFonts w:ascii="Times New Roman"/>
          <w:b w:val="false"/>
          <w:i w:val="false"/>
          <w:color w:val="000000"/>
          <w:sz w:val="28"/>
        </w:rPr>
        <w:t>
</w:t>
      </w:r>
      <w:r>
        <w:rPr>
          <w:rFonts w:ascii="Times New Roman"/>
          <w:b w:val="false"/>
          <w:i w:val="false"/>
          <w:color w:val="000000"/>
          <w:sz w:val="28"/>
        </w:rPr>
        <w:t>
      «направления перемещения товаров» – ввоз товаров на таможенную территорию Союза, вывоз товаров с такой территории и транзит товаров по таможенной территории Союза;</w:t>
      </w:r>
      <w:r>
        <w:br/>
      </w:r>
      <w:r>
        <w:rPr>
          <w:rFonts w:ascii="Times New Roman"/>
          <w:b w:val="false"/>
          <w:i w:val="false"/>
          <w:color w:val="000000"/>
          <w:sz w:val="28"/>
        </w:rPr>
        <w:t>
</w:t>
      </w:r>
      <w:r>
        <w:rPr>
          <w:rFonts w:ascii="Times New Roman"/>
          <w:b w:val="false"/>
          <w:i w:val="false"/>
          <w:color w:val="000000"/>
          <w:sz w:val="28"/>
        </w:rPr>
        <w:t>
      «схема действий» – графическое описание действий, выполняемых заинтересованными лицами, государственными органами и (или) уполномоченными организациями государств-членов в бизнес-процессе, приведенное в диаграмме прецедентов;</w:t>
      </w:r>
      <w:r>
        <w:br/>
      </w:r>
      <w:r>
        <w:rPr>
          <w:rFonts w:ascii="Times New Roman"/>
          <w:b w:val="false"/>
          <w:i w:val="false"/>
          <w:color w:val="000000"/>
          <w:sz w:val="28"/>
        </w:rPr>
        <w:t>
</w:t>
      </w:r>
      <w:r>
        <w:rPr>
          <w:rFonts w:ascii="Times New Roman"/>
          <w:b w:val="false"/>
          <w:i w:val="false"/>
          <w:color w:val="000000"/>
          <w:sz w:val="28"/>
        </w:rPr>
        <w:t>
      «элементы национального механизма «единого окна» – составные части механизма взаимодействия между государственными органами, уполномоченными организациями и участниками внешнеэкономической деятельности государств-членов, которые в совокупности образуют национальный механизм «единого окна».</w:t>
      </w:r>
      <w:r>
        <w:br/>
      </w:r>
      <w:r>
        <w:rPr>
          <w:rFonts w:ascii="Times New Roman"/>
          <w:b w:val="false"/>
          <w:i w:val="false"/>
          <w:color w:val="000000"/>
          <w:sz w:val="28"/>
        </w:rPr>
        <w:t>
      Иные понятия, используемые в настоящей Методике, понимаются в значениях, определенных планом мероприятий.</w:t>
      </w:r>
    </w:p>
    <w:bookmarkEnd w:id="6"/>
    <w:bookmarkStart w:name="z19" w:id="7"/>
    <w:p>
      <w:pPr>
        <w:spacing w:after="0"/>
        <w:ind w:left="0"/>
        <w:jc w:val="left"/>
      </w:pPr>
      <w:r>
        <w:rPr>
          <w:rFonts w:ascii="Times New Roman"/>
          <w:b/>
          <w:i w:val="false"/>
          <w:color w:val="000000"/>
        </w:rPr>
        <w:t xml:space="preserve"> 
III. Цели и задачи анализа состояния развития национальных</w:t>
      </w:r>
      <w:r>
        <w:br/>
      </w:r>
      <w:r>
        <w:rPr>
          <w:rFonts w:ascii="Times New Roman"/>
          <w:b/>
          <w:i w:val="false"/>
          <w:color w:val="000000"/>
        </w:rPr>
        <w:t>
механизмов «единого окна»</w:t>
      </w:r>
    </w:p>
    <w:bookmarkEnd w:id="7"/>
    <w:bookmarkStart w:name="z20" w:id="8"/>
    <w:p>
      <w:pPr>
        <w:spacing w:after="0"/>
        <w:ind w:left="0"/>
        <w:jc w:val="both"/>
      </w:pPr>
      <w:r>
        <w:rPr>
          <w:rFonts w:ascii="Times New Roman"/>
          <w:b w:val="false"/>
          <w:i w:val="false"/>
          <w:color w:val="000000"/>
          <w:sz w:val="28"/>
        </w:rPr>
        <w:t>
      4. Целями проведения анализа состояния развития национальных механизмов «единого окна» являются оценка состояния развития национального механизма «единого окна» в государствах-членах и подготовка заключения по каждому государству-члену, содержащего рекомендации по дальнейшему развитию национального механизма «единого окна» в системе регулирования внешнеэкономической деятельности, оптимизации бизнес-процессов, а также определение приоритетных направлений сближения национальных механизмов «единого окна».</w:t>
      </w:r>
      <w:r>
        <w:br/>
      </w:r>
      <w:r>
        <w:rPr>
          <w:rFonts w:ascii="Times New Roman"/>
          <w:b w:val="false"/>
          <w:i w:val="false"/>
          <w:color w:val="000000"/>
          <w:sz w:val="28"/>
        </w:rPr>
        <w:t>
</w:t>
      </w:r>
      <w:r>
        <w:rPr>
          <w:rFonts w:ascii="Times New Roman"/>
          <w:b w:val="false"/>
          <w:i w:val="false"/>
          <w:color w:val="000000"/>
          <w:sz w:val="28"/>
        </w:rPr>
        <w:t>
      5. В рамках проводимого анализа решаются следующие задачи:</w:t>
      </w:r>
      <w:r>
        <w:br/>
      </w:r>
      <w:r>
        <w:rPr>
          <w:rFonts w:ascii="Times New Roman"/>
          <w:b w:val="false"/>
          <w:i w:val="false"/>
          <w:color w:val="000000"/>
          <w:sz w:val="28"/>
        </w:rPr>
        <w:t>
      а) анализ организационно-правовой основы развития национального механизма «единого окна» в государствах-членах (далее – анализ организационно-правовой основы), включающий в себя:</w:t>
      </w:r>
      <w:r>
        <w:br/>
      </w:r>
      <w:r>
        <w:rPr>
          <w:rFonts w:ascii="Times New Roman"/>
          <w:b w:val="false"/>
          <w:i w:val="false"/>
          <w:color w:val="000000"/>
          <w:sz w:val="28"/>
        </w:rPr>
        <w:t>
      анализ созданной институциональной основы, обеспечивающей реализацию Основных направлений развития механизма «единого окна» в системе регулирования внешнеэкономической деятельности, утвержденных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29 мая 2014 г. № 68 (далее – Основные направления), и плана мероприятий;</w:t>
      </w:r>
      <w:r>
        <w:br/>
      </w:r>
      <w:r>
        <w:rPr>
          <w:rFonts w:ascii="Times New Roman"/>
          <w:b w:val="false"/>
          <w:i w:val="false"/>
          <w:color w:val="000000"/>
          <w:sz w:val="28"/>
        </w:rPr>
        <w:t>
      анализ актов, регулирующих вопросы внедрения и развития механизма «единого окна»;</w:t>
      </w:r>
      <w:r>
        <w:br/>
      </w:r>
      <w:r>
        <w:rPr>
          <w:rFonts w:ascii="Times New Roman"/>
          <w:b w:val="false"/>
          <w:i w:val="false"/>
          <w:color w:val="000000"/>
          <w:sz w:val="28"/>
        </w:rPr>
        <w:t>
      анализ сферы охвата национальных механизмов «единого окна» в государствах-членах;</w:t>
      </w:r>
      <w:r>
        <w:br/>
      </w:r>
      <w:r>
        <w:rPr>
          <w:rFonts w:ascii="Times New Roman"/>
          <w:b w:val="false"/>
          <w:i w:val="false"/>
          <w:color w:val="000000"/>
          <w:sz w:val="28"/>
        </w:rPr>
        <w:t>
      анализ актов по сферам государственного регулирования в области внешнеэкономической деятельности на предмет выявления барьеров и правовых пробелов, препятствующих развитию механизма «единого окна»;</w:t>
      </w:r>
      <w:r>
        <w:br/>
      </w:r>
      <w:r>
        <w:rPr>
          <w:rFonts w:ascii="Times New Roman"/>
          <w:b w:val="false"/>
          <w:i w:val="false"/>
          <w:color w:val="000000"/>
          <w:sz w:val="28"/>
        </w:rPr>
        <w:t>
      исследование правоприменительной практики реализации механизма «единого окна» в государствах-членах;</w:t>
      </w:r>
      <w:r>
        <w:br/>
      </w:r>
      <w:r>
        <w:rPr>
          <w:rFonts w:ascii="Times New Roman"/>
          <w:b w:val="false"/>
          <w:i w:val="false"/>
          <w:color w:val="000000"/>
          <w:sz w:val="28"/>
        </w:rPr>
        <w:t>
      определение целевых показателей национальных проектов, направленных на создание национальных механизмов «единого окна»;</w:t>
      </w:r>
      <w:r>
        <w:br/>
      </w:r>
      <w:r>
        <w:rPr>
          <w:rFonts w:ascii="Times New Roman"/>
          <w:b w:val="false"/>
          <w:i w:val="false"/>
          <w:color w:val="000000"/>
          <w:sz w:val="28"/>
        </w:rPr>
        <w:t>
      б) анализ технологической основы развития национального механизма «единого окна» в государствах-членах (далее – анализ технологической основы), включающий в себя:</w:t>
      </w:r>
      <w:r>
        <w:br/>
      </w:r>
      <w:r>
        <w:rPr>
          <w:rFonts w:ascii="Times New Roman"/>
          <w:b w:val="false"/>
          <w:i w:val="false"/>
          <w:color w:val="000000"/>
          <w:sz w:val="28"/>
        </w:rPr>
        <w:t>
      определение перечня приоритетных экспортных, импортных и транзитных операций (далее – приоритетные операции);</w:t>
      </w:r>
      <w:r>
        <w:br/>
      </w:r>
      <w:r>
        <w:rPr>
          <w:rFonts w:ascii="Times New Roman"/>
          <w:b w:val="false"/>
          <w:i w:val="false"/>
          <w:color w:val="000000"/>
          <w:sz w:val="28"/>
        </w:rPr>
        <w:t>
      анализ существующих бизнес-процессов в соответствии с перечнем приоритетных операций, определение степени и уровня их автоматизации;</w:t>
      </w:r>
      <w:r>
        <w:br/>
      </w:r>
      <w:r>
        <w:rPr>
          <w:rFonts w:ascii="Times New Roman"/>
          <w:b w:val="false"/>
          <w:i w:val="false"/>
          <w:color w:val="000000"/>
          <w:sz w:val="28"/>
        </w:rPr>
        <w:t>
      определение «узких мест» при переходе от документов на бумажном носителе к электронным документам;</w:t>
      </w:r>
      <w:r>
        <w:br/>
      </w:r>
      <w:r>
        <w:rPr>
          <w:rFonts w:ascii="Times New Roman"/>
          <w:b w:val="false"/>
          <w:i w:val="false"/>
          <w:color w:val="000000"/>
          <w:sz w:val="28"/>
        </w:rPr>
        <w:t>
      в) анализ информационно-технической основы внедрения и развития национального механизма «единого окна» в государствах-членах (далее – анализ информационно-технической основы), включающий в себя:</w:t>
      </w:r>
      <w:r>
        <w:br/>
      </w:r>
      <w:r>
        <w:rPr>
          <w:rFonts w:ascii="Times New Roman"/>
          <w:b w:val="false"/>
          <w:i w:val="false"/>
          <w:color w:val="000000"/>
          <w:sz w:val="28"/>
        </w:rPr>
        <w:t>
      анализ состояния развития отдельных элементов национального механизма «единого окна» (экспресс-анализ);</w:t>
      </w:r>
      <w:r>
        <w:br/>
      </w:r>
      <w:r>
        <w:rPr>
          <w:rFonts w:ascii="Times New Roman"/>
          <w:b w:val="false"/>
          <w:i w:val="false"/>
          <w:color w:val="000000"/>
          <w:sz w:val="28"/>
        </w:rPr>
        <w:t>
      изучение национальных программ государств-членов по развитию локальных механизмов «единого окна»;</w:t>
      </w:r>
      <w:r>
        <w:br/>
      </w:r>
      <w:r>
        <w:rPr>
          <w:rFonts w:ascii="Times New Roman"/>
          <w:b w:val="false"/>
          <w:i w:val="false"/>
          <w:color w:val="000000"/>
          <w:sz w:val="28"/>
        </w:rPr>
        <w:t>
      определение технических возможностей и правовых оснований для создания в государствах-членах портала национального механизма «единого окна»;</w:t>
      </w:r>
      <w:r>
        <w:br/>
      </w:r>
      <w:r>
        <w:rPr>
          <w:rFonts w:ascii="Times New Roman"/>
          <w:b w:val="false"/>
          <w:i w:val="false"/>
          <w:color w:val="000000"/>
          <w:sz w:val="28"/>
        </w:rPr>
        <w:t>
      анализ практики уплаты обязательных платежей в электронном виде и возможности предоставления такой услуги в рамках национального механизма «единого окна»;</w:t>
      </w:r>
      <w:r>
        <w:br/>
      </w:r>
      <w:r>
        <w:rPr>
          <w:rFonts w:ascii="Times New Roman"/>
          <w:b w:val="false"/>
          <w:i w:val="false"/>
          <w:color w:val="000000"/>
          <w:sz w:val="28"/>
        </w:rPr>
        <w:t>
      анализ состояния развития систем электронного правительства, межведомственного информационного взаимодействия, электронного документооборота при взаимодействии заинтересованных лиц с государственными органами и (или) уполномоченными организациями государств-членов;</w:t>
      </w:r>
      <w:r>
        <w:br/>
      </w:r>
      <w:r>
        <w:rPr>
          <w:rFonts w:ascii="Times New Roman"/>
          <w:b w:val="false"/>
          <w:i w:val="false"/>
          <w:color w:val="000000"/>
          <w:sz w:val="28"/>
        </w:rPr>
        <w:t>
      г) анализ сильных и слабых сторон национальных механизмов «единого окна» в государствах-членах, возможностей и перспектив развития этих механизмов, включающий в себя:</w:t>
      </w:r>
      <w:r>
        <w:br/>
      </w:r>
      <w:r>
        <w:rPr>
          <w:rFonts w:ascii="Times New Roman"/>
          <w:b w:val="false"/>
          <w:i w:val="false"/>
          <w:color w:val="000000"/>
          <w:sz w:val="28"/>
        </w:rPr>
        <w:t>
      выявление вопросов, которые необходимо урегулировать в государствах-членах при реализации Основных направлений;</w:t>
      </w:r>
      <w:r>
        <w:br/>
      </w:r>
      <w:r>
        <w:rPr>
          <w:rFonts w:ascii="Times New Roman"/>
          <w:b w:val="false"/>
          <w:i w:val="false"/>
          <w:color w:val="000000"/>
          <w:sz w:val="28"/>
        </w:rPr>
        <w:t>
      определение приоритетных областей, требующих усиления потенциала и оказания организационно-правовой, технологической и информационно-технической помощи в целях развития национальных механизмов «единого окна»;</w:t>
      </w:r>
      <w:r>
        <w:br/>
      </w:r>
      <w:r>
        <w:rPr>
          <w:rFonts w:ascii="Times New Roman"/>
          <w:b w:val="false"/>
          <w:i w:val="false"/>
          <w:color w:val="000000"/>
          <w:sz w:val="28"/>
        </w:rPr>
        <w:t>
      д) подготовка предложений и рекомендаций, направленных на дальнейшее развитие национальных механизмов «единого окна», оптимизацию бизнес-процессов, а также определение приоритетных направлений сближения национальных механизмов «единого окна».</w:t>
      </w:r>
    </w:p>
    <w:bookmarkEnd w:id="8"/>
    <w:bookmarkStart w:name="z22" w:id="9"/>
    <w:p>
      <w:pPr>
        <w:spacing w:after="0"/>
        <w:ind w:left="0"/>
        <w:jc w:val="left"/>
      </w:pPr>
      <w:r>
        <w:rPr>
          <w:rFonts w:ascii="Times New Roman"/>
          <w:b/>
          <w:i w:val="false"/>
          <w:color w:val="000000"/>
        </w:rPr>
        <w:t xml:space="preserve"> 
IV. Объекты анализа состояния развития национальных механизмов</w:t>
      </w:r>
      <w:r>
        <w:br/>
      </w:r>
      <w:r>
        <w:rPr>
          <w:rFonts w:ascii="Times New Roman"/>
          <w:b/>
          <w:i w:val="false"/>
          <w:color w:val="000000"/>
        </w:rPr>
        <w:t>
«единого окна»</w:t>
      </w:r>
    </w:p>
    <w:bookmarkEnd w:id="9"/>
    <w:bookmarkStart w:name="z23" w:id="10"/>
    <w:p>
      <w:pPr>
        <w:spacing w:after="0"/>
        <w:ind w:left="0"/>
        <w:jc w:val="both"/>
      </w:pPr>
      <w:r>
        <w:rPr>
          <w:rFonts w:ascii="Times New Roman"/>
          <w:b w:val="false"/>
          <w:i w:val="false"/>
          <w:color w:val="000000"/>
          <w:sz w:val="28"/>
        </w:rPr>
        <w:t>
      6. При проведении анализа состояния развития национальных механизмов «единого окна» рассматриваются следующие объекты:</w:t>
      </w:r>
      <w:r>
        <w:br/>
      </w:r>
      <w:r>
        <w:rPr>
          <w:rFonts w:ascii="Times New Roman"/>
          <w:b w:val="false"/>
          <w:i w:val="false"/>
          <w:color w:val="000000"/>
          <w:sz w:val="28"/>
        </w:rPr>
        <w:t>
      а) институциональная основа, обеспечивающая внедрение и развитие механизма «единого окна», в том числе реализацию Основных направлений и плана мероприятий;</w:t>
      </w:r>
      <w:r>
        <w:br/>
      </w:r>
      <w:r>
        <w:rPr>
          <w:rFonts w:ascii="Times New Roman"/>
          <w:b w:val="false"/>
          <w:i w:val="false"/>
          <w:color w:val="000000"/>
          <w:sz w:val="28"/>
        </w:rPr>
        <w:t>
      б) акты, регулирующие вопросы внедрения и развития механизма «единого окна»;</w:t>
      </w:r>
      <w:r>
        <w:br/>
      </w:r>
      <w:r>
        <w:rPr>
          <w:rFonts w:ascii="Times New Roman"/>
          <w:b w:val="false"/>
          <w:i w:val="false"/>
          <w:color w:val="000000"/>
          <w:sz w:val="28"/>
        </w:rPr>
        <w:t>
      в) судебные и административные решения;</w:t>
      </w:r>
      <w:r>
        <w:br/>
      </w:r>
      <w:r>
        <w:rPr>
          <w:rFonts w:ascii="Times New Roman"/>
          <w:b w:val="false"/>
          <w:i w:val="false"/>
          <w:color w:val="000000"/>
          <w:sz w:val="28"/>
        </w:rPr>
        <w:t>
      г) сфера охвата национальных механизмов «единого окна» в государствах-членах;</w:t>
      </w:r>
      <w:r>
        <w:br/>
      </w:r>
      <w:r>
        <w:rPr>
          <w:rFonts w:ascii="Times New Roman"/>
          <w:b w:val="false"/>
          <w:i w:val="false"/>
          <w:color w:val="000000"/>
          <w:sz w:val="28"/>
        </w:rPr>
        <w:t>
      д) акты по сферам государственного регулирования в области внешнеэкономической деятельности на предмет выявления барьеров и правовых пробелов, препятствующих развитию механизма «единого окна»;</w:t>
      </w:r>
      <w:r>
        <w:br/>
      </w:r>
      <w:r>
        <w:rPr>
          <w:rFonts w:ascii="Times New Roman"/>
          <w:b w:val="false"/>
          <w:i w:val="false"/>
          <w:color w:val="000000"/>
          <w:sz w:val="28"/>
        </w:rPr>
        <w:t>
      е) правоприменительная практика реализации механизма «единого окна» в государствах-членах;</w:t>
      </w:r>
      <w:r>
        <w:br/>
      </w:r>
      <w:r>
        <w:rPr>
          <w:rFonts w:ascii="Times New Roman"/>
          <w:b w:val="false"/>
          <w:i w:val="false"/>
          <w:color w:val="000000"/>
          <w:sz w:val="28"/>
        </w:rPr>
        <w:t>
      ж) целевые показатели национальных проектов, направленных на создание национальных механизмов «единого окна»;</w:t>
      </w:r>
      <w:r>
        <w:br/>
      </w:r>
      <w:r>
        <w:rPr>
          <w:rFonts w:ascii="Times New Roman"/>
          <w:b w:val="false"/>
          <w:i w:val="false"/>
          <w:color w:val="000000"/>
          <w:sz w:val="28"/>
        </w:rPr>
        <w:t>
      з) бизнес-процессы в рамках приоритетных операций, включая акты, их устанавливающие;</w:t>
      </w:r>
      <w:r>
        <w:br/>
      </w:r>
      <w:r>
        <w:rPr>
          <w:rFonts w:ascii="Times New Roman"/>
          <w:b w:val="false"/>
          <w:i w:val="false"/>
          <w:color w:val="000000"/>
          <w:sz w:val="28"/>
        </w:rPr>
        <w:t>
      и) национальные программы государств-членов по развитию локальных механизмов «единого окна»;</w:t>
      </w:r>
      <w:r>
        <w:br/>
      </w:r>
      <w:r>
        <w:rPr>
          <w:rFonts w:ascii="Times New Roman"/>
          <w:b w:val="false"/>
          <w:i w:val="false"/>
          <w:color w:val="000000"/>
          <w:sz w:val="28"/>
        </w:rPr>
        <w:t>
      к) портал национального механизма «единого окна» в части определения технической возможности и правовых оснований его создания в государствах-членах;</w:t>
      </w:r>
      <w:r>
        <w:br/>
      </w:r>
      <w:r>
        <w:rPr>
          <w:rFonts w:ascii="Times New Roman"/>
          <w:b w:val="false"/>
          <w:i w:val="false"/>
          <w:color w:val="000000"/>
          <w:sz w:val="28"/>
        </w:rPr>
        <w:t>
      л) практика уплаты обязательных платежей в электронном виде и возможность предоставления такой услуги в рамках национального механизма «единого окна»;</w:t>
      </w:r>
      <w:r>
        <w:br/>
      </w:r>
      <w:r>
        <w:rPr>
          <w:rFonts w:ascii="Times New Roman"/>
          <w:b w:val="false"/>
          <w:i w:val="false"/>
          <w:color w:val="000000"/>
          <w:sz w:val="28"/>
        </w:rPr>
        <w:t>
      м) системы электронного правительства, межведомственного информационного взаимодействия, электронного документооборота при взаимодействии заинтересованных лиц с государственными органами и (или) уполномоченными организациями государств-членов.</w:t>
      </w:r>
      <w:r>
        <w:br/>
      </w:r>
      <w:r>
        <w:rPr>
          <w:rFonts w:ascii="Times New Roman"/>
          <w:b w:val="false"/>
          <w:i w:val="false"/>
          <w:color w:val="000000"/>
          <w:sz w:val="28"/>
        </w:rPr>
        <w:t>
</w:t>
      </w:r>
      <w:r>
        <w:rPr>
          <w:rFonts w:ascii="Times New Roman"/>
          <w:b w:val="false"/>
          <w:i w:val="false"/>
          <w:color w:val="000000"/>
          <w:sz w:val="28"/>
        </w:rPr>
        <w:t>
      7. Анализ состояния развития национальных механизмов «единого окна» проводится по следующим направлениям:</w:t>
      </w:r>
      <w:r>
        <w:br/>
      </w:r>
      <w:r>
        <w:rPr>
          <w:rFonts w:ascii="Times New Roman"/>
          <w:b w:val="false"/>
          <w:i w:val="false"/>
          <w:color w:val="000000"/>
          <w:sz w:val="28"/>
        </w:rPr>
        <w:t>
      а) анализ организационно-правовой основы;</w:t>
      </w:r>
      <w:r>
        <w:br/>
      </w:r>
      <w:r>
        <w:rPr>
          <w:rFonts w:ascii="Times New Roman"/>
          <w:b w:val="false"/>
          <w:i w:val="false"/>
          <w:color w:val="000000"/>
          <w:sz w:val="28"/>
        </w:rPr>
        <w:t>
      б) анализ технологической основы;</w:t>
      </w:r>
      <w:r>
        <w:br/>
      </w:r>
      <w:r>
        <w:rPr>
          <w:rFonts w:ascii="Times New Roman"/>
          <w:b w:val="false"/>
          <w:i w:val="false"/>
          <w:color w:val="000000"/>
          <w:sz w:val="28"/>
        </w:rPr>
        <w:t>
      в) анализ информационно-технической основы.</w:t>
      </w:r>
      <w:r>
        <w:br/>
      </w:r>
      <w:r>
        <w:rPr>
          <w:rFonts w:ascii="Times New Roman"/>
          <w:b w:val="false"/>
          <w:i w:val="false"/>
          <w:color w:val="000000"/>
          <w:sz w:val="28"/>
        </w:rPr>
        <w:t>
</w:t>
      </w:r>
      <w:r>
        <w:rPr>
          <w:rFonts w:ascii="Times New Roman"/>
          <w:b w:val="false"/>
          <w:i w:val="false"/>
          <w:color w:val="000000"/>
          <w:sz w:val="28"/>
        </w:rPr>
        <w:t>
      8. Оценка состояния развития национальных механизмов «единого окна» осуществляется в соответствии с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Методики рекомендациями и руководствами Организации Объединенных Наций и руководством Всемирной таможенной организации на основании поступивших от государств-членов итоговых отчетов.</w:t>
      </w:r>
    </w:p>
    <w:bookmarkEnd w:id="10"/>
    <w:bookmarkStart w:name="z26" w:id="11"/>
    <w:p>
      <w:pPr>
        <w:spacing w:after="0"/>
        <w:ind w:left="0"/>
        <w:jc w:val="left"/>
      </w:pPr>
      <w:r>
        <w:rPr>
          <w:rFonts w:ascii="Times New Roman"/>
          <w:b/>
          <w:i w:val="false"/>
          <w:color w:val="000000"/>
        </w:rPr>
        <w:t xml:space="preserve"> 
V. Сферы регулирования и виды исследуемой деятельности</w:t>
      </w:r>
    </w:p>
    <w:bookmarkEnd w:id="11"/>
    <w:bookmarkStart w:name="z27" w:id="12"/>
    <w:p>
      <w:pPr>
        <w:spacing w:after="0"/>
        <w:ind w:left="0"/>
        <w:jc w:val="both"/>
      </w:pPr>
      <w:r>
        <w:rPr>
          <w:rFonts w:ascii="Times New Roman"/>
          <w:b w:val="false"/>
          <w:i w:val="false"/>
          <w:color w:val="000000"/>
          <w:sz w:val="28"/>
        </w:rPr>
        <w:t>
      9. Анализ состояния развития национальных механизмов «единого окна» охватывает:</w:t>
      </w:r>
      <w:r>
        <w:br/>
      </w:r>
      <w:r>
        <w:rPr>
          <w:rFonts w:ascii="Times New Roman"/>
          <w:b w:val="false"/>
          <w:i w:val="false"/>
          <w:color w:val="000000"/>
          <w:sz w:val="28"/>
        </w:rPr>
        <w:t>
      а) сферы государственного регулирования, затрагивающие внешнеэкономическую деятельность: таможенное, валютное, налоговое, таможенно-тарифное, нетарифное, техническое регулирование, применение санитарных, ветеринарно-санитарных, карантинных фитосанитарных мер, регулирование финансовых услуг (банковских, страховых), транспорт и перевозки, интеллектуальная собственность и др.;</w:t>
      </w:r>
      <w:r>
        <w:br/>
      </w:r>
      <w:r>
        <w:rPr>
          <w:rFonts w:ascii="Times New Roman"/>
          <w:b w:val="false"/>
          <w:i w:val="false"/>
          <w:color w:val="000000"/>
          <w:sz w:val="28"/>
        </w:rPr>
        <w:t>
      б) виды деятельности: внешнеторговая, предоставление транспортных и логистических услуг, финансовых услуг (банковских, страховых), таможенное дело.</w:t>
      </w:r>
    </w:p>
    <w:bookmarkEnd w:id="12"/>
    <w:bookmarkStart w:name="z28" w:id="13"/>
    <w:p>
      <w:pPr>
        <w:spacing w:after="0"/>
        <w:ind w:left="0"/>
        <w:jc w:val="left"/>
      </w:pPr>
      <w:r>
        <w:rPr>
          <w:rFonts w:ascii="Times New Roman"/>
          <w:b/>
          <w:i w:val="false"/>
          <w:color w:val="000000"/>
        </w:rPr>
        <w:t xml:space="preserve"> 
VI. Источники информации</w:t>
      </w:r>
    </w:p>
    <w:bookmarkEnd w:id="13"/>
    <w:bookmarkStart w:name="z29" w:id="14"/>
    <w:p>
      <w:pPr>
        <w:spacing w:after="0"/>
        <w:ind w:left="0"/>
        <w:jc w:val="both"/>
      </w:pPr>
      <w:r>
        <w:rPr>
          <w:rFonts w:ascii="Times New Roman"/>
          <w:b w:val="false"/>
          <w:i w:val="false"/>
          <w:color w:val="000000"/>
          <w:sz w:val="28"/>
        </w:rPr>
        <w:t>
      10. При проведении анализа состояния развития национальных механизмов «единого окна» используются следующие источники информации:</w:t>
      </w:r>
      <w:r>
        <w:br/>
      </w:r>
      <w:r>
        <w:rPr>
          <w:rFonts w:ascii="Times New Roman"/>
          <w:b w:val="false"/>
          <w:i w:val="false"/>
          <w:color w:val="000000"/>
          <w:sz w:val="28"/>
        </w:rPr>
        <w:t>
      а) первичные: акты, в том числе указы, национальные (государственные) программы, постановления, планы мероприятий («дорожные карты») и др.;</w:t>
      </w:r>
      <w:r>
        <w:br/>
      </w:r>
      <w:r>
        <w:rPr>
          <w:rFonts w:ascii="Times New Roman"/>
          <w:b w:val="false"/>
          <w:i w:val="false"/>
          <w:color w:val="000000"/>
          <w:sz w:val="28"/>
        </w:rPr>
        <w:t>
      б) вторичные: комментарии к законодательству государств-членов, регламенты, письма, инструкции, распоряжения, ведомственные приказы, отчеты государственных органов и (или) уполномоченных организаций государств-членов в области внешнеэкономической деятельности, отчеты независимых экспертов, выполненные по заказу государственных органов государств-членов (например, «Регулятивные и процедурные барьеры в торговле в Беларуси», «Регулятивные и процедурные барьеры в торговле в Казахстане», «Исследование готовности законодательной системы Российской Федерации к внедрению принципа «единого окна» для внешней торговли»), судебные и административные решения, аналитические материалы и др.</w:t>
      </w:r>
      <w:r>
        <w:br/>
      </w:r>
      <w:r>
        <w:rPr>
          <w:rFonts w:ascii="Times New Roman"/>
          <w:b w:val="false"/>
          <w:i w:val="false"/>
          <w:color w:val="000000"/>
          <w:sz w:val="28"/>
        </w:rPr>
        <w:t>
</w:t>
      </w:r>
      <w:r>
        <w:rPr>
          <w:rFonts w:ascii="Times New Roman"/>
          <w:b w:val="false"/>
          <w:i w:val="false"/>
          <w:color w:val="000000"/>
          <w:sz w:val="28"/>
        </w:rPr>
        <w:t>
      11. При проведении анализа состояния развития национальных механизмов «единого окна» в качестве дополнительных источников информации также используются статьи по обзору законодательства государств-членов, отчеты и рекомендации различных конференций и семинаров, международные комментарии и другие открытые источники информации.</w:t>
      </w:r>
    </w:p>
    <w:bookmarkEnd w:id="14"/>
    <w:bookmarkStart w:name="z31" w:id="15"/>
    <w:p>
      <w:pPr>
        <w:spacing w:after="0"/>
        <w:ind w:left="0"/>
        <w:jc w:val="left"/>
      </w:pPr>
      <w:r>
        <w:rPr>
          <w:rFonts w:ascii="Times New Roman"/>
          <w:b/>
          <w:i w:val="false"/>
          <w:color w:val="000000"/>
        </w:rPr>
        <w:t xml:space="preserve"> 
VII. Рекомендации по организации проведения анализа</w:t>
      </w:r>
      <w:r>
        <w:br/>
      </w:r>
      <w:r>
        <w:rPr>
          <w:rFonts w:ascii="Times New Roman"/>
          <w:b/>
          <w:i w:val="false"/>
          <w:color w:val="000000"/>
        </w:rPr>
        <w:t>
состояния развития национальных механизмов «единого окна»</w:t>
      </w:r>
    </w:p>
    <w:bookmarkEnd w:id="15"/>
    <w:bookmarkStart w:name="z32" w:id="16"/>
    <w:p>
      <w:pPr>
        <w:spacing w:after="0"/>
        <w:ind w:left="0"/>
        <w:jc w:val="both"/>
      </w:pPr>
      <w:r>
        <w:rPr>
          <w:rFonts w:ascii="Times New Roman"/>
          <w:b w:val="false"/>
          <w:i w:val="false"/>
          <w:color w:val="000000"/>
          <w:sz w:val="28"/>
        </w:rPr>
        <w:t>
      12. Анализ состояния развития национальных механизмов «единого окна» проводится государствами-членами и Комиссией в соответствии с настоящей Методикой и в сроки, установленные пунктом 1.4 раздела XII плана мероприятий.</w:t>
      </w:r>
      <w:r>
        <w:br/>
      </w:r>
      <w:r>
        <w:rPr>
          <w:rFonts w:ascii="Times New Roman"/>
          <w:b w:val="false"/>
          <w:i w:val="false"/>
          <w:color w:val="000000"/>
          <w:sz w:val="28"/>
        </w:rPr>
        <w:t>
      В целях оптимального распределения ресурсов и соблюдения установленных сроков анализ организационно-правовой основы, анализ технологической основы и анализ информационно-технической основы могут проводиться параллельно.</w:t>
      </w:r>
      <w:r>
        <w:br/>
      </w:r>
      <w:r>
        <w:rPr>
          <w:rFonts w:ascii="Times New Roman"/>
          <w:b w:val="false"/>
          <w:i w:val="false"/>
          <w:color w:val="000000"/>
          <w:sz w:val="28"/>
        </w:rPr>
        <w:t>
</w:t>
      </w:r>
      <w:r>
        <w:rPr>
          <w:rFonts w:ascii="Times New Roman"/>
          <w:b w:val="false"/>
          <w:i w:val="false"/>
          <w:color w:val="000000"/>
          <w:sz w:val="28"/>
        </w:rPr>
        <w:t>
      13. Государства-члены определяют ответственный за организацию проведения анализа состояния развития национальных механизмов «единого окна» государственный орган (создают рабочую группу) (далее – ответственный орган государства-члена).</w:t>
      </w:r>
      <w:r>
        <w:br/>
      </w:r>
      <w:r>
        <w:rPr>
          <w:rFonts w:ascii="Times New Roman"/>
          <w:b w:val="false"/>
          <w:i w:val="false"/>
          <w:color w:val="000000"/>
          <w:sz w:val="28"/>
        </w:rPr>
        <w:t>
</w:t>
      </w:r>
      <w:r>
        <w:rPr>
          <w:rFonts w:ascii="Times New Roman"/>
          <w:b w:val="false"/>
          <w:i w:val="false"/>
          <w:color w:val="000000"/>
          <w:sz w:val="28"/>
        </w:rPr>
        <w:t>
      14. Ответственный орган государства-члена определяет государственные органы, уполномоченные организации и представителей бизнес-сообщества государства-члена, участвующие в проведении анализа состояния развития национальных механизмов «единого окна» (далее – участники анализа).</w:t>
      </w:r>
      <w:r>
        <w:br/>
      </w:r>
      <w:r>
        <w:rPr>
          <w:rFonts w:ascii="Times New Roman"/>
          <w:b w:val="false"/>
          <w:i w:val="false"/>
          <w:color w:val="000000"/>
          <w:sz w:val="28"/>
        </w:rPr>
        <w:t>
      При этом состав участников анализа целесообразно формировать по тематическим блокам («электронная таможня», «оплата, платежи и электронная коммерция», «разрешительные документы», «транспорт и логистика», «информационные технологии») исходя из организационной структуры механизма, обеспечивающего реализацию плана мероприятий, предусмотренной пунктом 6.1 раздела XII плана мероприятий (далее – тематические блоки).</w:t>
      </w:r>
      <w:r>
        <w:br/>
      </w:r>
      <w:r>
        <w:rPr>
          <w:rFonts w:ascii="Times New Roman"/>
          <w:b w:val="false"/>
          <w:i w:val="false"/>
          <w:color w:val="000000"/>
          <w:sz w:val="28"/>
        </w:rPr>
        <w:t>
</w:t>
      </w:r>
      <w:r>
        <w:rPr>
          <w:rFonts w:ascii="Times New Roman"/>
          <w:b w:val="false"/>
          <w:i w:val="false"/>
          <w:color w:val="000000"/>
          <w:sz w:val="28"/>
        </w:rPr>
        <w:t>
      15. Ответственный орган государства-члена либо участники анализа вправе привлекать к проведению анализа состояния развития национальных механизмов «единого окна» научно-исследовательские и образовательные учреждения, независимых экспертов, в том числе бизнес-аналитиков, представителей консалтинговых компаний и других экспертов.</w:t>
      </w:r>
      <w:r>
        <w:br/>
      </w:r>
      <w:r>
        <w:rPr>
          <w:rFonts w:ascii="Times New Roman"/>
          <w:b w:val="false"/>
          <w:i w:val="false"/>
          <w:color w:val="000000"/>
          <w:sz w:val="28"/>
        </w:rPr>
        <w:t>
</w:t>
      </w:r>
      <w:r>
        <w:rPr>
          <w:rFonts w:ascii="Times New Roman"/>
          <w:b w:val="false"/>
          <w:i w:val="false"/>
          <w:color w:val="000000"/>
          <w:sz w:val="28"/>
        </w:rPr>
        <w:t>
      16. Ответственный орган государства-члена направляет участникам анализа настоящую Методику для проведения работ по анализу состояния развития национальных механизмов «единого окна» в пределах их компетенции и в зависимости от распределения по тематическим блокам.</w:t>
      </w:r>
      <w:r>
        <w:br/>
      </w:r>
      <w:r>
        <w:rPr>
          <w:rFonts w:ascii="Times New Roman"/>
          <w:b w:val="false"/>
          <w:i w:val="false"/>
          <w:color w:val="000000"/>
          <w:sz w:val="28"/>
        </w:rPr>
        <w:t>
</w:t>
      </w:r>
      <w:r>
        <w:rPr>
          <w:rFonts w:ascii="Times New Roman"/>
          <w:b w:val="false"/>
          <w:i w:val="false"/>
          <w:color w:val="000000"/>
          <w:sz w:val="28"/>
        </w:rPr>
        <w:t>
      17. Участники анализа проводят анализ состояния развития национальных механизмов «единого окна» в пределах своей компетенции в части решения задач, предусмотренных абзацами пятым и шестым подпункта «а», подпунктом «б» и абзацами четвертым и пятым подпункта «в» </w:t>
      </w:r>
      <w:r>
        <w:rPr>
          <w:rFonts w:ascii="Times New Roman"/>
          <w:b w:val="false"/>
          <w:i w:val="false"/>
          <w:color w:val="000000"/>
          <w:sz w:val="28"/>
        </w:rPr>
        <w:t>пункта 5</w:t>
      </w:r>
      <w:r>
        <w:rPr>
          <w:rFonts w:ascii="Times New Roman"/>
          <w:b w:val="false"/>
          <w:i w:val="false"/>
          <w:color w:val="000000"/>
          <w:sz w:val="28"/>
        </w:rPr>
        <w:t xml:space="preserve"> настоящей Методики, и направляют результаты в ответственный орган государства-члена.</w:t>
      </w:r>
      <w:r>
        <w:br/>
      </w:r>
      <w:r>
        <w:rPr>
          <w:rFonts w:ascii="Times New Roman"/>
          <w:b w:val="false"/>
          <w:i w:val="false"/>
          <w:color w:val="000000"/>
          <w:sz w:val="28"/>
        </w:rPr>
        <w:t>
</w:t>
      </w:r>
      <w:r>
        <w:rPr>
          <w:rFonts w:ascii="Times New Roman"/>
          <w:b w:val="false"/>
          <w:i w:val="false"/>
          <w:color w:val="000000"/>
          <w:sz w:val="28"/>
        </w:rPr>
        <w:t>
      18. Ответственный орган государства-члена:</w:t>
      </w:r>
      <w:r>
        <w:br/>
      </w:r>
      <w:r>
        <w:rPr>
          <w:rFonts w:ascii="Times New Roman"/>
          <w:b w:val="false"/>
          <w:i w:val="false"/>
          <w:color w:val="000000"/>
          <w:sz w:val="28"/>
        </w:rPr>
        <w:t>
      а) проводит анализ состояния развития национальных механизмов «единого окна» в части решения задач, предусмотренных абзацами вторым, третьим, четвертым и седьмым подпункта «а» и абзацами вторым, третьим и шестым подпункта «в» пункта 5 настоящей Методики;</w:t>
      </w:r>
      <w:r>
        <w:br/>
      </w:r>
      <w:r>
        <w:rPr>
          <w:rFonts w:ascii="Times New Roman"/>
          <w:b w:val="false"/>
          <w:i w:val="false"/>
          <w:color w:val="000000"/>
          <w:sz w:val="28"/>
        </w:rPr>
        <w:t>
      б) осуществляет проверку отчетов, представленных участниками анализа, на предмет их полноты и достаточности, исключения дублирования информации и при необходимости возвращает данные отчеты участникам анализа для дополнительной проработки;</w:t>
      </w:r>
      <w:r>
        <w:br/>
      </w:r>
      <w:r>
        <w:rPr>
          <w:rFonts w:ascii="Times New Roman"/>
          <w:b w:val="false"/>
          <w:i w:val="false"/>
          <w:color w:val="000000"/>
          <w:sz w:val="28"/>
        </w:rPr>
        <w:t>
      в) формирует итоговый отчет по результатам анализа состояния развития национальных механизмов «единого окна» в порядке, предусмотренном </w:t>
      </w:r>
      <w:r>
        <w:rPr>
          <w:rFonts w:ascii="Times New Roman"/>
          <w:b w:val="false"/>
          <w:i w:val="false"/>
          <w:color w:val="000000"/>
          <w:sz w:val="28"/>
        </w:rPr>
        <w:t>разделом XII</w:t>
      </w:r>
      <w:r>
        <w:rPr>
          <w:rFonts w:ascii="Times New Roman"/>
          <w:b w:val="false"/>
          <w:i w:val="false"/>
          <w:color w:val="000000"/>
          <w:sz w:val="28"/>
        </w:rPr>
        <w:t xml:space="preserve"> настоящей Методики;</w:t>
      </w:r>
      <w:r>
        <w:br/>
      </w:r>
      <w:r>
        <w:rPr>
          <w:rFonts w:ascii="Times New Roman"/>
          <w:b w:val="false"/>
          <w:i w:val="false"/>
          <w:color w:val="000000"/>
          <w:sz w:val="28"/>
        </w:rPr>
        <w:t>
      г) направляет в Комиссию итоговый отчет о результатах анализа состояния развития национальных механизмов «единого окна» с приложением документов (опросных листов, таблиц и др.), заполненных участниками анализа, в том числе представителями бизнес-сообщества государства-члена.</w:t>
      </w:r>
      <w:r>
        <w:br/>
      </w:r>
      <w:r>
        <w:rPr>
          <w:rFonts w:ascii="Times New Roman"/>
          <w:b w:val="false"/>
          <w:i w:val="false"/>
          <w:color w:val="000000"/>
          <w:sz w:val="28"/>
        </w:rPr>
        <w:t>
</w:t>
      </w:r>
      <w:r>
        <w:rPr>
          <w:rFonts w:ascii="Times New Roman"/>
          <w:b w:val="false"/>
          <w:i w:val="false"/>
          <w:color w:val="000000"/>
          <w:sz w:val="28"/>
        </w:rPr>
        <w:t>
      19. Анализ состояния развития национальных механизмов «единого окна» проводится структурными подразделениями Комиссии, определяемыми в соответствии с приказом Председателя Коллегии Комиссии, по направлениям деятельности данных подразделений, на основании итоговых отчетов по результатам анализа состояния развития национальных механизмов «единого окна», представленных государствами-членами.</w:t>
      </w:r>
      <w:r>
        <w:br/>
      </w:r>
      <w:r>
        <w:rPr>
          <w:rFonts w:ascii="Times New Roman"/>
          <w:b w:val="false"/>
          <w:i w:val="false"/>
          <w:color w:val="000000"/>
          <w:sz w:val="28"/>
        </w:rPr>
        <w:t>
</w:t>
      </w:r>
      <w:r>
        <w:rPr>
          <w:rFonts w:ascii="Times New Roman"/>
          <w:b w:val="false"/>
          <w:i w:val="false"/>
          <w:color w:val="000000"/>
          <w:sz w:val="28"/>
        </w:rPr>
        <w:t>
      20. Структурные подразделения Комиссии:</w:t>
      </w:r>
      <w:r>
        <w:br/>
      </w:r>
      <w:r>
        <w:rPr>
          <w:rFonts w:ascii="Times New Roman"/>
          <w:b w:val="false"/>
          <w:i w:val="false"/>
          <w:color w:val="000000"/>
          <w:sz w:val="28"/>
        </w:rPr>
        <w:t>
      а) осуществляют сбор и обобщение итоговых отчетов по результатам анализа состояния развития национальных механизмов «единого окна», представленных государствами-членами;</w:t>
      </w:r>
      <w:r>
        <w:br/>
      </w:r>
      <w:r>
        <w:rPr>
          <w:rFonts w:ascii="Times New Roman"/>
          <w:b w:val="false"/>
          <w:i w:val="false"/>
          <w:color w:val="000000"/>
          <w:sz w:val="28"/>
        </w:rPr>
        <w:t>
      б) проводят оценку состояния развития национальных механизмов «единого окна» в части решения задачи, предусмотренной подпунктом «г» пункта 5 настоящей Методики;</w:t>
      </w:r>
      <w:r>
        <w:br/>
      </w:r>
      <w:r>
        <w:rPr>
          <w:rFonts w:ascii="Times New Roman"/>
          <w:b w:val="false"/>
          <w:i w:val="false"/>
          <w:color w:val="000000"/>
          <w:sz w:val="28"/>
        </w:rPr>
        <w:t>
      в) разрабатывают заключение по каждому государству-члену, содержащее рекомендации по дальнейшему развитию механизма «единого окна», оптимизации бизнес-процессов, а также определению приоритетных направлений сближения национальных механизмов «единого окна».</w:t>
      </w:r>
    </w:p>
    <w:bookmarkEnd w:id="16"/>
    <w:bookmarkStart w:name="z41" w:id="17"/>
    <w:p>
      <w:pPr>
        <w:spacing w:after="0"/>
        <w:ind w:left="0"/>
        <w:jc w:val="left"/>
      </w:pPr>
      <w:r>
        <w:rPr>
          <w:rFonts w:ascii="Times New Roman"/>
          <w:b/>
          <w:i w:val="false"/>
          <w:color w:val="000000"/>
        </w:rPr>
        <w:t xml:space="preserve"> 
VIII. Методы и способы исследования</w:t>
      </w:r>
    </w:p>
    <w:bookmarkEnd w:id="17"/>
    <w:bookmarkStart w:name="z42" w:id="18"/>
    <w:p>
      <w:pPr>
        <w:spacing w:after="0"/>
        <w:ind w:left="0"/>
        <w:jc w:val="both"/>
      </w:pPr>
      <w:r>
        <w:rPr>
          <w:rFonts w:ascii="Times New Roman"/>
          <w:b w:val="false"/>
          <w:i w:val="false"/>
          <w:color w:val="000000"/>
          <w:sz w:val="28"/>
        </w:rPr>
        <w:t>
      21. При проведении анализа состояния развития национальных механизмов «единого окна» могут применяться:</w:t>
      </w:r>
      <w:r>
        <w:br/>
      </w:r>
      <w:r>
        <w:rPr>
          <w:rFonts w:ascii="Times New Roman"/>
          <w:b w:val="false"/>
          <w:i w:val="false"/>
          <w:color w:val="000000"/>
          <w:sz w:val="28"/>
        </w:rPr>
        <w:t>
      методы исследования (системный анализ, правовой анализ, экспертные оценки, моделирование, «мозговой штурм», аналогия и сравнение, опрос (вопросно-ответный метод) и др.);</w:t>
      </w:r>
      <w:r>
        <w:br/>
      </w:r>
      <w:r>
        <w:rPr>
          <w:rFonts w:ascii="Times New Roman"/>
          <w:b w:val="false"/>
          <w:i w:val="false"/>
          <w:color w:val="000000"/>
          <w:sz w:val="28"/>
        </w:rPr>
        <w:t>
      способы исследования (собеседование, анкетирование, интервьюирование, заполнение опросных листов, карточек, построение графиков и диаграмм, проведение консультаций, собеседований и др.).</w:t>
      </w:r>
      <w:r>
        <w:br/>
      </w:r>
      <w:r>
        <w:rPr>
          <w:rFonts w:ascii="Times New Roman"/>
          <w:b w:val="false"/>
          <w:i w:val="false"/>
          <w:color w:val="000000"/>
          <w:sz w:val="28"/>
        </w:rPr>
        <w:t>
</w:t>
      </w:r>
      <w:r>
        <w:rPr>
          <w:rFonts w:ascii="Times New Roman"/>
          <w:b w:val="false"/>
          <w:i w:val="false"/>
          <w:color w:val="000000"/>
          <w:sz w:val="28"/>
        </w:rPr>
        <w:t>
      22. Показатели, с помощью которых исследуются объекты анализа, предусмотрены в соответствующих разделах и приложениях к настоящей Методике.</w:t>
      </w:r>
    </w:p>
    <w:bookmarkEnd w:id="18"/>
    <w:bookmarkStart w:name="z44" w:id="19"/>
    <w:p>
      <w:pPr>
        <w:spacing w:after="0"/>
        <w:ind w:left="0"/>
        <w:jc w:val="left"/>
      </w:pPr>
      <w:r>
        <w:rPr>
          <w:rFonts w:ascii="Times New Roman"/>
          <w:b/>
          <w:i w:val="false"/>
          <w:color w:val="000000"/>
        </w:rPr>
        <w:t xml:space="preserve"> 
IX. Порядок проведенияанализа организационно-правовой основы</w:t>
      </w:r>
    </w:p>
    <w:bookmarkEnd w:id="19"/>
    <w:bookmarkStart w:name="z45" w:id="20"/>
    <w:p>
      <w:pPr>
        <w:spacing w:after="0"/>
        <w:ind w:left="0"/>
        <w:jc w:val="both"/>
      </w:pPr>
      <w:r>
        <w:rPr>
          <w:rFonts w:ascii="Times New Roman"/>
          <w:b w:val="false"/>
          <w:i w:val="false"/>
          <w:color w:val="000000"/>
          <w:sz w:val="28"/>
        </w:rPr>
        <w:t>
      23. Анализ организационно-правовой основы проводится в целях:</w:t>
      </w:r>
      <w:r>
        <w:br/>
      </w:r>
      <w:r>
        <w:rPr>
          <w:rFonts w:ascii="Times New Roman"/>
          <w:b w:val="false"/>
          <w:i w:val="false"/>
          <w:color w:val="000000"/>
          <w:sz w:val="28"/>
        </w:rPr>
        <w:t>
      а) определения институциональной основы, обеспечивающей реализацию Основных направлений;</w:t>
      </w:r>
      <w:r>
        <w:br/>
      </w:r>
      <w:r>
        <w:rPr>
          <w:rFonts w:ascii="Times New Roman"/>
          <w:b w:val="false"/>
          <w:i w:val="false"/>
          <w:color w:val="000000"/>
          <w:sz w:val="28"/>
        </w:rPr>
        <w:t>
      б) оценки готовности правовой базы для внедрения и развития национальных механизмов «единого окна» в государствах-членах;</w:t>
      </w:r>
      <w:r>
        <w:br/>
      </w:r>
      <w:r>
        <w:rPr>
          <w:rFonts w:ascii="Times New Roman"/>
          <w:b w:val="false"/>
          <w:i w:val="false"/>
          <w:color w:val="000000"/>
          <w:sz w:val="28"/>
        </w:rPr>
        <w:t>
      в) определения правовых оснований создания портала национального механизма «единого окна» в государствах-членах;</w:t>
      </w:r>
      <w:r>
        <w:br/>
      </w:r>
      <w:r>
        <w:rPr>
          <w:rFonts w:ascii="Times New Roman"/>
          <w:b w:val="false"/>
          <w:i w:val="false"/>
          <w:color w:val="000000"/>
          <w:sz w:val="28"/>
        </w:rPr>
        <w:t>
      г) выявления правовых пробелов, затрудняющих внедрение и развитие национальных механизмов «единого окна» в государствах-членах;</w:t>
      </w:r>
      <w:r>
        <w:br/>
      </w:r>
      <w:r>
        <w:rPr>
          <w:rFonts w:ascii="Times New Roman"/>
          <w:b w:val="false"/>
          <w:i w:val="false"/>
          <w:color w:val="000000"/>
          <w:sz w:val="28"/>
        </w:rPr>
        <w:t>
      д) выявления барьеров, возникающих при взаимодействии заинтересованных лиц с государственными органами и (или) уполномоченными организациями государств-членов при совершении экспортных, импортных и транзитных операций, межведомственном информационном взаимодействии, а также препятствующих развитию электронной коммерции;</w:t>
      </w:r>
      <w:r>
        <w:br/>
      </w:r>
      <w:r>
        <w:rPr>
          <w:rFonts w:ascii="Times New Roman"/>
          <w:b w:val="false"/>
          <w:i w:val="false"/>
          <w:color w:val="000000"/>
          <w:sz w:val="28"/>
        </w:rPr>
        <w:t>
      е) выработки предложений и рекомендаций по устранению выявленных правовых пробелов и барьеров.</w:t>
      </w:r>
      <w:r>
        <w:br/>
      </w:r>
      <w:r>
        <w:rPr>
          <w:rFonts w:ascii="Times New Roman"/>
          <w:b w:val="false"/>
          <w:i w:val="false"/>
          <w:color w:val="000000"/>
          <w:sz w:val="28"/>
        </w:rPr>
        <w:t>
</w:t>
      </w:r>
      <w:r>
        <w:rPr>
          <w:rFonts w:ascii="Times New Roman"/>
          <w:b w:val="false"/>
          <w:i w:val="false"/>
          <w:color w:val="000000"/>
          <w:sz w:val="28"/>
        </w:rPr>
        <w:t>
      24. В рамках проводимого исследования анализируются акты, в том числе регулирующие следующие вопросы:</w:t>
      </w:r>
      <w:r>
        <w:br/>
      </w:r>
      <w:r>
        <w:rPr>
          <w:rFonts w:ascii="Times New Roman"/>
          <w:b w:val="false"/>
          <w:i w:val="false"/>
          <w:color w:val="000000"/>
          <w:sz w:val="28"/>
        </w:rPr>
        <w:t>
      а) внедрение и развитие национального механизма «единого окна»;</w:t>
      </w:r>
      <w:r>
        <w:br/>
      </w:r>
      <w:r>
        <w:rPr>
          <w:rFonts w:ascii="Times New Roman"/>
          <w:b w:val="false"/>
          <w:i w:val="false"/>
          <w:color w:val="000000"/>
          <w:sz w:val="28"/>
        </w:rPr>
        <w:t>
      б) создание портала национального механизма «единого окна»;</w:t>
      </w:r>
      <w:r>
        <w:br/>
      </w:r>
      <w:r>
        <w:rPr>
          <w:rFonts w:ascii="Times New Roman"/>
          <w:b w:val="false"/>
          <w:i w:val="false"/>
          <w:color w:val="000000"/>
          <w:sz w:val="28"/>
        </w:rPr>
        <w:t>
      в) порядок совершения экспортных, импортных и транзитных операций;</w:t>
      </w:r>
      <w:r>
        <w:br/>
      </w:r>
      <w:r>
        <w:rPr>
          <w:rFonts w:ascii="Times New Roman"/>
          <w:b w:val="false"/>
          <w:i w:val="false"/>
          <w:color w:val="000000"/>
          <w:sz w:val="28"/>
        </w:rPr>
        <w:t>
      г) электронный документооборот при взаимодействии заинтересованных лиц с государственными органами и (или) уполномоченными организациями государств-членов (выдача, использование электронных документов, применение электронной цифровой подписи (электронной подписи), идентификация и аутентификация участников информационного взаимодействия);</w:t>
      </w:r>
      <w:r>
        <w:br/>
      </w:r>
      <w:r>
        <w:rPr>
          <w:rFonts w:ascii="Times New Roman"/>
          <w:b w:val="false"/>
          <w:i w:val="false"/>
          <w:color w:val="000000"/>
          <w:sz w:val="28"/>
        </w:rPr>
        <w:t>
      д) межведомственное информационное взаимодействие;</w:t>
      </w:r>
      <w:r>
        <w:br/>
      </w:r>
      <w:r>
        <w:rPr>
          <w:rFonts w:ascii="Times New Roman"/>
          <w:b w:val="false"/>
          <w:i w:val="false"/>
          <w:color w:val="000000"/>
          <w:sz w:val="28"/>
        </w:rPr>
        <w:t>
      е) развитие и применение электронной коммерции, использование электронных счетов-фактур (инвойсов), контрактов и других электронных документов, ответственность (обязательства и ответственность сторон, заключивших электронную сделку), признание электронных документов в качестве доказательств в суде (арбитраж и урегулирование споров), при страховании рисков и в нотариальной деятельности;</w:t>
      </w:r>
      <w:r>
        <w:br/>
      </w:r>
      <w:r>
        <w:rPr>
          <w:rFonts w:ascii="Times New Roman"/>
          <w:b w:val="false"/>
          <w:i w:val="false"/>
          <w:color w:val="000000"/>
          <w:sz w:val="28"/>
        </w:rPr>
        <w:t>
      ж) интеллектуальная собственность (права на интеллектуальную собственность и базы данных);</w:t>
      </w:r>
      <w:r>
        <w:br/>
      </w:r>
      <w:r>
        <w:rPr>
          <w:rFonts w:ascii="Times New Roman"/>
          <w:b w:val="false"/>
          <w:i w:val="false"/>
          <w:color w:val="000000"/>
          <w:sz w:val="28"/>
        </w:rPr>
        <w:t>
      з) доверенное хранение, использование, пересылка, архивирование электронных документов в рамках применения национального механизма «единого окна» при соблюдении требований по информационной безопасности, включая организацию разграниченного доступа к электронным документам;</w:t>
      </w:r>
      <w:r>
        <w:br/>
      </w:r>
      <w:r>
        <w:rPr>
          <w:rFonts w:ascii="Times New Roman"/>
          <w:b w:val="false"/>
          <w:i w:val="false"/>
          <w:color w:val="000000"/>
          <w:sz w:val="28"/>
        </w:rPr>
        <w:t>
      и) конкуренция.</w:t>
      </w:r>
      <w:r>
        <w:br/>
      </w:r>
      <w:r>
        <w:rPr>
          <w:rFonts w:ascii="Times New Roman"/>
          <w:b w:val="false"/>
          <w:i w:val="false"/>
          <w:color w:val="000000"/>
          <w:sz w:val="28"/>
        </w:rPr>
        <w:t>
</w:t>
      </w:r>
      <w:r>
        <w:rPr>
          <w:rFonts w:ascii="Times New Roman"/>
          <w:b w:val="false"/>
          <w:i w:val="false"/>
          <w:color w:val="000000"/>
          <w:sz w:val="28"/>
        </w:rPr>
        <w:t>
      25. При проведении анализа организационно-правовой основы развития национальных механизмов «единого окна» участники анализа используют формы опросных листов согласно </w:t>
      </w:r>
      <w:r>
        <w:rPr>
          <w:rFonts w:ascii="Times New Roman"/>
          <w:b w:val="false"/>
          <w:i w:val="false"/>
          <w:color w:val="000000"/>
          <w:sz w:val="28"/>
        </w:rPr>
        <w:t>приложению № 1</w:t>
      </w:r>
      <w:r>
        <w:rPr>
          <w:rFonts w:ascii="Times New Roman"/>
          <w:b w:val="false"/>
          <w:i w:val="false"/>
          <w:color w:val="000000"/>
          <w:sz w:val="28"/>
        </w:rPr>
        <w:t xml:space="preserve"> (далее в настоящем разделе – опросные листы).</w:t>
      </w:r>
      <w:r>
        <w:br/>
      </w:r>
      <w:r>
        <w:rPr>
          <w:rFonts w:ascii="Times New Roman"/>
          <w:b w:val="false"/>
          <w:i w:val="false"/>
          <w:color w:val="000000"/>
          <w:sz w:val="28"/>
        </w:rPr>
        <w:t>
</w:t>
      </w:r>
      <w:r>
        <w:rPr>
          <w:rFonts w:ascii="Times New Roman"/>
          <w:b w:val="false"/>
          <w:i w:val="false"/>
          <w:color w:val="000000"/>
          <w:sz w:val="28"/>
        </w:rPr>
        <w:t>
      26. Анализ организационно-правовой основы включает в себя следующие этапы:</w:t>
      </w:r>
      <w:r>
        <w:br/>
      </w:r>
      <w:r>
        <w:rPr>
          <w:rFonts w:ascii="Times New Roman"/>
          <w:b w:val="false"/>
          <w:i w:val="false"/>
          <w:color w:val="000000"/>
          <w:sz w:val="28"/>
        </w:rPr>
        <w:t>
      а) составление перечня актов, необходимых для заполнения опросных листов;</w:t>
      </w:r>
      <w:r>
        <w:br/>
      </w:r>
      <w:r>
        <w:rPr>
          <w:rFonts w:ascii="Times New Roman"/>
          <w:b w:val="false"/>
          <w:i w:val="false"/>
          <w:color w:val="000000"/>
          <w:sz w:val="28"/>
        </w:rPr>
        <w:t>
      б) проверка актуальности выбранных актов. Для получения точной и более полной информации участникам анализа необходимо проверить наличие отметок об изменениях, внесенных в данные акты, и изучить акты, к которым имеются отсылки в тексте;</w:t>
      </w:r>
      <w:r>
        <w:br/>
      </w:r>
      <w:r>
        <w:rPr>
          <w:rFonts w:ascii="Times New Roman"/>
          <w:b w:val="false"/>
          <w:i w:val="false"/>
          <w:color w:val="000000"/>
          <w:sz w:val="28"/>
        </w:rPr>
        <w:t>
      в) распределение собранного материала по вопросам, содержащимся в опросных листах;</w:t>
      </w:r>
      <w:r>
        <w:br/>
      </w:r>
      <w:r>
        <w:rPr>
          <w:rFonts w:ascii="Times New Roman"/>
          <w:b w:val="false"/>
          <w:i w:val="false"/>
          <w:color w:val="000000"/>
          <w:sz w:val="28"/>
        </w:rPr>
        <w:t>
      г) заполнение опросных листов (с указанием ссылок на акты);</w:t>
      </w:r>
      <w:r>
        <w:br/>
      </w:r>
      <w:r>
        <w:rPr>
          <w:rFonts w:ascii="Times New Roman"/>
          <w:b w:val="false"/>
          <w:i w:val="false"/>
          <w:color w:val="000000"/>
          <w:sz w:val="28"/>
        </w:rPr>
        <w:t>
      д) подготовка отчета по результатам анализа организационно-правовой основы и направление его ответственному органу государства-члена.</w:t>
      </w:r>
      <w:r>
        <w:br/>
      </w:r>
      <w:r>
        <w:rPr>
          <w:rFonts w:ascii="Times New Roman"/>
          <w:b w:val="false"/>
          <w:i w:val="false"/>
          <w:color w:val="000000"/>
          <w:sz w:val="28"/>
        </w:rPr>
        <w:t>
</w:t>
      </w:r>
      <w:r>
        <w:rPr>
          <w:rFonts w:ascii="Times New Roman"/>
          <w:b w:val="false"/>
          <w:i w:val="false"/>
          <w:color w:val="000000"/>
          <w:sz w:val="28"/>
        </w:rPr>
        <w:t>
      27. Опросные листы заполняются участниками анализа в произвольной форме (примеры заполнения опросных листов приведены в </w:t>
      </w:r>
      <w:r>
        <w:rPr>
          <w:rFonts w:ascii="Times New Roman"/>
          <w:b w:val="false"/>
          <w:i w:val="false"/>
          <w:color w:val="000000"/>
          <w:sz w:val="28"/>
        </w:rPr>
        <w:t>приложении №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В случае если при проведении анализа организационно-правовой основы выявлены правовые пробелы и (или) барьеры, такая информация указывается в соответствующем поле опросного листа.</w:t>
      </w:r>
      <w:r>
        <w:br/>
      </w:r>
      <w:r>
        <w:rPr>
          <w:rFonts w:ascii="Times New Roman"/>
          <w:b w:val="false"/>
          <w:i w:val="false"/>
          <w:color w:val="000000"/>
          <w:sz w:val="28"/>
        </w:rPr>
        <w:t>
      Предложения по совершенствованию актов в части устранения выявленных правовых пробелов и (или) барьеров приводятся в конце опросного листа (в соответствующем поле).</w:t>
      </w:r>
      <w:r>
        <w:br/>
      </w:r>
      <w:r>
        <w:rPr>
          <w:rFonts w:ascii="Times New Roman"/>
          <w:b w:val="false"/>
          <w:i w:val="false"/>
          <w:color w:val="000000"/>
          <w:sz w:val="28"/>
        </w:rPr>
        <w:t>
</w:t>
      </w:r>
      <w:r>
        <w:rPr>
          <w:rFonts w:ascii="Times New Roman"/>
          <w:b w:val="false"/>
          <w:i w:val="false"/>
          <w:color w:val="000000"/>
          <w:sz w:val="28"/>
        </w:rPr>
        <w:t>
      28. Отчет об анализе организационно-правовой основы формируется согласно </w:t>
      </w:r>
      <w:r>
        <w:rPr>
          <w:rFonts w:ascii="Times New Roman"/>
          <w:b w:val="false"/>
          <w:i w:val="false"/>
          <w:color w:val="000000"/>
          <w:sz w:val="28"/>
        </w:rPr>
        <w:t>приложению № 2</w:t>
      </w:r>
      <w:r>
        <w:rPr>
          <w:rFonts w:ascii="Times New Roman"/>
          <w:b w:val="false"/>
          <w:i w:val="false"/>
          <w:color w:val="000000"/>
          <w:sz w:val="28"/>
        </w:rPr>
        <w:t xml:space="preserve"> и рекомендациям, указанным в </w:t>
      </w:r>
      <w:r>
        <w:rPr>
          <w:rFonts w:ascii="Times New Roman"/>
          <w:b w:val="false"/>
          <w:i w:val="false"/>
          <w:color w:val="000000"/>
          <w:sz w:val="28"/>
        </w:rPr>
        <w:t>разделе XII</w:t>
      </w:r>
      <w:r>
        <w:rPr>
          <w:rFonts w:ascii="Times New Roman"/>
          <w:b w:val="false"/>
          <w:i w:val="false"/>
          <w:color w:val="000000"/>
          <w:sz w:val="28"/>
        </w:rPr>
        <w:t xml:space="preserve"> настоящей Методики.</w:t>
      </w:r>
    </w:p>
    <w:bookmarkEnd w:id="20"/>
    <w:bookmarkStart w:name="z51" w:id="21"/>
    <w:p>
      <w:pPr>
        <w:spacing w:after="0"/>
        <w:ind w:left="0"/>
        <w:jc w:val="left"/>
      </w:pPr>
      <w:r>
        <w:rPr>
          <w:rFonts w:ascii="Times New Roman"/>
          <w:b/>
          <w:i w:val="false"/>
          <w:color w:val="000000"/>
        </w:rPr>
        <w:t xml:space="preserve"> 
X. Порядок проведения анализа технологической основы</w:t>
      </w:r>
    </w:p>
    <w:bookmarkEnd w:id="21"/>
    <w:bookmarkStart w:name="z52" w:id="22"/>
    <w:p>
      <w:pPr>
        <w:spacing w:after="0"/>
        <w:ind w:left="0"/>
        <w:jc w:val="both"/>
      </w:pPr>
      <w:r>
        <w:rPr>
          <w:rFonts w:ascii="Times New Roman"/>
          <w:b w:val="false"/>
          <w:i w:val="false"/>
          <w:color w:val="000000"/>
          <w:sz w:val="28"/>
        </w:rPr>
        <w:t>
      29. Анализ технологической основы проводится в целях:</w:t>
      </w:r>
      <w:r>
        <w:br/>
      </w:r>
      <w:r>
        <w:rPr>
          <w:rFonts w:ascii="Times New Roman"/>
          <w:b w:val="false"/>
          <w:i w:val="false"/>
          <w:color w:val="000000"/>
          <w:sz w:val="28"/>
        </w:rPr>
        <w:t>
      а) описания существующих бизнес-процессов;</w:t>
      </w:r>
      <w:r>
        <w:br/>
      </w:r>
      <w:r>
        <w:rPr>
          <w:rFonts w:ascii="Times New Roman"/>
          <w:b w:val="false"/>
          <w:i w:val="false"/>
          <w:color w:val="000000"/>
          <w:sz w:val="28"/>
        </w:rPr>
        <w:t>
      б) определения степени и уровня автоматизации бизнес-процессов;</w:t>
      </w:r>
      <w:r>
        <w:br/>
      </w:r>
      <w:r>
        <w:rPr>
          <w:rFonts w:ascii="Times New Roman"/>
          <w:b w:val="false"/>
          <w:i w:val="false"/>
          <w:color w:val="000000"/>
          <w:sz w:val="28"/>
        </w:rPr>
        <w:t>
      в) выявления административных барьеров и определения «узких мест» при переходе от документов на бумажном носителе к электронным документам;</w:t>
      </w:r>
      <w:r>
        <w:br/>
      </w:r>
      <w:r>
        <w:rPr>
          <w:rFonts w:ascii="Times New Roman"/>
          <w:b w:val="false"/>
          <w:i w:val="false"/>
          <w:color w:val="000000"/>
          <w:sz w:val="28"/>
        </w:rPr>
        <w:t>
      г) подготовки предложений по оптимизации и автоматизации бизнес-процессов с учетом лучших практик для сокращения временных и финансовых затрат.</w:t>
      </w:r>
      <w:r>
        <w:br/>
      </w:r>
      <w:r>
        <w:rPr>
          <w:rFonts w:ascii="Times New Roman"/>
          <w:b w:val="false"/>
          <w:i w:val="false"/>
          <w:color w:val="000000"/>
          <w:sz w:val="28"/>
        </w:rPr>
        <w:t>
</w:t>
      </w:r>
      <w:r>
        <w:rPr>
          <w:rFonts w:ascii="Times New Roman"/>
          <w:b w:val="false"/>
          <w:i w:val="false"/>
          <w:color w:val="000000"/>
          <w:sz w:val="28"/>
        </w:rPr>
        <w:t>
      30. Для проведения анализа технологической основы по каждому направлению перемещения товаров сформирован примерный перечень бизнес-процессов согласно </w:t>
      </w:r>
      <w:r>
        <w:rPr>
          <w:rFonts w:ascii="Times New Roman"/>
          <w:b w:val="false"/>
          <w:i w:val="false"/>
          <w:color w:val="000000"/>
          <w:sz w:val="28"/>
        </w:rPr>
        <w:t>приложению № 3</w:t>
      </w:r>
      <w:r>
        <w:rPr>
          <w:rFonts w:ascii="Times New Roman"/>
          <w:b w:val="false"/>
          <w:i w:val="false"/>
          <w:color w:val="000000"/>
          <w:sz w:val="28"/>
        </w:rPr>
        <w:t>. Все операции в примерном перечне бизнес-процессов распределены по тематическим блокам: «электронная таможня», «оплата, платежи и электронная коммерция», «разрешительные документы», «транспорт и логистика».</w:t>
      </w:r>
      <w:r>
        <w:br/>
      </w:r>
      <w:r>
        <w:rPr>
          <w:rFonts w:ascii="Times New Roman"/>
          <w:b w:val="false"/>
          <w:i w:val="false"/>
          <w:color w:val="000000"/>
          <w:sz w:val="28"/>
        </w:rPr>
        <w:t>
</w:t>
      </w:r>
      <w:r>
        <w:rPr>
          <w:rFonts w:ascii="Times New Roman"/>
          <w:b w:val="false"/>
          <w:i w:val="false"/>
          <w:color w:val="000000"/>
          <w:sz w:val="28"/>
        </w:rPr>
        <w:t>
      31. Перечни приоритетных операций, в отношении которых проводится анализ технологической основы, формируются участниками анализа на основании указанного примерного перечня бизнес-процессов при соблюдении следующих условий:</w:t>
      </w:r>
      <w:r>
        <w:br/>
      </w:r>
      <w:r>
        <w:rPr>
          <w:rFonts w:ascii="Times New Roman"/>
          <w:b w:val="false"/>
          <w:i w:val="false"/>
          <w:color w:val="000000"/>
          <w:sz w:val="28"/>
        </w:rPr>
        <w:t>
      а) перечни приоритетных операций формируются отдельно по каждому направлению перемещения товаров;</w:t>
      </w:r>
      <w:r>
        <w:br/>
      </w:r>
      <w:r>
        <w:rPr>
          <w:rFonts w:ascii="Times New Roman"/>
          <w:b w:val="false"/>
          <w:i w:val="false"/>
          <w:color w:val="000000"/>
          <w:sz w:val="28"/>
        </w:rPr>
        <w:t>
      б) в каждый перечень приоритетных операций включаются не менее 2 взаимосвязанных между собой операций из каждого тематического блока примерного перечня бизнес-процессов;</w:t>
      </w:r>
      <w:r>
        <w:br/>
      </w:r>
      <w:r>
        <w:rPr>
          <w:rFonts w:ascii="Times New Roman"/>
          <w:b w:val="false"/>
          <w:i w:val="false"/>
          <w:color w:val="000000"/>
          <w:sz w:val="28"/>
        </w:rPr>
        <w:t>
      в) выбор приоритетных операций осуществляется исходя из:</w:t>
      </w:r>
      <w:r>
        <w:br/>
      </w:r>
      <w:r>
        <w:rPr>
          <w:rFonts w:ascii="Times New Roman"/>
          <w:b w:val="false"/>
          <w:i w:val="false"/>
          <w:color w:val="000000"/>
          <w:sz w:val="28"/>
        </w:rPr>
        <w:t>
      стратегического значения для экономики государства-члена;</w:t>
      </w:r>
      <w:r>
        <w:br/>
      </w:r>
      <w:r>
        <w:rPr>
          <w:rFonts w:ascii="Times New Roman"/>
          <w:b w:val="false"/>
          <w:i w:val="false"/>
          <w:color w:val="000000"/>
          <w:sz w:val="28"/>
        </w:rPr>
        <w:t>
      частоты применения операций во внешнеэкономической деятельности (например, регистрация внешнеторгового договора (контракта), получение лицензии на ввоз или вывоз товаров, сертификация, страхование, транспортировка груза, доставка товаров, временное хранение, таможенное декларирование и др.);</w:t>
      </w:r>
      <w:r>
        <w:br/>
      </w:r>
      <w:r>
        <w:rPr>
          <w:rFonts w:ascii="Times New Roman"/>
          <w:b w:val="false"/>
          <w:i w:val="false"/>
          <w:color w:val="000000"/>
          <w:sz w:val="28"/>
        </w:rPr>
        <w:t>
      необходимости выявления административных барьеров и определения «узких мест» при переходе от документов на бумажном носителе к электронным документам.</w:t>
      </w:r>
      <w:r>
        <w:br/>
      </w:r>
      <w:r>
        <w:rPr>
          <w:rFonts w:ascii="Times New Roman"/>
          <w:b w:val="false"/>
          <w:i w:val="false"/>
          <w:color w:val="000000"/>
          <w:sz w:val="28"/>
        </w:rPr>
        <w:t>
      Анализ технологической основы проводится отдельно по каждому направлению перемещения товаров в соответствии с перечнем приоритетных операций.</w:t>
      </w:r>
      <w:r>
        <w:br/>
      </w:r>
      <w:r>
        <w:rPr>
          <w:rFonts w:ascii="Times New Roman"/>
          <w:b w:val="false"/>
          <w:i w:val="false"/>
          <w:color w:val="000000"/>
          <w:sz w:val="28"/>
        </w:rPr>
        <w:t>
</w:t>
      </w:r>
      <w:r>
        <w:rPr>
          <w:rFonts w:ascii="Times New Roman"/>
          <w:b w:val="false"/>
          <w:i w:val="false"/>
          <w:color w:val="000000"/>
          <w:sz w:val="28"/>
        </w:rPr>
        <w:t>
      32. Для анализа состояния развития национальных механизмов «единого окна» и получения сопоставимых данных используются результаты анализа технологической основы только по приоритетным операциям.</w:t>
      </w:r>
      <w:r>
        <w:br/>
      </w:r>
      <w:r>
        <w:rPr>
          <w:rFonts w:ascii="Times New Roman"/>
          <w:b w:val="false"/>
          <w:i w:val="false"/>
          <w:color w:val="000000"/>
          <w:sz w:val="28"/>
        </w:rPr>
        <w:t>
      Операции, не включенные в перечни приоритетных операций, могут исследоваться участниками анализа в соответствии с настоящей Методикой самостоятельно в рамках проводимых в государствах-членах мероприятий по совершенствованию системы регулирования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33. При проведении анализа технологической основы участники анализа описывают бизнес-процессы (как они реализуются в настоящее время) в порядке, предусмотренном настоящим разделом, и формируют отчет по результатам анализа.</w:t>
      </w:r>
      <w:r>
        <w:br/>
      </w:r>
      <w:r>
        <w:rPr>
          <w:rFonts w:ascii="Times New Roman"/>
          <w:b w:val="false"/>
          <w:i w:val="false"/>
          <w:color w:val="000000"/>
          <w:sz w:val="28"/>
        </w:rPr>
        <w:t>
      Описание существующего бизнес-процесса должно быть четким, ясным, лаконичным, позволяющим наглядно и доступно в текстовом, табличном и графическом виде отобразить все совершаемые в рамках описываемого бизнес-процесса действия, их последовательность и взаимосвязь друг с другом, а также включать информацию о среде и условиях реализации данного бизнес-процесса, в том числе информацию о субъектах, исходных ресурсах и результатах каждого действия, критериях начала и завершения бизнес-процесса, степени и уровне его автоматизации, количественные и другие показатели.</w:t>
      </w:r>
      <w:r>
        <w:br/>
      </w:r>
      <w:r>
        <w:rPr>
          <w:rFonts w:ascii="Times New Roman"/>
          <w:b w:val="false"/>
          <w:i w:val="false"/>
          <w:color w:val="000000"/>
          <w:sz w:val="28"/>
        </w:rPr>
        <w:t>
      В дополнение к указанному описанию прилагаются списки выявленных административных барьеров и «узких мест», а также предложения по оптимизации и автоматизации бизнес-процессов.</w:t>
      </w:r>
      <w:r>
        <w:br/>
      </w:r>
      <w:r>
        <w:rPr>
          <w:rFonts w:ascii="Times New Roman"/>
          <w:b w:val="false"/>
          <w:i w:val="false"/>
          <w:color w:val="000000"/>
          <w:sz w:val="28"/>
        </w:rPr>
        <w:t>
</w:t>
      </w:r>
      <w:r>
        <w:rPr>
          <w:rFonts w:ascii="Times New Roman"/>
          <w:b w:val="false"/>
          <w:i w:val="false"/>
          <w:color w:val="000000"/>
          <w:sz w:val="28"/>
        </w:rPr>
        <w:t>
      34. Описание существующих бизнес-процессов осуществляется поэтапно:</w:t>
      </w:r>
      <w:r>
        <w:br/>
      </w:r>
      <w:r>
        <w:rPr>
          <w:rFonts w:ascii="Times New Roman"/>
          <w:b w:val="false"/>
          <w:i w:val="false"/>
          <w:color w:val="000000"/>
          <w:sz w:val="28"/>
        </w:rPr>
        <w:t>
      а) определение критериев и рамок проводимого анализа;</w:t>
      </w:r>
      <w:r>
        <w:br/>
      </w:r>
      <w:r>
        <w:rPr>
          <w:rFonts w:ascii="Times New Roman"/>
          <w:b w:val="false"/>
          <w:i w:val="false"/>
          <w:color w:val="000000"/>
          <w:sz w:val="28"/>
        </w:rPr>
        <w:t>
      б) сбор справочной информации о бизнес-процессах;</w:t>
      </w:r>
      <w:r>
        <w:br/>
      </w:r>
      <w:r>
        <w:rPr>
          <w:rFonts w:ascii="Times New Roman"/>
          <w:b w:val="false"/>
          <w:i w:val="false"/>
          <w:color w:val="000000"/>
          <w:sz w:val="28"/>
        </w:rPr>
        <w:t>
      в) заполнение карточек и графическое моделирование бизнес-процессов;</w:t>
      </w:r>
      <w:r>
        <w:br/>
      </w:r>
      <w:r>
        <w:rPr>
          <w:rFonts w:ascii="Times New Roman"/>
          <w:b w:val="false"/>
          <w:i w:val="false"/>
          <w:color w:val="000000"/>
          <w:sz w:val="28"/>
        </w:rPr>
        <w:t>
      г) оценка существующих бизнес-процессов, выявление административных барьеров, определение «узких мест» и подготовка предложений по оптимизации и автоматизации бизнес-процессов.</w:t>
      </w:r>
      <w:r>
        <w:br/>
      </w:r>
      <w:r>
        <w:rPr>
          <w:rFonts w:ascii="Times New Roman"/>
          <w:b w:val="false"/>
          <w:i w:val="false"/>
          <w:color w:val="000000"/>
          <w:sz w:val="28"/>
        </w:rPr>
        <w:t>
</w:t>
      </w:r>
      <w:r>
        <w:rPr>
          <w:rFonts w:ascii="Times New Roman"/>
          <w:b w:val="false"/>
          <w:i w:val="false"/>
          <w:color w:val="000000"/>
          <w:sz w:val="28"/>
        </w:rPr>
        <w:t>
      35. Основными критериями проведения анализа технологической основы являются:</w:t>
      </w:r>
      <w:r>
        <w:br/>
      </w:r>
      <w:r>
        <w:rPr>
          <w:rFonts w:ascii="Times New Roman"/>
          <w:b w:val="false"/>
          <w:i w:val="false"/>
          <w:color w:val="000000"/>
          <w:sz w:val="28"/>
        </w:rPr>
        <w:t>
      а) выбор товара (по одному товару отдельно для каждого направления перемещения товаров);</w:t>
      </w:r>
      <w:r>
        <w:br/>
      </w:r>
      <w:r>
        <w:rPr>
          <w:rFonts w:ascii="Times New Roman"/>
          <w:b w:val="false"/>
          <w:i w:val="false"/>
          <w:color w:val="000000"/>
          <w:sz w:val="28"/>
        </w:rPr>
        <w:t>
      б) определение страны назначения (при вывозе товара с таможенной территории Союза);</w:t>
      </w:r>
      <w:r>
        <w:br/>
      </w:r>
      <w:r>
        <w:rPr>
          <w:rFonts w:ascii="Times New Roman"/>
          <w:b w:val="false"/>
          <w:i w:val="false"/>
          <w:color w:val="000000"/>
          <w:sz w:val="28"/>
        </w:rPr>
        <w:t>
      в) определение страны отправления (при ввозе товара на таможенную территорию Союза);</w:t>
      </w:r>
      <w:r>
        <w:br/>
      </w:r>
      <w:r>
        <w:rPr>
          <w:rFonts w:ascii="Times New Roman"/>
          <w:b w:val="false"/>
          <w:i w:val="false"/>
          <w:color w:val="000000"/>
          <w:sz w:val="28"/>
        </w:rPr>
        <w:t>
      г) определение страны отправления и страны назначения (при транзите товара по таможенной территории Союза);</w:t>
      </w:r>
      <w:r>
        <w:br/>
      </w:r>
      <w:r>
        <w:rPr>
          <w:rFonts w:ascii="Times New Roman"/>
          <w:b w:val="false"/>
          <w:i w:val="false"/>
          <w:color w:val="000000"/>
          <w:sz w:val="28"/>
        </w:rPr>
        <w:t>
      д) выбор вида транспорта, на котором осуществляется перемещение товара;</w:t>
      </w:r>
      <w:r>
        <w:br/>
      </w:r>
      <w:r>
        <w:rPr>
          <w:rFonts w:ascii="Times New Roman"/>
          <w:b w:val="false"/>
          <w:i w:val="false"/>
          <w:color w:val="000000"/>
          <w:sz w:val="28"/>
        </w:rPr>
        <w:t>
      е) определение условий поставки товара;</w:t>
      </w:r>
      <w:r>
        <w:br/>
      </w:r>
      <w:r>
        <w:rPr>
          <w:rFonts w:ascii="Times New Roman"/>
          <w:b w:val="false"/>
          <w:i w:val="false"/>
          <w:color w:val="000000"/>
          <w:sz w:val="28"/>
        </w:rPr>
        <w:t>
      ж) определение условий оплаты товара;</w:t>
      </w:r>
      <w:r>
        <w:br/>
      </w:r>
      <w:r>
        <w:rPr>
          <w:rFonts w:ascii="Times New Roman"/>
          <w:b w:val="false"/>
          <w:i w:val="false"/>
          <w:color w:val="000000"/>
          <w:sz w:val="28"/>
        </w:rPr>
        <w:t>
      з) определение перечня приоритетных операций.</w:t>
      </w:r>
      <w:r>
        <w:br/>
      </w:r>
      <w:r>
        <w:rPr>
          <w:rFonts w:ascii="Times New Roman"/>
          <w:b w:val="false"/>
          <w:i w:val="false"/>
          <w:color w:val="000000"/>
          <w:sz w:val="28"/>
        </w:rPr>
        <w:t>
</w:t>
      </w:r>
      <w:r>
        <w:rPr>
          <w:rFonts w:ascii="Times New Roman"/>
          <w:b w:val="false"/>
          <w:i w:val="false"/>
          <w:color w:val="000000"/>
          <w:sz w:val="28"/>
        </w:rPr>
        <w:t>
      36. Дополнительные критерии, необходимые для проведения анализа технологической основы, определяются участниками анализа самостоятельно. Выбор товара для каждого направления перемещения осуществляется участниками анализа на основе следующих критериев:</w:t>
      </w:r>
      <w:r>
        <w:br/>
      </w:r>
      <w:r>
        <w:rPr>
          <w:rFonts w:ascii="Times New Roman"/>
          <w:b w:val="false"/>
          <w:i w:val="false"/>
          <w:color w:val="000000"/>
          <w:sz w:val="28"/>
        </w:rPr>
        <w:t>
      а) стратегическое значение товара для экономики государства-члена;</w:t>
      </w:r>
      <w:r>
        <w:br/>
      </w:r>
      <w:r>
        <w:rPr>
          <w:rFonts w:ascii="Times New Roman"/>
          <w:b w:val="false"/>
          <w:i w:val="false"/>
          <w:color w:val="000000"/>
          <w:sz w:val="28"/>
        </w:rPr>
        <w:t>
      б) интенсивность конкуренции;</w:t>
      </w:r>
      <w:r>
        <w:br/>
      </w:r>
      <w:r>
        <w:rPr>
          <w:rFonts w:ascii="Times New Roman"/>
          <w:b w:val="false"/>
          <w:i w:val="false"/>
          <w:color w:val="000000"/>
          <w:sz w:val="28"/>
        </w:rPr>
        <w:t>
      в) готовность лиц, выполняющих различные роли и функции в рамках анализируемого бизнес-процесса, принять участие в сборе справочной информации.</w:t>
      </w:r>
      <w:r>
        <w:br/>
      </w:r>
      <w:r>
        <w:rPr>
          <w:rFonts w:ascii="Times New Roman"/>
          <w:b w:val="false"/>
          <w:i w:val="false"/>
          <w:color w:val="000000"/>
          <w:sz w:val="28"/>
        </w:rPr>
        <w:t>
</w:t>
      </w:r>
      <w:r>
        <w:rPr>
          <w:rFonts w:ascii="Times New Roman"/>
          <w:b w:val="false"/>
          <w:i w:val="false"/>
          <w:color w:val="000000"/>
          <w:sz w:val="28"/>
        </w:rPr>
        <w:t>
      37. Для описания существующих бизнес-процессов сбор справочной информации осуществляется путем проведения опросов, организации собеседований, рабочих встреч, совещаний, консультаций по вопросам согласно </w:t>
      </w:r>
      <w:r>
        <w:rPr>
          <w:rFonts w:ascii="Times New Roman"/>
          <w:b w:val="false"/>
          <w:i w:val="false"/>
          <w:color w:val="000000"/>
          <w:sz w:val="28"/>
        </w:rPr>
        <w:t>приложению № 4</w:t>
      </w:r>
      <w:r>
        <w:rPr>
          <w:rFonts w:ascii="Times New Roman"/>
          <w:b w:val="false"/>
          <w:i w:val="false"/>
          <w:color w:val="000000"/>
          <w:sz w:val="28"/>
        </w:rPr>
        <w:t xml:space="preserve"> с широким кругом лиц, выполняющих различные роли и функции в рамках анализируемого бизнес-процесса.</w:t>
      </w:r>
      <w:r>
        <w:br/>
      </w:r>
      <w:r>
        <w:rPr>
          <w:rFonts w:ascii="Times New Roman"/>
          <w:b w:val="false"/>
          <w:i w:val="false"/>
          <w:color w:val="000000"/>
          <w:sz w:val="28"/>
        </w:rPr>
        <w:t>
      При этом под широким кругом лиц понимаются представители малого, среднего и крупного бизнеса, в том числе лица, оказывающие транспортные, логистические, финансовые (банковские, страховые) услуги, услуги в сфере таможенного дела, а также должностные лица государственных органов и (или) уполномоченных организаций государств-членов, которые позволяют увидеть один и тот же бизнес-процесс с разных точек зрения.</w:t>
      </w:r>
      <w:r>
        <w:br/>
      </w:r>
      <w:r>
        <w:rPr>
          <w:rFonts w:ascii="Times New Roman"/>
          <w:b w:val="false"/>
          <w:i w:val="false"/>
          <w:color w:val="000000"/>
          <w:sz w:val="28"/>
        </w:rPr>
        <w:t>
</w:t>
      </w:r>
      <w:r>
        <w:rPr>
          <w:rFonts w:ascii="Times New Roman"/>
          <w:b w:val="false"/>
          <w:i w:val="false"/>
          <w:color w:val="000000"/>
          <w:sz w:val="28"/>
        </w:rPr>
        <w:t>
      38. Участники анализа при описании существующих</w:t>
      </w:r>
      <w:r>
        <w:br/>
      </w:r>
      <w:r>
        <w:rPr>
          <w:rFonts w:ascii="Times New Roman"/>
          <w:b w:val="false"/>
          <w:i w:val="false"/>
          <w:color w:val="000000"/>
          <w:sz w:val="28"/>
        </w:rPr>
        <w:t>
бизнес-процессов с использованием полученной информации:</w:t>
      </w:r>
      <w:r>
        <w:br/>
      </w:r>
      <w:r>
        <w:rPr>
          <w:rFonts w:ascii="Times New Roman"/>
          <w:b w:val="false"/>
          <w:i w:val="false"/>
          <w:color w:val="000000"/>
          <w:sz w:val="28"/>
        </w:rPr>
        <w:t>
      строят диаграмму прецедентов;</w:t>
      </w:r>
      <w:r>
        <w:br/>
      </w:r>
      <w:r>
        <w:rPr>
          <w:rFonts w:ascii="Times New Roman"/>
          <w:b w:val="false"/>
          <w:i w:val="false"/>
          <w:color w:val="000000"/>
          <w:sz w:val="28"/>
        </w:rPr>
        <w:t>
      разрабатывают схемы действий;</w:t>
      </w:r>
      <w:r>
        <w:br/>
      </w:r>
      <w:r>
        <w:rPr>
          <w:rFonts w:ascii="Times New Roman"/>
          <w:b w:val="false"/>
          <w:i w:val="false"/>
          <w:color w:val="000000"/>
          <w:sz w:val="28"/>
        </w:rPr>
        <w:t>
      заполняют карточки бизнес-процессов;</w:t>
      </w:r>
      <w:r>
        <w:br/>
      </w:r>
      <w:r>
        <w:rPr>
          <w:rFonts w:ascii="Times New Roman"/>
          <w:b w:val="false"/>
          <w:i w:val="false"/>
          <w:color w:val="000000"/>
          <w:sz w:val="28"/>
        </w:rPr>
        <w:t>
      составляют графики временных и финансовых затрат.</w:t>
      </w:r>
      <w:r>
        <w:br/>
      </w:r>
      <w:r>
        <w:rPr>
          <w:rFonts w:ascii="Times New Roman"/>
          <w:b w:val="false"/>
          <w:i w:val="false"/>
          <w:color w:val="000000"/>
          <w:sz w:val="28"/>
        </w:rPr>
        <w:t>
      Указанные действия осуществляются в соответствии с алгоритмом согласно </w:t>
      </w:r>
      <w:r>
        <w:rPr>
          <w:rFonts w:ascii="Times New Roman"/>
          <w:b w:val="false"/>
          <w:i w:val="false"/>
          <w:color w:val="000000"/>
          <w:sz w:val="28"/>
        </w:rPr>
        <w:t>приложению № 5</w:t>
      </w:r>
      <w:r>
        <w:rPr>
          <w:rFonts w:ascii="Times New Roman"/>
          <w:b w:val="false"/>
          <w:i w:val="false"/>
          <w:color w:val="000000"/>
          <w:sz w:val="28"/>
        </w:rPr>
        <w:t>.</w:t>
      </w:r>
      <w:r>
        <w:br/>
      </w:r>
      <w:r>
        <w:rPr>
          <w:rFonts w:ascii="Times New Roman"/>
          <w:b w:val="false"/>
          <w:i w:val="false"/>
          <w:color w:val="000000"/>
          <w:sz w:val="28"/>
        </w:rPr>
        <w:t>
      При построении диаграммы прецедентов и схем действий рекомендуется использовать унифицированный язык моделирования UML (Unified Modeling Language) для визуализации существующих бизнес-процессов, а также руководствоваться требованиями к графической нотации, используемой для оформления технологических документов общего процесса, приведенными в </w:t>
      </w:r>
      <w:r>
        <w:rPr>
          <w:rFonts w:ascii="Times New Roman"/>
          <w:b w:val="false"/>
          <w:i w:val="false"/>
          <w:color w:val="000000"/>
          <w:sz w:val="28"/>
        </w:rPr>
        <w:t>приложении № 5</w:t>
      </w:r>
      <w:r>
        <w:rPr>
          <w:rFonts w:ascii="Times New Roman"/>
          <w:b w:val="false"/>
          <w:i w:val="false"/>
          <w:color w:val="000000"/>
          <w:sz w:val="28"/>
        </w:rPr>
        <w:t xml:space="preserve"> к Методике по общим процессам, и примерами, указанными в Руководстве по анализу бизнес-процессов для упрощения торговых процедур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39. Диаграмма прецедентов обеспечивает графическое представление бизнес-процессов, которые подлежат детальному анализу. В такой диаграмме указываются все анализируемые бизнес-процессы, лица, выполняющие различные роли и функции в рамках этих бизнес-процессов, и фактические связи между бизнес-процессами и участвующими лицами.</w:t>
      </w:r>
      <w:r>
        <w:br/>
      </w:r>
      <w:r>
        <w:rPr>
          <w:rFonts w:ascii="Times New Roman"/>
          <w:b w:val="false"/>
          <w:i w:val="false"/>
          <w:color w:val="000000"/>
          <w:sz w:val="28"/>
        </w:rPr>
        <w:t>
      Диаграмма прецедентов показывает рамки проводимого анализа. Такая диаграмма строится участниками анализа только в отношении приоритетных операций.</w:t>
      </w:r>
      <w:r>
        <w:br/>
      </w:r>
      <w:r>
        <w:rPr>
          <w:rFonts w:ascii="Times New Roman"/>
          <w:b w:val="false"/>
          <w:i w:val="false"/>
          <w:color w:val="000000"/>
          <w:sz w:val="28"/>
        </w:rPr>
        <w:t>
</w:t>
      </w:r>
      <w:r>
        <w:rPr>
          <w:rFonts w:ascii="Times New Roman"/>
          <w:b w:val="false"/>
          <w:i w:val="false"/>
          <w:color w:val="000000"/>
          <w:sz w:val="28"/>
        </w:rPr>
        <w:t>
      40. Схема действий подробно отображает каждый бизнес-процесс, указанный в диаграмме прецедентов. Схема действий визуализирует последовательность совершаемых операций, подробно отображает потоки информации и (или) документов между заинтересованными лицами, государственными органами и (или) уполномоченными организациями государств-членов.</w:t>
      </w:r>
      <w:r>
        <w:br/>
      </w:r>
      <w:r>
        <w:rPr>
          <w:rFonts w:ascii="Times New Roman"/>
          <w:b w:val="false"/>
          <w:i w:val="false"/>
          <w:color w:val="000000"/>
          <w:sz w:val="28"/>
        </w:rPr>
        <w:t>
      Визуализация помогает участникам анализа формулировать идеи и логическую последовательность операций.</w:t>
      </w:r>
      <w:r>
        <w:br/>
      </w:r>
      <w:r>
        <w:rPr>
          <w:rFonts w:ascii="Times New Roman"/>
          <w:b w:val="false"/>
          <w:i w:val="false"/>
          <w:color w:val="000000"/>
          <w:sz w:val="28"/>
        </w:rPr>
        <w:t>
      Схема действий создается участниками анализа отдельно на каждую приоритетную операцию, включенную в диаграмму прецедентов. В процессе построения схемы действий могут возникать различные вопросы, которые рекомендуется фиксировать и впоследствии использовать при проведении собеседований, рабочих встреч, совещаний, консультаций с широким кругом лиц.</w:t>
      </w:r>
      <w:r>
        <w:br/>
      </w:r>
      <w:r>
        <w:rPr>
          <w:rFonts w:ascii="Times New Roman"/>
          <w:b w:val="false"/>
          <w:i w:val="false"/>
          <w:color w:val="000000"/>
          <w:sz w:val="28"/>
        </w:rPr>
        <w:t>
      Схема действий отображает начало осуществления приоритетной операции, документы, представляемые в рамках данной операции, ряд последовательных действий ее участников, а также завершение приоритетной операции.</w:t>
      </w:r>
      <w:r>
        <w:br/>
      </w:r>
      <w:r>
        <w:rPr>
          <w:rFonts w:ascii="Times New Roman"/>
          <w:b w:val="false"/>
          <w:i w:val="false"/>
          <w:color w:val="000000"/>
          <w:sz w:val="28"/>
        </w:rPr>
        <w:t>
</w:t>
      </w:r>
      <w:r>
        <w:rPr>
          <w:rFonts w:ascii="Times New Roman"/>
          <w:b w:val="false"/>
          <w:i w:val="false"/>
          <w:color w:val="000000"/>
          <w:sz w:val="28"/>
        </w:rPr>
        <w:t>
      41. Карточка бизнес-процесса является основным документом, характеризующим бизнес-процесс и отображающим практические аспекты бизнес-процесса и каждое действие, указанное в схеме действий.</w:t>
      </w:r>
      <w:r>
        <w:br/>
      </w:r>
      <w:r>
        <w:rPr>
          <w:rFonts w:ascii="Times New Roman"/>
          <w:b w:val="false"/>
          <w:i w:val="false"/>
          <w:color w:val="000000"/>
          <w:sz w:val="28"/>
        </w:rPr>
        <w:t>
      Карточка бизнес-процесса включает в себя следующие структурные элементы:</w:t>
      </w:r>
      <w:r>
        <w:br/>
      </w:r>
      <w:r>
        <w:rPr>
          <w:rFonts w:ascii="Times New Roman"/>
          <w:b w:val="false"/>
          <w:i w:val="false"/>
          <w:color w:val="000000"/>
          <w:sz w:val="28"/>
        </w:rPr>
        <w:t>
      сфера регулирования (указываются наименования тематического блока и области внешнеэкономической деятельности, к которой принадлежит анализируемая операция);</w:t>
      </w:r>
      <w:r>
        <w:br/>
      </w:r>
      <w:r>
        <w:rPr>
          <w:rFonts w:ascii="Times New Roman"/>
          <w:b w:val="false"/>
          <w:i w:val="false"/>
          <w:color w:val="000000"/>
          <w:sz w:val="28"/>
        </w:rPr>
        <w:t>
      вид взаимодействия (указывается один из видов информационного взаимодействия (B2B, B2G/G2B или G2G));</w:t>
      </w:r>
      <w:r>
        <w:br/>
      </w:r>
      <w:r>
        <w:rPr>
          <w:rFonts w:ascii="Times New Roman"/>
          <w:b w:val="false"/>
          <w:i w:val="false"/>
          <w:color w:val="000000"/>
          <w:sz w:val="28"/>
        </w:rPr>
        <w:t>
      наименование бизнес-процесса (указывается наименование анализируемой операции в именительном падеже);</w:t>
      </w:r>
      <w:r>
        <w:br/>
      </w:r>
      <w:r>
        <w:rPr>
          <w:rFonts w:ascii="Times New Roman"/>
          <w:b w:val="false"/>
          <w:i w:val="false"/>
          <w:color w:val="000000"/>
          <w:sz w:val="28"/>
        </w:rPr>
        <w:t>
      акты, в том числе правила и инструкции (указываются реквизиты акта (актов) (наименование, дата принятия и регистрационный номер, в том числе в органах юстиции, орган, принявший данный акт), в соответствии с которым регламентирована анализируемая операция);</w:t>
      </w:r>
      <w:r>
        <w:br/>
      </w:r>
      <w:r>
        <w:rPr>
          <w:rFonts w:ascii="Times New Roman"/>
          <w:b w:val="false"/>
          <w:i w:val="false"/>
          <w:color w:val="000000"/>
          <w:sz w:val="28"/>
        </w:rPr>
        <w:t>
      участники (указываются заинтересованные лица, государственные органы и (или) уполномоченные организации государства-члена, ответственные за выполнение определенных действий в рамках анализируемой операции);</w:t>
      </w:r>
      <w:r>
        <w:br/>
      </w:r>
      <w:r>
        <w:rPr>
          <w:rFonts w:ascii="Times New Roman"/>
          <w:b w:val="false"/>
          <w:i w:val="false"/>
          <w:color w:val="000000"/>
          <w:sz w:val="28"/>
        </w:rPr>
        <w:t>
      исходные ресурсы и критерии начала бизнес-процесса (указывается информация о действиях, непосредственно предшествующих началу данного бизнес-процесса);</w:t>
      </w:r>
      <w:r>
        <w:br/>
      </w:r>
      <w:r>
        <w:rPr>
          <w:rFonts w:ascii="Times New Roman"/>
          <w:b w:val="false"/>
          <w:i w:val="false"/>
          <w:color w:val="000000"/>
          <w:sz w:val="28"/>
        </w:rPr>
        <w:t>
      действия и связанные с ними документы (описывается последовательность действий, выполняемых участниками</w:t>
      </w:r>
      <w:r>
        <w:br/>
      </w:r>
      <w:r>
        <w:rPr>
          <w:rFonts w:ascii="Times New Roman"/>
          <w:b w:val="false"/>
          <w:i w:val="false"/>
          <w:color w:val="000000"/>
          <w:sz w:val="28"/>
        </w:rPr>
        <w:t>
бизнес-процесса, и перечисляются используемые в ходе совершения этих действий документы и содержащиеся в них сведения);</w:t>
      </w:r>
      <w:r>
        <w:br/>
      </w:r>
      <w:r>
        <w:rPr>
          <w:rFonts w:ascii="Times New Roman"/>
          <w:b w:val="false"/>
          <w:i w:val="false"/>
          <w:color w:val="000000"/>
          <w:sz w:val="28"/>
        </w:rPr>
        <w:t>
      результат и критерии завершения бизнес-процесса (указывается информация о завершении бизнес-процесса (конечный результат));</w:t>
      </w:r>
      <w:r>
        <w:br/>
      </w:r>
      <w:r>
        <w:rPr>
          <w:rFonts w:ascii="Times New Roman"/>
          <w:b w:val="false"/>
          <w:i w:val="false"/>
          <w:color w:val="000000"/>
          <w:sz w:val="28"/>
        </w:rPr>
        <w:t>
      наименование документа, выданного после завершения бизнес-процесса (указывается наименование документа, оформляемого по завершении бизнес-процесса);</w:t>
      </w:r>
      <w:r>
        <w:br/>
      </w:r>
      <w:r>
        <w:rPr>
          <w:rFonts w:ascii="Times New Roman"/>
          <w:b w:val="false"/>
          <w:i w:val="false"/>
          <w:color w:val="000000"/>
          <w:sz w:val="28"/>
        </w:rPr>
        <w:t>
      набор сведений в выданном документе (приводится перечень сведений, содержащихся в документе, оформленном по завершении бизнес-процесса);</w:t>
      </w:r>
      <w:r>
        <w:br/>
      </w:r>
      <w:r>
        <w:rPr>
          <w:rFonts w:ascii="Times New Roman"/>
          <w:b w:val="false"/>
          <w:i w:val="false"/>
          <w:color w:val="000000"/>
          <w:sz w:val="28"/>
        </w:rPr>
        <w:t>
      время, необходимое для завершения бизнес-процесса (указывается предельное время, необходимое для завершения бизнес-процесса);</w:t>
      </w:r>
      <w:r>
        <w:br/>
      </w:r>
      <w:r>
        <w:rPr>
          <w:rFonts w:ascii="Times New Roman"/>
          <w:b w:val="false"/>
          <w:i w:val="false"/>
          <w:color w:val="000000"/>
          <w:sz w:val="28"/>
        </w:rPr>
        <w:t>
      способ передачи сведений (указываются один или несколько способов передачи сведений: на бумажном носителе, в электронном виде (электронный документ, электронный вид документа или сканированный документ));</w:t>
      </w:r>
      <w:r>
        <w:br/>
      </w:r>
      <w:r>
        <w:rPr>
          <w:rFonts w:ascii="Times New Roman"/>
          <w:b w:val="false"/>
          <w:i w:val="false"/>
          <w:color w:val="000000"/>
          <w:sz w:val="28"/>
        </w:rPr>
        <w:t>
      автоматизация бизнес-процесса (указывается информация о степени и уровне автоматизации бизнес-процесса);</w:t>
      </w:r>
      <w:r>
        <w:br/>
      </w:r>
      <w:r>
        <w:rPr>
          <w:rFonts w:ascii="Times New Roman"/>
          <w:b w:val="false"/>
          <w:i w:val="false"/>
          <w:color w:val="000000"/>
          <w:sz w:val="28"/>
        </w:rPr>
        <w:t>
      финансовые затраты (указывается информация о финансовых затратах, необходимых для осуществления бизнес-процесса);</w:t>
      </w:r>
      <w:r>
        <w:br/>
      </w:r>
      <w:r>
        <w:rPr>
          <w:rFonts w:ascii="Times New Roman"/>
          <w:b w:val="false"/>
          <w:i w:val="false"/>
          <w:color w:val="000000"/>
          <w:sz w:val="28"/>
        </w:rPr>
        <w:t>
      источники финансирования (указываются средства, за счет которых осуществляются расходы на получение (оказание) услуги);</w:t>
      </w:r>
      <w:r>
        <w:br/>
      </w:r>
      <w:r>
        <w:rPr>
          <w:rFonts w:ascii="Times New Roman"/>
          <w:b w:val="false"/>
          <w:i w:val="false"/>
          <w:color w:val="000000"/>
          <w:sz w:val="28"/>
        </w:rPr>
        <w:t>
      используемые информационные системы и программные средства (указываются сведения об информационных системах и программных средствах, используемых при получении (оказании) услуги);</w:t>
      </w:r>
      <w:r>
        <w:br/>
      </w:r>
      <w:r>
        <w:rPr>
          <w:rFonts w:ascii="Times New Roman"/>
          <w:b w:val="false"/>
          <w:i w:val="false"/>
          <w:color w:val="000000"/>
          <w:sz w:val="28"/>
        </w:rPr>
        <w:t>
      показатели и индикаторы, характеризующие бизнес-процесс (указываются показатели и индикаторы, установленные в отношении бизнес-процесса);</w:t>
      </w:r>
      <w:r>
        <w:br/>
      </w:r>
      <w:r>
        <w:rPr>
          <w:rFonts w:ascii="Times New Roman"/>
          <w:b w:val="false"/>
          <w:i w:val="false"/>
          <w:color w:val="000000"/>
          <w:sz w:val="28"/>
        </w:rPr>
        <w:t>
      акты, в которых определены показатели и индикаторы оценки бизнес-процесса (указываются реквизиты акта (актов) (наименование, дата принятия и регистрационный номер, в том числе в органах юстиции, орган, принявший данный акт), в соответствии с которым определены показатели и индикаторы оценки бизнес-процесса).</w:t>
      </w:r>
      <w:r>
        <w:br/>
      </w:r>
      <w:r>
        <w:rPr>
          <w:rFonts w:ascii="Times New Roman"/>
          <w:b w:val="false"/>
          <w:i w:val="false"/>
          <w:color w:val="000000"/>
          <w:sz w:val="28"/>
        </w:rPr>
        <w:t>
      Карточка бизнес-процесса заполняется участниками анализа на каждую приоритетную операцию исходя из сформированной схемы действий.</w:t>
      </w:r>
      <w:r>
        <w:br/>
      </w:r>
      <w:r>
        <w:rPr>
          <w:rFonts w:ascii="Times New Roman"/>
          <w:b w:val="false"/>
          <w:i w:val="false"/>
          <w:color w:val="000000"/>
          <w:sz w:val="28"/>
        </w:rPr>
        <w:t>
</w:t>
      </w:r>
      <w:r>
        <w:rPr>
          <w:rFonts w:ascii="Times New Roman"/>
          <w:b w:val="false"/>
          <w:i w:val="false"/>
          <w:color w:val="000000"/>
          <w:sz w:val="28"/>
        </w:rPr>
        <w:t>
      42. График временных затрат имеет вид вертикальной диаграммы Ганта и строится на основе данных, содержащихся в диаграмме прецедентов, схемах действий и карточках бизнес-процессов. Указанный график отражает общее количество временных затрат от момента начала осуществления приоритетных операций до их завершения.</w:t>
      </w:r>
      <w:r>
        <w:br/>
      </w:r>
      <w:r>
        <w:rPr>
          <w:rFonts w:ascii="Times New Roman"/>
          <w:b w:val="false"/>
          <w:i w:val="false"/>
          <w:color w:val="000000"/>
          <w:sz w:val="28"/>
        </w:rPr>
        <w:t>
</w:t>
      </w:r>
      <w:r>
        <w:rPr>
          <w:rFonts w:ascii="Times New Roman"/>
          <w:b w:val="false"/>
          <w:i w:val="false"/>
          <w:color w:val="000000"/>
          <w:sz w:val="28"/>
        </w:rPr>
        <w:t>
      43. График финансовых затрат имеет вид вертикальной диаграммы Ганта и строится участниками анализа на основе данных, содержащихся в диаграмме прецедентов, схемах действий и карточках бизнес-процессов. Указанный график отражает общую сумму денежных затрат от момента начала осуществления приоритетных операций до их завершения.</w:t>
      </w:r>
      <w:r>
        <w:br/>
      </w:r>
      <w:r>
        <w:rPr>
          <w:rFonts w:ascii="Times New Roman"/>
          <w:b w:val="false"/>
          <w:i w:val="false"/>
          <w:color w:val="000000"/>
          <w:sz w:val="28"/>
        </w:rPr>
        <w:t>
</w:t>
      </w:r>
      <w:r>
        <w:rPr>
          <w:rFonts w:ascii="Times New Roman"/>
          <w:b w:val="false"/>
          <w:i w:val="false"/>
          <w:color w:val="000000"/>
          <w:sz w:val="28"/>
        </w:rPr>
        <w:t>
      44. По каждому бизнес-процессу проводится оценка на предмет степени и уровня его автоматизации, выявляются административные барьеры и «узкие места» при переходе от документов на бумажном носителе к электронным документам, а также формируется отчет по результатам проведенного анализа, содержащий предложения по оптимизации приоритетных бизнес-процессов.</w:t>
      </w:r>
      <w:r>
        <w:br/>
      </w:r>
      <w:r>
        <w:rPr>
          <w:rFonts w:ascii="Times New Roman"/>
          <w:b w:val="false"/>
          <w:i w:val="false"/>
          <w:color w:val="000000"/>
          <w:sz w:val="28"/>
        </w:rPr>
        <w:t>
</w:t>
      </w:r>
      <w:r>
        <w:rPr>
          <w:rFonts w:ascii="Times New Roman"/>
          <w:b w:val="false"/>
          <w:i w:val="false"/>
          <w:color w:val="000000"/>
          <w:sz w:val="28"/>
        </w:rPr>
        <w:t>
      45. Отчет об анализе технологической основы формируется согласно </w:t>
      </w:r>
      <w:r>
        <w:rPr>
          <w:rFonts w:ascii="Times New Roman"/>
          <w:b w:val="false"/>
          <w:i w:val="false"/>
          <w:color w:val="000000"/>
          <w:sz w:val="28"/>
        </w:rPr>
        <w:t>приложению № 6</w:t>
      </w:r>
      <w:r>
        <w:rPr>
          <w:rFonts w:ascii="Times New Roman"/>
          <w:b w:val="false"/>
          <w:i w:val="false"/>
          <w:color w:val="000000"/>
          <w:sz w:val="28"/>
        </w:rPr>
        <w:t xml:space="preserve"> и рекомендациям, указанным в </w:t>
      </w:r>
      <w:r>
        <w:rPr>
          <w:rFonts w:ascii="Times New Roman"/>
          <w:b w:val="false"/>
          <w:i w:val="false"/>
          <w:color w:val="000000"/>
          <w:sz w:val="28"/>
        </w:rPr>
        <w:t>разделе XII</w:t>
      </w:r>
      <w:r>
        <w:rPr>
          <w:rFonts w:ascii="Times New Roman"/>
          <w:b w:val="false"/>
          <w:i w:val="false"/>
          <w:color w:val="000000"/>
          <w:sz w:val="28"/>
        </w:rPr>
        <w:t xml:space="preserve"> настоящей Методики.</w:t>
      </w:r>
    </w:p>
    <w:bookmarkEnd w:id="22"/>
    <w:bookmarkStart w:name="z69" w:id="23"/>
    <w:p>
      <w:pPr>
        <w:spacing w:after="0"/>
        <w:ind w:left="0"/>
        <w:jc w:val="left"/>
      </w:pPr>
      <w:r>
        <w:rPr>
          <w:rFonts w:ascii="Times New Roman"/>
          <w:b/>
          <w:i w:val="false"/>
          <w:color w:val="000000"/>
        </w:rPr>
        <w:t xml:space="preserve"> 
XI. Порядок проведения анализа информационно-технической основы</w:t>
      </w:r>
    </w:p>
    <w:bookmarkEnd w:id="23"/>
    <w:bookmarkStart w:name="z70" w:id="24"/>
    <w:p>
      <w:pPr>
        <w:spacing w:after="0"/>
        <w:ind w:left="0"/>
        <w:jc w:val="both"/>
      </w:pPr>
      <w:r>
        <w:rPr>
          <w:rFonts w:ascii="Times New Roman"/>
          <w:b w:val="false"/>
          <w:i w:val="false"/>
          <w:color w:val="000000"/>
          <w:sz w:val="28"/>
        </w:rPr>
        <w:t>
      46. Анализ информационно-технической основы проводится в целях:</w:t>
      </w:r>
      <w:r>
        <w:br/>
      </w:r>
      <w:r>
        <w:rPr>
          <w:rFonts w:ascii="Times New Roman"/>
          <w:b w:val="false"/>
          <w:i w:val="false"/>
          <w:color w:val="000000"/>
          <w:sz w:val="28"/>
        </w:rPr>
        <w:t>
      а) определения степени реализации отдельных элементов национального механизма «единого окна» (экспресс-анализ);</w:t>
      </w:r>
      <w:r>
        <w:br/>
      </w:r>
      <w:r>
        <w:rPr>
          <w:rFonts w:ascii="Times New Roman"/>
          <w:b w:val="false"/>
          <w:i w:val="false"/>
          <w:color w:val="000000"/>
          <w:sz w:val="28"/>
        </w:rPr>
        <w:t>
      б) изучения национальных программ государств-членов по развитию локальных механизмов «единого окна» и последующего распространения накопленного положительного опыта в других государствах-членах;</w:t>
      </w:r>
      <w:r>
        <w:br/>
      </w:r>
      <w:r>
        <w:rPr>
          <w:rFonts w:ascii="Times New Roman"/>
          <w:b w:val="false"/>
          <w:i w:val="false"/>
          <w:color w:val="000000"/>
          <w:sz w:val="28"/>
        </w:rPr>
        <w:t>
      в) определения технической возможности создания в государствах-членах портала национального механизма «единого окна»;</w:t>
      </w:r>
      <w:r>
        <w:br/>
      </w:r>
      <w:r>
        <w:rPr>
          <w:rFonts w:ascii="Times New Roman"/>
          <w:b w:val="false"/>
          <w:i w:val="false"/>
          <w:color w:val="000000"/>
          <w:sz w:val="28"/>
        </w:rPr>
        <w:t>
      г) определения степени развития сервисов для упрощения процедур взаимодействия с использованием информационных технологий (система электронного правительства), а также степени развития сервисов межведомственного информационного взаимодействия;</w:t>
      </w:r>
      <w:r>
        <w:br/>
      </w:r>
      <w:r>
        <w:rPr>
          <w:rFonts w:ascii="Times New Roman"/>
          <w:b w:val="false"/>
          <w:i w:val="false"/>
          <w:color w:val="000000"/>
          <w:sz w:val="28"/>
        </w:rPr>
        <w:t>
      д) выработки предложений и рекомендаций по развитию информационно-технической основы национального механизма «единого окна».</w:t>
      </w:r>
      <w:r>
        <w:br/>
      </w:r>
      <w:r>
        <w:rPr>
          <w:rFonts w:ascii="Times New Roman"/>
          <w:b w:val="false"/>
          <w:i w:val="false"/>
          <w:color w:val="000000"/>
          <w:sz w:val="28"/>
        </w:rPr>
        <w:t>
</w:t>
      </w:r>
      <w:r>
        <w:rPr>
          <w:rFonts w:ascii="Times New Roman"/>
          <w:b w:val="false"/>
          <w:i w:val="false"/>
          <w:color w:val="000000"/>
          <w:sz w:val="28"/>
        </w:rPr>
        <w:t>
      47. При проведении анализа информационно-технической основы участники анализа используют формы опросных листов согласно </w:t>
      </w:r>
      <w:r>
        <w:rPr>
          <w:rFonts w:ascii="Times New Roman"/>
          <w:b w:val="false"/>
          <w:i w:val="false"/>
          <w:color w:val="000000"/>
          <w:sz w:val="28"/>
        </w:rPr>
        <w:t>приложению № 7</w:t>
      </w:r>
      <w:r>
        <w:rPr>
          <w:rFonts w:ascii="Times New Roman"/>
          <w:b w:val="false"/>
          <w:i w:val="false"/>
          <w:color w:val="000000"/>
          <w:sz w:val="28"/>
        </w:rPr>
        <w:t xml:space="preserve"> (далее в настоящем разделе – опросные листы).</w:t>
      </w:r>
      <w:r>
        <w:br/>
      </w:r>
      <w:r>
        <w:rPr>
          <w:rFonts w:ascii="Times New Roman"/>
          <w:b w:val="false"/>
          <w:i w:val="false"/>
          <w:color w:val="000000"/>
          <w:sz w:val="28"/>
        </w:rPr>
        <w:t>
</w:t>
      </w:r>
      <w:r>
        <w:rPr>
          <w:rFonts w:ascii="Times New Roman"/>
          <w:b w:val="false"/>
          <w:i w:val="false"/>
          <w:color w:val="000000"/>
          <w:sz w:val="28"/>
        </w:rPr>
        <w:t>
      48. Анализ информационно-технической основы включает в себя следующие этапы:</w:t>
      </w:r>
      <w:r>
        <w:br/>
      </w:r>
      <w:r>
        <w:rPr>
          <w:rFonts w:ascii="Times New Roman"/>
          <w:b w:val="false"/>
          <w:i w:val="false"/>
          <w:color w:val="000000"/>
          <w:sz w:val="28"/>
        </w:rPr>
        <w:t>
      а) сбор информации о реализованных, находящихся на стадии реализации, запланированных проектах по развитию отдельных элементов национального механизма «единого окна» (экспресс-анализ), а также о локальных механизмах «единого окна»;</w:t>
      </w:r>
      <w:r>
        <w:br/>
      </w:r>
      <w:r>
        <w:rPr>
          <w:rFonts w:ascii="Times New Roman"/>
          <w:b w:val="false"/>
          <w:i w:val="false"/>
          <w:color w:val="000000"/>
          <w:sz w:val="28"/>
        </w:rPr>
        <w:t>
      б) распределение собранного материала по вопросам, содержащимся в опросных листах;</w:t>
      </w:r>
      <w:r>
        <w:br/>
      </w:r>
      <w:r>
        <w:rPr>
          <w:rFonts w:ascii="Times New Roman"/>
          <w:b w:val="false"/>
          <w:i w:val="false"/>
          <w:color w:val="000000"/>
          <w:sz w:val="28"/>
        </w:rPr>
        <w:t>
      в) заполнение опросных листов (с указанием ссылок на акты);</w:t>
      </w:r>
      <w:r>
        <w:br/>
      </w:r>
      <w:r>
        <w:rPr>
          <w:rFonts w:ascii="Times New Roman"/>
          <w:b w:val="false"/>
          <w:i w:val="false"/>
          <w:color w:val="000000"/>
          <w:sz w:val="28"/>
        </w:rPr>
        <w:t>
      г) подготовка отчета по результатам анализа информационно-технической основы и направление его ответственному органу государства-члена.</w:t>
      </w:r>
      <w:r>
        <w:br/>
      </w:r>
      <w:r>
        <w:rPr>
          <w:rFonts w:ascii="Times New Roman"/>
          <w:b w:val="false"/>
          <w:i w:val="false"/>
          <w:color w:val="000000"/>
          <w:sz w:val="28"/>
        </w:rPr>
        <w:t>
</w:t>
      </w:r>
      <w:r>
        <w:rPr>
          <w:rFonts w:ascii="Times New Roman"/>
          <w:b w:val="false"/>
          <w:i w:val="false"/>
          <w:color w:val="000000"/>
          <w:sz w:val="28"/>
        </w:rPr>
        <w:t>
      49. Опросные листы заполняются участниками анализа в произвольной форме (примеры заполнения опросных листов приведены в </w:t>
      </w:r>
      <w:r>
        <w:rPr>
          <w:rFonts w:ascii="Times New Roman"/>
          <w:b w:val="false"/>
          <w:i w:val="false"/>
          <w:color w:val="000000"/>
          <w:sz w:val="28"/>
        </w:rPr>
        <w:t>приложении № 7</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Предложения по совершенствованию информационно-технической основы национального механизма «единого окна» приводятся в конце опросной формы (в соответствующем поле).</w:t>
      </w:r>
      <w:r>
        <w:br/>
      </w:r>
      <w:r>
        <w:rPr>
          <w:rFonts w:ascii="Times New Roman"/>
          <w:b w:val="false"/>
          <w:i w:val="false"/>
          <w:color w:val="000000"/>
          <w:sz w:val="28"/>
        </w:rPr>
        <w:t>
</w:t>
      </w:r>
      <w:r>
        <w:rPr>
          <w:rFonts w:ascii="Times New Roman"/>
          <w:b w:val="false"/>
          <w:i w:val="false"/>
          <w:color w:val="000000"/>
          <w:sz w:val="28"/>
        </w:rPr>
        <w:t>
      50. Отчет об анализе информационно-технической основы формируется согласно </w:t>
      </w:r>
      <w:r>
        <w:rPr>
          <w:rFonts w:ascii="Times New Roman"/>
          <w:b w:val="false"/>
          <w:i w:val="false"/>
          <w:color w:val="000000"/>
          <w:sz w:val="28"/>
        </w:rPr>
        <w:t>приложению № 8</w:t>
      </w:r>
      <w:r>
        <w:rPr>
          <w:rFonts w:ascii="Times New Roman"/>
          <w:b w:val="false"/>
          <w:i w:val="false"/>
          <w:color w:val="000000"/>
          <w:sz w:val="28"/>
        </w:rPr>
        <w:t xml:space="preserve"> и рекомендациям, указанным в разделе XII настоящей Методики.</w:t>
      </w:r>
    </w:p>
    <w:bookmarkEnd w:id="24"/>
    <w:bookmarkStart w:name="z75" w:id="25"/>
    <w:p>
      <w:pPr>
        <w:spacing w:after="0"/>
        <w:ind w:left="0"/>
        <w:jc w:val="left"/>
      </w:pPr>
      <w:r>
        <w:rPr>
          <w:rFonts w:ascii="Times New Roman"/>
          <w:b/>
          <w:i w:val="false"/>
          <w:color w:val="000000"/>
        </w:rPr>
        <w:t xml:space="preserve"> 
XII. Рекомендации по оформлению итогового отчета</w:t>
      </w:r>
    </w:p>
    <w:bookmarkEnd w:id="25"/>
    <w:bookmarkStart w:name="z76" w:id="26"/>
    <w:p>
      <w:pPr>
        <w:spacing w:after="0"/>
        <w:ind w:left="0"/>
        <w:jc w:val="both"/>
      </w:pPr>
      <w:r>
        <w:rPr>
          <w:rFonts w:ascii="Times New Roman"/>
          <w:b w:val="false"/>
          <w:i w:val="false"/>
          <w:color w:val="000000"/>
          <w:sz w:val="28"/>
        </w:rPr>
        <w:t>
      51. Ответственный орган государства-члена по результатам проведенного анализа формирует итоговый отчет.</w:t>
      </w:r>
      <w:r>
        <w:br/>
      </w:r>
      <w:r>
        <w:rPr>
          <w:rFonts w:ascii="Times New Roman"/>
          <w:b w:val="false"/>
          <w:i w:val="false"/>
          <w:color w:val="000000"/>
          <w:sz w:val="28"/>
        </w:rPr>
        <w:t>
</w:t>
      </w:r>
      <w:r>
        <w:rPr>
          <w:rFonts w:ascii="Times New Roman"/>
          <w:b w:val="false"/>
          <w:i w:val="false"/>
          <w:color w:val="000000"/>
          <w:sz w:val="28"/>
        </w:rPr>
        <w:t>
      52. Итоговый отчет отражает позицию государства-члена по текущему состоянию развития национального механизма «единого окна».</w:t>
      </w:r>
      <w:r>
        <w:br/>
      </w:r>
      <w:r>
        <w:rPr>
          <w:rFonts w:ascii="Times New Roman"/>
          <w:b w:val="false"/>
          <w:i w:val="false"/>
          <w:color w:val="000000"/>
          <w:sz w:val="28"/>
        </w:rPr>
        <w:t>
</w:t>
      </w:r>
      <w:r>
        <w:rPr>
          <w:rFonts w:ascii="Times New Roman"/>
          <w:b w:val="false"/>
          <w:i w:val="false"/>
          <w:color w:val="000000"/>
          <w:sz w:val="28"/>
        </w:rPr>
        <w:t>
      53. К содержащейся в итоговом отчете информации предъявляются следующие требования:</w:t>
      </w:r>
      <w:r>
        <w:br/>
      </w:r>
      <w:r>
        <w:rPr>
          <w:rFonts w:ascii="Times New Roman"/>
          <w:b w:val="false"/>
          <w:i w:val="false"/>
          <w:color w:val="000000"/>
          <w:sz w:val="28"/>
        </w:rPr>
        <w:t>
      а) ясность изложения информации. Форма изложения должна быть простой, позволяющей понять цели и задачи проведенного анализа, заключения и выводы должны быть сформулированы в логической последовательности. Если в тексте отчета используются специальные технические термины, сокращения, они должны быть объяснены.</w:t>
      </w:r>
      <w:r>
        <w:br/>
      </w:r>
      <w:r>
        <w:rPr>
          <w:rFonts w:ascii="Times New Roman"/>
          <w:b w:val="false"/>
          <w:i w:val="false"/>
          <w:color w:val="000000"/>
          <w:sz w:val="28"/>
        </w:rPr>
        <w:t>
В отчете следует выделять наиболее важные вопросы и ключевые предложения, использовать рубрикацию, заголовки и при необходимости наглядные средства (таблицы, графики, диаграммы);</w:t>
      </w:r>
      <w:r>
        <w:br/>
      </w:r>
      <w:r>
        <w:rPr>
          <w:rFonts w:ascii="Times New Roman"/>
          <w:b w:val="false"/>
          <w:i w:val="false"/>
          <w:color w:val="000000"/>
          <w:sz w:val="28"/>
        </w:rPr>
        <w:t>
      б) точность информации. Содержащаяся в отчете информация должна быть правдивой, заключения и выводы должны подтверждаться собранными фактическими данными. Любая неточность в отчете может вызвать сомнения в обоснованности всего отчета;</w:t>
      </w:r>
      <w:r>
        <w:br/>
      </w:r>
      <w:r>
        <w:rPr>
          <w:rFonts w:ascii="Times New Roman"/>
          <w:b w:val="false"/>
          <w:i w:val="false"/>
          <w:color w:val="000000"/>
          <w:sz w:val="28"/>
        </w:rPr>
        <w:t>
      в) полнота информации. Отчет должен содержать достаточный объем фактических данных, необходимых для обоснования результатов проведенного анализа, а также отвечать требованиям, предъявляемым к структуре отчета;</w:t>
      </w:r>
      <w:r>
        <w:br/>
      </w:r>
      <w:r>
        <w:rPr>
          <w:rFonts w:ascii="Times New Roman"/>
          <w:b w:val="false"/>
          <w:i w:val="false"/>
          <w:color w:val="000000"/>
          <w:sz w:val="28"/>
        </w:rPr>
        <w:t>
      г) объективность информации. Отчет не должен содержать преувеличений и излишнего подчеркивания выявленных недостатков и преимуществ, выводы должны побуждать к принятию необходимых решений и действий. В отчете внимание должно акцентироваться не на критике недостатков, а на рекомендациях по их устранению;</w:t>
      </w:r>
      <w:r>
        <w:br/>
      </w:r>
      <w:r>
        <w:rPr>
          <w:rFonts w:ascii="Times New Roman"/>
          <w:b w:val="false"/>
          <w:i w:val="false"/>
          <w:color w:val="000000"/>
          <w:sz w:val="28"/>
        </w:rPr>
        <w:t>
      д) убедительность информации. Результаты анализа должны соответствовать конечным целям и задачам проводимого анализа. Выводы должны быть аргументированы, а заключения и рекомендации – логически следовать из представленных фактических данных;</w:t>
      </w:r>
      <w:r>
        <w:br/>
      </w:r>
      <w:r>
        <w:rPr>
          <w:rFonts w:ascii="Times New Roman"/>
          <w:b w:val="false"/>
          <w:i w:val="false"/>
          <w:color w:val="000000"/>
          <w:sz w:val="28"/>
        </w:rPr>
        <w:t>
      е) лаконичность информации. Объем информации, содержащейся в отчете, не должен превышать разумных пределов, учитывая масштабы и характер проводимого анализа. При изложении отчета следует избегать ненужных повторений, а также учитывать, что излишние подробности отвлекают внимание от наиболее важных положений отчета.</w:t>
      </w:r>
      <w:r>
        <w:br/>
      </w:r>
      <w:r>
        <w:rPr>
          <w:rFonts w:ascii="Times New Roman"/>
          <w:b w:val="false"/>
          <w:i w:val="false"/>
          <w:color w:val="000000"/>
          <w:sz w:val="28"/>
        </w:rPr>
        <w:t>
</w:t>
      </w:r>
      <w:r>
        <w:rPr>
          <w:rFonts w:ascii="Times New Roman"/>
          <w:b w:val="false"/>
          <w:i w:val="false"/>
          <w:color w:val="000000"/>
          <w:sz w:val="28"/>
        </w:rPr>
        <w:t>
      54. В отчет могут быть включены критические замечания, а также заключения о том, была ли достигнута цель проводимого анализа.</w:t>
      </w:r>
      <w:r>
        <w:br/>
      </w:r>
      <w:r>
        <w:rPr>
          <w:rFonts w:ascii="Times New Roman"/>
          <w:b w:val="false"/>
          <w:i w:val="false"/>
          <w:color w:val="000000"/>
          <w:sz w:val="28"/>
        </w:rPr>
        <w:t>
      При этом в отчет следует включать не только выявленные недостатки, но и заслуживающие внимания достижения, преимущества, в том числе положительные результаты, а также выявленные проблемы, не связанные непосредственно с целью проводимого анализа, но требующие проведения дополнительной работы в рамках развития национального механизма «единого окна».</w:t>
      </w:r>
      <w:r>
        <w:br/>
      </w:r>
      <w:r>
        <w:rPr>
          <w:rFonts w:ascii="Times New Roman"/>
          <w:b w:val="false"/>
          <w:i w:val="false"/>
          <w:color w:val="000000"/>
          <w:sz w:val="28"/>
        </w:rPr>
        <w:t>
</w:t>
      </w:r>
      <w:r>
        <w:rPr>
          <w:rFonts w:ascii="Times New Roman"/>
          <w:b w:val="false"/>
          <w:i w:val="false"/>
          <w:color w:val="000000"/>
          <w:sz w:val="28"/>
        </w:rPr>
        <w:t>
      55. Итоговый отчет включает в себя следующие разделы:</w:t>
      </w:r>
      <w:r>
        <w:br/>
      </w:r>
      <w:r>
        <w:rPr>
          <w:rFonts w:ascii="Times New Roman"/>
          <w:b w:val="false"/>
          <w:i w:val="false"/>
          <w:color w:val="000000"/>
          <w:sz w:val="28"/>
        </w:rPr>
        <w:t>
      а) аннотация;</w:t>
      </w:r>
      <w:r>
        <w:br/>
      </w:r>
      <w:r>
        <w:rPr>
          <w:rFonts w:ascii="Times New Roman"/>
          <w:b w:val="false"/>
          <w:i w:val="false"/>
          <w:color w:val="000000"/>
          <w:sz w:val="28"/>
        </w:rPr>
        <w:t>
      б) введение;</w:t>
      </w:r>
      <w:r>
        <w:br/>
      </w:r>
      <w:r>
        <w:rPr>
          <w:rFonts w:ascii="Times New Roman"/>
          <w:b w:val="false"/>
          <w:i w:val="false"/>
          <w:color w:val="000000"/>
          <w:sz w:val="28"/>
        </w:rPr>
        <w:t>
      в) отчет об анализе организационно-правовой основы;</w:t>
      </w:r>
      <w:r>
        <w:br/>
      </w:r>
      <w:r>
        <w:rPr>
          <w:rFonts w:ascii="Times New Roman"/>
          <w:b w:val="false"/>
          <w:i w:val="false"/>
          <w:color w:val="000000"/>
          <w:sz w:val="28"/>
        </w:rPr>
        <w:t>
      г) отчет об анализе технологической основы;</w:t>
      </w:r>
      <w:r>
        <w:br/>
      </w:r>
      <w:r>
        <w:rPr>
          <w:rFonts w:ascii="Times New Roman"/>
          <w:b w:val="false"/>
          <w:i w:val="false"/>
          <w:color w:val="000000"/>
          <w:sz w:val="28"/>
        </w:rPr>
        <w:t>
      д) отчет об анализе информационно-технической основы;</w:t>
      </w:r>
      <w:r>
        <w:br/>
      </w:r>
      <w:r>
        <w:rPr>
          <w:rFonts w:ascii="Times New Roman"/>
          <w:b w:val="false"/>
          <w:i w:val="false"/>
          <w:color w:val="000000"/>
          <w:sz w:val="28"/>
        </w:rPr>
        <w:t>
      е) рекомендации;</w:t>
      </w:r>
      <w:r>
        <w:br/>
      </w:r>
      <w:r>
        <w:rPr>
          <w:rFonts w:ascii="Times New Roman"/>
          <w:b w:val="false"/>
          <w:i w:val="false"/>
          <w:color w:val="000000"/>
          <w:sz w:val="28"/>
        </w:rPr>
        <w:t>
      ж) заключение.</w:t>
      </w:r>
      <w:r>
        <w:br/>
      </w:r>
      <w:r>
        <w:rPr>
          <w:rFonts w:ascii="Times New Roman"/>
          <w:b w:val="false"/>
          <w:i w:val="false"/>
          <w:color w:val="000000"/>
          <w:sz w:val="28"/>
        </w:rPr>
        <w:t>
</w:t>
      </w:r>
      <w:r>
        <w:rPr>
          <w:rFonts w:ascii="Times New Roman"/>
          <w:b w:val="false"/>
          <w:i w:val="false"/>
          <w:color w:val="000000"/>
          <w:sz w:val="28"/>
        </w:rPr>
        <w:t>
      56. В аннотации приводится краткое содержание всех разделов итогового отчета.</w:t>
      </w:r>
      <w:r>
        <w:br/>
      </w:r>
      <w:r>
        <w:rPr>
          <w:rFonts w:ascii="Times New Roman"/>
          <w:b w:val="false"/>
          <w:i w:val="false"/>
          <w:color w:val="000000"/>
          <w:sz w:val="28"/>
        </w:rPr>
        <w:t>
      Аннотация должна быть сдержанной по форме (не содержать общих слов), содержательной (отражать основное содержание и результат исследования), структурированной (следовать логике построения итогового отчета). Аннотация может публиковаться самостоятельно в отрыве от основного текста и должна быть понятна без обращения к итоговому отчету.</w:t>
      </w:r>
      <w:r>
        <w:br/>
      </w:r>
      <w:r>
        <w:rPr>
          <w:rFonts w:ascii="Times New Roman"/>
          <w:b w:val="false"/>
          <w:i w:val="false"/>
          <w:color w:val="000000"/>
          <w:sz w:val="28"/>
        </w:rPr>
        <w:t>
</w:t>
      </w:r>
      <w:r>
        <w:rPr>
          <w:rFonts w:ascii="Times New Roman"/>
          <w:b w:val="false"/>
          <w:i w:val="false"/>
          <w:color w:val="000000"/>
          <w:sz w:val="28"/>
        </w:rPr>
        <w:t>
      57. Во введении указываются правовые основания, актуальность проведенного анализа, цели, задачи и объекты анализа, информация об ответственном органе государства-члена, составившем итоговый отчет, уполномоченном органе, утвердившем такой отчет, участниках анализа, сроках, в течение которых проводился анализ, а также иная информация и пояснения.</w:t>
      </w:r>
      <w:r>
        <w:br/>
      </w:r>
      <w:r>
        <w:rPr>
          <w:rFonts w:ascii="Times New Roman"/>
          <w:b w:val="false"/>
          <w:i w:val="false"/>
          <w:color w:val="000000"/>
          <w:sz w:val="28"/>
        </w:rPr>
        <w:t>
</w:t>
      </w:r>
      <w:r>
        <w:rPr>
          <w:rFonts w:ascii="Times New Roman"/>
          <w:b w:val="false"/>
          <w:i w:val="false"/>
          <w:color w:val="000000"/>
          <w:sz w:val="28"/>
        </w:rPr>
        <w:t>
      58. В разделе «Отчет об анализе организационно-правовой основы» итогового отчета указываются результаты проведенного анализа, оформленные в соответствии с рекомендациями, приведенными в </w:t>
      </w:r>
      <w:r>
        <w:rPr>
          <w:rFonts w:ascii="Times New Roman"/>
          <w:b w:val="false"/>
          <w:i w:val="false"/>
          <w:color w:val="000000"/>
          <w:sz w:val="28"/>
        </w:rPr>
        <w:t>приложении №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59. В разделе «Отчет об анализе технологической основы» итогового отчета указываются результаты проведенного анализа, оформленные в соответствии с рекомендациями, приведенными в </w:t>
      </w:r>
      <w:r>
        <w:rPr>
          <w:rFonts w:ascii="Times New Roman"/>
          <w:b w:val="false"/>
          <w:i w:val="false"/>
          <w:color w:val="000000"/>
          <w:sz w:val="28"/>
        </w:rPr>
        <w:t>приложении №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60. В разделе «Отчет об анализе информационно-технической основы» итогового отчета указываются результаты проведенного анализа, оформленные в соответствии с рекомендациями, приведенными в </w:t>
      </w:r>
      <w:r>
        <w:rPr>
          <w:rFonts w:ascii="Times New Roman"/>
          <w:b w:val="false"/>
          <w:i w:val="false"/>
          <w:color w:val="000000"/>
          <w:sz w:val="28"/>
        </w:rPr>
        <w:t>приложении № 8</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61. В разделе «Рекомендации» итогового отчета выделяются основные проблемы, препятствующие развитию национального механизма «единого окна» в государстве-члене, и приводятся рекомендации по их устранению.</w:t>
      </w:r>
      <w:r>
        <w:br/>
      </w:r>
      <w:r>
        <w:rPr>
          <w:rFonts w:ascii="Times New Roman"/>
          <w:b w:val="false"/>
          <w:i w:val="false"/>
          <w:color w:val="000000"/>
          <w:sz w:val="28"/>
        </w:rPr>
        <w:t>
</w:t>
      </w:r>
      <w:r>
        <w:rPr>
          <w:rFonts w:ascii="Times New Roman"/>
          <w:b w:val="false"/>
          <w:i w:val="false"/>
          <w:color w:val="000000"/>
          <w:sz w:val="28"/>
        </w:rPr>
        <w:t>
      62. В заключении указываются итоговые результаты анализа, делаются выводы о достижении поставленных целей и задач.</w:t>
      </w:r>
      <w:r>
        <w:br/>
      </w:r>
      <w:r>
        <w:rPr>
          <w:rFonts w:ascii="Times New Roman"/>
          <w:b w:val="false"/>
          <w:i w:val="false"/>
          <w:color w:val="000000"/>
          <w:sz w:val="28"/>
        </w:rPr>
        <w:t>
</w:t>
      </w:r>
      <w:r>
        <w:rPr>
          <w:rFonts w:ascii="Times New Roman"/>
          <w:b w:val="false"/>
          <w:i w:val="false"/>
          <w:color w:val="000000"/>
          <w:sz w:val="28"/>
        </w:rPr>
        <w:t>
      63. С целью обеспечения надлежащего качества итогового отчета ответственному органу государства-члена рекомендуется:</w:t>
      </w:r>
      <w:r>
        <w:br/>
      </w:r>
      <w:r>
        <w:rPr>
          <w:rFonts w:ascii="Times New Roman"/>
          <w:b w:val="false"/>
          <w:i w:val="false"/>
          <w:color w:val="000000"/>
          <w:sz w:val="28"/>
        </w:rPr>
        <w:t>
      а) сформулировать предварительные выводы и рекомендации на основании отчетов об анализе организационно-правовой основы, анализе технологической основы и анализе информационно-технической основы и обеспечить их согласование с участниками анализа с целью подготовки проекта итогового отчета;</w:t>
      </w:r>
      <w:r>
        <w:br/>
      </w:r>
      <w:r>
        <w:rPr>
          <w:rFonts w:ascii="Times New Roman"/>
          <w:b w:val="false"/>
          <w:i w:val="false"/>
          <w:color w:val="000000"/>
          <w:sz w:val="28"/>
        </w:rPr>
        <w:t>
      б) направить проект итогового отчета в национальный координирующий (совещательный) орган государства-члена, уполномоченный на реализацию плана мероприятий, для одобрения;</w:t>
      </w:r>
      <w:r>
        <w:br/>
      </w:r>
      <w:r>
        <w:rPr>
          <w:rFonts w:ascii="Times New Roman"/>
          <w:b w:val="false"/>
          <w:i w:val="false"/>
          <w:color w:val="000000"/>
          <w:sz w:val="28"/>
        </w:rPr>
        <w:t>
      в) утвердить одобренный итоговый отчет в уполномоченном органе государств-члена, ответственном за реализацию Основных направлений в соответствии с пунктом 6.3 детализированного плана.</w:t>
      </w:r>
    </w:p>
    <w:bookmarkEnd w:id="26"/>
    <w:bookmarkStart w:name="z89" w:id="27"/>
    <w:p>
      <w:pPr>
        <w:spacing w:after="0"/>
        <w:ind w:left="0"/>
        <w:jc w:val="left"/>
      </w:pPr>
      <w:r>
        <w:rPr>
          <w:rFonts w:ascii="Times New Roman"/>
          <w:b/>
          <w:i w:val="false"/>
          <w:color w:val="000000"/>
        </w:rPr>
        <w:t xml:space="preserve"> 
XIII. Использование результатов анализа состояния развития</w:t>
      </w:r>
      <w:r>
        <w:br/>
      </w:r>
      <w:r>
        <w:rPr>
          <w:rFonts w:ascii="Times New Roman"/>
          <w:b/>
          <w:i w:val="false"/>
          <w:color w:val="000000"/>
        </w:rPr>
        <w:t>
национальных механизмов «единого окна»</w:t>
      </w:r>
    </w:p>
    <w:bookmarkEnd w:id="27"/>
    <w:bookmarkStart w:name="z90" w:id="28"/>
    <w:p>
      <w:pPr>
        <w:spacing w:after="0"/>
        <w:ind w:left="0"/>
        <w:jc w:val="both"/>
      </w:pPr>
      <w:r>
        <w:rPr>
          <w:rFonts w:ascii="Times New Roman"/>
          <w:b w:val="false"/>
          <w:i w:val="false"/>
          <w:color w:val="000000"/>
          <w:sz w:val="28"/>
        </w:rPr>
        <w:t>
      64. Результаты проведенного анализа состояния развития национальных механизмов «единого окна», отраженные в итоговом отчете, будут использоваться:</w:t>
      </w:r>
      <w:r>
        <w:br/>
      </w:r>
      <w:r>
        <w:rPr>
          <w:rFonts w:ascii="Times New Roman"/>
          <w:b w:val="false"/>
          <w:i w:val="false"/>
          <w:color w:val="000000"/>
          <w:sz w:val="28"/>
        </w:rPr>
        <w:t>
      а) Комиссией при подготовке:</w:t>
      </w:r>
      <w:r>
        <w:br/>
      </w:r>
      <w:r>
        <w:rPr>
          <w:rFonts w:ascii="Times New Roman"/>
          <w:b w:val="false"/>
          <w:i w:val="false"/>
          <w:color w:val="000000"/>
          <w:sz w:val="28"/>
        </w:rPr>
        <w:t>
      заключений по каждому государству-члену, содержащих рекомендации по дальнейшему развитию национальных механизмов «единого окна», оптимизации бизнес-процессов, определению приоритетных направлений сближения национальных механизмов «единого окна», для последующего рассмотрения Евразийским межправительственным советом;</w:t>
      </w:r>
      <w:r>
        <w:br/>
      </w:r>
      <w:r>
        <w:rPr>
          <w:rFonts w:ascii="Times New Roman"/>
          <w:b w:val="false"/>
          <w:i w:val="false"/>
          <w:color w:val="000000"/>
          <w:sz w:val="28"/>
        </w:rPr>
        <w:t>
      детального описания функций и архитектуры эталонной модели национального механизма «единого окна»;</w:t>
      </w:r>
      <w:r>
        <w:br/>
      </w:r>
      <w:r>
        <w:rPr>
          <w:rFonts w:ascii="Times New Roman"/>
          <w:b w:val="false"/>
          <w:i w:val="false"/>
          <w:color w:val="000000"/>
          <w:sz w:val="28"/>
        </w:rPr>
        <w:t>
      ежегодных детализированных планов;</w:t>
      </w:r>
      <w:r>
        <w:br/>
      </w:r>
      <w:r>
        <w:rPr>
          <w:rFonts w:ascii="Times New Roman"/>
          <w:b w:val="false"/>
          <w:i w:val="false"/>
          <w:color w:val="000000"/>
          <w:sz w:val="28"/>
        </w:rPr>
        <w:t>
      б) государствами-членами при определении мер, направленных на развитие национальных механизмов «единого окна» и совершенствование внешнеэкономической деятельности;</w:t>
      </w:r>
      <w:r>
        <w:br/>
      </w:r>
      <w:r>
        <w:rPr>
          <w:rFonts w:ascii="Times New Roman"/>
          <w:b w:val="false"/>
          <w:i w:val="false"/>
          <w:color w:val="000000"/>
          <w:sz w:val="28"/>
        </w:rPr>
        <w:t>
      в) рабочей группой по выполнению плана мероприятий по реализации Основных направлений развития механизма «единого окна» в системе регулирования внешнеэкономической деятельности, созданной в соответствии с пунктом 6.2 детализированного плана, при исполнении плана мероприятий в соответствии с тематическими блоками, в том числе для выработки предложений по оптимизации бизнес-процессов, переходу на электронный документооборот в системе регулирования внешнеэкономической деятельности, организации межгосударственного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65. Итоговые отчеты государств-членов публикуются на официальном сайте Союза в информационно-телекоммуникационной сети «Интернет» в соответствии с пунктом 7.2 раздела XII плана мероприятий.</w:t>
      </w:r>
    </w:p>
    <w:bookmarkEnd w:id="28"/>
    <w:bookmarkStart w:name="z92" w:id="29"/>
    <w:p>
      <w:pPr>
        <w:spacing w:after="0"/>
        <w:ind w:left="0"/>
        <w:jc w:val="left"/>
      </w:pPr>
      <w:r>
        <w:rPr>
          <w:rFonts w:ascii="Times New Roman"/>
          <w:b/>
          <w:i w:val="false"/>
          <w:color w:val="000000"/>
        </w:rPr>
        <w:t xml:space="preserve"> 
XIV. Заключительные положения</w:t>
      </w:r>
    </w:p>
    <w:bookmarkEnd w:id="29"/>
    <w:bookmarkStart w:name="z93" w:id="30"/>
    <w:p>
      <w:pPr>
        <w:spacing w:after="0"/>
        <w:ind w:left="0"/>
        <w:jc w:val="both"/>
      </w:pPr>
      <w:r>
        <w:rPr>
          <w:rFonts w:ascii="Times New Roman"/>
          <w:b w:val="false"/>
          <w:i w:val="false"/>
          <w:color w:val="000000"/>
          <w:sz w:val="28"/>
        </w:rPr>
        <w:t>
      66. Настоящая Методика может быть использована государствами-членами и Комиссией в качестве основы для последующего проведения анализа в рамках реализации плана мероприятий и детализированных планов.</w:t>
      </w:r>
    </w:p>
    <w:bookmarkEnd w:id="30"/>
    <w:bookmarkStart w:name="z94" w:id="3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состояния развития национальных</w:t>
      </w:r>
      <w:r>
        <w:br/>
      </w:r>
      <w:r>
        <w:rPr>
          <w:rFonts w:ascii="Times New Roman"/>
          <w:b w:val="false"/>
          <w:i w:val="false"/>
          <w:color w:val="000000"/>
          <w:sz w:val="28"/>
        </w:rPr>
        <w:t xml:space="preserve">
механизмов «единого окна»   </w:t>
      </w:r>
    </w:p>
    <w:bookmarkEnd w:id="31"/>
    <w:p>
      <w:pPr>
        <w:spacing w:after="0"/>
        <w:ind w:left="0"/>
        <w:jc w:val="both"/>
      </w:pPr>
      <w:r>
        <w:rPr>
          <w:rFonts w:ascii="Times New Roman"/>
          <w:b w:val="false"/>
          <w:i w:val="false"/>
          <w:color w:val="000000"/>
          <w:sz w:val="28"/>
        </w:rPr>
        <w:t>(форма)</w:t>
      </w:r>
    </w:p>
    <w:bookmarkStart w:name="z95" w:id="32"/>
    <w:p>
      <w:pPr>
        <w:spacing w:after="0"/>
        <w:ind w:left="0"/>
        <w:jc w:val="both"/>
      </w:pPr>
      <w:r>
        <w:rPr>
          <w:rFonts w:ascii="Times New Roman"/>
          <w:b w:val="false"/>
          <w:i w:val="false"/>
          <w:color w:val="000000"/>
          <w:sz w:val="28"/>
        </w:rPr>
        <w:t>
</w:t>
      </w:r>
      <w:r>
        <w:rPr>
          <w:rFonts w:ascii="Times New Roman"/>
          <w:b/>
          <w:i w:val="false"/>
          <w:color w:val="000000"/>
          <w:sz w:val="28"/>
        </w:rPr>
        <w:t>                        ОПРОСНЫЙ ЛИСТ</w:t>
      </w:r>
      <w:r>
        <w:br/>
      </w:r>
      <w:r>
        <w:rPr>
          <w:rFonts w:ascii="Times New Roman"/>
          <w:b w:val="false"/>
          <w:i w:val="false"/>
          <w:color w:val="000000"/>
          <w:sz w:val="28"/>
        </w:rPr>
        <w:t>
     </w:t>
      </w:r>
      <w:r>
        <w:rPr>
          <w:rFonts w:ascii="Times New Roman"/>
          <w:b/>
          <w:i w:val="false"/>
          <w:color w:val="000000"/>
          <w:sz w:val="28"/>
        </w:rPr>
        <w:t>для проведения анализа организационно-правовой основы</w:t>
      </w:r>
      <w:r>
        <w:br/>
      </w:r>
      <w:r>
        <w:rPr>
          <w:rFonts w:ascii="Times New Roman"/>
          <w:b w:val="false"/>
          <w:i w:val="false"/>
          <w:color w:val="000000"/>
          <w:sz w:val="28"/>
        </w:rPr>
        <w:t>
       </w:t>
      </w:r>
      <w:r>
        <w:rPr>
          <w:rFonts w:ascii="Times New Roman"/>
          <w:b/>
          <w:i w:val="false"/>
          <w:color w:val="000000"/>
          <w:sz w:val="28"/>
        </w:rPr>
        <w:t>развития национального механизма «единого окна»</w:t>
      </w:r>
    </w:p>
    <w:bookmarkEnd w:id="32"/>
    <w:p>
      <w:pPr>
        <w:spacing w:after="0"/>
        <w:ind w:left="0"/>
        <w:jc w:val="both"/>
      </w:pPr>
      <w:r>
        <w:rPr>
          <w:rFonts w:ascii="Times New Roman"/>
          <w:b/>
          <w:i w:val="false"/>
          <w:color w:val="000000"/>
          <w:sz w:val="28"/>
        </w:rPr>
        <w:t>   I. Анализ актов, регулирующих процесс внедрения и развития</w:t>
      </w:r>
      <w:r>
        <w:br/>
      </w:r>
      <w:r>
        <w:rPr>
          <w:rFonts w:ascii="Times New Roman"/>
          <w:b w:val="false"/>
          <w:i w:val="false"/>
          <w:color w:val="000000"/>
          <w:sz w:val="28"/>
        </w:rPr>
        <w:t>
            </w:t>
      </w:r>
      <w:r>
        <w:rPr>
          <w:rFonts w:ascii="Times New Roman"/>
          <w:b/>
          <w:i w:val="false"/>
          <w:color w:val="000000"/>
          <w:sz w:val="28"/>
        </w:rPr>
        <w:t>национального механизма «единого окна»</w:t>
      </w:r>
    </w:p>
    <w:p>
      <w:pPr>
        <w:spacing w:after="0"/>
        <w:ind w:left="0"/>
        <w:jc w:val="both"/>
      </w:pPr>
      <w:r>
        <w:rPr>
          <w:rFonts w:ascii="Times New Roman"/>
          <w:b w:val="false"/>
          <w:i w:val="false"/>
          <w:color w:val="000000"/>
          <w:sz w:val="28"/>
        </w:rPr>
        <w:t>      1. Укажите акты, которыми регулируется процесс внедрения и</w:t>
      </w:r>
      <w:r>
        <w:br/>
      </w:r>
      <w:r>
        <w:rPr>
          <w:rFonts w:ascii="Times New Roman"/>
          <w:b w:val="false"/>
          <w:i w:val="false"/>
          <w:color w:val="000000"/>
          <w:sz w:val="28"/>
        </w:rPr>
        <w:t>
развития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Например:</w:t>
      </w:r>
      <w:r>
        <w:br/>
      </w:r>
      <w:r>
        <w:rPr>
          <w:rFonts w:ascii="Times New Roman"/>
          <w:b w:val="false"/>
          <w:i w:val="false"/>
          <w:color w:val="000000"/>
          <w:sz w:val="28"/>
        </w:rPr>
        <w:t>
      Постановление Правительства Республики Казахстан от 3 июля 2011</w:t>
      </w:r>
      <w:r>
        <w:br/>
      </w:r>
      <w:r>
        <w:rPr>
          <w:rFonts w:ascii="Times New Roman"/>
          <w:b w:val="false"/>
          <w:i w:val="false"/>
          <w:color w:val="000000"/>
          <w:sz w:val="28"/>
        </w:rPr>
        <w:t>
г. № 771 «О Концепции создания интеграционной информационной системы</w:t>
      </w:r>
      <w:r>
        <w:br/>
      </w:r>
      <w:r>
        <w:rPr>
          <w:rFonts w:ascii="Times New Roman"/>
          <w:b w:val="false"/>
          <w:i w:val="false"/>
          <w:color w:val="000000"/>
          <w:sz w:val="28"/>
        </w:rPr>
        <w:t>
«Единое окно по экспортно-импортным операциям» и утверждении Плана по</w:t>
      </w:r>
      <w:r>
        <w:br/>
      </w:r>
      <w:r>
        <w:rPr>
          <w:rFonts w:ascii="Times New Roman"/>
          <w:b w:val="false"/>
          <w:i w:val="false"/>
          <w:color w:val="000000"/>
          <w:sz w:val="28"/>
        </w:rPr>
        <w:t>
реализации Концепции создания интеграционной информационной системы</w:t>
      </w:r>
      <w:r>
        <w:br/>
      </w:r>
      <w:r>
        <w:rPr>
          <w:rFonts w:ascii="Times New Roman"/>
          <w:b w:val="false"/>
          <w:i w:val="false"/>
          <w:color w:val="000000"/>
          <w:sz w:val="28"/>
        </w:rPr>
        <w:t>
«Единое окно по экспортно-импортным операциям» в Республике Казахстан</w:t>
      </w:r>
      <w:r>
        <w:br/>
      </w:r>
      <w:r>
        <w:rPr>
          <w:rFonts w:ascii="Times New Roman"/>
          <w:b w:val="false"/>
          <w:i w:val="false"/>
          <w:color w:val="000000"/>
          <w:sz w:val="28"/>
        </w:rPr>
        <w:t>
на 2011 – 2013 годы»;</w:t>
      </w:r>
    </w:p>
    <w:p>
      <w:pPr>
        <w:spacing w:after="0"/>
        <w:ind w:left="0"/>
        <w:jc w:val="both"/>
      </w:pPr>
      <w:r>
        <w:rPr>
          <w:rFonts w:ascii="Times New Roman"/>
          <w:b w:val="false"/>
          <w:i w:val="false"/>
          <w:color w:val="000000"/>
          <w:sz w:val="28"/>
        </w:rPr>
        <w:t>      2. Укажите акты, которыми регулируется процесс упрощения</w:t>
      </w:r>
      <w:r>
        <w:br/>
      </w:r>
      <w:r>
        <w:rPr>
          <w:rFonts w:ascii="Times New Roman"/>
          <w:b w:val="false"/>
          <w:i w:val="false"/>
          <w:color w:val="000000"/>
          <w:sz w:val="28"/>
        </w:rPr>
        <w:t>
процедур торговли, сокращения избыточных и дублирующих формальностей,</w:t>
      </w:r>
      <w:r>
        <w:br/>
      </w:r>
      <w:r>
        <w:rPr>
          <w:rFonts w:ascii="Times New Roman"/>
          <w:b w:val="false"/>
          <w:i w:val="false"/>
          <w:color w:val="000000"/>
          <w:sz w:val="28"/>
        </w:rPr>
        <w:t>
процессов и процедур в сфере внешнеэкономической деятельности.</w:t>
      </w:r>
      <w:r>
        <w:br/>
      </w:r>
      <w:r>
        <w:rPr>
          <w:rFonts w:ascii="Times New Roman"/>
          <w:b w:val="false"/>
          <w:i w:val="false"/>
          <w:color w:val="000000"/>
          <w:sz w:val="28"/>
        </w:rPr>
        <w:t>
      Например:</w:t>
      </w:r>
      <w:r>
        <w:br/>
      </w:r>
      <w:r>
        <w:rPr>
          <w:rFonts w:ascii="Times New Roman"/>
          <w:b w:val="false"/>
          <w:i w:val="false"/>
          <w:color w:val="000000"/>
          <w:sz w:val="28"/>
        </w:rPr>
        <w:t>
      Закон Республики Беларусь от 28 октября 2008 г. № 433-З «Об</w:t>
      </w:r>
      <w:r>
        <w:br/>
      </w:r>
      <w:r>
        <w:rPr>
          <w:rFonts w:ascii="Times New Roman"/>
          <w:b w:val="false"/>
          <w:i w:val="false"/>
          <w:color w:val="000000"/>
          <w:sz w:val="28"/>
        </w:rPr>
        <w:t>
основах административных процедур»;</w:t>
      </w:r>
      <w:r>
        <w:br/>
      </w:r>
      <w:r>
        <w:rPr>
          <w:rFonts w:ascii="Times New Roman"/>
          <w:b w:val="false"/>
          <w:i w:val="false"/>
          <w:color w:val="000000"/>
          <w:sz w:val="28"/>
        </w:rPr>
        <w:t>
      Директива Президента Республики Беларусь от 27 декабря 2006 г.</w:t>
      </w:r>
      <w:r>
        <w:br/>
      </w:r>
      <w:r>
        <w:rPr>
          <w:rFonts w:ascii="Times New Roman"/>
          <w:b w:val="false"/>
          <w:i w:val="false"/>
          <w:color w:val="000000"/>
          <w:sz w:val="28"/>
        </w:rPr>
        <w:t>
№ 2 «О дебюрократизации государственного аппарата и повышении</w:t>
      </w:r>
      <w:r>
        <w:br/>
      </w:r>
      <w:r>
        <w:rPr>
          <w:rFonts w:ascii="Times New Roman"/>
          <w:b w:val="false"/>
          <w:i w:val="false"/>
          <w:color w:val="000000"/>
          <w:sz w:val="28"/>
        </w:rPr>
        <w:t>
качества обеспечения жизнедеятельности населения»;</w:t>
      </w:r>
      <w:r>
        <w:br/>
      </w:r>
      <w:r>
        <w:rPr>
          <w:rFonts w:ascii="Times New Roman"/>
          <w:b w:val="false"/>
          <w:i w:val="false"/>
          <w:color w:val="000000"/>
          <w:sz w:val="28"/>
        </w:rPr>
        <w:t>
      Государственная программа развития транзитного потенциала</w:t>
      </w:r>
      <w:r>
        <w:br/>
      </w:r>
      <w:r>
        <w:rPr>
          <w:rFonts w:ascii="Times New Roman"/>
          <w:b w:val="false"/>
          <w:i w:val="false"/>
          <w:color w:val="000000"/>
          <w:sz w:val="28"/>
        </w:rPr>
        <w:t>
Республики Беларусь на 2011 – 2015 годы, утвержденная постановлением</w:t>
      </w:r>
      <w:r>
        <w:br/>
      </w:r>
      <w:r>
        <w:rPr>
          <w:rFonts w:ascii="Times New Roman"/>
          <w:b w:val="false"/>
          <w:i w:val="false"/>
          <w:color w:val="000000"/>
          <w:sz w:val="28"/>
        </w:rPr>
        <w:t>
Совета Министров Республики Беларусь от 20 декабря 2010 г. № 1852;</w:t>
      </w:r>
      <w:r>
        <w:br/>
      </w:r>
      <w:r>
        <w:rPr>
          <w:rFonts w:ascii="Times New Roman"/>
          <w:b w:val="false"/>
          <w:i w:val="false"/>
          <w:color w:val="000000"/>
          <w:sz w:val="28"/>
        </w:rPr>
        <w:t>
      Национальная программа ускоренного развития услуг в сфере</w:t>
      </w:r>
      <w:r>
        <w:br/>
      </w:r>
      <w:r>
        <w:rPr>
          <w:rFonts w:ascii="Times New Roman"/>
          <w:b w:val="false"/>
          <w:i w:val="false"/>
          <w:color w:val="000000"/>
          <w:sz w:val="28"/>
        </w:rPr>
        <w:t>
информационно-коммуникационных технологий на 2011 – 2015 годы,</w:t>
      </w:r>
      <w:r>
        <w:br/>
      </w:r>
      <w:r>
        <w:rPr>
          <w:rFonts w:ascii="Times New Roman"/>
          <w:b w:val="false"/>
          <w:i w:val="false"/>
          <w:color w:val="000000"/>
          <w:sz w:val="28"/>
        </w:rPr>
        <w:t>
утвержденная постановлением Совета Министров Республики Беларусь от</w:t>
      </w:r>
      <w:r>
        <w:br/>
      </w:r>
      <w:r>
        <w:rPr>
          <w:rFonts w:ascii="Times New Roman"/>
          <w:b w:val="false"/>
          <w:i w:val="false"/>
          <w:color w:val="000000"/>
          <w:sz w:val="28"/>
        </w:rPr>
        <w:t>
28 марта 2011 г. № 384;</w:t>
      </w:r>
      <w:r>
        <w:br/>
      </w:r>
      <w:r>
        <w:rPr>
          <w:rFonts w:ascii="Times New Roman"/>
          <w:b w:val="false"/>
          <w:i w:val="false"/>
          <w:color w:val="000000"/>
          <w:sz w:val="28"/>
        </w:rPr>
        <w:t>
      Программа развития логистической системы Республики Беларусь на</w:t>
      </w:r>
      <w:r>
        <w:br/>
      </w:r>
      <w:r>
        <w:rPr>
          <w:rFonts w:ascii="Times New Roman"/>
          <w:b w:val="false"/>
          <w:i w:val="false"/>
          <w:color w:val="000000"/>
          <w:sz w:val="28"/>
        </w:rPr>
        <w:t>
период до 2015 года, утвержденная постановлением Совета Министров</w:t>
      </w:r>
      <w:r>
        <w:br/>
      </w:r>
      <w:r>
        <w:rPr>
          <w:rFonts w:ascii="Times New Roman"/>
          <w:b w:val="false"/>
          <w:i w:val="false"/>
          <w:color w:val="000000"/>
          <w:sz w:val="28"/>
        </w:rPr>
        <w:t>
Республики Беларусь от 29 августа 2008 г. № 1249;</w:t>
      </w:r>
      <w:r>
        <w:br/>
      </w:r>
      <w:r>
        <w:rPr>
          <w:rFonts w:ascii="Times New Roman"/>
          <w:b w:val="false"/>
          <w:i w:val="false"/>
          <w:color w:val="000000"/>
          <w:sz w:val="28"/>
        </w:rPr>
        <w:t>
      Национальная программа развития экспорта Республики Беларусь на</w:t>
      </w:r>
      <w:r>
        <w:br/>
      </w:r>
      <w:r>
        <w:rPr>
          <w:rFonts w:ascii="Times New Roman"/>
          <w:b w:val="false"/>
          <w:i w:val="false"/>
          <w:color w:val="000000"/>
          <w:sz w:val="28"/>
        </w:rPr>
        <w:t>
2011 – 2015 годы, утвержденная постановлением Совета Министров</w:t>
      </w:r>
      <w:r>
        <w:br/>
      </w:r>
      <w:r>
        <w:rPr>
          <w:rFonts w:ascii="Times New Roman"/>
          <w:b w:val="false"/>
          <w:i w:val="false"/>
          <w:color w:val="000000"/>
          <w:sz w:val="28"/>
        </w:rPr>
        <w:t>
      Республики Беларусь от 23 мая 2011 г. № 656.</w:t>
      </w:r>
    </w:p>
    <w:p>
      <w:pPr>
        <w:spacing w:after="0"/>
        <w:ind w:left="0"/>
        <w:jc w:val="both"/>
      </w:pPr>
      <w:r>
        <w:rPr>
          <w:rFonts w:ascii="Times New Roman"/>
          <w:b w:val="false"/>
          <w:i w:val="false"/>
          <w:color w:val="000000"/>
          <w:sz w:val="28"/>
        </w:rPr>
        <w:t>      3. Укажите орган государства-члена, который определен</w:t>
      </w:r>
      <w:r>
        <w:br/>
      </w:r>
      <w:r>
        <w:rPr>
          <w:rFonts w:ascii="Times New Roman"/>
          <w:b w:val="false"/>
          <w:i w:val="false"/>
          <w:color w:val="000000"/>
          <w:sz w:val="28"/>
        </w:rPr>
        <w:t>
уполномоченным (ведущим) органом государства-члена по развитию</w:t>
      </w:r>
      <w:r>
        <w:br/>
      </w:r>
      <w:r>
        <w:rPr>
          <w:rFonts w:ascii="Times New Roman"/>
          <w:b w:val="false"/>
          <w:i w:val="false"/>
          <w:color w:val="000000"/>
          <w:sz w:val="28"/>
        </w:rPr>
        <w:t>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Например:</w:t>
      </w:r>
      <w:r>
        <w:br/>
      </w:r>
      <w:r>
        <w:rPr>
          <w:rFonts w:ascii="Times New Roman"/>
          <w:b w:val="false"/>
          <w:i w:val="false"/>
          <w:color w:val="000000"/>
          <w:sz w:val="28"/>
        </w:rPr>
        <w:t>
      Министерство экономического развития Российской Федерации.</w:t>
      </w:r>
    </w:p>
    <w:p>
      <w:pPr>
        <w:spacing w:after="0"/>
        <w:ind w:left="0"/>
        <w:jc w:val="both"/>
      </w:pPr>
      <w:r>
        <w:rPr>
          <w:rFonts w:ascii="Times New Roman"/>
          <w:b w:val="false"/>
          <w:i w:val="false"/>
          <w:color w:val="000000"/>
          <w:sz w:val="28"/>
        </w:rPr>
        <w:t>      4. Укажите орган государства-члена под руководством заместителя</w:t>
      </w:r>
      <w:r>
        <w:br/>
      </w:r>
      <w:r>
        <w:rPr>
          <w:rFonts w:ascii="Times New Roman"/>
          <w:b w:val="false"/>
          <w:i w:val="false"/>
          <w:color w:val="000000"/>
          <w:sz w:val="28"/>
        </w:rPr>
        <w:t>
Председателя Правительства, который определен в качестве</w:t>
      </w:r>
      <w:r>
        <w:br/>
      </w:r>
      <w:r>
        <w:rPr>
          <w:rFonts w:ascii="Times New Roman"/>
          <w:b w:val="false"/>
          <w:i w:val="false"/>
          <w:color w:val="000000"/>
          <w:sz w:val="28"/>
        </w:rPr>
        <w:t>
координирующего (совещательного) органа государства-члена по вопросам</w:t>
      </w:r>
      <w:r>
        <w:br/>
      </w:r>
      <w:r>
        <w:rPr>
          <w:rFonts w:ascii="Times New Roman"/>
          <w:b w:val="false"/>
          <w:i w:val="false"/>
          <w:color w:val="000000"/>
          <w:sz w:val="28"/>
        </w:rPr>
        <w:t>
реализации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Например:</w:t>
      </w:r>
      <w:r>
        <w:br/>
      </w:r>
      <w:r>
        <w:rPr>
          <w:rFonts w:ascii="Times New Roman"/>
          <w:b w:val="false"/>
          <w:i w:val="false"/>
          <w:color w:val="000000"/>
          <w:sz w:val="28"/>
        </w:rPr>
        <w:t>
      Комиссия для выработки предложений по созданию интеграционной</w:t>
      </w:r>
      <w:r>
        <w:br/>
      </w:r>
      <w:r>
        <w:rPr>
          <w:rFonts w:ascii="Times New Roman"/>
          <w:b w:val="false"/>
          <w:i w:val="false"/>
          <w:color w:val="000000"/>
          <w:sz w:val="28"/>
        </w:rPr>
        <w:t>
информационной системы «Единое окно по экспортно-импортным</w:t>
      </w:r>
      <w:r>
        <w:br/>
      </w:r>
      <w:r>
        <w:rPr>
          <w:rFonts w:ascii="Times New Roman"/>
          <w:b w:val="false"/>
          <w:i w:val="false"/>
          <w:color w:val="000000"/>
          <w:sz w:val="28"/>
        </w:rPr>
        <w:t>
операциям», созданная в соответствии с постановлением Правительства</w:t>
      </w:r>
      <w:r>
        <w:br/>
      </w:r>
      <w:r>
        <w:rPr>
          <w:rFonts w:ascii="Times New Roman"/>
          <w:b w:val="false"/>
          <w:i w:val="false"/>
          <w:color w:val="000000"/>
          <w:sz w:val="28"/>
        </w:rPr>
        <w:t>
Республики Казахстан от 30 марта 2011 г. № 288 «О создании Комиссии</w:t>
      </w:r>
      <w:r>
        <w:br/>
      </w:r>
      <w:r>
        <w:rPr>
          <w:rFonts w:ascii="Times New Roman"/>
          <w:b w:val="false"/>
          <w:i w:val="false"/>
          <w:color w:val="000000"/>
          <w:sz w:val="28"/>
        </w:rPr>
        <w:t>
для выработки предложений по созданию интеграционной информационной</w:t>
      </w:r>
      <w:r>
        <w:br/>
      </w:r>
      <w:r>
        <w:rPr>
          <w:rFonts w:ascii="Times New Roman"/>
          <w:b w:val="false"/>
          <w:i w:val="false"/>
          <w:color w:val="000000"/>
          <w:sz w:val="28"/>
        </w:rPr>
        <w:t>
системы «Единое окно по экспортно-импортным операциям».</w:t>
      </w:r>
    </w:p>
    <w:p>
      <w:pPr>
        <w:spacing w:after="0"/>
        <w:ind w:left="0"/>
        <w:jc w:val="both"/>
      </w:pPr>
      <w:r>
        <w:rPr>
          <w:rFonts w:ascii="Times New Roman"/>
          <w:b w:val="false"/>
          <w:i w:val="false"/>
          <w:color w:val="000000"/>
          <w:sz w:val="28"/>
        </w:rPr>
        <w:t>      5. Укажите заместителя Председателя Правительства, который</w:t>
      </w:r>
      <w:r>
        <w:br/>
      </w:r>
      <w:r>
        <w:rPr>
          <w:rFonts w:ascii="Times New Roman"/>
          <w:b w:val="false"/>
          <w:i w:val="false"/>
          <w:color w:val="000000"/>
          <w:sz w:val="28"/>
        </w:rPr>
        <w:t>
координирует работу, связанную с реализацией национального механизма</w:t>
      </w:r>
      <w:r>
        <w:br/>
      </w:r>
      <w:r>
        <w:rPr>
          <w:rFonts w:ascii="Times New Roman"/>
          <w:b w:val="false"/>
          <w:i w:val="false"/>
          <w:color w:val="000000"/>
          <w:sz w:val="28"/>
        </w:rPr>
        <w:t>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Например:</w:t>
      </w:r>
      <w:r>
        <w:br/>
      </w:r>
      <w:r>
        <w:rPr>
          <w:rFonts w:ascii="Times New Roman"/>
          <w:b w:val="false"/>
          <w:i w:val="false"/>
          <w:color w:val="000000"/>
          <w:sz w:val="28"/>
        </w:rPr>
        <w:t>
      Первый заместитель Премьер-Министра Республики Казахстан –</w:t>
      </w:r>
      <w:r>
        <w:br/>
      </w:r>
      <w:r>
        <w:rPr>
          <w:rFonts w:ascii="Times New Roman"/>
          <w:b w:val="false"/>
          <w:i w:val="false"/>
          <w:color w:val="000000"/>
          <w:sz w:val="28"/>
        </w:rPr>
        <w:t>
Сагинтаев Бакытжан Абдирович, председатель Комиссии для выработки</w:t>
      </w:r>
      <w:r>
        <w:br/>
      </w:r>
      <w:r>
        <w:rPr>
          <w:rFonts w:ascii="Times New Roman"/>
          <w:b w:val="false"/>
          <w:i w:val="false"/>
          <w:color w:val="000000"/>
          <w:sz w:val="28"/>
        </w:rPr>
        <w:t>
предложений по созданию интеграционной информационной системы «Единое</w:t>
      </w:r>
      <w:r>
        <w:br/>
      </w:r>
      <w:r>
        <w:rPr>
          <w:rFonts w:ascii="Times New Roman"/>
          <w:b w:val="false"/>
          <w:i w:val="false"/>
          <w:color w:val="000000"/>
          <w:sz w:val="28"/>
        </w:rPr>
        <w:t>
окно по экспортно-импортным операциям», созданной в соответствии с</w:t>
      </w:r>
      <w:r>
        <w:br/>
      </w:r>
      <w:r>
        <w:rPr>
          <w:rFonts w:ascii="Times New Roman"/>
          <w:b w:val="false"/>
          <w:i w:val="false"/>
          <w:color w:val="000000"/>
          <w:sz w:val="28"/>
        </w:rPr>
        <w:t>
постановлением Правительства Республики Казахстан от 30 марта 2011 г.</w:t>
      </w:r>
      <w:r>
        <w:br/>
      </w:r>
      <w:r>
        <w:rPr>
          <w:rFonts w:ascii="Times New Roman"/>
          <w:b w:val="false"/>
          <w:i w:val="false"/>
          <w:color w:val="000000"/>
          <w:sz w:val="28"/>
        </w:rPr>
        <w:t>
№ 288 (в редакции постановления Правительства Республики Казахстан от</w:t>
      </w:r>
      <w:r>
        <w:br/>
      </w:r>
      <w:r>
        <w:rPr>
          <w:rFonts w:ascii="Times New Roman"/>
          <w:b w:val="false"/>
          <w:i w:val="false"/>
          <w:color w:val="000000"/>
          <w:sz w:val="28"/>
        </w:rPr>
        <w:t>
4 сентября 2014 г. № 970).</w:t>
      </w:r>
    </w:p>
    <w:p>
      <w:pPr>
        <w:spacing w:after="0"/>
        <w:ind w:left="0"/>
        <w:jc w:val="both"/>
      </w:pPr>
      <w:r>
        <w:rPr>
          <w:rFonts w:ascii="Times New Roman"/>
          <w:b w:val="false"/>
          <w:i w:val="false"/>
          <w:color w:val="000000"/>
          <w:sz w:val="28"/>
        </w:rPr>
        <w:t>      6. Если уполномоченным (ведущим) органом государства-члена по</w:t>
      </w:r>
      <w:r>
        <w:br/>
      </w:r>
      <w:r>
        <w:rPr>
          <w:rFonts w:ascii="Times New Roman"/>
          <w:b w:val="false"/>
          <w:i w:val="false"/>
          <w:color w:val="000000"/>
          <w:sz w:val="28"/>
        </w:rPr>
        <w:t>
развитию национального механизма «единого окна» определен специально</w:t>
      </w:r>
      <w:r>
        <w:br/>
      </w:r>
      <w:r>
        <w:rPr>
          <w:rFonts w:ascii="Times New Roman"/>
          <w:b w:val="false"/>
          <w:i w:val="false"/>
          <w:color w:val="000000"/>
          <w:sz w:val="28"/>
        </w:rPr>
        <w:t>
созданный орган (организация), укажите соответствующий орган</w:t>
      </w:r>
      <w:r>
        <w:br/>
      </w:r>
      <w:r>
        <w:rPr>
          <w:rFonts w:ascii="Times New Roman"/>
          <w:b w:val="false"/>
          <w:i w:val="false"/>
          <w:color w:val="000000"/>
          <w:sz w:val="28"/>
        </w:rPr>
        <w:t>
(организацию) и акт, которым регулируются его полномочия.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Например:</w:t>
      </w:r>
      <w:r>
        <w:br/>
      </w:r>
      <w:r>
        <w:rPr>
          <w:rFonts w:ascii="Times New Roman"/>
          <w:b w:val="false"/>
          <w:i w:val="false"/>
          <w:color w:val="000000"/>
          <w:sz w:val="28"/>
        </w:rPr>
        <w:t>
      Государственное предприятие «Центр «единого окна» в сфере</w:t>
      </w:r>
      <w:r>
        <w:br/>
      </w:r>
      <w:r>
        <w:rPr>
          <w:rFonts w:ascii="Times New Roman"/>
          <w:b w:val="false"/>
          <w:i w:val="false"/>
          <w:color w:val="000000"/>
          <w:sz w:val="28"/>
        </w:rPr>
        <w:t>
внешней торговли при Министерстве экономики Кыргызской Республики.</w:t>
      </w:r>
      <w:r>
        <w:br/>
      </w:r>
      <w:r>
        <w:rPr>
          <w:rFonts w:ascii="Times New Roman"/>
          <w:b w:val="false"/>
          <w:i w:val="false"/>
          <w:color w:val="000000"/>
          <w:sz w:val="28"/>
        </w:rPr>
        <w:t>
Полномочия закреплены в постановлении Правительства Кыргызской</w:t>
      </w:r>
      <w:r>
        <w:br/>
      </w:r>
      <w:r>
        <w:rPr>
          <w:rFonts w:ascii="Times New Roman"/>
          <w:b w:val="false"/>
          <w:i w:val="false"/>
          <w:color w:val="000000"/>
          <w:sz w:val="28"/>
        </w:rPr>
        <w:t>
Республики от 27 августа 2009 г. № 539 «О создании государственного</w:t>
      </w:r>
      <w:r>
        <w:br/>
      </w:r>
      <w:r>
        <w:rPr>
          <w:rFonts w:ascii="Times New Roman"/>
          <w:b w:val="false"/>
          <w:i w:val="false"/>
          <w:color w:val="000000"/>
          <w:sz w:val="28"/>
        </w:rPr>
        <w:t>
предприятия «Центр «единого окна» в сфере внешней торговли».</w:t>
      </w:r>
      <w:r>
        <w:br/>
      </w:r>
      <w:r>
        <w:rPr>
          <w:rFonts w:ascii="Times New Roman"/>
          <w:b w:val="false"/>
          <w:i w:val="false"/>
          <w:color w:val="000000"/>
          <w:sz w:val="28"/>
        </w:rPr>
        <w:t>
      7. Укажите органы исполнительной власти, которые являются</w:t>
      </w:r>
      <w:r>
        <w:br/>
      </w:r>
      <w:r>
        <w:rPr>
          <w:rFonts w:ascii="Times New Roman"/>
          <w:b w:val="false"/>
          <w:i w:val="false"/>
          <w:color w:val="000000"/>
          <w:sz w:val="28"/>
        </w:rPr>
        <w:t>
пользователями и оказывают услуги посредством национального механизма</w:t>
      </w:r>
      <w:r>
        <w:br/>
      </w:r>
      <w:r>
        <w:rPr>
          <w:rFonts w:ascii="Times New Roman"/>
          <w:b w:val="false"/>
          <w:i w:val="false"/>
          <w:color w:val="000000"/>
          <w:sz w:val="28"/>
        </w:rPr>
        <w:t>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Например:</w:t>
      </w:r>
      <w:r>
        <w:br/>
      </w:r>
      <w:r>
        <w:rPr>
          <w:rFonts w:ascii="Times New Roman"/>
          <w:b w:val="false"/>
          <w:i w:val="false"/>
          <w:color w:val="000000"/>
          <w:sz w:val="28"/>
        </w:rPr>
        <w:t>
      Министерство экономики Кыргызской Республики;</w:t>
      </w:r>
      <w:r>
        <w:br/>
      </w:r>
      <w:r>
        <w:rPr>
          <w:rFonts w:ascii="Times New Roman"/>
          <w:b w:val="false"/>
          <w:i w:val="false"/>
          <w:color w:val="000000"/>
          <w:sz w:val="28"/>
        </w:rPr>
        <w:t>
      Государственное агентство связи при Правительстве Кыргызской</w:t>
      </w:r>
      <w:r>
        <w:br/>
      </w:r>
      <w:r>
        <w:rPr>
          <w:rFonts w:ascii="Times New Roman"/>
          <w:b w:val="false"/>
          <w:i w:val="false"/>
          <w:color w:val="000000"/>
          <w:sz w:val="28"/>
        </w:rPr>
        <w:t>
Республики;</w:t>
      </w:r>
      <w:r>
        <w:br/>
      </w:r>
      <w:r>
        <w:rPr>
          <w:rFonts w:ascii="Times New Roman"/>
          <w:b w:val="false"/>
          <w:i w:val="false"/>
          <w:color w:val="000000"/>
          <w:sz w:val="28"/>
        </w:rPr>
        <w:t>
      Департамент лекарственного обеспечения и медицинской техники</w:t>
      </w:r>
      <w:r>
        <w:br/>
      </w:r>
      <w:r>
        <w:rPr>
          <w:rFonts w:ascii="Times New Roman"/>
          <w:b w:val="false"/>
          <w:i w:val="false"/>
          <w:color w:val="000000"/>
          <w:sz w:val="28"/>
        </w:rPr>
        <w:t>
при Министерстве здравоохранения Кыргызской Республики;</w:t>
      </w:r>
      <w:r>
        <w:br/>
      </w:r>
      <w:r>
        <w:rPr>
          <w:rFonts w:ascii="Times New Roman"/>
          <w:b w:val="false"/>
          <w:i w:val="false"/>
          <w:color w:val="000000"/>
          <w:sz w:val="28"/>
        </w:rPr>
        <w:t>
      Государственная налоговая служба при Правительстве Кыргызской</w:t>
      </w:r>
      <w:r>
        <w:br/>
      </w:r>
      <w:r>
        <w:rPr>
          <w:rFonts w:ascii="Times New Roman"/>
          <w:b w:val="false"/>
          <w:i w:val="false"/>
          <w:color w:val="000000"/>
          <w:sz w:val="28"/>
        </w:rPr>
        <w:t>
Республики;</w:t>
      </w:r>
      <w:r>
        <w:br/>
      </w:r>
      <w:r>
        <w:rPr>
          <w:rFonts w:ascii="Times New Roman"/>
          <w:b w:val="false"/>
          <w:i w:val="false"/>
          <w:color w:val="000000"/>
          <w:sz w:val="28"/>
        </w:rPr>
        <w:t>
      Государственное агентство автомобильного и водного транспорта</w:t>
      </w:r>
      <w:r>
        <w:br/>
      </w:r>
      <w:r>
        <w:rPr>
          <w:rFonts w:ascii="Times New Roman"/>
          <w:b w:val="false"/>
          <w:i w:val="false"/>
          <w:color w:val="000000"/>
          <w:sz w:val="28"/>
        </w:rPr>
        <w:t>
при Министерстве транспорта и коммуникаций Кыргызской Республики;</w:t>
      </w:r>
      <w:r>
        <w:br/>
      </w:r>
      <w:r>
        <w:rPr>
          <w:rFonts w:ascii="Times New Roman"/>
          <w:b w:val="false"/>
          <w:i w:val="false"/>
          <w:color w:val="000000"/>
          <w:sz w:val="28"/>
        </w:rPr>
        <w:t>
      Департамент профилактики заболеваний и государственного</w:t>
      </w:r>
      <w:r>
        <w:br/>
      </w:r>
      <w:r>
        <w:rPr>
          <w:rFonts w:ascii="Times New Roman"/>
          <w:b w:val="false"/>
          <w:i w:val="false"/>
          <w:color w:val="000000"/>
          <w:sz w:val="28"/>
        </w:rPr>
        <w:t>
санитарно-эпидемиологического надзора Министерства здравоохранения</w:t>
      </w:r>
      <w:r>
        <w:br/>
      </w:r>
      <w:r>
        <w:rPr>
          <w:rFonts w:ascii="Times New Roman"/>
          <w:b w:val="false"/>
          <w:i w:val="false"/>
          <w:color w:val="000000"/>
          <w:sz w:val="28"/>
        </w:rPr>
        <w:t>
Кыргызской Республики;</w:t>
      </w:r>
      <w:r>
        <w:br/>
      </w:r>
      <w:r>
        <w:rPr>
          <w:rFonts w:ascii="Times New Roman"/>
          <w:b w:val="false"/>
          <w:i w:val="false"/>
          <w:color w:val="000000"/>
          <w:sz w:val="28"/>
        </w:rPr>
        <w:t>
      Торгово-промышленная палата Кыргызской Республики;</w:t>
      </w:r>
      <w:r>
        <w:br/>
      </w:r>
      <w:r>
        <w:rPr>
          <w:rFonts w:ascii="Times New Roman"/>
          <w:b w:val="false"/>
          <w:i w:val="false"/>
          <w:color w:val="000000"/>
          <w:sz w:val="28"/>
        </w:rPr>
        <w:t>
      Государственное агентство охраны окружающей среды и лесного</w:t>
      </w:r>
      <w:r>
        <w:br/>
      </w:r>
      <w:r>
        <w:rPr>
          <w:rFonts w:ascii="Times New Roman"/>
          <w:b w:val="false"/>
          <w:i w:val="false"/>
          <w:color w:val="000000"/>
          <w:sz w:val="28"/>
        </w:rPr>
        <w:t>
хозяйства при Правительстве Кыргызской Республики;</w:t>
      </w:r>
      <w:r>
        <w:br/>
      </w:r>
      <w:r>
        <w:rPr>
          <w:rFonts w:ascii="Times New Roman"/>
          <w:b w:val="false"/>
          <w:i w:val="false"/>
          <w:color w:val="000000"/>
          <w:sz w:val="28"/>
        </w:rPr>
        <w:t>
      Бишкекский центр испытаний, сертификации и метрологии Центра по</w:t>
      </w:r>
      <w:r>
        <w:br/>
      </w:r>
      <w:r>
        <w:rPr>
          <w:rFonts w:ascii="Times New Roman"/>
          <w:b w:val="false"/>
          <w:i w:val="false"/>
          <w:color w:val="000000"/>
          <w:sz w:val="28"/>
        </w:rPr>
        <w:t>
стандартизации и метрологии при Министерстве экономики Кыргызской</w:t>
      </w:r>
      <w:r>
        <w:br/>
      </w:r>
      <w:r>
        <w:rPr>
          <w:rFonts w:ascii="Times New Roman"/>
          <w:b w:val="false"/>
          <w:i w:val="false"/>
          <w:color w:val="000000"/>
          <w:sz w:val="28"/>
        </w:rPr>
        <w:t>
Республики;</w:t>
      </w:r>
      <w:r>
        <w:br/>
      </w:r>
      <w:r>
        <w:rPr>
          <w:rFonts w:ascii="Times New Roman"/>
          <w:b w:val="false"/>
          <w:i w:val="false"/>
          <w:color w:val="000000"/>
          <w:sz w:val="28"/>
        </w:rPr>
        <w:t>
      Государственная инспекция по ветеринарной и фитосанитарной</w:t>
      </w:r>
      <w:r>
        <w:br/>
      </w:r>
      <w:r>
        <w:rPr>
          <w:rFonts w:ascii="Times New Roman"/>
          <w:b w:val="false"/>
          <w:i w:val="false"/>
          <w:color w:val="000000"/>
          <w:sz w:val="28"/>
        </w:rPr>
        <w:t>
безопасности при Правительстве Кыргызской Республики;</w:t>
      </w:r>
      <w:r>
        <w:br/>
      </w:r>
      <w:r>
        <w:rPr>
          <w:rFonts w:ascii="Times New Roman"/>
          <w:b w:val="false"/>
          <w:i w:val="false"/>
          <w:color w:val="000000"/>
          <w:sz w:val="28"/>
        </w:rPr>
        <w:t>
      Республиканский центр сертификации в строительстве при</w:t>
      </w:r>
      <w:r>
        <w:br/>
      </w:r>
      <w:r>
        <w:rPr>
          <w:rFonts w:ascii="Times New Roman"/>
          <w:b w:val="false"/>
          <w:i w:val="false"/>
          <w:color w:val="000000"/>
          <w:sz w:val="28"/>
        </w:rPr>
        <w:t>
Государственном агентстве архитектуры, строительства и</w:t>
      </w:r>
      <w:r>
        <w:br/>
      </w:r>
      <w:r>
        <w:rPr>
          <w:rFonts w:ascii="Times New Roman"/>
          <w:b w:val="false"/>
          <w:i w:val="false"/>
          <w:color w:val="000000"/>
          <w:sz w:val="28"/>
        </w:rPr>
        <w:t>
жилищно-коммунального хозяйства при Правительстве Кыргызской</w:t>
      </w:r>
      <w:r>
        <w:br/>
      </w: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8. Закреплен ли актами принцип, что электронные документы и</w:t>
      </w:r>
      <w:r>
        <w:br/>
      </w:r>
      <w:r>
        <w:rPr>
          <w:rFonts w:ascii="Times New Roman"/>
          <w:b w:val="false"/>
          <w:i w:val="false"/>
          <w:color w:val="000000"/>
          <w:sz w:val="28"/>
        </w:rPr>
        <w:t>
(или) сведения, которые могут быть получены в рамках</w:t>
      </w:r>
      <w:r>
        <w:br/>
      </w:r>
      <w:r>
        <w:rPr>
          <w:rFonts w:ascii="Times New Roman"/>
          <w:b w:val="false"/>
          <w:i w:val="false"/>
          <w:color w:val="000000"/>
          <w:sz w:val="28"/>
        </w:rPr>
        <w:t>
межведомственного взаимодействия, не запрашиваются у заявителя? Если</w:t>
      </w:r>
      <w:r>
        <w:br/>
      </w:r>
      <w:r>
        <w:rPr>
          <w:rFonts w:ascii="Times New Roman"/>
          <w:b w:val="false"/>
          <w:i w:val="false"/>
          <w:color w:val="000000"/>
          <w:sz w:val="28"/>
        </w:rPr>
        <w:t>
да, укажите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Укажите акты, которыми обеспечивается эквивалентность</w:t>
      </w:r>
      <w:r>
        <w:br/>
      </w:r>
      <w:r>
        <w:rPr>
          <w:rFonts w:ascii="Times New Roman"/>
          <w:b w:val="false"/>
          <w:i w:val="false"/>
          <w:color w:val="000000"/>
          <w:sz w:val="28"/>
        </w:rPr>
        <w:t>
документов на бумажном носителе и электронных документов при</w:t>
      </w:r>
      <w:r>
        <w:br/>
      </w:r>
      <w:r>
        <w:rPr>
          <w:rFonts w:ascii="Times New Roman"/>
          <w:b w:val="false"/>
          <w:i w:val="false"/>
          <w:color w:val="000000"/>
          <w:sz w:val="28"/>
        </w:rPr>
        <w:t>
осуществлении внешнеторговых операций.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Укажите цели и задачи, которые преследует внедрение</w:t>
      </w:r>
      <w:r>
        <w:br/>
      </w:r>
      <w:r>
        <w:rPr>
          <w:rFonts w:ascii="Times New Roman"/>
          <w:b w:val="false"/>
          <w:i w:val="false"/>
          <w:color w:val="000000"/>
          <w:sz w:val="28"/>
        </w:rPr>
        <w:t>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Укажите целевые показатели, которые выбраны в качестве</w:t>
      </w:r>
      <w:r>
        <w:br/>
      </w:r>
      <w:r>
        <w:rPr>
          <w:rFonts w:ascii="Times New Roman"/>
          <w:b w:val="false"/>
          <w:i w:val="false"/>
          <w:color w:val="000000"/>
          <w:sz w:val="28"/>
        </w:rPr>
        <w:t>
ориентиров для развития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Например:</w:t>
      </w:r>
      <w:r>
        <w:br/>
      </w:r>
      <w:r>
        <w:rPr>
          <w:rFonts w:ascii="Times New Roman"/>
          <w:b w:val="false"/>
          <w:i w:val="false"/>
          <w:color w:val="000000"/>
          <w:sz w:val="28"/>
        </w:rPr>
        <w:t>
      Сокращение доли документов на бумажных носителях, необходимых</w:t>
      </w:r>
      <w:r>
        <w:br/>
      </w:r>
      <w:r>
        <w:rPr>
          <w:rFonts w:ascii="Times New Roman"/>
          <w:b w:val="false"/>
          <w:i w:val="false"/>
          <w:color w:val="000000"/>
          <w:sz w:val="28"/>
        </w:rPr>
        <w:t>
участнику внешнеэкономической деятельности для перемещения товаров</w:t>
      </w:r>
      <w:r>
        <w:br/>
      </w:r>
      <w:r>
        <w:rPr>
          <w:rFonts w:ascii="Times New Roman"/>
          <w:b w:val="false"/>
          <w:i w:val="false"/>
          <w:color w:val="000000"/>
          <w:sz w:val="28"/>
        </w:rPr>
        <w:t>
через таможенную границу Евразийского экономического союза;</w:t>
      </w:r>
      <w:r>
        <w:br/>
      </w:r>
      <w:r>
        <w:rPr>
          <w:rFonts w:ascii="Times New Roman"/>
          <w:b w:val="false"/>
          <w:i w:val="false"/>
          <w:color w:val="000000"/>
          <w:sz w:val="28"/>
        </w:rPr>
        <w:t>
      сокращение времени прохождения государственных процедур,</w:t>
      </w:r>
      <w:r>
        <w:br/>
      </w:r>
      <w:r>
        <w:rPr>
          <w:rFonts w:ascii="Times New Roman"/>
          <w:b w:val="false"/>
          <w:i w:val="false"/>
          <w:color w:val="000000"/>
          <w:sz w:val="28"/>
        </w:rPr>
        <w:t>
связанных с внешнеэкономической деятельностью (отдельно по</w:t>
      </w:r>
      <w:r>
        <w:br/>
      </w:r>
      <w:r>
        <w:rPr>
          <w:rFonts w:ascii="Times New Roman"/>
          <w:b w:val="false"/>
          <w:i w:val="false"/>
          <w:color w:val="000000"/>
          <w:sz w:val="28"/>
        </w:rPr>
        <w:t>
экспортным, импортным и транзитным операциям);</w:t>
      </w:r>
      <w:r>
        <w:br/>
      </w:r>
      <w:r>
        <w:rPr>
          <w:rFonts w:ascii="Times New Roman"/>
          <w:b w:val="false"/>
          <w:i w:val="false"/>
          <w:color w:val="000000"/>
          <w:sz w:val="28"/>
        </w:rPr>
        <w:t>
      уменьшение объема административных издержек предпринимателей</w:t>
      </w:r>
      <w:r>
        <w:br/>
      </w:r>
      <w:r>
        <w:rPr>
          <w:rFonts w:ascii="Times New Roman"/>
          <w:b w:val="false"/>
          <w:i w:val="false"/>
          <w:color w:val="000000"/>
          <w:sz w:val="28"/>
        </w:rPr>
        <w:t>
(трудовых, временных и финансовых затрат на осуществление</w:t>
      </w:r>
      <w:r>
        <w:br/>
      </w:r>
      <w:r>
        <w:rPr>
          <w:rFonts w:ascii="Times New Roman"/>
          <w:b w:val="false"/>
          <w:i w:val="false"/>
          <w:color w:val="000000"/>
          <w:sz w:val="28"/>
        </w:rPr>
        <w:t>
государственных процедур, связанных с внешнеэкономической</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      12. Укажите правовые пробелы и барьеры, которые препятствуют</w:t>
      </w:r>
      <w:r>
        <w:br/>
      </w:r>
      <w:r>
        <w:rPr>
          <w:rFonts w:ascii="Times New Roman"/>
          <w:b w:val="false"/>
          <w:i w:val="false"/>
          <w:color w:val="000000"/>
          <w:sz w:val="28"/>
        </w:rPr>
        <w:t>
развитию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Предложения и рекомендации по устранению выявленных</w:t>
      </w:r>
      <w:r>
        <w:br/>
      </w:r>
      <w:r>
        <w:rPr>
          <w:rFonts w:ascii="Times New Roman"/>
          <w:b w:val="false"/>
          <w:i w:val="false"/>
          <w:color w:val="000000"/>
          <w:sz w:val="28"/>
        </w:rPr>
        <w:t>
правовых пробелов и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II. Анализ актов по тематическому блоку «Электронная таможня»</w:t>
      </w:r>
    </w:p>
    <w:p>
      <w:pPr>
        <w:spacing w:after="0"/>
        <w:ind w:left="0"/>
        <w:jc w:val="both"/>
      </w:pPr>
      <w:r>
        <w:rPr>
          <w:rFonts w:ascii="Times New Roman"/>
          <w:b w:val="false"/>
          <w:i w:val="false"/>
          <w:color w:val="000000"/>
          <w:sz w:val="28"/>
        </w:rPr>
        <w:t>      1. Предусматривается ли актами в сфере таможенного</w:t>
      </w:r>
      <w:r>
        <w:br/>
      </w:r>
      <w:r>
        <w:rPr>
          <w:rFonts w:ascii="Times New Roman"/>
          <w:b w:val="false"/>
          <w:i w:val="false"/>
          <w:color w:val="000000"/>
          <w:sz w:val="28"/>
        </w:rPr>
        <w:t>
регулирования применение национального механизма «единого окна»? Если</w:t>
      </w:r>
      <w:r>
        <w:br/>
      </w:r>
      <w:r>
        <w:rPr>
          <w:rFonts w:ascii="Times New Roman"/>
          <w:b w:val="false"/>
          <w:i w:val="false"/>
          <w:color w:val="000000"/>
          <w:sz w:val="28"/>
        </w:rPr>
        <w:t>
да, укажите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При совершении каких таможенных операций применяется</w:t>
      </w:r>
      <w:r>
        <w:br/>
      </w:r>
      <w:r>
        <w:rPr>
          <w:rFonts w:ascii="Times New Roman"/>
          <w:b w:val="false"/>
          <w:i w:val="false"/>
          <w:color w:val="000000"/>
          <w:sz w:val="28"/>
        </w:rPr>
        <w:t>
национальный механизм «единого окна» и в каком объеме он реализован?</w:t>
      </w:r>
      <w:r>
        <w:br/>
      </w:r>
      <w:r>
        <w:rPr>
          <w:rFonts w:ascii="Times New Roman"/>
          <w:b w:val="false"/>
          <w:i w:val="false"/>
          <w:color w:val="000000"/>
          <w:sz w:val="28"/>
        </w:rPr>
        <w:t>
Укажите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Закреплен ли актами в сфере таможенного регулирования</w:t>
      </w:r>
      <w:r>
        <w:br/>
      </w:r>
      <w:r>
        <w:rPr>
          <w:rFonts w:ascii="Times New Roman"/>
          <w:b w:val="false"/>
          <w:i w:val="false"/>
          <w:color w:val="000000"/>
          <w:sz w:val="28"/>
        </w:rPr>
        <w:t>
принцип однократности представления информации? Если да, укажите</w:t>
      </w:r>
      <w:r>
        <w:br/>
      </w:r>
      <w:r>
        <w:rPr>
          <w:rFonts w:ascii="Times New Roman"/>
          <w:b w:val="false"/>
          <w:i w:val="false"/>
          <w:color w:val="000000"/>
          <w:sz w:val="28"/>
        </w:rPr>
        <w:t>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Осуществляется ли электронное декларирование? Если да,</w:t>
      </w:r>
      <w:r>
        <w:br/>
      </w:r>
      <w:r>
        <w:rPr>
          <w:rFonts w:ascii="Times New Roman"/>
          <w:b w:val="false"/>
          <w:i w:val="false"/>
          <w:color w:val="000000"/>
          <w:sz w:val="28"/>
        </w:rPr>
        <w:t>
укажите акты, которыми установлен порядок электронного</w:t>
      </w:r>
      <w:r>
        <w:br/>
      </w:r>
      <w:r>
        <w:rPr>
          <w:rFonts w:ascii="Times New Roman"/>
          <w:b w:val="false"/>
          <w:i w:val="false"/>
          <w:color w:val="000000"/>
          <w:sz w:val="28"/>
        </w:rPr>
        <w:t>
декларирования.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Требуется ли при электронном декларировании представление</w:t>
      </w:r>
      <w:r>
        <w:br/>
      </w:r>
      <w:r>
        <w:rPr>
          <w:rFonts w:ascii="Times New Roman"/>
          <w:b w:val="false"/>
          <w:i w:val="false"/>
          <w:color w:val="000000"/>
          <w:sz w:val="28"/>
        </w:rPr>
        <w:t>
сопроводительных документов? Если да, укажите, в каком виде</w:t>
      </w:r>
      <w:r>
        <w:br/>
      </w:r>
      <w:r>
        <w:rPr>
          <w:rFonts w:ascii="Times New Roman"/>
          <w:b w:val="false"/>
          <w:i w:val="false"/>
          <w:color w:val="000000"/>
          <w:sz w:val="28"/>
        </w:rPr>
        <w:t>
происходит представление сопроводительных документов: на бумажном</w:t>
      </w:r>
      <w:r>
        <w:br/>
      </w:r>
      <w:r>
        <w:rPr>
          <w:rFonts w:ascii="Times New Roman"/>
          <w:b w:val="false"/>
          <w:i w:val="false"/>
          <w:color w:val="000000"/>
          <w:sz w:val="28"/>
        </w:rPr>
        <w:t>
носителе или в электронном виде (электронный документ, электронный</w:t>
      </w:r>
      <w:r>
        <w:br/>
      </w:r>
      <w:r>
        <w:rPr>
          <w:rFonts w:ascii="Times New Roman"/>
          <w:b w:val="false"/>
          <w:i w:val="false"/>
          <w:color w:val="000000"/>
          <w:sz w:val="28"/>
        </w:rPr>
        <w:t>
вид документа, сканированный документ). Укажите, какими актами</w:t>
      </w:r>
      <w:r>
        <w:br/>
      </w:r>
      <w:r>
        <w:rPr>
          <w:rFonts w:ascii="Times New Roman"/>
          <w:b w:val="false"/>
          <w:i w:val="false"/>
          <w:color w:val="000000"/>
          <w:sz w:val="28"/>
        </w:rPr>
        <w:t>
установлены соответствующие требования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Если в рамках совершения таможенных операций осуществляется</w:t>
      </w:r>
      <w:r>
        <w:br/>
      </w:r>
      <w:r>
        <w:rPr>
          <w:rFonts w:ascii="Times New Roman"/>
          <w:b w:val="false"/>
          <w:i w:val="false"/>
          <w:color w:val="000000"/>
          <w:sz w:val="28"/>
        </w:rPr>
        <w:t>
межведомственное информационное взаимодействие в электронной форме,</w:t>
      </w:r>
      <w:r>
        <w:br/>
      </w:r>
      <w:r>
        <w:rPr>
          <w:rFonts w:ascii="Times New Roman"/>
          <w:b w:val="false"/>
          <w:i w:val="false"/>
          <w:color w:val="000000"/>
          <w:sz w:val="28"/>
        </w:rPr>
        <w:t>
укажите акты, в соответствии с которыми оно осуществляется,</w:t>
      </w:r>
      <w:r>
        <w:br/>
      </w:r>
      <w:r>
        <w:rPr>
          <w:rFonts w:ascii="Times New Roman"/>
          <w:b w:val="false"/>
          <w:i w:val="false"/>
          <w:color w:val="000000"/>
          <w:sz w:val="28"/>
        </w:rPr>
        <w:t>
уполномоченные органы государства-члена, участвующие в таком</w:t>
      </w:r>
      <w:r>
        <w:br/>
      </w:r>
      <w:r>
        <w:rPr>
          <w:rFonts w:ascii="Times New Roman"/>
          <w:b w:val="false"/>
          <w:i w:val="false"/>
          <w:color w:val="000000"/>
          <w:sz w:val="28"/>
        </w:rPr>
        <w:t>
взаимодействии, и таможенные операции, при которых оно используется.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Закреплен ли актами в сфере таможенного регулирования</w:t>
      </w:r>
      <w:r>
        <w:br/>
      </w:r>
      <w:r>
        <w:rPr>
          <w:rFonts w:ascii="Times New Roman"/>
          <w:b w:val="false"/>
          <w:i w:val="false"/>
          <w:color w:val="000000"/>
          <w:sz w:val="28"/>
        </w:rPr>
        <w:t>
порядок оформления, выдачи и использования документов в виде</w:t>
      </w:r>
      <w:r>
        <w:br/>
      </w:r>
      <w:r>
        <w:rPr>
          <w:rFonts w:ascii="Times New Roman"/>
          <w:b w:val="false"/>
          <w:i w:val="false"/>
          <w:color w:val="000000"/>
          <w:sz w:val="28"/>
        </w:rPr>
        <w:t>
электронных документов? Если да, укажите соответствующие акты и</w:t>
      </w:r>
      <w:r>
        <w:br/>
      </w:r>
      <w:r>
        <w:rPr>
          <w:rFonts w:ascii="Times New Roman"/>
          <w:b w:val="false"/>
          <w:i w:val="false"/>
          <w:color w:val="000000"/>
          <w:sz w:val="28"/>
        </w:rPr>
        <w:t>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Укажите акты, которыми регулируется межведомственное</w:t>
      </w:r>
      <w:r>
        <w:br/>
      </w:r>
      <w:r>
        <w:rPr>
          <w:rFonts w:ascii="Times New Roman"/>
          <w:b w:val="false"/>
          <w:i w:val="false"/>
          <w:color w:val="000000"/>
          <w:sz w:val="28"/>
        </w:rPr>
        <w:t>
информационное взаимодействие при осуществлении различных видов</w:t>
      </w:r>
      <w:r>
        <w:br/>
      </w:r>
      <w:r>
        <w:rPr>
          <w:rFonts w:ascii="Times New Roman"/>
          <w:b w:val="false"/>
          <w:i w:val="false"/>
          <w:color w:val="000000"/>
          <w:sz w:val="28"/>
        </w:rPr>
        <w:t>
государственного контроля на таможенной границе Евразийского</w:t>
      </w:r>
      <w:r>
        <w:br/>
      </w:r>
      <w:r>
        <w:rPr>
          <w:rFonts w:ascii="Times New Roman"/>
          <w:b w:val="false"/>
          <w:i w:val="false"/>
          <w:color w:val="000000"/>
          <w:sz w:val="28"/>
        </w:rPr>
        <w:t>
экономического союза.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Существуют ли акты, устанавливающие межведомственную систему</w:t>
      </w:r>
      <w:r>
        <w:br/>
      </w:r>
      <w:r>
        <w:rPr>
          <w:rFonts w:ascii="Times New Roman"/>
          <w:b w:val="false"/>
          <w:i w:val="false"/>
          <w:color w:val="000000"/>
          <w:sz w:val="28"/>
        </w:rPr>
        <w:t>
управления рисками? Если да, укажите соответствующие акты и приведите</w:t>
      </w:r>
      <w:r>
        <w:br/>
      </w:r>
      <w:r>
        <w:rPr>
          <w:rFonts w:ascii="Times New Roman"/>
          <w:b w:val="false"/>
          <w:i w:val="false"/>
          <w:color w:val="000000"/>
          <w:sz w:val="28"/>
        </w:rPr>
        <w:t>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Предусмотрена ли актами в сфере таможенного регулирования</w:t>
      </w:r>
      <w:r>
        <w:br/>
      </w:r>
      <w:r>
        <w:rPr>
          <w:rFonts w:ascii="Times New Roman"/>
          <w:b w:val="false"/>
          <w:i w:val="false"/>
          <w:color w:val="000000"/>
          <w:sz w:val="28"/>
        </w:rPr>
        <w:t>
возможность осуществления таможенного контроля после выпуска</w:t>
      </w:r>
      <w:r>
        <w:br/>
      </w:r>
      <w:r>
        <w:rPr>
          <w:rFonts w:ascii="Times New Roman"/>
          <w:b w:val="false"/>
          <w:i w:val="false"/>
          <w:color w:val="000000"/>
          <w:sz w:val="28"/>
        </w:rPr>
        <w:t>
посредством аудита информационных систем декларанта? Если да, укажите</w:t>
      </w:r>
      <w:r>
        <w:br/>
      </w:r>
      <w:r>
        <w:rPr>
          <w:rFonts w:ascii="Times New Roman"/>
          <w:b w:val="false"/>
          <w:i w:val="false"/>
          <w:color w:val="000000"/>
          <w:sz w:val="28"/>
        </w:rPr>
        <w:t>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Существуют ли какие-либо правовые ограничения на виды</w:t>
      </w:r>
      <w:r>
        <w:br/>
      </w:r>
      <w:r>
        <w:rPr>
          <w:rFonts w:ascii="Times New Roman"/>
          <w:b w:val="false"/>
          <w:i w:val="false"/>
          <w:color w:val="000000"/>
          <w:sz w:val="28"/>
        </w:rPr>
        <w:t>
таможенных операций, которые могут осуществляться в электронном виде?</w:t>
      </w:r>
      <w:r>
        <w:br/>
      </w:r>
      <w:r>
        <w:rPr>
          <w:rFonts w:ascii="Times New Roman"/>
          <w:b w:val="false"/>
          <w:i w:val="false"/>
          <w:color w:val="000000"/>
          <w:sz w:val="28"/>
        </w:rPr>
        <w:t>
Если да, укажите соответствующие ограничения и акты, которыми они</w:t>
      </w:r>
      <w:r>
        <w:br/>
      </w:r>
      <w:r>
        <w:rPr>
          <w:rFonts w:ascii="Times New Roman"/>
          <w:b w:val="false"/>
          <w:i w:val="false"/>
          <w:color w:val="000000"/>
          <w:sz w:val="28"/>
        </w:rPr>
        <w:t>
регулируются, и приведите выдержки из этих актов.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Укажите правовые пробелы и барьеры, которые возникают при</w:t>
      </w:r>
      <w:r>
        <w:br/>
      </w:r>
      <w:r>
        <w:rPr>
          <w:rFonts w:ascii="Times New Roman"/>
          <w:b w:val="false"/>
          <w:i w:val="false"/>
          <w:color w:val="000000"/>
          <w:sz w:val="28"/>
        </w:rPr>
        <w:t>
взаимодействии заинтересованных лиц с государственными органами и</w:t>
      </w:r>
      <w:r>
        <w:br/>
      </w:r>
      <w:r>
        <w:rPr>
          <w:rFonts w:ascii="Times New Roman"/>
          <w:b w:val="false"/>
          <w:i w:val="false"/>
          <w:color w:val="000000"/>
          <w:sz w:val="28"/>
        </w:rPr>
        <w:t>
(или) уполномоченными организациями государств-членов по</w:t>
      </w:r>
      <w:r>
        <w:br/>
      </w:r>
      <w:r>
        <w:rPr>
          <w:rFonts w:ascii="Times New Roman"/>
          <w:b w:val="false"/>
          <w:i w:val="false"/>
          <w:color w:val="000000"/>
          <w:sz w:val="28"/>
        </w:rPr>
        <w:t>
тематическому блоку «Электронная таможня» при совершении экспортных,</w:t>
      </w:r>
      <w:r>
        <w:br/>
      </w:r>
      <w:r>
        <w:rPr>
          <w:rFonts w:ascii="Times New Roman"/>
          <w:b w:val="false"/>
          <w:i w:val="false"/>
          <w:color w:val="000000"/>
          <w:sz w:val="28"/>
        </w:rPr>
        <w:t>
импортных и транзитных операций и препятствуют развитию национального</w:t>
      </w:r>
      <w:r>
        <w:br/>
      </w:r>
      <w:r>
        <w:rPr>
          <w:rFonts w:ascii="Times New Roman"/>
          <w:b w:val="false"/>
          <w:i w:val="false"/>
          <w:color w:val="000000"/>
          <w:sz w:val="28"/>
        </w:rPr>
        <w:t>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Предложения и рекомендации по устранению выявленных</w:t>
      </w:r>
      <w:r>
        <w:br/>
      </w:r>
      <w:r>
        <w:rPr>
          <w:rFonts w:ascii="Times New Roman"/>
          <w:b w:val="false"/>
          <w:i w:val="false"/>
          <w:color w:val="000000"/>
          <w:sz w:val="28"/>
        </w:rPr>
        <w:t>
правовых пробелов и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III. Анализ актов в сфере деятельности тематического блока</w:t>
      </w:r>
      <w:r>
        <w:br/>
      </w:r>
      <w:r>
        <w:rPr>
          <w:rFonts w:ascii="Times New Roman"/>
          <w:b w:val="false"/>
          <w:i w:val="false"/>
          <w:color w:val="000000"/>
          <w:sz w:val="28"/>
        </w:rPr>
        <w:t>
</w:t>
      </w:r>
      <w:r>
        <w:rPr>
          <w:rFonts w:ascii="Times New Roman"/>
          <w:b/>
          <w:i w:val="false"/>
          <w:color w:val="000000"/>
          <w:sz w:val="28"/>
        </w:rPr>
        <w:t>           «Оплата, платежи и электронная коммерция»</w:t>
      </w:r>
    </w:p>
    <w:p>
      <w:pPr>
        <w:spacing w:after="0"/>
        <w:ind w:left="0"/>
        <w:jc w:val="both"/>
      </w:pPr>
      <w:r>
        <w:rPr>
          <w:rFonts w:ascii="Times New Roman"/>
          <w:b w:val="false"/>
          <w:i w:val="false"/>
          <w:color w:val="000000"/>
          <w:sz w:val="28"/>
        </w:rPr>
        <w:t>      1. Имплементированы ли в законодательство государства-члена</w:t>
      </w:r>
      <w:r>
        <w:br/>
      </w:r>
      <w:r>
        <w:rPr>
          <w:rFonts w:ascii="Times New Roman"/>
          <w:b w:val="false"/>
          <w:i w:val="false"/>
          <w:color w:val="000000"/>
          <w:sz w:val="28"/>
        </w:rPr>
        <w:t>
положения рекомендаций Комиссии Организации Объединенных Наций по</w:t>
      </w:r>
      <w:r>
        <w:br/>
      </w:r>
      <w:r>
        <w:rPr>
          <w:rFonts w:ascii="Times New Roman"/>
          <w:b w:val="false"/>
          <w:i w:val="false"/>
          <w:color w:val="000000"/>
          <w:sz w:val="28"/>
        </w:rPr>
        <w:t>
праву международной торговли (ЮНСИТРАЛ) в части электронной торговли</w:t>
      </w:r>
      <w:r>
        <w:br/>
      </w:r>
      <w:r>
        <w:rPr>
          <w:rFonts w:ascii="Times New Roman"/>
          <w:b w:val="false"/>
          <w:i w:val="false"/>
          <w:color w:val="000000"/>
          <w:sz w:val="28"/>
        </w:rPr>
        <w:t>
(Конвенция Организации Объединенных Наций об использовании</w:t>
      </w:r>
      <w:r>
        <w:br/>
      </w:r>
      <w:r>
        <w:rPr>
          <w:rFonts w:ascii="Times New Roman"/>
          <w:b w:val="false"/>
          <w:i w:val="false"/>
          <w:color w:val="000000"/>
          <w:sz w:val="28"/>
        </w:rPr>
        <w:t>
электронных сообщений в международных договорах (Нью-Йорк, 2005 год),</w:t>
      </w:r>
      <w:r>
        <w:br/>
      </w:r>
      <w:r>
        <w:rPr>
          <w:rFonts w:ascii="Times New Roman"/>
          <w:b w:val="false"/>
          <w:i w:val="false"/>
          <w:color w:val="000000"/>
          <w:sz w:val="28"/>
        </w:rPr>
        <w:t>
Типовой закон ЮНСИТРАЛ об электронных подписях (2001 год), Типовой</w:t>
      </w:r>
      <w:r>
        <w:br/>
      </w:r>
      <w:r>
        <w:rPr>
          <w:rFonts w:ascii="Times New Roman"/>
          <w:b w:val="false"/>
          <w:i w:val="false"/>
          <w:color w:val="000000"/>
          <w:sz w:val="28"/>
        </w:rPr>
        <w:t>
закон ЮНСИТРАЛ об электронной торговле (1996 год) с дополнительной</w:t>
      </w:r>
      <w:r>
        <w:br/>
      </w:r>
      <w:r>
        <w:rPr>
          <w:rFonts w:ascii="Times New Roman"/>
          <w:b w:val="false"/>
          <w:i w:val="false"/>
          <w:color w:val="000000"/>
          <w:sz w:val="28"/>
        </w:rPr>
        <w:t>
статьей 5 bis, принятой в 1998 году)? Если да, укажите</w:t>
      </w:r>
      <w:r>
        <w:br/>
      </w:r>
      <w:r>
        <w:rPr>
          <w:rFonts w:ascii="Times New Roman"/>
          <w:b w:val="false"/>
          <w:i w:val="false"/>
          <w:color w:val="000000"/>
          <w:sz w:val="28"/>
        </w:rPr>
        <w:t>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Разрешено ли законодательством государства-члена</w:t>
      </w:r>
      <w:r>
        <w:br/>
      </w:r>
      <w:r>
        <w:rPr>
          <w:rFonts w:ascii="Times New Roman"/>
          <w:b w:val="false"/>
          <w:i w:val="false"/>
          <w:color w:val="000000"/>
          <w:sz w:val="28"/>
        </w:rPr>
        <w:t>
осуществление сделок в рамках электронной коммерции, в том числе с</w:t>
      </w:r>
      <w:r>
        <w:br/>
      </w:r>
      <w:r>
        <w:rPr>
          <w:rFonts w:ascii="Times New Roman"/>
          <w:b w:val="false"/>
          <w:i w:val="false"/>
          <w:color w:val="000000"/>
          <w:sz w:val="28"/>
        </w:rPr>
        <w:t>
использованием электронных документов и сведений? Если да, укажите</w:t>
      </w:r>
      <w:r>
        <w:br/>
      </w:r>
      <w:r>
        <w:rPr>
          <w:rFonts w:ascii="Times New Roman"/>
          <w:b w:val="false"/>
          <w:i w:val="false"/>
          <w:color w:val="000000"/>
          <w:sz w:val="28"/>
        </w:rPr>
        <w:t>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Укажите акты, которыми регулируется осуществление</w:t>
      </w:r>
      <w:r>
        <w:br/>
      </w:r>
      <w:r>
        <w:rPr>
          <w:rFonts w:ascii="Times New Roman"/>
          <w:b w:val="false"/>
          <w:i w:val="false"/>
          <w:color w:val="000000"/>
          <w:sz w:val="28"/>
        </w:rPr>
        <w:t>
международных расчетов с использованием электронных инвойсов,</w:t>
      </w:r>
      <w:r>
        <w:br/>
      </w:r>
      <w:r>
        <w:rPr>
          <w:rFonts w:ascii="Times New Roman"/>
          <w:b w:val="false"/>
          <w:i w:val="false"/>
          <w:color w:val="000000"/>
          <w:sz w:val="28"/>
        </w:rPr>
        <w:t>
контрактов.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Предусматривает ли законодательство государства-члена</w:t>
      </w:r>
      <w:r>
        <w:br/>
      </w:r>
      <w:r>
        <w:rPr>
          <w:rFonts w:ascii="Times New Roman"/>
          <w:b w:val="false"/>
          <w:i w:val="false"/>
          <w:color w:val="000000"/>
          <w:sz w:val="28"/>
        </w:rPr>
        <w:t>
принятие электронных документов и (или) сведений наравне с</w:t>
      </w:r>
      <w:r>
        <w:br/>
      </w:r>
      <w:r>
        <w:rPr>
          <w:rFonts w:ascii="Times New Roman"/>
          <w:b w:val="false"/>
          <w:i w:val="false"/>
          <w:color w:val="000000"/>
          <w:sz w:val="28"/>
        </w:rPr>
        <w:t>
документами на бумажном носителе в судах, то есть принятие судами</w:t>
      </w:r>
      <w:r>
        <w:br/>
      </w:r>
      <w:r>
        <w:rPr>
          <w:rFonts w:ascii="Times New Roman"/>
          <w:b w:val="false"/>
          <w:i w:val="false"/>
          <w:color w:val="000000"/>
          <w:sz w:val="28"/>
        </w:rPr>
        <w:t>
электронных документов и (или) сведений в качестве доказательств?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Предусматривает ли законодательство государства-члена</w:t>
      </w:r>
      <w:r>
        <w:br/>
      </w:r>
      <w:r>
        <w:rPr>
          <w:rFonts w:ascii="Times New Roman"/>
          <w:b w:val="false"/>
          <w:i w:val="false"/>
          <w:color w:val="000000"/>
          <w:sz w:val="28"/>
        </w:rPr>
        <w:t>
принятие электронных документов и (или) сведений наравне с</w:t>
      </w:r>
      <w:r>
        <w:br/>
      </w:r>
      <w:r>
        <w:rPr>
          <w:rFonts w:ascii="Times New Roman"/>
          <w:b w:val="false"/>
          <w:i w:val="false"/>
          <w:color w:val="000000"/>
          <w:sz w:val="28"/>
        </w:rPr>
        <w:t>
документами на бумажном носителе в сферах страховой и нотариальной</w:t>
      </w:r>
      <w:r>
        <w:br/>
      </w:r>
      <w:r>
        <w:rPr>
          <w:rFonts w:ascii="Times New Roman"/>
          <w:b w:val="false"/>
          <w:i w:val="false"/>
          <w:color w:val="000000"/>
          <w:sz w:val="28"/>
        </w:rPr>
        <w:t>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Закреплен ли актами в области оплаты и электронной коммерции</w:t>
      </w:r>
      <w:r>
        <w:br/>
      </w:r>
      <w:r>
        <w:rPr>
          <w:rFonts w:ascii="Times New Roman"/>
          <w:b w:val="false"/>
          <w:i w:val="false"/>
          <w:color w:val="000000"/>
          <w:sz w:val="28"/>
        </w:rPr>
        <w:t>
порядок оформления, выдачи и использования электронных документов?</w:t>
      </w:r>
      <w:r>
        <w:br/>
      </w:r>
      <w:r>
        <w:rPr>
          <w:rFonts w:ascii="Times New Roman"/>
          <w:b w:val="false"/>
          <w:i w:val="false"/>
          <w:color w:val="000000"/>
          <w:sz w:val="28"/>
        </w:rPr>
        <w:t>
Если да, укажите виды таких документов и акты, которыми регулируется</w:t>
      </w:r>
      <w:r>
        <w:br/>
      </w:r>
      <w:r>
        <w:rPr>
          <w:rFonts w:ascii="Times New Roman"/>
          <w:b w:val="false"/>
          <w:i w:val="false"/>
          <w:color w:val="000000"/>
          <w:sz w:val="28"/>
        </w:rPr>
        <w:t>
порядок их оформления, выдачи и использования.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Имеется ли возможность у заинтересованных лиц уплачивать</w:t>
      </w:r>
      <w:r>
        <w:br/>
      </w:r>
      <w:r>
        <w:rPr>
          <w:rFonts w:ascii="Times New Roman"/>
          <w:b w:val="false"/>
          <w:i w:val="false"/>
          <w:color w:val="000000"/>
          <w:sz w:val="28"/>
        </w:rPr>
        <w:t>
обязательные платежи (включая сборы за оказание государственных</w:t>
      </w:r>
      <w:r>
        <w:br/>
      </w:r>
      <w:r>
        <w:rPr>
          <w:rFonts w:ascii="Times New Roman"/>
          <w:b w:val="false"/>
          <w:i w:val="false"/>
          <w:color w:val="000000"/>
          <w:sz w:val="28"/>
        </w:rPr>
        <w:t>
услуг, налоги, таможенные платежи) в электронном виде? Если да,</w:t>
      </w:r>
      <w:r>
        <w:br/>
      </w:r>
      <w:r>
        <w:rPr>
          <w:rFonts w:ascii="Times New Roman"/>
          <w:b w:val="false"/>
          <w:i w:val="false"/>
          <w:color w:val="000000"/>
          <w:sz w:val="28"/>
        </w:rPr>
        <w:t>
укажите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Укажите акты, которыми регулируется электронный обмен</w:t>
      </w:r>
      <w:r>
        <w:br/>
      </w:r>
      <w:r>
        <w:rPr>
          <w:rFonts w:ascii="Times New Roman"/>
          <w:b w:val="false"/>
          <w:i w:val="false"/>
          <w:color w:val="000000"/>
          <w:sz w:val="28"/>
        </w:rPr>
        <w:t>
данными между государственными органами и организациями,</w:t>
      </w:r>
      <w:r>
        <w:br/>
      </w:r>
      <w:r>
        <w:rPr>
          <w:rFonts w:ascii="Times New Roman"/>
          <w:b w:val="false"/>
          <w:i w:val="false"/>
          <w:color w:val="000000"/>
          <w:sz w:val="28"/>
        </w:rPr>
        <w:t>
ответственными за регулирование и контроль международных расчетов,</w:t>
      </w:r>
      <w:r>
        <w:br/>
      </w:r>
      <w:r>
        <w:rPr>
          <w:rFonts w:ascii="Times New Roman"/>
          <w:b w:val="false"/>
          <w:i w:val="false"/>
          <w:color w:val="000000"/>
          <w:sz w:val="28"/>
        </w:rPr>
        <w:t>
предоставление финансовых гарантий, взимание платежей и налогов,</w:t>
      </w:r>
      <w:r>
        <w:br/>
      </w:r>
      <w:r>
        <w:rPr>
          <w:rFonts w:ascii="Times New Roman"/>
          <w:b w:val="false"/>
          <w:i w:val="false"/>
          <w:color w:val="000000"/>
          <w:sz w:val="28"/>
        </w:rPr>
        <w:t>
применение льгот и преференций при осуществлении внешнеэкономической</w:t>
      </w:r>
      <w:r>
        <w:br/>
      </w:r>
      <w:r>
        <w:rPr>
          <w:rFonts w:ascii="Times New Roman"/>
          <w:b w:val="false"/>
          <w:i w:val="false"/>
          <w:color w:val="000000"/>
          <w:sz w:val="28"/>
        </w:rPr>
        <w:t>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Оказывают ли нормы антимонопольного законодательства влияние</w:t>
      </w:r>
      <w:r>
        <w:br/>
      </w:r>
      <w:r>
        <w:rPr>
          <w:rFonts w:ascii="Times New Roman"/>
          <w:b w:val="false"/>
          <w:i w:val="false"/>
          <w:color w:val="000000"/>
          <w:sz w:val="28"/>
        </w:rPr>
        <w:t>
на развитие национального механизма «единого окна»? Существуют ли</w:t>
      </w:r>
      <w:r>
        <w:br/>
      </w:r>
      <w:r>
        <w:rPr>
          <w:rFonts w:ascii="Times New Roman"/>
          <w:b w:val="false"/>
          <w:i w:val="false"/>
          <w:color w:val="000000"/>
          <w:sz w:val="28"/>
        </w:rPr>
        <w:t>
нормы в антимонопольном законодательстве, которые могут сдерживать</w:t>
      </w:r>
      <w:r>
        <w:br/>
      </w:r>
      <w:r>
        <w:rPr>
          <w:rFonts w:ascii="Times New Roman"/>
          <w:b w:val="false"/>
          <w:i w:val="false"/>
          <w:color w:val="000000"/>
          <w:sz w:val="28"/>
        </w:rPr>
        <w:t>
развитие национального механизма «единого окна»? Если да, укажите</w:t>
      </w:r>
      <w:r>
        <w:br/>
      </w:r>
      <w:r>
        <w:rPr>
          <w:rFonts w:ascii="Times New Roman"/>
          <w:b w:val="false"/>
          <w:i w:val="false"/>
          <w:color w:val="000000"/>
          <w:sz w:val="28"/>
        </w:rPr>
        <w:t>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Укажите правовые пробелы и барьеры в законодательстве,</w:t>
      </w:r>
      <w:r>
        <w:br/>
      </w:r>
      <w:r>
        <w:rPr>
          <w:rFonts w:ascii="Times New Roman"/>
          <w:b w:val="false"/>
          <w:i w:val="false"/>
          <w:color w:val="000000"/>
          <w:sz w:val="28"/>
        </w:rPr>
        <w:t>
которые препятствуют развитию электронной коммерции, а также укажите</w:t>
      </w:r>
      <w:r>
        <w:br/>
      </w:r>
      <w:r>
        <w:rPr>
          <w:rFonts w:ascii="Times New Roman"/>
          <w:b w:val="false"/>
          <w:i w:val="false"/>
          <w:color w:val="000000"/>
          <w:sz w:val="28"/>
        </w:rPr>
        <w:t>
акты, требующие анализа и совершенствования норм в целях устранения</w:t>
      </w:r>
      <w:r>
        <w:br/>
      </w:r>
      <w:r>
        <w:rPr>
          <w:rFonts w:ascii="Times New Roman"/>
          <w:b w:val="false"/>
          <w:i w:val="false"/>
          <w:color w:val="000000"/>
          <w:sz w:val="28"/>
        </w:rPr>
        <w:t>
выявленных правовых пробелов и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Предложения и рекомендации по устранению выявленных</w:t>
      </w:r>
      <w:r>
        <w:br/>
      </w:r>
      <w:r>
        <w:rPr>
          <w:rFonts w:ascii="Times New Roman"/>
          <w:b w:val="false"/>
          <w:i w:val="false"/>
          <w:color w:val="000000"/>
          <w:sz w:val="28"/>
        </w:rPr>
        <w:t>
правовых пробелов и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IV. Анализ актов в сфере деятельности тематического блока</w:t>
      </w:r>
      <w:r>
        <w:br/>
      </w:r>
      <w:r>
        <w:rPr>
          <w:rFonts w:ascii="Times New Roman"/>
          <w:b w:val="false"/>
          <w:i w:val="false"/>
          <w:color w:val="000000"/>
          <w:sz w:val="28"/>
        </w:rPr>
        <w:t>
</w:t>
      </w:r>
      <w:r>
        <w:rPr>
          <w:rFonts w:ascii="Times New Roman"/>
          <w:b/>
          <w:i w:val="false"/>
          <w:color w:val="000000"/>
          <w:sz w:val="28"/>
        </w:rPr>
        <w:t>                   «Разрешительные документы»</w:t>
      </w:r>
    </w:p>
    <w:p>
      <w:pPr>
        <w:spacing w:after="0"/>
        <w:ind w:left="0"/>
        <w:jc w:val="both"/>
      </w:pPr>
      <w:r>
        <w:rPr>
          <w:rFonts w:ascii="Times New Roman"/>
          <w:b w:val="false"/>
          <w:i w:val="false"/>
          <w:color w:val="000000"/>
          <w:sz w:val="28"/>
        </w:rPr>
        <w:t>      1. Укажите акты, которыми регулируется переход государственных</w:t>
      </w:r>
      <w:r>
        <w:br/>
      </w:r>
      <w:r>
        <w:rPr>
          <w:rFonts w:ascii="Times New Roman"/>
          <w:b w:val="false"/>
          <w:i w:val="false"/>
          <w:color w:val="000000"/>
          <w:sz w:val="28"/>
        </w:rPr>
        <w:t>
органов и организаций, ответственных за государственное регулирование</w:t>
      </w:r>
      <w:r>
        <w:br/>
      </w:r>
      <w:r>
        <w:rPr>
          <w:rFonts w:ascii="Times New Roman"/>
          <w:b w:val="false"/>
          <w:i w:val="false"/>
          <w:color w:val="000000"/>
          <w:sz w:val="28"/>
        </w:rPr>
        <w:t>
внешнеторговой деятельности, на предоставление государственных услуг</w:t>
      </w:r>
      <w:r>
        <w:br/>
      </w:r>
      <w:r>
        <w:rPr>
          <w:rFonts w:ascii="Times New Roman"/>
          <w:b w:val="false"/>
          <w:i w:val="false"/>
          <w:color w:val="000000"/>
          <w:sz w:val="28"/>
        </w:rPr>
        <w:t>
по разрешительным документам в электронной форме.</w:t>
      </w:r>
    </w:p>
    <w:p>
      <w:pPr>
        <w:spacing w:after="0"/>
        <w:ind w:left="0"/>
        <w:jc w:val="both"/>
      </w:pPr>
      <w:r>
        <w:rPr>
          <w:rFonts w:ascii="Times New Roman"/>
          <w:b w:val="false"/>
          <w:i w:val="false"/>
          <w:color w:val="000000"/>
          <w:sz w:val="28"/>
        </w:rPr>
        <w:t>      В сфере налогового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валютного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таможенно-тарифного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нетарифного регулирования:</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В сфере технического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применения санитарных, ветеринарно-санитарных и</w:t>
      </w:r>
      <w:r>
        <w:br/>
      </w:r>
      <w:r>
        <w:rPr>
          <w:rFonts w:ascii="Times New Roman"/>
          <w:b w:val="false"/>
          <w:i w:val="false"/>
          <w:color w:val="000000"/>
          <w:sz w:val="28"/>
        </w:rPr>
        <w:t>
карантинных фитосанитарных 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интеллектуальной собственности: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Укажите акты, которыми обеспечивается межведомственное</w:t>
      </w:r>
      <w:r>
        <w:br/>
      </w:r>
      <w:r>
        <w:rPr>
          <w:rFonts w:ascii="Times New Roman"/>
          <w:b w:val="false"/>
          <w:i w:val="false"/>
          <w:color w:val="000000"/>
          <w:sz w:val="28"/>
        </w:rPr>
        <w:t>
информационное взаимодействие. В каких актах предусмотрен обмен</w:t>
      </w:r>
      <w:r>
        <w:br/>
      </w:r>
      <w:r>
        <w:rPr>
          <w:rFonts w:ascii="Times New Roman"/>
          <w:b w:val="false"/>
          <w:i w:val="false"/>
          <w:color w:val="000000"/>
          <w:sz w:val="28"/>
        </w:rPr>
        <w:t>
юридически значимыми электронными документами и сведениями о выданных</w:t>
      </w:r>
      <w:r>
        <w:br/>
      </w:r>
      <w:r>
        <w:rPr>
          <w:rFonts w:ascii="Times New Roman"/>
          <w:b w:val="false"/>
          <w:i w:val="false"/>
          <w:color w:val="000000"/>
          <w:sz w:val="28"/>
        </w:rPr>
        <w:t>
разрешительных документах?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Закреплен ли актами в рассматриваемых сферах регулирования</w:t>
      </w:r>
      <w:r>
        <w:br/>
      </w:r>
      <w:r>
        <w:rPr>
          <w:rFonts w:ascii="Times New Roman"/>
          <w:b w:val="false"/>
          <w:i w:val="false"/>
          <w:color w:val="000000"/>
          <w:sz w:val="28"/>
        </w:rPr>
        <w:t>
порядок оформления, выдачи и использования электронных документов?</w:t>
      </w:r>
      <w:r>
        <w:br/>
      </w:r>
      <w:r>
        <w:rPr>
          <w:rFonts w:ascii="Times New Roman"/>
          <w:b w:val="false"/>
          <w:i w:val="false"/>
          <w:color w:val="000000"/>
          <w:sz w:val="28"/>
        </w:rPr>
        <w:t>
Если да, укажите виды таких документов и акты, которыми регулируется</w:t>
      </w:r>
      <w:r>
        <w:br/>
      </w:r>
      <w:r>
        <w:rPr>
          <w:rFonts w:ascii="Times New Roman"/>
          <w:b w:val="false"/>
          <w:i w:val="false"/>
          <w:color w:val="000000"/>
          <w:sz w:val="28"/>
        </w:rPr>
        <w:t>
порядок их оформления, выдачи и использования.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налогового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валютного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таможенно-тарифного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нетарифного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технического регулирования: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применения санитарных, ветеринарно-санитарных и</w:t>
      </w:r>
      <w:r>
        <w:br/>
      </w:r>
      <w:r>
        <w:rPr>
          <w:rFonts w:ascii="Times New Roman"/>
          <w:b w:val="false"/>
          <w:i w:val="false"/>
          <w:color w:val="000000"/>
          <w:sz w:val="28"/>
        </w:rPr>
        <w:t>
карантинных фитосанитарных 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сфере интеллектуальной собственности: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Закреплен ли актами принцип однократности представления</w:t>
      </w:r>
      <w:r>
        <w:br/>
      </w:r>
      <w:r>
        <w:rPr>
          <w:rFonts w:ascii="Times New Roman"/>
          <w:b w:val="false"/>
          <w:i w:val="false"/>
          <w:color w:val="000000"/>
          <w:sz w:val="28"/>
        </w:rPr>
        <w:t>
информации при направлении запросов на выдачу разрешительных</w:t>
      </w:r>
      <w:r>
        <w:br/>
      </w:r>
      <w:r>
        <w:rPr>
          <w:rFonts w:ascii="Times New Roman"/>
          <w:b w:val="false"/>
          <w:i w:val="false"/>
          <w:color w:val="000000"/>
          <w:sz w:val="28"/>
        </w:rPr>
        <w:t>
документов? Если да, укажите акты, которыми это установлено.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Укажите правовые пробелы и барьеры, которые препятствуют</w:t>
      </w:r>
      <w:r>
        <w:br/>
      </w:r>
      <w:r>
        <w:rPr>
          <w:rFonts w:ascii="Times New Roman"/>
          <w:b w:val="false"/>
          <w:i w:val="false"/>
          <w:color w:val="000000"/>
          <w:sz w:val="28"/>
        </w:rPr>
        <w:t>
развитию электронного документооборота разрешительных документов, а</w:t>
      </w:r>
      <w:r>
        <w:br/>
      </w:r>
      <w:r>
        <w:rPr>
          <w:rFonts w:ascii="Times New Roman"/>
          <w:b w:val="false"/>
          <w:i w:val="false"/>
          <w:color w:val="000000"/>
          <w:sz w:val="28"/>
        </w:rPr>
        <w:t>
также акты, требующие анализа и совершенствования норм в целях</w:t>
      </w:r>
      <w:r>
        <w:br/>
      </w:r>
      <w:r>
        <w:rPr>
          <w:rFonts w:ascii="Times New Roman"/>
          <w:b w:val="false"/>
          <w:i w:val="false"/>
          <w:color w:val="000000"/>
          <w:sz w:val="28"/>
        </w:rPr>
        <w:t>
устранения выявленных пробелов и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Предложения и рекомендации по устранению выявленных правовых</w:t>
      </w:r>
      <w:r>
        <w:br/>
      </w:r>
      <w:r>
        <w:rPr>
          <w:rFonts w:ascii="Times New Roman"/>
          <w:b w:val="false"/>
          <w:i w:val="false"/>
          <w:color w:val="000000"/>
          <w:sz w:val="28"/>
        </w:rPr>
        <w:t>
пробелов и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V. Анализ актов в сфере деятельности тематического блока</w:t>
      </w:r>
      <w:r>
        <w:br/>
      </w:r>
      <w:r>
        <w:rPr>
          <w:rFonts w:ascii="Times New Roman"/>
          <w:b w:val="false"/>
          <w:i w:val="false"/>
          <w:color w:val="000000"/>
          <w:sz w:val="28"/>
        </w:rPr>
        <w:t>
</w:t>
      </w:r>
      <w:r>
        <w:rPr>
          <w:rFonts w:ascii="Times New Roman"/>
          <w:b/>
          <w:i w:val="false"/>
          <w:color w:val="000000"/>
          <w:sz w:val="28"/>
        </w:rPr>
        <w:t>                    «Транспорт и логистика»</w:t>
      </w:r>
    </w:p>
    <w:p>
      <w:pPr>
        <w:spacing w:after="0"/>
        <w:ind w:left="0"/>
        <w:jc w:val="both"/>
      </w:pPr>
      <w:r>
        <w:rPr>
          <w:rFonts w:ascii="Times New Roman"/>
          <w:b w:val="false"/>
          <w:i w:val="false"/>
          <w:color w:val="000000"/>
          <w:sz w:val="28"/>
        </w:rPr>
        <w:t>      1. Существуют ли акты, устанавливающие порядок информационного</w:t>
      </w:r>
      <w:r>
        <w:br/>
      </w:r>
      <w:r>
        <w:rPr>
          <w:rFonts w:ascii="Times New Roman"/>
          <w:b w:val="false"/>
          <w:i w:val="false"/>
          <w:color w:val="000000"/>
          <w:sz w:val="28"/>
        </w:rPr>
        <w:t>
взаимодействия в электронном виде между контролирующими</w:t>
      </w:r>
      <w:r>
        <w:br/>
      </w:r>
      <w:r>
        <w:rPr>
          <w:rFonts w:ascii="Times New Roman"/>
          <w:b w:val="false"/>
          <w:i w:val="false"/>
          <w:color w:val="000000"/>
          <w:sz w:val="28"/>
        </w:rPr>
        <w:t>
государственными органами и перевозчиками, осуществляющими</w:t>
      </w:r>
      <w:r>
        <w:br/>
      </w:r>
      <w:r>
        <w:rPr>
          <w:rFonts w:ascii="Times New Roman"/>
          <w:b w:val="false"/>
          <w:i w:val="false"/>
          <w:color w:val="000000"/>
          <w:sz w:val="28"/>
        </w:rPr>
        <w:t>
международные перевозки? Если да, укажите соответствующие акты и</w:t>
      </w:r>
      <w:r>
        <w:br/>
      </w:r>
      <w:r>
        <w:rPr>
          <w:rFonts w:ascii="Times New Roman"/>
          <w:b w:val="false"/>
          <w:i w:val="false"/>
          <w:color w:val="000000"/>
          <w:sz w:val="28"/>
        </w:rPr>
        <w:t>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Закреплен ли актами в сфере транспорта и логистики порядок</w:t>
      </w:r>
      <w:r>
        <w:br/>
      </w:r>
      <w:r>
        <w:rPr>
          <w:rFonts w:ascii="Times New Roman"/>
          <w:b w:val="false"/>
          <w:i w:val="false"/>
          <w:color w:val="000000"/>
          <w:sz w:val="28"/>
        </w:rPr>
        <w:t>
оформления, выдачи и использования электронных документов? Если да,</w:t>
      </w:r>
      <w:r>
        <w:br/>
      </w:r>
      <w:r>
        <w:rPr>
          <w:rFonts w:ascii="Times New Roman"/>
          <w:b w:val="false"/>
          <w:i w:val="false"/>
          <w:color w:val="000000"/>
          <w:sz w:val="28"/>
        </w:rPr>
        <w:t>
укажите виды таких документов и акты, которыми регулируется порядок</w:t>
      </w:r>
      <w:r>
        <w:br/>
      </w:r>
      <w:r>
        <w:rPr>
          <w:rFonts w:ascii="Times New Roman"/>
          <w:b w:val="false"/>
          <w:i w:val="false"/>
          <w:color w:val="000000"/>
          <w:sz w:val="28"/>
        </w:rPr>
        <w:t>
их оформления, выдачи и использования.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Укажите правовые пробелы и барьеры, которые препятствуют</w:t>
      </w:r>
      <w:r>
        <w:br/>
      </w:r>
      <w:r>
        <w:rPr>
          <w:rFonts w:ascii="Times New Roman"/>
          <w:b w:val="false"/>
          <w:i w:val="false"/>
          <w:color w:val="000000"/>
          <w:sz w:val="28"/>
        </w:rPr>
        <w:t>
переводу товаросопроводительных документов в электронный вид и</w:t>
      </w:r>
      <w:r>
        <w:br/>
      </w:r>
      <w:r>
        <w:rPr>
          <w:rFonts w:ascii="Times New Roman"/>
          <w:b w:val="false"/>
          <w:i w:val="false"/>
          <w:color w:val="000000"/>
          <w:sz w:val="28"/>
        </w:rPr>
        <w:t>
организации обмена электронными транспортными накладными (или</w:t>
      </w:r>
      <w:r>
        <w:br/>
      </w:r>
      <w:r>
        <w:rPr>
          <w:rFonts w:ascii="Times New Roman"/>
          <w:b w:val="false"/>
          <w:i w:val="false"/>
          <w:color w:val="000000"/>
          <w:sz w:val="28"/>
        </w:rPr>
        <w:t>
содержащимися в них сведениями), а также акты, требующие анализа и</w:t>
      </w:r>
      <w:r>
        <w:br/>
      </w:r>
      <w:r>
        <w:rPr>
          <w:rFonts w:ascii="Times New Roman"/>
          <w:b w:val="false"/>
          <w:i w:val="false"/>
          <w:color w:val="000000"/>
          <w:sz w:val="28"/>
        </w:rPr>
        <w:t>
совершенствования норм в целях устранения выявленных пробелов и</w:t>
      </w:r>
      <w:r>
        <w:br/>
      </w:r>
      <w:r>
        <w:rPr>
          <w:rFonts w:ascii="Times New Roman"/>
          <w:b w:val="false"/>
          <w:i w:val="false"/>
          <w:color w:val="000000"/>
          <w:sz w:val="28"/>
        </w:rPr>
        <w:t>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Предложения и рекомендации по устранению выявленных правовых</w:t>
      </w:r>
      <w:r>
        <w:br/>
      </w:r>
      <w:r>
        <w:rPr>
          <w:rFonts w:ascii="Times New Roman"/>
          <w:b w:val="false"/>
          <w:i w:val="false"/>
          <w:color w:val="000000"/>
          <w:sz w:val="28"/>
        </w:rPr>
        <w:t>
пробелов и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VI. Анализ актов в сфере деятельности тематического блока</w:t>
      </w:r>
      <w:r>
        <w:br/>
      </w:r>
      <w:r>
        <w:rPr>
          <w:rFonts w:ascii="Times New Roman"/>
          <w:b w:val="false"/>
          <w:i w:val="false"/>
          <w:color w:val="000000"/>
          <w:sz w:val="28"/>
        </w:rPr>
        <w:t>
</w:t>
      </w:r>
      <w:r>
        <w:rPr>
          <w:rFonts w:ascii="Times New Roman"/>
          <w:b/>
          <w:i w:val="false"/>
          <w:color w:val="000000"/>
          <w:sz w:val="28"/>
        </w:rPr>
        <w:t>                  «Информационные технологии»</w:t>
      </w:r>
    </w:p>
    <w:p>
      <w:pPr>
        <w:spacing w:after="0"/>
        <w:ind w:left="0"/>
        <w:jc w:val="both"/>
      </w:pPr>
      <w:r>
        <w:rPr>
          <w:rFonts w:ascii="Times New Roman"/>
          <w:b w:val="false"/>
          <w:i w:val="false"/>
          <w:color w:val="000000"/>
          <w:sz w:val="28"/>
        </w:rPr>
        <w:t>      1. Существуют ли акты, устанавливающие порядок получения</w:t>
      </w:r>
      <w:r>
        <w:br/>
      </w:r>
      <w:r>
        <w:rPr>
          <w:rFonts w:ascii="Times New Roman"/>
          <w:b w:val="false"/>
          <w:i w:val="false"/>
          <w:color w:val="000000"/>
          <w:sz w:val="28"/>
        </w:rPr>
        <w:t>
доступа к национальному механизму «единого окна»? Если да, укажите</w:t>
      </w:r>
      <w:r>
        <w:br/>
      </w:r>
      <w:r>
        <w:rPr>
          <w:rFonts w:ascii="Times New Roman"/>
          <w:b w:val="false"/>
          <w:i w:val="false"/>
          <w:color w:val="000000"/>
          <w:sz w:val="28"/>
        </w:rPr>
        <w:t>
соответствующие акты и приведите выдержки из них.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Существуют ли акты, устанавливающие порядок информационного</w:t>
      </w:r>
      <w:r>
        <w:br/>
      </w:r>
      <w:r>
        <w:rPr>
          <w:rFonts w:ascii="Times New Roman"/>
          <w:b w:val="false"/>
          <w:i w:val="false"/>
          <w:color w:val="000000"/>
          <w:sz w:val="28"/>
        </w:rPr>
        <w:t>
обмена в электронном виде между участниками внешнеэкономической</w:t>
      </w:r>
      <w:r>
        <w:br/>
      </w:r>
      <w:r>
        <w:rPr>
          <w:rFonts w:ascii="Times New Roman"/>
          <w:b w:val="false"/>
          <w:i w:val="false"/>
          <w:color w:val="000000"/>
          <w:sz w:val="28"/>
        </w:rPr>
        <w:t>
деятельности, государственными органами и (или) уполномоченными</w:t>
      </w:r>
      <w:r>
        <w:br/>
      </w:r>
      <w:r>
        <w:rPr>
          <w:rFonts w:ascii="Times New Roman"/>
          <w:b w:val="false"/>
          <w:i w:val="false"/>
          <w:color w:val="000000"/>
          <w:sz w:val="28"/>
        </w:rPr>
        <w:t>
организациями? Если да,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Существуют ли акты, устанавливающие форматы и структуры</w:t>
      </w:r>
      <w:r>
        <w:br/>
      </w:r>
      <w:r>
        <w:rPr>
          <w:rFonts w:ascii="Times New Roman"/>
          <w:b w:val="false"/>
          <w:i w:val="false"/>
          <w:color w:val="000000"/>
          <w:sz w:val="28"/>
        </w:rPr>
        <w:t>
электронных документов и (или) сведений, подлежащих обмену в ходе</w:t>
      </w:r>
      <w:r>
        <w:br/>
      </w:r>
      <w:r>
        <w:rPr>
          <w:rFonts w:ascii="Times New Roman"/>
          <w:b w:val="false"/>
          <w:i w:val="false"/>
          <w:color w:val="000000"/>
          <w:sz w:val="28"/>
        </w:rPr>
        <w:t>
взаимодействия в электронном виде между участниками</w:t>
      </w:r>
      <w:r>
        <w:br/>
      </w:r>
      <w:r>
        <w:rPr>
          <w:rFonts w:ascii="Times New Roman"/>
          <w:b w:val="false"/>
          <w:i w:val="false"/>
          <w:color w:val="000000"/>
          <w:sz w:val="28"/>
        </w:rPr>
        <w:t>
внешнеэкономической деятельности и государственными</w:t>
      </w:r>
      <w:r>
        <w:br/>
      </w:r>
      <w:r>
        <w:rPr>
          <w:rFonts w:ascii="Times New Roman"/>
          <w:b w:val="false"/>
          <w:i w:val="false"/>
          <w:color w:val="000000"/>
          <w:sz w:val="28"/>
        </w:rPr>
        <w:t>
контролирующими органами? Если да,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Укажите акты, в соответствии с которыми осуществляется</w:t>
      </w:r>
      <w:r>
        <w:br/>
      </w:r>
      <w:r>
        <w:rPr>
          <w:rFonts w:ascii="Times New Roman"/>
          <w:b w:val="false"/>
          <w:i w:val="false"/>
          <w:color w:val="000000"/>
          <w:sz w:val="28"/>
        </w:rPr>
        <w:t>
развитие информационных систем межведомственного информационного</w:t>
      </w:r>
      <w:r>
        <w:br/>
      </w:r>
      <w:r>
        <w:rPr>
          <w:rFonts w:ascii="Times New Roman"/>
          <w:b w:val="false"/>
          <w:i w:val="false"/>
          <w:color w:val="000000"/>
          <w:sz w:val="28"/>
        </w:rPr>
        <w:t>
взаимодействия.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Существуют ли акты, устанавливающие перечень доступных для</w:t>
      </w:r>
      <w:r>
        <w:br/>
      </w:r>
      <w:r>
        <w:rPr>
          <w:rFonts w:ascii="Times New Roman"/>
          <w:b w:val="false"/>
          <w:i w:val="false"/>
          <w:color w:val="000000"/>
          <w:sz w:val="28"/>
        </w:rPr>
        <w:t>
бизнеса электронных государственных услуг и сервисов? Если да,</w:t>
      </w:r>
      <w:r>
        <w:br/>
      </w:r>
      <w:r>
        <w:rPr>
          <w:rFonts w:ascii="Times New Roman"/>
          <w:b w:val="false"/>
          <w:i w:val="false"/>
          <w:color w:val="000000"/>
          <w:sz w:val="28"/>
        </w:rPr>
        <w:t>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Укажите правовые пробелы и барьеры, которые препятствуют</w:t>
      </w:r>
      <w:r>
        <w:br/>
      </w:r>
      <w:r>
        <w:rPr>
          <w:rFonts w:ascii="Times New Roman"/>
          <w:b w:val="false"/>
          <w:i w:val="false"/>
          <w:color w:val="000000"/>
          <w:sz w:val="28"/>
        </w:rPr>
        <w:t>
развитию информационных систем межведомственного информационного</w:t>
      </w:r>
      <w:r>
        <w:br/>
      </w:r>
      <w:r>
        <w:rPr>
          <w:rFonts w:ascii="Times New Roman"/>
          <w:b w:val="false"/>
          <w:i w:val="false"/>
          <w:color w:val="000000"/>
          <w:sz w:val="28"/>
        </w:rPr>
        <w:t>
взаимодействия.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Укажите акты, которыми установлены требования по защите</w:t>
      </w:r>
      <w:r>
        <w:br/>
      </w:r>
      <w:r>
        <w:rPr>
          <w:rFonts w:ascii="Times New Roman"/>
          <w:b w:val="false"/>
          <w:i w:val="false"/>
          <w:color w:val="000000"/>
          <w:sz w:val="28"/>
        </w:rPr>
        <w:t>
данных, полученных от участников внешнеэкономической деятельности в</w:t>
      </w:r>
      <w:r>
        <w:br/>
      </w:r>
      <w:r>
        <w:rPr>
          <w:rFonts w:ascii="Times New Roman"/>
          <w:b w:val="false"/>
          <w:i w:val="false"/>
          <w:color w:val="000000"/>
          <w:sz w:val="28"/>
        </w:rPr>
        <w:t>
электронном виде.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Укажите акты, которыми установлены требования по защите</w:t>
      </w:r>
      <w:r>
        <w:br/>
      </w:r>
      <w:r>
        <w:rPr>
          <w:rFonts w:ascii="Times New Roman"/>
          <w:b w:val="false"/>
          <w:i w:val="false"/>
          <w:color w:val="000000"/>
          <w:sz w:val="28"/>
        </w:rPr>
        <w:t>
персональных данных.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Существуют ли акты, устанавливающие четкие процедуры</w:t>
      </w:r>
      <w:r>
        <w:br/>
      </w:r>
      <w:r>
        <w:rPr>
          <w:rFonts w:ascii="Times New Roman"/>
          <w:b w:val="false"/>
          <w:i w:val="false"/>
          <w:color w:val="000000"/>
          <w:sz w:val="28"/>
        </w:rPr>
        <w:t>
идентификации, аутентификации и авторизации пользователей для доступа</w:t>
      </w:r>
      <w:r>
        <w:br/>
      </w:r>
      <w:r>
        <w:rPr>
          <w:rFonts w:ascii="Times New Roman"/>
          <w:b w:val="false"/>
          <w:i w:val="false"/>
          <w:color w:val="000000"/>
          <w:sz w:val="28"/>
        </w:rPr>
        <w:t>
к национальному механизму «единого окна»? Если да, укажите</w:t>
      </w:r>
      <w:r>
        <w:br/>
      </w:r>
      <w:r>
        <w:rPr>
          <w:rFonts w:ascii="Times New Roman"/>
          <w:b w:val="false"/>
          <w:i w:val="false"/>
          <w:color w:val="000000"/>
          <w:sz w:val="28"/>
        </w:rPr>
        <w:t>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Существуют ли акты, устанавливающие требования к выпуску и</w:t>
      </w:r>
      <w:r>
        <w:br/>
      </w:r>
      <w:r>
        <w:rPr>
          <w:rFonts w:ascii="Times New Roman"/>
          <w:b w:val="false"/>
          <w:i w:val="false"/>
          <w:color w:val="000000"/>
          <w:sz w:val="28"/>
        </w:rPr>
        <w:t>
использованию электронных цифровых подписей (электронных подписей)?</w:t>
      </w:r>
      <w:r>
        <w:br/>
      </w:r>
      <w:r>
        <w:rPr>
          <w:rFonts w:ascii="Times New Roman"/>
          <w:b w:val="false"/>
          <w:i w:val="false"/>
          <w:color w:val="000000"/>
          <w:sz w:val="28"/>
        </w:rPr>
        <w:t>
Если да,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Существуют ли акты, которые регламентируют условия или</w:t>
      </w:r>
      <w:r>
        <w:br/>
      </w:r>
      <w:r>
        <w:rPr>
          <w:rFonts w:ascii="Times New Roman"/>
          <w:b w:val="false"/>
          <w:i w:val="false"/>
          <w:color w:val="000000"/>
          <w:sz w:val="28"/>
        </w:rPr>
        <w:t>
требования для использования или принятия электронных цифровых</w:t>
      </w:r>
      <w:r>
        <w:br/>
      </w:r>
      <w:r>
        <w:rPr>
          <w:rFonts w:ascii="Times New Roman"/>
          <w:b w:val="false"/>
          <w:i w:val="false"/>
          <w:color w:val="000000"/>
          <w:sz w:val="28"/>
        </w:rPr>
        <w:t>
подписей (электронных подписей) на электронных документах, созданных</w:t>
      </w:r>
      <w:r>
        <w:br/>
      </w:r>
      <w:r>
        <w:rPr>
          <w:rFonts w:ascii="Times New Roman"/>
          <w:b w:val="false"/>
          <w:i w:val="false"/>
          <w:color w:val="000000"/>
          <w:sz w:val="28"/>
        </w:rPr>
        <w:t>
в других государствах при осуществлении трансграничных электронных</w:t>
      </w:r>
      <w:r>
        <w:br/>
      </w:r>
      <w:r>
        <w:rPr>
          <w:rFonts w:ascii="Times New Roman"/>
          <w:b w:val="false"/>
          <w:i w:val="false"/>
          <w:color w:val="000000"/>
          <w:sz w:val="28"/>
        </w:rPr>
        <w:t>
сделок? Если да,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Существуют ли акты или международные договоры о взаимном</w:t>
      </w:r>
      <w:r>
        <w:br/>
      </w:r>
      <w:r>
        <w:rPr>
          <w:rFonts w:ascii="Times New Roman"/>
          <w:b w:val="false"/>
          <w:i w:val="false"/>
          <w:color w:val="000000"/>
          <w:sz w:val="28"/>
        </w:rPr>
        <w:t>
признании электронных документов с другими государствами? Если да,</w:t>
      </w:r>
      <w:r>
        <w:br/>
      </w:r>
      <w:r>
        <w:rPr>
          <w:rFonts w:ascii="Times New Roman"/>
          <w:b w:val="false"/>
          <w:i w:val="false"/>
          <w:color w:val="000000"/>
          <w:sz w:val="28"/>
        </w:rPr>
        <w:t>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Существуют ли акты, регулирующие ответственность за ввод</w:t>
      </w:r>
      <w:r>
        <w:br/>
      </w:r>
      <w:r>
        <w:rPr>
          <w:rFonts w:ascii="Times New Roman"/>
          <w:b w:val="false"/>
          <w:i w:val="false"/>
          <w:color w:val="000000"/>
          <w:sz w:val="28"/>
        </w:rPr>
        <w:t>
данных, используемых в рамках национального механизма «единого окна»,</w:t>
      </w:r>
      <w:r>
        <w:br/>
      </w:r>
      <w:r>
        <w:rPr>
          <w:rFonts w:ascii="Times New Roman"/>
          <w:b w:val="false"/>
          <w:i w:val="false"/>
          <w:color w:val="000000"/>
          <w:sz w:val="28"/>
        </w:rPr>
        <w:t>
а также за их последующую обработку, пересылку и использование? Если</w:t>
      </w:r>
      <w:r>
        <w:br/>
      </w:r>
      <w:r>
        <w:rPr>
          <w:rFonts w:ascii="Times New Roman"/>
          <w:b w:val="false"/>
          <w:i w:val="false"/>
          <w:color w:val="000000"/>
          <w:sz w:val="28"/>
        </w:rPr>
        <w:t>
да,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Существуют ли акты, регулирующие вопросы информационной</w:t>
      </w:r>
      <w:r>
        <w:br/>
      </w:r>
      <w:r>
        <w:rPr>
          <w:rFonts w:ascii="Times New Roman"/>
          <w:b w:val="false"/>
          <w:i w:val="false"/>
          <w:color w:val="000000"/>
          <w:sz w:val="28"/>
        </w:rPr>
        <w:t>
безопасности в рамках национального механизма «единого окна», включая</w:t>
      </w:r>
      <w:r>
        <w:br/>
      </w:r>
      <w:r>
        <w:rPr>
          <w:rFonts w:ascii="Times New Roman"/>
          <w:b w:val="false"/>
          <w:i w:val="false"/>
          <w:color w:val="000000"/>
          <w:sz w:val="28"/>
        </w:rPr>
        <w:t>
порядок доступа к электронным документам? Если да, укажите</w:t>
      </w:r>
      <w:r>
        <w:br/>
      </w:r>
      <w:r>
        <w:rPr>
          <w:rFonts w:ascii="Times New Roman"/>
          <w:b w:val="false"/>
          <w:i w:val="false"/>
          <w:color w:val="000000"/>
          <w:sz w:val="28"/>
        </w:rPr>
        <w:t>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Существуют ли акты, регулирующие порядок хранения и</w:t>
      </w:r>
      <w:r>
        <w:br/>
      </w:r>
      <w:r>
        <w:rPr>
          <w:rFonts w:ascii="Times New Roman"/>
          <w:b w:val="false"/>
          <w:i w:val="false"/>
          <w:color w:val="000000"/>
          <w:sz w:val="28"/>
        </w:rPr>
        <w:t>
архивирования данных в рамках национального механизма «единого окна»?</w:t>
      </w:r>
      <w:r>
        <w:br/>
      </w:r>
      <w:r>
        <w:rPr>
          <w:rFonts w:ascii="Times New Roman"/>
          <w:b w:val="false"/>
          <w:i w:val="false"/>
          <w:color w:val="000000"/>
          <w:sz w:val="28"/>
        </w:rPr>
        <w:t>
Если да,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Существуют ли акты, регулирующие процесс создания портала</w:t>
      </w:r>
      <w:r>
        <w:br/>
      </w:r>
      <w:r>
        <w:rPr>
          <w:rFonts w:ascii="Times New Roman"/>
          <w:b w:val="false"/>
          <w:i w:val="false"/>
          <w:color w:val="000000"/>
          <w:sz w:val="28"/>
        </w:rPr>
        <w:t>
национального механизма «единого окна»? Если да, укажите</w:t>
      </w:r>
      <w:r>
        <w:br/>
      </w:r>
      <w:r>
        <w:rPr>
          <w:rFonts w:ascii="Times New Roman"/>
          <w:b w:val="false"/>
          <w:i w:val="false"/>
          <w:color w:val="000000"/>
          <w:sz w:val="28"/>
        </w:rPr>
        <w:t>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Существуют ли акты, определяющие государственный орган и</w:t>
      </w:r>
      <w:r>
        <w:br/>
      </w:r>
      <w:r>
        <w:rPr>
          <w:rFonts w:ascii="Times New Roman"/>
          <w:b w:val="false"/>
          <w:i w:val="false"/>
          <w:color w:val="000000"/>
          <w:sz w:val="28"/>
        </w:rPr>
        <w:t>
(или) уполномоченную организацию в качестве оператора портала</w:t>
      </w:r>
      <w:r>
        <w:br/>
      </w:r>
      <w:r>
        <w:rPr>
          <w:rFonts w:ascii="Times New Roman"/>
          <w:b w:val="false"/>
          <w:i w:val="false"/>
          <w:color w:val="000000"/>
          <w:sz w:val="28"/>
        </w:rPr>
        <w:t>
национального механизма «единого окна»? Если да, укажите</w:t>
      </w:r>
      <w:r>
        <w:br/>
      </w:r>
      <w:r>
        <w:rPr>
          <w:rFonts w:ascii="Times New Roman"/>
          <w:b w:val="false"/>
          <w:i w:val="false"/>
          <w:color w:val="000000"/>
          <w:sz w:val="28"/>
        </w:rPr>
        <w:t>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Укажите полномочия, которыми обладает государственный орган</w:t>
      </w:r>
      <w:r>
        <w:br/>
      </w:r>
      <w:r>
        <w:rPr>
          <w:rFonts w:ascii="Times New Roman"/>
          <w:b w:val="false"/>
          <w:i w:val="false"/>
          <w:color w:val="000000"/>
          <w:sz w:val="28"/>
        </w:rPr>
        <w:t>
и (или) уполномоченная организация, определенные в качестве оператора</w:t>
      </w:r>
      <w:r>
        <w:br/>
      </w:r>
      <w:r>
        <w:rPr>
          <w:rFonts w:ascii="Times New Roman"/>
          <w:b w:val="false"/>
          <w:i w:val="false"/>
          <w:color w:val="000000"/>
          <w:sz w:val="28"/>
        </w:rPr>
        <w:t>
портала национального механизма «единого окна», и акты, которыми эти</w:t>
      </w:r>
      <w:r>
        <w:br/>
      </w:r>
      <w:r>
        <w:rPr>
          <w:rFonts w:ascii="Times New Roman"/>
          <w:b w:val="false"/>
          <w:i w:val="false"/>
          <w:color w:val="000000"/>
          <w:sz w:val="28"/>
        </w:rPr>
        <w:t>
полномочия закреплены.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Существуют ли акты, препятствующие предоставлению услуг</w:t>
      </w:r>
      <w:r>
        <w:br/>
      </w:r>
      <w:r>
        <w:rPr>
          <w:rFonts w:ascii="Times New Roman"/>
          <w:b w:val="false"/>
          <w:i w:val="false"/>
          <w:color w:val="000000"/>
          <w:sz w:val="28"/>
        </w:rPr>
        <w:t>
национального механизма «единого окна» заинтересованным лицам других</w:t>
      </w:r>
      <w:r>
        <w:br/>
      </w:r>
      <w:r>
        <w:rPr>
          <w:rFonts w:ascii="Times New Roman"/>
          <w:b w:val="false"/>
          <w:i w:val="false"/>
          <w:color w:val="000000"/>
          <w:sz w:val="28"/>
        </w:rPr>
        <w:t>
государств-членов? Если да,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Существуют ли акты, регулирующие порядок предоставления</w:t>
      </w:r>
      <w:r>
        <w:br/>
      </w:r>
      <w:r>
        <w:rPr>
          <w:rFonts w:ascii="Times New Roman"/>
          <w:b w:val="false"/>
          <w:i w:val="false"/>
          <w:color w:val="000000"/>
          <w:sz w:val="28"/>
        </w:rPr>
        <w:t>
услуг национального механизма «единого окна» заинтересованным лицам</w:t>
      </w:r>
      <w:r>
        <w:br/>
      </w:r>
      <w:r>
        <w:rPr>
          <w:rFonts w:ascii="Times New Roman"/>
          <w:b w:val="false"/>
          <w:i w:val="false"/>
          <w:color w:val="000000"/>
          <w:sz w:val="28"/>
        </w:rPr>
        <w:t>
других государств-членов? Если да, укажите соответствующие акты.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Укажите правовые пробелы и барьеры, препятствующие созданию</w:t>
      </w:r>
      <w:r>
        <w:br/>
      </w:r>
      <w:r>
        <w:rPr>
          <w:rFonts w:ascii="Times New Roman"/>
          <w:b w:val="false"/>
          <w:i w:val="false"/>
          <w:color w:val="000000"/>
          <w:sz w:val="28"/>
        </w:rPr>
        <w:t>
портала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Предложения и рекомендации по устранению выявленных</w:t>
      </w:r>
      <w:r>
        <w:br/>
      </w:r>
      <w:r>
        <w:rPr>
          <w:rFonts w:ascii="Times New Roman"/>
          <w:b w:val="false"/>
          <w:i w:val="false"/>
          <w:color w:val="000000"/>
          <w:sz w:val="28"/>
        </w:rPr>
        <w:t>
правовых пробелов и барьеров, препятствующих созданию портала</w:t>
      </w:r>
      <w:r>
        <w:br/>
      </w:r>
      <w:r>
        <w:rPr>
          <w:rFonts w:ascii="Times New Roman"/>
          <w:b w:val="false"/>
          <w:i w:val="false"/>
          <w:color w:val="000000"/>
          <w:sz w:val="28"/>
        </w:rPr>
        <w:t>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Укажите правовые пробелы и барьеры, препятствующие</w:t>
      </w:r>
      <w:r>
        <w:br/>
      </w:r>
      <w:r>
        <w:rPr>
          <w:rFonts w:ascii="Times New Roman"/>
          <w:b w:val="false"/>
          <w:i w:val="false"/>
          <w:color w:val="000000"/>
          <w:sz w:val="28"/>
        </w:rPr>
        <w:t>
применению информационных технологий в рамках развития национального</w:t>
      </w:r>
      <w:r>
        <w:br/>
      </w:r>
      <w:r>
        <w:rPr>
          <w:rFonts w:ascii="Times New Roman"/>
          <w:b w:val="false"/>
          <w:i w:val="false"/>
          <w:color w:val="000000"/>
          <w:sz w:val="28"/>
        </w:rPr>
        <w:t>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Предложения и рекомендации по устранению выявленных</w:t>
      </w:r>
      <w:r>
        <w:br/>
      </w:r>
      <w:r>
        <w:rPr>
          <w:rFonts w:ascii="Times New Roman"/>
          <w:b w:val="false"/>
          <w:i w:val="false"/>
          <w:color w:val="000000"/>
          <w:sz w:val="28"/>
        </w:rPr>
        <w:t>
правовых пробелов и барьеров.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6" w:id="33"/>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состояния развития национальных</w:t>
      </w:r>
      <w:r>
        <w:br/>
      </w:r>
      <w:r>
        <w:rPr>
          <w:rFonts w:ascii="Times New Roman"/>
          <w:b w:val="false"/>
          <w:i w:val="false"/>
          <w:color w:val="000000"/>
          <w:sz w:val="28"/>
        </w:rPr>
        <w:t xml:space="preserve">
механизмов «единого окна»   </w:t>
      </w:r>
    </w:p>
    <w:bookmarkEnd w:id="33"/>
    <w:bookmarkStart w:name="z103" w:id="34"/>
    <w:p>
      <w:pPr>
        <w:spacing w:after="0"/>
        <w:ind w:left="0"/>
        <w:jc w:val="left"/>
      </w:pPr>
      <w:r>
        <w:rPr>
          <w:rFonts w:ascii="Times New Roman"/>
          <w:b/>
          <w:i w:val="false"/>
          <w:color w:val="000000"/>
        </w:rPr>
        <w:t xml:space="preserve"> 
РЕКОМЕНДАЦИИ</w:t>
      </w:r>
      <w:r>
        <w:br/>
      </w:r>
      <w:r>
        <w:rPr>
          <w:rFonts w:ascii="Times New Roman"/>
          <w:b/>
          <w:i w:val="false"/>
          <w:color w:val="000000"/>
        </w:rPr>
        <w:t>
по оформлению отчета об анализе организационно-правовой</w:t>
      </w:r>
      <w:r>
        <w:br/>
      </w:r>
      <w:r>
        <w:rPr>
          <w:rFonts w:ascii="Times New Roman"/>
          <w:b/>
          <w:i w:val="false"/>
          <w:color w:val="000000"/>
        </w:rPr>
        <w:t>
основы развития национального механизма «единого окна»</w:t>
      </w:r>
    </w:p>
    <w:bookmarkEnd w:id="34"/>
    <w:p>
      <w:pPr>
        <w:spacing w:after="0"/>
        <w:ind w:left="0"/>
        <w:jc w:val="both"/>
      </w:pPr>
      <w:r>
        <w:rPr>
          <w:rFonts w:ascii="Times New Roman"/>
          <w:b w:val="false"/>
          <w:i w:val="false"/>
          <w:color w:val="000000"/>
          <w:sz w:val="28"/>
        </w:rPr>
        <w:t>      1. Отчет об анализе организационно-правовой основы развития национального механизма «единого окна» (далее – отчет) включает в себя:</w:t>
      </w:r>
      <w:r>
        <w:br/>
      </w:r>
      <w:r>
        <w:rPr>
          <w:rFonts w:ascii="Times New Roman"/>
          <w:b w:val="false"/>
          <w:i w:val="false"/>
          <w:color w:val="000000"/>
          <w:sz w:val="28"/>
        </w:rPr>
        <w:t>
      а) введение, составляемое в соответствии с требованиями, предусмотренными пунктом 57 Методики оценки состояния развития национальных механизмов «единого окна» (далее – Методика));</w:t>
      </w:r>
      <w:r>
        <w:br/>
      </w:r>
      <w:r>
        <w:rPr>
          <w:rFonts w:ascii="Times New Roman"/>
          <w:b w:val="false"/>
          <w:i w:val="false"/>
          <w:color w:val="000000"/>
          <w:sz w:val="28"/>
        </w:rPr>
        <w:t>
      б) анализ организационно-правовой основы развития национального механизма «единого окна», в том числе:</w:t>
      </w:r>
      <w:r>
        <w:br/>
      </w:r>
      <w:r>
        <w:rPr>
          <w:rFonts w:ascii="Times New Roman"/>
          <w:b w:val="false"/>
          <w:i w:val="false"/>
          <w:color w:val="000000"/>
          <w:sz w:val="28"/>
        </w:rPr>
        <w:t>
      описание институциональной основы для развития национального механизма «единого окна» (уполномоченный орган, консультативные и координирующие (совещательные) органы, руководство процессом внедрения национального механизма «единого окна»);</w:t>
      </w:r>
      <w:r>
        <w:br/>
      </w:r>
      <w:r>
        <w:rPr>
          <w:rFonts w:ascii="Times New Roman"/>
          <w:b w:val="false"/>
          <w:i w:val="false"/>
          <w:color w:val="000000"/>
          <w:sz w:val="28"/>
        </w:rPr>
        <w:t>
      краткое описание правовой основы государства – члена Евразийского экономического союза (далее – государство-член), определяющей развитие национального механизма «единого окна»;</w:t>
      </w:r>
      <w:r>
        <w:br/>
      </w:r>
      <w:r>
        <w:rPr>
          <w:rFonts w:ascii="Times New Roman"/>
          <w:b w:val="false"/>
          <w:i w:val="false"/>
          <w:color w:val="000000"/>
          <w:sz w:val="28"/>
        </w:rPr>
        <w:t>
      описание нормативных правовых актов государства-члена, регулирующих внедрение национального механизма «единого окна»;</w:t>
      </w:r>
      <w:r>
        <w:br/>
      </w:r>
      <w:r>
        <w:rPr>
          <w:rFonts w:ascii="Times New Roman"/>
          <w:b w:val="false"/>
          <w:i w:val="false"/>
          <w:color w:val="000000"/>
          <w:sz w:val="28"/>
        </w:rPr>
        <w:t>
      описание правовых пробелов и барьеров, которые связаны с отсутствием или несовершенством нормативных правовых актов, регулирующих внедрение национального механизма «единого окна», и которые препятствуют развитию национального механизма «единого окна»;</w:t>
      </w:r>
      <w:r>
        <w:br/>
      </w:r>
      <w:r>
        <w:rPr>
          <w:rFonts w:ascii="Times New Roman"/>
          <w:b w:val="false"/>
          <w:i w:val="false"/>
          <w:color w:val="000000"/>
          <w:sz w:val="28"/>
        </w:rPr>
        <w:t>
      описание существующего в государстве-члене плана мероприятий по принятию нормативных правовых актов, регулирующих внедрение национального механизма «единого окна»;</w:t>
      </w:r>
      <w:r>
        <w:br/>
      </w:r>
      <w:r>
        <w:rPr>
          <w:rFonts w:ascii="Times New Roman"/>
          <w:b w:val="false"/>
          <w:i w:val="false"/>
          <w:color w:val="000000"/>
          <w:sz w:val="28"/>
        </w:rPr>
        <w:t>
      описание мер по совершенствованию нормативных правовых актов государства-члена, регулирующих внедрение национального механизма «единого окна»;</w:t>
      </w:r>
      <w:r>
        <w:br/>
      </w:r>
      <w:r>
        <w:rPr>
          <w:rFonts w:ascii="Times New Roman"/>
          <w:b w:val="false"/>
          <w:i w:val="false"/>
          <w:color w:val="000000"/>
          <w:sz w:val="28"/>
        </w:rPr>
        <w:t>
      в) анализ правовой основы по сферам деятельности тематических блоков:</w:t>
      </w:r>
      <w:r>
        <w:br/>
      </w:r>
      <w:r>
        <w:rPr>
          <w:rFonts w:ascii="Times New Roman"/>
          <w:b w:val="false"/>
          <w:i w:val="false"/>
          <w:color w:val="000000"/>
          <w:sz w:val="28"/>
        </w:rPr>
        <w:t>
      «Электронная таможня»:</w:t>
      </w:r>
      <w:r>
        <w:br/>
      </w:r>
      <w:r>
        <w:rPr>
          <w:rFonts w:ascii="Times New Roman"/>
          <w:b w:val="false"/>
          <w:i w:val="false"/>
          <w:color w:val="000000"/>
          <w:sz w:val="28"/>
        </w:rPr>
        <w:t>
      наименования уполномоченных органов и организаций в сфере таможенного регулирования;</w:t>
      </w:r>
      <w:r>
        <w:br/>
      </w:r>
      <w:r>
        <w:rPr>
          <w:rFonts w:ascii="Times New Roman"/>
          <w:b w:val="false"/>
          <w:i w:val="false"/>
          <w:color w:val="000000"/>
          <w:sz w:val="28"/>
        </w:rPr>
        <w:t>
      краткое описание состояния информационного взаимодействия в электронной форме заинтересованных лиц с государственными органами и (или) уполномоченными организациями государства-члена;</w:t>
      </w:r>
      <w:r>
        <w:br/>
      </w:r>
      <w:r>
        <w:rPr>
          <w:rFonts w:ascii="Times New Roman"/>
          <w:b w:val="false"/>
          <w:i w:val="false"/>
          <w:color w:val="000000"/>
          <w:sz w:val="28"/>
        </w:rPr>
        <w:t>
      описание реализуемых программ государства-члена по развитию электронного взаимодействия уполномоченных органов и организаций с заинтересованными лицами;</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«Оплата, платежи и электронная коммерция»:</w:t>
      </w:r>
      <w:r>
        <w:br/>
      </w:r>
      <w:r>
        <w:rPr>
          <w:rFonts w:ascii="Times New Roman"/>
          <w:b w:val="false"/>
          <w:i w:val="false"/>
          <w:color w:val="000000"/>
          <w:sz w:val="28"/>
        </w:rPr>
        <w:t>
      наименования уполномоченных органов, осуществляющих контроль за проведением международных расчетов, финансовое регулирование внешнеэкономической деятельности, развитие электронной торговли, оказание банковских и страховых услуг;</w:t>
      </w:r>
      <w:r>
        <w:br/>
      </w:r>
      <w:r>
        <w:rPr>
          <w:rFonts w:ascii="Times New Roman"/>
          <w:b w:val="false"/>
          <w:i w:val="false"/>
          <w:color w:val="000000"/>
          <w:sz w:val="28"/>
        </w:rPr>
        <w:t>
      краткое описание правовой основы государства-члена, регулирующей порядок осуществления и развития электронной торговли;</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«Разрешительные документы»:</w:t>
      </w:r>
      <w:r>
        <w:br/>
      </w:r>
      <w:r>
        <w:rPr>
          <w:rFonts w:ascii="Times New Roman"/>
          <w:b w:val="false"/>
          <w:i w:val="false"/>
          <w:color w:val="000000"/>
          <w:sz w:val="28"/>
        </w:rPr>
        <w:t>
      сфера налогового регулирования:</w:t>
      </w:r>
      <w:r>
        <w:br/>
      </w:r>
      <w:r>
        <w:rPr>
          <w:rFonts w:ascii="Times New Roman"/>
          <w:b w:val="false"/>
          <w:i w:val="false"/>
          <w:color w:val="000000"/>
          <w:sz w:val="28"/>
        </w:rPr>
        <w:t>
      наименования уполномоченных органов, осуществляющих налоговое регулирование и выдачу соответствующих разрешительных документов;</w:t>
      </w:r>
      <w:r>
        <w:br/>
      </w:r>
      <w:r>
        <w:rPr>
          <w:rFonts w:ascii="Times New Roman"/>
          <w:b w:val="false"/>
          <w:i w:val="false"/>
          <w:color w:val="000000"/>
          <w:sz w:val="28"/>
        </w:rPr>
        <w:t>
      краткое описание правовой основы государства-члена, регулирующей информационное взаимодействие заинтересованных лиц с государственными органами и (или) уполномоченными организациями государства-члена;</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сфера валютного регулирования:</w:t>
      </w:r>
      <w:r>
        <w:br/>
      </w:r>
      <w:r>
        <w:rPr>
          <w:rFonts w:ascii="Times New Roman"/>
          <w:b w:val="false"/>
          <w:i w:val="false"/>
          <w:color w:val="000000"/>
          <w:sz w:val="28"/>
        </w:rPr>
        <w:t>
      наименования уполномоченных органов, осуществляющих валютное регулирование и валютный контроль, а также выдачу соответствующих разрешительных документов;</w:t>
      </w:r>
      <w:r>
        <w:br/>
      </w:r>
      <w:r>
        <w:rPr>
          <w:rFonts w:ascii="Times New Roman"/>
          <w:b w:val="false"/>
          <w:i w:val="false"/>
          <w:color w:val="000000"/>
          <w:sz w:val="28"/>
        </w:rPr>
        <w:t>
      краткое описание правовой основы государства-члена, регулирующей информационное взаимодействие заинтересованных лиц с государственными органами и (или) уполномоченными организациями государства-члена в сфере валютного регулирования и валютного контроля;</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сфера таможенно-тарифного регулирования:</w:t>
      </w:r>
      <w:r>
        <w:br/>
      </w:r>
      <w:r>
        <w:rPr>
          <w:rFonts w:ascii="Times New Roman"/>
          <w:b w:val="false"/>
          <w:i w:val="false"/>
          <w:color w:val="000000"/>
          <w:sz w:val="28"/>
        </w:rPr>
        <w:t>
      наименования уполномоченных органов, осуществляющих таможенно-тарифное регулирование и выдачу соответствующих разрешительных документов;</w:t>
      </w:r>
      <w:r>
        <w:br/>
      </w:r>
      <w:r>
        <w:rPr>
          <w:rFonts w:ascii="Times New Roman"/>
          <w:b w:val="false"/>
          <w:i w:val="false"/>
          <w:color w:val="000000"/>
          <w:sz w:val="28"/>
        </w:rPr>
        <w:t>
      краткое описание правовой основы государства-члена, регулирующей информационное взаимодействие заинтересованных лиц с государственными органами и (или) уполномоченными организациями государства-члена в сфере таможенно-тарифного регулирования;</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сфера нетарифного регулирования:</w:t>
      </w:r>
      <w:r>
        <w:br/>
      </w:r>
      <w:r>
        <w:rPr>
          <w:rFonts w:ascii="Times New Roman"/>
          <w:b w:val="false"/>
          <w:i w:val="false"/>
          <w:color w:val="000000"/>
          <w:sz w:val="28"/>
        </w:rPr>
        <w:t>
      наименования уполномоченных органов, осуществляющих нетарифное регулирование и выдачу соответствующих разрешительных документов;</w:t>
      </w:r>
      <w:r>
        <w:br/>
      </w:r>
      <w:r>
        <w:rPr>
          <w:rFonts w:ascii="Times New Roman"/>
          <w:b w:val="false"/>
          <w:i w:val="false"/>
          <w:color w:val="000000"/>
          <w:sz w:val="28"/>
        </w:rPr>
        <w:t>
      краткое описание правовой основы государства-члена, регулирующей информационное взаимодействие заинтересованных лиц с государственными органами и (или) уполномоченными организациями государства-члена в сфере нетарифного регулирования;</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сфера технического регулирования:</w:t>
      </w:r>
      <w:r>
        <w:br/>
      </w:r>
      <w:r>
        <w:rPr>
          <w:rFonts w:ascii="Times New Roman"/>
          <w:b w:val="false"/>
          <w:i w:val="false"/>
          <w:color w:val="000000"/>
          <w:sz w:val="28"/>
        </w:rPr>
        <w:t>
      наименования уполномоченных органов, осуществляющих техническое регулирование, а также государственных органов и организаций государства-члена, осуществляющих выдачу соответствующих разрешительных документов;</w:t>
      </w:r>
      <w:r>
        <w:br/>
      </w:r>
      <w:r>
        <w:rPr>
          <w:rFonts w:ascii="Times New Roman"/>
          <w:b w:val="false"/>
          <w:i w:val="false"/>
          <w:color w:val="000000"/>
          <w:sz w:val="28"/>
        </w:rPr>
        <w:t>
      краткое описание правовой основы государства-члена, регулирующей информационное взаимодействие заинтересованных лиц с государственными органами и (или) уполномоченными организациями государства-члена в сфере технического регулирования;</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сфера применения санитарных, ветеринарно-санитарных и карантинных фитосанитарных мер:</w:t>
      </w:r>
      <w:r>
        <w:br/>
      </w:r>
      <w:r>
        <w:rPr>
          <w:rFonts w:ascii="Times New Roman"/>
          <w:b w:val="false"/>
          <w:i w:val="false"/>
          <w:color w:val="000000"/>
          <w:sz w:val="28"/>
        </w:rPr>
        <w:t>
      наименования уполномоченных органов, осуществляющих регулирование в сфере применения санитарных, ветеринарно-санитарных и карантинных фитосанитарных мер, а также государственных органов и организаций государства-члена, осуществляющих выдачу соответствующих разрешительных документов;</w:t>
      </w:r>
      <w:r>
        <w:br/>
      </w:r>
      <w:r>
        <w:rPr>
          <w:rFonts w:ascii="Times New Roman"/>
          <w:b w:val="false"/>
          <w:i w:val="false"/>
          <w:color w:val="000000"/>
          <w:sz w:val="28"/>
        </w:rPr>
        <w:t>
      краткое описание правовой основы государства-члена, регулирующей информационное взаимодействие заинтересованных лиц с государственными органами и (или) организациями государства-члена в сфере применения санитарных, ветеринарно-санитарных и карантинных фитосанитарных мер;</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сфера интеллектуальной собственности:</w:t>
      </w:r>
      <w:r>
        <w:br/>
      </w:r>
      <w:r>
        <w:rPr>
          <w:rFonts w:ascii="Times New Roman"/>
          <w:b w:val="false"/>
          <w:i w:val="false"/>
          <w:color w:val="000000"/>
          <w:sz w:val="28"/>
        </w:rPr>
        <w:t>
      наименования уполномоченных органов, осуществляющих регулирование в сфере интеллектуальной собственности, а также государственных органов и организаций государства-члена, осуществляющих выдачу соответствующих разрешительных документов;</w:t>
      </w:r>
      <w:r>
        <w:br/>
      </w:r>
      <w:r>
        <w:rPr>
          <w:rFonts w:ascii="Times New Roman"/>
          <w:b w:val="false"/>
          <w:i w:val="false"/>
          <w:color w:val="000000"/>
          <w:sz w:val="28"/>
        </w:rPr>
        <w:t>
      краткое описание правовой основы государства-члена, регулирующей информационное взаимодействие заинтересованных лиц с государственными органами и (или) организациями государства-члена в сфере охраны и защиты прав интеллектуальной собственности;</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«Транспорт и логистика»:</w:t>
      </w:r>
      <w:r>
        <w:br/>
      </w:r>
      <w:r>
        <w:rPr>
          <w:rFonts w:ascii="Times New Roman"/>
          <w:b w:val="false"/>
          <w:i w:val="false"/>
          <w:color w:val="000000"/>
          <w:sz w:val="28"/>
        </w:rPr>
        <w:t>
      наименования уполномоченных органов, осуществляющих регулирование в сфере транспорта и логистики;</w:t>
      </w:r>
      <w:r>
        <w:br/>
      </w:r>
      <w:r>
        <w:rPr>
          <w:rFonts w:ascii="Times New Roman"/>
          <w:b w:val="false"/>
          <w:i w:val="false"/>
          <w:color w:val="000000"/>
          <w:sz w:val="28"/>
        </w:rPr>
        <w:t>
      краткое описание правовой основы государства-члена, регулирующей информационное взаимодействие заинтересованных лиц с государственными органами и (или) организациями государства-члена в сфере транспорта и логистики;</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«Информационные технологии»:</w:t>
      </w:r>
      <w:r>
        <w:br/>
      </w:r>
      <w:r>
        <w:rPr>
          <w:rFonts w:ascii="Times New Roman"/>
          <w:b w:val="false"/>
          <w:i w:val="false"/>
          <w:color w:val="000000"/>
          <w:sz w:val="28"/>
        </w:rPr>
        <w:t>
      наименования уполномоченных органов, осуществляющих мероприятия по информатизации, внедрение информационных технологий, необходимых для предоставления государственных услуг в электронной форме, регулирование применения электронных цифровых подписей (электронных подписей), создание технической инфраструктуры для внедрения национального механизма «единого окна»;</w:t>
      </w:r>
      <w:r>
        <w:br/>
      </w:r>
      <w:r>
        <w:rPr>
          <w:rFonts w:ascii="Times New Roman"/>
          <w:b w:val="false"/>
          <w:i w:val="false"/>
          <w:color w:val="000000"/>
          <w:sz w:val="28"/>
        </w:rPr>
        <w:t>
      краткое описание правовой основы государства-члена, регулирующей порядок межведомственного информационного взаимодействия в электронной форме между государственными органами и организациями государства-члена, информационное взаимодействие между участниками внешнеэкономической деятельности, государственными органами и организациями государства-члена, порядок получения доступа к национальному механизму «единого окна», порядок обеспечения целостности и точности данных, получения к ним доступа, их хранения и архивирования, а также порядок защиты информации;</w:t>
      </w:r>
      <w:r>
        <w:br/>
      </w:r>
      <w:r>
        <w:rPr>
          <w:rFonts w:ascii="Times New Roman"/>
          <w:b w:val="false"/>
          <w:i w:val="false"/>
          <w:color w:val="000000"/>
          <w:sz w:val="28"/>
        </w:rPr>
        <w:t>
      выявленные правовые пробелы и барьеры, препятствующие развитию национального механизма «единого окна»;</w:t>
      </w:r>
      <w:r>
        <w:br/>
      </w:r>
      <w:r>
        <w:rPr>
          <w:rFonts w:ascii="Times New Roman"/>
          <w:b w:val="false"/>
          <w:i w:val="false"/>
          <w:color w:val="000000"/>
          <w:sz w:val="28"/>
        </w:rPr>
        <w:t>
      выявленные правовые пробелы и барьеры, препятствующие созданию портала национального механизма «единого окна»;</w:t>
      </w:r>
      <w:r>
        <w:br/>
      </w:r>
      <w:r>
        <w:rPr>
          <w:rFonts w:ascii="Times New Roman"/>
          <w:b w:val="false"/>
          <w:i w:val="false"/>
          <w:color w:val="000000"/>
          <w:sz w:val="28"/>
        </w:rPr>
        <w:t>
      меры по совершенствованию нормативных правовых актов государства-члена в целях устранения выявленных правовых пробелов и барьеров;</w:t>
      </w:r>
      <w:r>
        <w:br/>
      </w:r>
      <w:r>
        <w:rPr>
          <w:rFonts w:ascii="Times New Roman"/>
          <w:b w:val="false"/>
          <w:i w:val="false"/>
          <w:color w:val="000000"/>
          <w:sz w:val="28"/>
        </w:rPr>
        <w:t>
      г) рекомендации, составляемые в соответствии с требованиями, предусмотренными пунктом 61 Методики;</w:t>
      </w:r>
      <w:r>
        <w:br/>
      </w:r>
      <w:r>
        <w:rPr>
          <w:rFonts w:ascii="Times New Roman"/>
          <w:b w:val="false"/>
          <w:i w:val="false"/>
          <w:color w:val="000000"/>
          <w:sz w:val="28"/>
        </w:rPr>
        <w:t>
      д) заключение, составляемое в соответствии с требованиями, предусмотренными пунктом 62 Методики.</w:t>
      </w:r>
      <w:r>
        <w:br/>
      </w:r>
      <w:r>
        <w:rPr>
          <w:rFonts w:ascii="Times New Roman"/>
          <w:b w:val="false"/>
          <w:i w:val="false"/>
          <w:color w:val="000000"/>
          <w:sz w:val="28"/>
        </w:rPr>
        <w:t>
      2. К отчету прилагаются:</w:t>
      </w:r>
      <w:r>
        <w:br/>
      </w:r>
      <w:r>
        <w:rPr>
          <w:rFonts w:ascii="Times New Roman"/>
          <w:b w:val="false"/>
          <w:i w:val="false"/>
          <w:color w:val="000000"/>
          <w:sz w:val="28"/>
        </w:rPr>
        <w:t>
      перечень исследованных нормативных правовых актов государства-члена;</w:t>
      </w:r>
      <w:r>
        <w:br/>
      </w:r>
      <w:r>
        <w:rPr>
          <w:rFonts w:ascii="Times New Roman"/>
          <w:b w:val="false"/>
          <w:i w:val="false"/>
          <w:color w:val="000000"/>
          <w:sz w:val="28"/>
        </w:rPr>
        <w:t>
      заполненный опросный лист.</w:t>
      </w:r>
      <w:r>
        <w:br/>
      </w:r>
      <w:r>
        <w:rPr>
          <w:rFonts w:ascii="Times New Roman"/>
          <w:b w:val="false"/>
          <w:i w:val="false"/>
          <w:color w:val="000000"/>
          <w:sz w:val="28"/>
        </w:rPr>
        <w:t>
      К отчету также могут прилагаться:</w:t>
      </w:r>
      <w:r>
        <w:br/>
      </w:r>
      <w:r>
        <w:rPr>
          <w:rFonts w:ascii="Times New Roman"/>
          <w:b w:val="false"/>
          <w:i w:val="false"/>
          <w:color w:val="000000"/>
          <w:sz w:val="28"/>
        </w:rPr>
        <w:t>
      справки или информационные обзоры обо всех нормативных правовых актах государства-члена по соответствующей тематике (с указанием в том числе наименований актов, их видов, количества, степени кодифицированности и юридической силы);</w:t>
      </w:r>
      <w:r>
        <w:br/>
      </w:r>
      <w:r>
        <w:rPr>
          <w:rFonts w:ascii="Times New Roman"/>
          <w:b w:val="false"/>
          <w:i w:val="false"/>
          <w:color w:val="000000"/>
          <w:sz w:val="28"/>
        </w:rPr>
        <w:t>
      сравнительные таблицы по вопросам, решение которых в разных отраслях законодательства государства-члена имеет существенные отличия;</w:t>
      </w:r>
      <w:r>
        <w:br/>
      </w:r>
      <w:r>
        <w:rPr>
          <w:rFonts w:ascii="Times New Roman"/>
          <w:b w:val="false"/>
          <w:i w:val="false"/>
          <w:color w:val="000000"/>
          <w:sz w:val="28"/>
        </w:rPr>
        <w:t>
      статьи, брошюры, монографии и другие печатные работы, посвященные развитию национального механизма «единого окна»;</w:t>
      </w:r>
      <w:r>
        <w:br/>
      </w:r>
      <w:r>
        <w:rPr>
          <w:rFonts w:ascii="Times New Roman"/>
          <w:b w:val="false"/>
          <w:i w:val="false"/>
          <w:color w:val="000000"/>
          <w:sz w:val="28"/>
        </w:rPr>
        <w:t>
      докладные записки, обращения заинтересованных лиц в государственные органы государства-члена, содержащие предложения и рекомендации по развитию национального механизма «единого окна».</w:t>
      </w:r>
    </w:p>
    <w:bookmarkStart w:name="z97" w:id="35"/>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состояния развития национальных</w:t>
      </w:r>
      <w:r>
        <w:br/>
      </w:r>
      <w:r>
        <w:rPr>
          <w:rFonts w:ascii="Times New Roman"/>
          <w:b w:val="false"/>
          <w:i w:val="false"/>
          <w:color w:val="000000"/>
          <w:sz w:val="28"/>
        </w:rPr>
        <w:t xml:space="preserve">
механизмов «единого окна»   </w:t>
      </w:r>
    </w:p>
    <w:bookmarkEnd w:id="35"/>
    <w:bookmarkStart w:name="z104" w:id="36"/>
    <w:p>
      <w:pPr>
        <w:spacing w:after="0"/>
        <w:ind w:left="0"/>
        <w:jc w:val="both"/>
      </w:pPr>
      <w:r>
        <w:rPr>
          <w:rFonts w:ascii="Times New Roman"/>
          <w:b w:val="false"/>
          <w:i w:val="false"/>
          <w:color w:val="000000"/>
          <w:sz w:val="28"/>
        </w:rPr>
        <w:t>
</w:t>
      </w:r>
      <w:r>
        <w:rPr>
          <w:rFonts w:ascii="Times New Roman"/>
          <w:b/>
          <w:i w:val="false"/>
          <w:color w:val="000000"/>
          <w:sz w:val="28"/>
        </w:rPr>
        <w:t>                        ПРИМЕРНЫЙ ПЕРЕЧЕНЬ</w:t>
      </w:r>
      <w:r>
        <w:br/>
      </w:r>
      <w:r>
        <w:rPr>
          <w:rFonts w:ascii="Times New Roman"/>
          <w:b w:val="false"/>
          <w:i w:val="false"/>
          <w:color w:val="000000"/>
          <w:sz w:val="28"/>
        </w:rPr>
        <w:t>
                 </w:t>
      </w:r>
      <w:r>
        <w:rPr>
          <w:rFonts w:ascii="Times New Roman"/>
          <w:b/>
          <w:i w:val="false"/>
          <w:color w:val="000000"/>
          <w:sz w:val="28"/>
        </w:rPr>
        <w:t>бизнес-процессов и их участников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2"/>
        <w:gridCol w:w="5518"/>
      </w:tblGrid>
      <w:tr>
        <w:trPr>
          <w:trHeight w:val="300" w:hRule="atLeast"/>
        </w:trPr>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бизнес-процесса</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r>
              <w:br/>
            </w:r>
            <w:r>
              <w:rPr>
                <w:rFonts w:ascii="Times New Roman"/>
                <w:b w:val="false"/>
                <w:i w:val="false"/>
                <w:color w:val="000000"/>
                <w:sz w:val="20"/>
              </w:rPr>
              <w:t>
</w:t>
            </w:r>
            <w:r>
              <w:rPr>
                <w:rFonts w:ascii="Times New Roman"/>
                <w:b w:val="false"/>
                <w:i w:val="false"/>
                <w:color w:val="000000"/>
                <w:sz w:val="20"/>
              </w:rPr>
              <w:t>бизнес-процесса</w:t>
            </w:r>
          </w:p>
        </w:tc>
      </w:tr>
    </w:tbl>
    <w:tbl>
      <w:tblPr>
        <w:tblW w:w="0" w:type="auto"/>
        <w:tblCellSpacing w:w="0" w:type="auto"/>
        <w:tblBorders>
          <w:top w:val="none"/>
          <w:left w:val="none"/>
          <w:bottom w:val="none"/>
          <w:right w:val="none"/>
          <w:insideH w:val="none"/>
          <w:insideV w:val="none"/>
        </w:tblBorders>
      </w:tblPr>
      <w:tblGrid>
        <w:gridCol w:w="347"/>
        <w:gridCol w:w="532"/>
        <w:gridCol w:w="7329"/>
        <w:gridCol w:w="5792"/>
      </w:tblGrid>
      <w:tr>
        <w:trPr>
          <w:trHeight w:val="3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Вывоз товара с таможенной территории </w:t>
            </w:r>
            <w:r>
              <w:rPr>
                <w:rFonts w:ascii="Times New Roman"/>
                <w:b w:val="false"/>
                <w:i w:val="false"/>
                <w:color w:val="000000"/>
                <w:sz w:val="20"/>
              </w:rPr>
              <w:t>Евразийского экономического союза</w:t>
            </w:r>
          </w:p>
          <w:p>
            <w:pPr>
              <w:spacing w:after="20"/>
              <w:ind w:left="20"/>
              <w:jc w:val="both"/>
            </w:pPr>
            <w:r>
              <w:rPr>
                <w:rFonts w:ascii="Times New Roman"/>
                <w:b w:val="false"/>
                <w:i w:val="false"/>
                <w:color w:val="000000"/>
                <w:sz w:val="20"/>
              </w:rPr>
              <w:t>1. Оплата, платежи и электронная коммерция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Выбор торгового партнера: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зарубежного партнера – покупателя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о продавце, покупателе и товаре</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оферты:</w:t>
            </w:r>
            <w:r>
              <w:br/>
            </w:r>
            <w:r>
              <w:rPr>
                <w:rFonts w:ascii="Times New Roman"/>
                <w:b w:val="false"/>
                <w:i w:val="false"/>
                <w:color w:val="000000"/>
                <w:sz w:val="20"/>
              </w:rPr>
              <w:t>
</w:t>
            </w:r>
            <w:r>
              <w:rPr>
                <w:rFonts w:ascii="Times New Roman"/>
                <w:b w:val="false"/>
                <w:i w:val="false"/>
                <w:color w:val="000000"/>
                <w:sz w:val="20"/>
              </w:rPr>
              <w:t>формирование оферты экспортером (наименование товара, цена и количество) рассмотрение оферты импортером</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заявки на поставку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проформы-инвойса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контракта и условий поставки (заключение отдельного контракта или путем обмена заявки на поставку и проформы-инвойса)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контракта в органах валютного контроля (паспорт </w:t>
            </w:r>
            <w:r>
              <w:rPr>
                <w:rFonts w:ascii="Times New Roman"/>
                <w:b w:val="false"/>
                <w:i w:val="false"/>
                <w:color w:val="000000"/>
                <w:sz w:val="20"/>
              </w:rPr>
              <w:t xml:space="preserve">сделки) (в случаях, установленных законодательством </w:t>
            </w:r>
            <w:r>
              <w:rPr>
                <w:rFonts w:ascii="Times New Roman"/>
                <w:b w:val="false"/>
                <w:i w:val="false"/>
                <w:color w:val="000000"/>
                <w:sz w:val="20"/>
              </w:rPr>
              <w:t>государства – члена Евразийского экономического союза (далее соответственно – государство-член, Союз))</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банк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Заказ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товара к отправке (оформление инвойса и упаковочного листа)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инвойса и упаковочного листа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Оплата по контракту:</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оплату (требование произведения оплаты за товар)</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оплаты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 – экспортер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Оплата таможенных платежей:</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через банк:</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безналичный расчет</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 помощью терминала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наличными в кассу банка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документа, подтверждающего оплату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уплаты таможенных платежей:</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проставление отметок о перечислении денежных средств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проставление отметок о перечислении денежных средств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казначейство – таможенный орган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Оплата услуг:</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сбора за получение разрешительного документа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перевозке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страховой премии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 – 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таможенного представителя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сбора за принятие предварительного решения </w:t>
            </w:r>
            <w:r>
              <w:rPr>
                <w:rFonts w:ascii="Times New Roman"/>
                <w:b w:val="false"/>
                <w:i w:val="false"/>
                <w:color w:val="000000"/>
                <w:sz w:val="20"/>
              </w:rPr>
              <w:t>по ТН ВЭД ЕАЭС</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Предоставление документов, подтверждающих фактический вывоз товара с таможенной территории Союза и обоснованность применения нулевой ставки налога на добавленную стоимость (освобождения от акцизов) (при поставках в государства-члены):</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фактическом вывозе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налоговый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(оценка) комплекта документов (информации), подтверждающих обоснованность применения нулевой ставки налога на добавленную стоимость (освобождения от акцизов)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обоснованности применения нулевой ставки налога на добавленную стоимость (освобождения от акцизов) или отказ в праве применения нулевой ставки НДС (освобождения от акцизов)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орган – экспортер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Разрешительные документы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Получение разрешительных документов о соблюдении запретов и ограничений:</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заявлений на получение разрешительных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уполномоченному органу</w:t>
            </w:r>
            <w:r>
              <w:br/>
            </w:r>
            <w:r>
              <w:rPr>
                <w:rFonts w:ascii="Times New Roman"/>
                <w:b w:val="false"/>
                <w:i w:val="false"/>
                <w:color w:val="000000"/>
                <w:sz w:val="20"/>
              </w:rPr>
              <w:t>
</w:t>
            </w:r>
            <w:r>
              <w:rPr>
                <w:rFonts w:ascii="Times New Roman"/>
                <w:b w:val="false"/>
                <w:i w:val="false"/>
                <w:color w:val="000000"/>
                <w:sz w:val="20"/>
              </w:rPr>
              <w:t xml:space="preserve">государства-члена </w:t>
            </w:r>
            <w:r>
              <w:rPr>
                <w:rFonts w:ascii="Times New Roman"/>
                <w:b w:val="false"/>
                <w:i w:val="false"/>
                <w:color w:val="000000"/>
                <w:sz w:val="20"/>
              </w:rPr>
              <w:t>(далее – уполномоченный орган)</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уполномоченный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представленных документов уполномоченным органом</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 документов у импортера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разрешительного документа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Получение разрешительных документов уполномоченного органа (документы, необходимые для помещения товара под выбранную таможенную процедуру)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 уполномоченный орган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Транспорт и логистика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Транспортировка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транспортной компании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перевозчик,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экспедитор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 на перевозку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проекта транспортной накладной </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экспедитор – 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подтверждения заявки </w:t>
            </w:r>
            <w:r>
              <w:rPr>
                <w:rFonts w:ascii="Times New Roman"/>
                <w:b w:val="false"/>
                <w:i w:val="false"/>
                <w:color w:val="000000"/>
                <w:sz w:val="20"/>
              </w:rPr>
              <w:t>на транспорт</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резервирование транспорта для перевозки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погрузка товара у экспортера </w:t>
            </w:r>
            <w:r>
              <w:rPr>
                <w:rFonts w:ascii="Times New Roman"/>
                <w:b w:val="false"/>
                <w:i w:val="false"/>
                <w:color w:val="000000"/>
                <w:sz w:val="20"/>
              </w:rPr>
              <w:t>(начало перевозки)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перевозчик, экспедитор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Страхование груза: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страховой компании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w:t>
            </w:r>
            <w:r>
              <w:br/>
            </w:r>
            <w:r>
              <w:rPr>
                <w:rFonts w:ascii="Times New Roman"/>
                <w:b w:val="false"/>
                <w:i w:val="false"/>
                <w:color w:val="000000"/>
                <w:sz w:val="20"/>
              </w:rPr>
              <w:t>
</w:t>
            </w:r>
            <w:r>
              <w:rPr>
                <w:rFonts w:ascii="Times New Roman"/>
                <w:b w:val="false"/>
                <w:i w:val="false"/>
                <w:color w:val="000000"/>
                <w:sz w:val="20"/>
              </w:rPr>
              <w:t>заявка</w:t>
            </w:r>
            <w:r>
              <w:br/>
            </w:r>
            <w:r>
              <w:rPr>
                <w:rFonts w:ascii="Times New Roman"/>
                <w:b w:val="false"/>
                <w:i w:val="false"/>
                <w:color w:val="000000"/>
                <w:sz w:val="20"/>
              </w:rPr>
              <w:t>
</w:t>
            </w:r>
            <w:r>
              <w:rPr>
                <w:rFonts w:ascii="Times New Roman"/>
                <w:b w:val="false"/>
                <w:i w:val="false"/>
                <w:color w:val="000000"/>
                <w:sz w:val="20"/>
              </w:rPr>
              <w:t>аккредитив</w:t>
            </w:r>
            <w:r>
              <w:br/>
            </w:r>
            <w:r>
              <w:rPr>
                <w:rFonts w:ascii="Times New Roman"/>
                <w:b w:val="false"/>
                <w:i w:val="false"/>
                <w:color w:val="000000"/>
                <w:sz w:val="20"/>
              </w:rPr>
              <w:t>
</w:t>
            </w:r>
            <w:r>
              <w:rPr>
                <w:rFonts w:ascii="Times New Roman"/>
                <w:b w:val="false"/>
                <w:i w:val="false"/>
                <w:color w:val="000000"/>
                <w:sz w:val="20"/>
              </w:rPr>
              <w:t>инвойс</w:t>
            </w:r>
            <w:r>
              <w:br/>
            </w:r>
            <w:r>
              <w:rPr>
                <w:rFonts w:ascii="Times New Roman"/>
                <w:b w:val="false"/>
                <w:i w:val="false"/>
                <w:color w:val="000000"/>
                <w:sz w:val="20"/>
              </w:rPr>
              <w:t>
</w:t>
            </w:r>
            <w:r>
              <w:rPr>
                <w:rFonts w:ascii="Times New Roman"/>
                <w:b w:val="false"/>
                <w:i w:val="false"/>
                <w:color w:val="000000"/>
                <w:sz w:val="20"/>
              </w:rPr>
              <w:t>упаковочный лист</w:t>
            </w:r>
            <w:r>
              <w:br/>
            </w:r>
            <w:r>
              <w:rPr>
                <w:rFonts w:ascii="Times New Roman"/>
                <w:b w:val="false"/>
                <w:i w:val="false"/>
                <w:color w:val="000000"/>
                <w:sz w:val="20"/>
              </w:rPr>
              <w:t>
</w:t>
            </w:r>
            <w:r>
              <w:rPr>
                <w:rFonts w:ascii="Times New Roman"/>
                <w:b w:val="false"/>
                <w:i w:val="false"/>
                <w:color w:val="000000"/>
                <w:sz w:val="20"/>
              </w:rPr>
              <w:t>проект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рисков и величины страховой премии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объема страхового покрытия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страхового свидетельства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контракта на транспортировку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страхового полиса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 – импортер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Электронная таможня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Определение классификационного кода товара по ТН ВЭД ЕАЭС:</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предварительного решения по классификации товара </w:t>
            </w:r>
            <w:r>
              <w:rPr>
                <w:rFonts w:ascii="Times New Roman"/>
                <w:b w:val="false"/>
                <w:i w:val="false"/>
                <w:color w:val="000000"/>
                <w:sz w:val="20"/>
              </w:rPr>
              <w:t>по ТН ВЭД ЕАЭС</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заявления о принятии предварительного решения с приложением документов, содержащих сведения о:</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составе (конструкции)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производства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свойствах (принципе действия), предназначении, области использования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заявления и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заявления и приложенных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предварительного решения по классификации товара по ТН ВЭД ЕАЭС</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Получение сертификата о стране происхождения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уполномоченный орган и (или) организация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Таможенный представитель:</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таможенного представителя </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запроса о необходимости обращения к услугам таможенного представителя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о товаре и подготовка предложения заключить контракт</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представитель – импортер, перевозчик,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для подготовки предварительной информации и последующего таможенного декларирования</w:t>
            </w:r>
            <w:r>
              <w:br/>
            </w:r>
            <w:r>
              <w:rPr>
                <w:rFonts w:ascii="Times New Roman"/>
                <w:b w:val="false"/>
                <w:i w:val="false"/>
                <w:color w:val="000000"/>
                <w:sz w:val="20"/>
              </w:rPr>
              <w:t>
</w:t>
            </w:r>
            <w:r>
              <w:rPr>
                <w:rFonts w:ascii="Times New Roman"/>
                <w:b w:val="false"/>
                <w:i w:val="false"/>
                <w:color w:val="000000"/>
                <w:sz w:val="20"/>
              </w:rPr>
              <w:t>(в том числе предварительного декларирования):</w:t>
            </w:r>
            <w:r>
              <w:br/>
            </w:r>
            <w:r>
              <w:rPr>
                <w:rFonts w:ascii="Times New Roman"/>
                <w:b w:val="false"/>
                <w:i w:val="false"/>
                <w:color w:val="000000"/>
                <w:sz w:val="20"/>
              </w:rPr>
              <w:t>
</w:t>
            </w:r>
            <w:r>
              <w:rPr>
                <w:rFonts w:ascii="Times New Roman"/>
                <w:b w:val="false"/>
                <w:i w:val="false"/>
                <w:color w:val="000000"/>
                <w:sz w:val="20"/>
              </w:rPr>
              <w:t>контракт коммерческие документы (инвойс) упаковочный лист каталог транспортные (перевозочные) документы разрешительные документы сертификат о происхождении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Таможенные операции, предшествующие подаче таможенной декларации:</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проб и образцов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 уполномоченный орган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товара в зоне таможенного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экспедитор – таможенный орган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Таможенное декларирование:</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декларации на товары, содержащей сведения о:</w:t>
            </w:r>
            <w:r>
              <w:br/>
            </w:r>
            <w:r>
              <w:rPr>
                <w:rFonts w:ascii="Times New Roman"/>
                <w:b w:val="false"/>
                <w:i w:val="false"/>
                <w:color w:val="000000"/>
                <w:sz w:val="20"/>
              </w:rPr>
              <w:t>
</w:t>
            </w:r>
            <w:r>
              <w:rPr>
                <w:rFonts w:ascii="Times New Roman"/>
                <w:b w:val="false"/>
                <w:i w:val="false"/>
                <w:color w:val="000000"/>
                <w:sz w:val="20"/>
              </w:rPr>
              <w:t>заявляемой таможенной процедуре декларанте, таможенном представителе, отправителе и получателе товара транспортных средствах, используемых для международной перевозки товаре:</w:t>
            </w:r>
            <w:r>
              <w:br/>
            </w:r>
            <w:r>
              <w:rPr>
                <w:rFonts w:ascii="Times New Roman"/>
                <w:b w:val="false"/>
                <w:i w:val="false"/>
                <w:color w:val="000000"/>
                <w:sz w:val="20"/>
              </w:rPr>
              <w:t>
</w:t>
            </w:r>
            <w:r>
              <w:rPr>
                <w:rFonts w:ascii="Times New Roman"/>
                <w:b w:val="false"/>
                <w:i w:val="false"/>
                <w:color w:val="000000"/>
                <w:sz w:val="20"/>
              </w:rPr>
              <w:t xml:space="preserve">наименование, описание; классификационный код товара </w:t>
            </w:r>
            <w:r>
              <w:rPr>
                <w:rFonts w:ascii="Times New Roman"/>
                <w:b w:val="false"/>
                <w:i w:val="false"/>
                <w:color w:val="000000"/>
                <w:sz w:val="20"/>
              </w:rPr>
              <w:t>по ТН ВЭД ЕАЭС; описание упаковок (количество, вид, маркировка и порядковые номера);</w:t>
            </w:r>
            <w:r>
              <w:br/>
            </w:r>
            <w:r>
              <w:rPr>
                <w:rFonts w:ascii="Times New Roman"/>
                <w:b w:val="false"/>
                <w:i w:val="false"/>
                <w:color w:val="000000"/>
                <w:sz w:val="20"/>
              </w:rPr>
              <w:t>
</w:t>
            </w:r>
            <w:r>
              <w:rPr>
                <w:rFonts w:ascii="Times New Roman"/>
                <w:b w:val="false"/>
                <w:i w:val="false"/>
                <w:color w:val="000000"/>
                <w:sz w:val="20"/>
              </w:rPr>
              <w:t>количество (в килограммах (вес брутто и вес нетто) и других единицах измерения); таможенная стоимость; статистическая стоимость исчислении таможенных платежей: ставки таможенных пошлин, налогов, таможенных сборов;</w:t>
            </w:r>
            <w:r>
              <w:br/>
            </w:r>
            <w:r>
              <w:rPr>
                <w:rFonts w:ascii="Times New Roman"/>
                <w:b w:val="false"/>
                <w:i w:val="false"/>
                <w:color w:val="000000"/>
                <w:sz w:val="20"/>
              </w:rPr>
              <w:t>
</w:t>
            </w:r>
            <w:r>
              <w:rPr>
                <w:rFonts w:ascii="Times New Roman"/>
                <w:b w:val="false"/>
                <w:i w:val="false"/>
                <w:color w:val="000000"/>
                <w:sz w:val="20"/>
              </w:rPr>
              <w:t>применение льгот по уплате таможенных платежей; суммы исчисленных таможенных пошлин, налогов, таможенных сборов; курс валют внешнеэкономической сделке и ее основных условиях соблюдении ограничений производителе товара подтверждении соблюдения условий помещения товара под таможенную процедуру документах, представляемых при таможенном декларировании лице, составившем декларацию</w:t>
            </w:r>
            <w:r>
              <w:br/>
            </w:r>
            <w:r>
              <w:rPr>
                <w:rFonts w:ascii="Times New Roman"/>
                <w:b w:val="false"/>
                <w:i w:val="false"/>
                <w:color w:val="000000"/>
                <w:sz w:val="20"/>
              </w:rPr>
              <w:t>
</w:t>
            </w:r>
            <w:r>
              <w:rPr>
                <w:rFonts w:ascii="Times New Roman"/>
                <w:b w:val="false"/>
                <w:i w:val="false"/>
                <w:color w:val="000000"/>
                <w:sz w:val="20"/>
              </w:rPr>
              <w:t>на товары месте и дате составления декларации на товары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(направление) декларации на товары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декларации на товары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декларации на товары (форматно-логический контроль)</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и дополнение сведений, заявленных в декларации на товары </w:t>
            </w:r>
            <w:r>
              <w:rPr>
                <w:rFonts w:ascii="Times New Roman"/>
                <w:b w:val="false"/>
                <w:i w:val="false"/>
                <w:color w:val="000000"/>
                <w:sz w:val="20"/>
              </w:rPr>
              <w:t>до выпуска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системы управления рисками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таможенного контроля </w:t>
            </w:r>
            <w:r>
              <w:rPr>
                <w:rFonts w:ascii="Times New Roman"/>
                <w:b w:val="false"/>
                <w:i w:val="false"/>
                <w:color w:val="000000"/>
                <w:sz w:val="20"/>
              </w:rPr>
              <w:t>(в случае срабатывания системы управления рисками)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проб и образцов для проведения таможенной экспертизы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таможенной экспертизы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экспертная организация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товара из места временного хранения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 владелец места временного хранения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Убытие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документов и сведений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соблюдения запретов и ограничений (проверка наличия разрешительных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таможенного, транспортного, ветеринарного, фитосанитарного или </w:t>
            </w:r>
            <w:r>
              <w:rPr>
                <w:rFonts w:ascii="Times New Roman"/>
                <w:b w:val="false"/>
                <w:i w:val="false"/>
                <w:color w:val="000000"/>
                <w:sz w:val="20"/>
              </w:rPr>
              <w:t>санитарно-карантинного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таможенного осмотра (досмотра):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о проведении таможенного осмотра (досмотра)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акта таможенного осмотра (досмотра)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копии акта таможенного осмотра (досмотра)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проб и образцов уполномоченным органом</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разгрузки, перегрузки, перевалки, замены транспортного средства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пограничного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пограничного контроля</w:t>
            </w:r>
          </w:p>
        </w:tc>
      </w:tr>
      <w:tr>
        <w:trPr>
          <w:trHeight w:val="3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Ввоз товара на таможенную территорию Союза</w:t>
            </w:r>
          </w:p>
        </w:tc>
      </w:tr>
      <w:tr>
        <w:trPr>
          <w:trHeight w:val="3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Оплата, платежи и электронная коммерция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Выбор торгового партнера: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зарубежного партнера – продавца товара и заключение контракта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о продавце, покупателе и товаре</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оферты:</w:t>
            </w:r>
          </w:p>
          <w:p>
            <w:pPr>
              <w:spacing w:after="20"/>
              <w:ind w:left="20"/>
              <w:jc w:val="both"/>
            </w:pPr>
            <w:r>
              <w:rPr>
                <w:rFonts w:ascii="Times New Roman"/>
                <w:b w:val="false"/>
                <w:i w:val="false"/>
                <w:color w:val="000000"/>
                <w:sz w:val="20"/>
              </w:rPr>
              <w:t>формирование оферты экспортером (наименование товара, цена и количество)</w:t>
            </w:r>
          </w:p>
          <w:p>
            <w:pPr>
              <w:spacing w:after="20"/>
              <w:ind w:left="20"/>
              <w:jc w:val="both"/>
            </w:pPr>
            <w:r>
              <w:rPr>
                <w:rFonts w:ascii="Times New Roman"/>
                <w:b w:val="false"/>
                <w:i w:val="false"/>
                <w:color w:val="000000"/>
                <w:sz w:val="20"/>
              </w:rPr>
              <w:t>рассмотрение оферты импортером</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заявки на поставку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проформы-инвойса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контракта и условий поставки (заключение отдельного </w:t>
            </w:r>
            <w:r>
              <w:rPr>
                <w:rFonts w:ascii="Times New Roman"/>
                <w:b w:val="false"/>
                <w:i w:val="false"/>
                <w:color w:val="000000"/>
                <w:sz w:val="20"/>
              </w:rPr>
              <w:t>контракта или путем обмена заявки на поставку и проформы-инвойса)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контракта в органах валютного контроля (паспорт сделки) (в случаях, установленных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Заказ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товара к отправке (оформление инвойса и упаковочного листа)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инвойса и упаковочного листа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Оплата по контракту:</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оплату (требование произведения оплаты за товар)</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оплаты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 – экспортер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Оплата таможенных платежей:</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через банк:</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безналичный расчет</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 помощью терминала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наличными в кассу банка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документа, подтверждающего оплату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уплаты таможенных платежей:</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проставление отметок о перечислении денежных средств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проставление отметок о перечислении денежных средств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казначейство – таможенный орган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Оплата услуг:</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сбора за получение разрешительного документа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перевозке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страховой премии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 – 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таможенного представителя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банк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сбора за принятие предварительного решения по </w:t>
            </w:r>
            <w:r>
              <w:rPr>
                <w:rFonts w:ascii="Times New Roman"/>
                <w:b w:val="false"/>
                <w:i w:val="false"/>
                <w:color w:val="000000"/>
                <w:sz w:val="20"/>
              </w:rPr>
              <w:t>ТН ВЭД ЕАЭС</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Разрешительные документы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Получение разрешительных документов о соблюдении запретов и ограничений:</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заявлений на получение разрешительных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уполномоченному органу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уполномоченный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представленных документов уполномоченным органом</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 документов у импортера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разрешительного документа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Получение разрешения уполномоченного органа (документы, необходимые для помещения товара под выбранную таможенную процедуру)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 уполномоченный орган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Транспорт и логистика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Транспортировка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транспортной компании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перевозчик,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экспедитор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 на перевозку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проекта транспортной накладной </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экспедитор – 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подтверждения заявки на транспорт</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резервирование транспорта для перевозки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погрузка товара у экспортера (начало перевозки)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перевозчик – экспедитор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Страхование груза: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страховой компании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 на страхование груза:</w:t>
            </w:r>
            <w:r>
              <w:br/>
            </w:r>
            <w:r>
              <w:rPr>
                <w:rFonts w:ascii="Times New Roman"/>
                <w:b w:val="false"/>
                <w:i w:val="false"/>
                <w:color w:val="000000"/>
                <w:sz w:val="20"/>
              </w:rPr>
              <w:t>
</w:t>
            </w:r>
            <w:r>
              <w:rPr>
                <w:rFonts w:ascii="Times New Roman"/>
                <w:b w:val="false"/>
                <w:i w:val="false"/>
                <w:color w:val="000000"/>
                <w:sz w:val="20"/>
              </w:rPr>
              <w:t>заявка на страхование груза аккредитив инвойс упаковочный лист проект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рисков, а также величины страховой премии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объема страхового покрытия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страхового свидетельства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контракта на транспортировку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страхового полиса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 – импортер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Электронная таможня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Определение классификационного кода товара по ТН ВЭД ЕАЭС:</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предварительного решения по классификации товара </w:t>
            </w:r>
            <w:r>
              <w:rPr>
                <w:rFonts w:ascii="Times New Roman"/>
                <w:b w:val="false"/>
                <w:i w:val="false"/>
                <w:color w:val="000000"/>
                <w:sz w:val="20"/>
              </w:rPr>
              <w:t>по ТН ВЭД ЕАЭС</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заявления о принятии предварительного решения с приложением документов, содержащих сведения о:</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составе (конструкции)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производства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свойствах (принципе действия), предназначении, области использования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заявления и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заявления и приложенных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предварительного решения по классификации товара </w:t>
            </w:r>
            <w:r>
              <w:rPr>
                <w:rFonts w:ascii="Times New Roman"/>
                <w:b w:val="false"/>
                <w:i w:val="false"/>
                <w:color w:val="000000"/>
                <w:sz w:val="20"/>
              </w:rPr>
              <w:t>по ТН ВЭД ЕАЭС</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Определение страны происхождения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предварительного решения по стране происхождения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таможенный орган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Таможенный представитель:</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таможенного представителя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информационно-справочные ресурсы</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запроса о необходимости обращения к услугам таможенного представителя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о товаре и подготовка предложения заключить контракт</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представитель – импортер, перевозчик,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документов для подготовки предварительной информации и последующего таможенного декларирования </w:t>
            </w:r>
            <w:r>
              <w:rPr>
                <w:rFonts w:ascii="Times New Roman"/>
                <w:b w:val="false"/>
                <w:i w:val="false"/>
                <w:color w:val="000000"/>
                <w:sz w:val="20"/>
              </w:rPr>
              <w:t>(в том числе предварительного декларирования):</w:t>
            </w:r>
          </w:p>
          <w:p>
            <w:pPr>
              <w:spacing w:after="20"/>
              <w:ind w:left="20"/>
              <w:jc w:val="both"/>
            </w:pPr>
            <w:r>
              <w:rPr>
                <w:rFonts w:ascii="Times New Roman"/>
                <w:b w:val="false"/>
                <w:i w:val="false"/>
                <w:color w:val="000000"/>
                <w:sz w:val="20"/>
              </w:rPr>
              <w:t>контракт коммерческие документы (инвойс) упаковочный лист каталог транспортные (перевозочные) документы разрешительные документы сертификат о происхождении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Предварительное информирование:</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 менее чем за 2 часа до ввоза информации в отношении ввозимого автомобильным транспортом товара, содержащей сведения о:</w:t>
            </w:r>
            <w:r>
              <w:br/>
            </w:r>
            <w:r>
              <w:rPr>
                <w:rFonts w:ascii="Times New Roman"/>
                <w:b w:val="false"/>
                <w:i w:val="false"/>
                <w:color w:val="000000"/>
                <w:sz w:val="20"/>
              </w:rPr>
              <w:t>
</w:t>
            </w:r>
            <w:r>
              <w:rPr>
                <w:rFonts w:ascii="Times New Roman"/>
                <w:b w:val="false"/>
                <w:i w:val="false"/>
                <w:color w:val="000000"/>
                <w:sz w:val="20"/>
              </w:rPr>
              <w:t xml:space="preserve">отправителе, получателе товара </w:t>
            </w:r>
            <w:r>
              <w:rPr>
                <w:rFonts w:ascii="Times New Roman"/>
                <w:b w:val="false"/>
                <w:i w:val="false"/>
                <w:color w:val="000000"/>
                <w:sz w:val="20"/>
              </w:rPr>
              <w:t xml:space="preserve">в соответствии с транспортными (перевозочными) документами стране отправления и назначения товара декларанте перевозчике транспортном средстве международной перевозки, </w:t>
            </w:r>
            <w:r>
              <w:rPr>
                <w:rFonts w:ascii="Times New Roman"/>
                <w:b w:val="false"/>
                <w:i w:val="false"/>
                <w:color w:val="000000"/>
                <w:sz w:val="20"/>
              </w:rPr>
              <w:t xml:space="preserve">на котором перемещаются товары наименовании, количестве, стоимости товара в соответствии с коммерческими, транспортными (перевозочными) документами коде товара на уровне не менее первых 6 знаков весе товара брутто или объеме, </w:t>
            </w:r>
            <w:r>
              <w:rPr>
                <w:rFonts w:ascii="Times New Roman"/>
                <w:b w:val="false"/>
                <w:i w:val="false"/>
                <w:color w:val="000000"/>
                <w:sz w:val="20"/>
              </w:rPr>
              <w:t xml:space="preserve">а также количестве товара в дополнительных единицах измерения по каждому коду </w:t>
            </w:r>
            <w:r>
              <w:rPr>
                <w:rFonts w:ascii="Times New Roman"/>
                <w:b w:val="false"/>
                <w:i w:val="false"/>
                <w:color w:val="000000"/>
                <w:sz w:val="20"/>
              </w:rPr>
              <w:t xml:space="preserve">ТН ВЭД ЕАЭС (при наличии) количестве грузовых мест пункте назначения товара </w:t>
            </w:r>
            <w:r>
              <w:rPr>
                <w:rFonts w:ascii="Times New Roman"/>
                <w:b w:val="false"/>
                <w:i w:val="false"/>
                <w:color w:val="000000"/>
                <w:sz w:val="20"/>
              </w:rPr>
              <w:t>в соответствии с транспортными (перевозочными) документами документах, подтверждающих соблюдение ограничений планируемой перегрузке товара или грузовых операциях в пути времени и месте прибытия товара на территорию Союза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 уполномоченного экономического оператора, перевозчика (таможенного перевозчика), таможенного представителя – информационные системы таможенных органов</w:t>
            </w:r>
          </w:p>
          <w:p>
            <w:pPr>
              <w:spacing w:after="20"/>
              <w:ind w:left="20"/>
              <w:jc w:val="both"/>
            </w:pPr>
            <w:r>
              <w:rPr>
                <w:rFonts w:ascii="Times New Roman"/>
                <w:b w:val="false"/>
                <w:i w:val="false"/>
                <w:color w:val="000000"/>
                <w:sz w:val="20"/>
              </w:rPr>
              <w:t>уполномоченный экономический оператор, перевозчик (таможенный перевозчик),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электронное сообщение, содержащее уникальный идентификационный номер перевозки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 таможенных органов – информационные системы уполномоченного экономического оператора, перевозчика (таможенного перевозчика), таможенного представителя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Прибытие товара на таможенную территорию Союза: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пограничного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пограничного контроля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документов и сведений, а также уникального идентификационного номера перевозки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соблюдения запретов и ограничений (проверка наличия разрешительных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транспортного, ветеринарного, фитосанитарного или санитарно-карантинного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орган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по уникальному идентификационному номеру перевозки предварительной информации из базы данных таможенных органов и сравнение сведений, содержащихся в представленных документах, </w:t>
            </w:r>
            <w:r>
              <w:rPr>
                <w:rFonts w:ascii="Times New Roman"/>
                <w:b w:val="false"/>
                <w:i w:val="false"/>
                <w:color w:val="000000"/>
                <w:sz w:val="20"/>
              </w:rPr>
              <w:t>со сведениями из базы данных</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информации с использованием системы управления рисками и применение форм таможенного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системы управления рисками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таможенного осмотра (досмотра)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проб и образцов уполномоченными органами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таможенный орган, другие уполномоченные органы</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разгрузки, перегрузки, перевалки, замены транспортного средства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для помещения товара и транспортных средств под таможенную процедуру таможенного транзита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Таможенный транзит:</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уплаты таможенных платежей и налогов при таможенном транзите (залог, банковская гарантия, поручительство, договор страхования, деньги) либо таможенное сопровождение транспортных средств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банк, страховая компания, поручитель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транзитной декларации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перевозчик, экспедитор,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транзитной декларации, документов и сведений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транзитной декларации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транзитной декларации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системы управления рисками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таможенного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срока доставки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мотивированное обращение декларанта или перевозчика в таможенный орган</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экспедитор, перевозчик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срока доставки товара таможенным органом</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разгрузка, перегрузка, перевалка в пути следования и иные грузовые операции с товаром, а также замена транспортных средств </w:t>
            </w:r>
            <w:r>
              <w:rPr>
                <w:rFonts w:ascii="Times New Roman"/>
                <w:b w:val="false"/>
                <w:i w:val="false"/>
                <w:color w:val="000000"/>
                <w:sz w:val="20"/>
              </w:rPr>
              <w:t>(при необходимости)</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в таможенный орган за разрешением либо уведомление таможенного органа (если не нарушаются пломбы)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разрешения таможенного органа либо отказ в выдаче разрешения на осуществление грузовых операций с товаром</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грузовых операций и составление акта (при необходимости)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зоне таможенного контроля места доставки товаров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перевозчик – владелец места временного хранения, таможенный орган, представитель </w:t>
            </w:r>
            <w:r>
              <w:rPr>
                <w:rFonts w:ascii="Times New Roman"/>
                <w:b w:val="false"/>
                <w:i w:val="false"/>
                <w:color w:val="000000"/>
                <w:sz w:val="20"/>
              </w:rPr>
              <w:t>уполномоченного экономического оператора</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о прибытии транспортного средства с товаром </w:t>
            </w:r>
            <w:r>
              <w:rPr>
                <w:rFonts w:ascii="Times New Roman"/>
                <w:b w:val="false"/>
                <w:i w:val="false"/>
                <w:color w:val="000000"/>
                <w:sz w:val="20"/>
              </w:rPr>
              <w:t>в таможенный орган назначения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прибытия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перевозчик, владелец места временного хранения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импортера о прибытии товара и размещении его в зоне таможенного контроля места доставки товаров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владелец места временного хранения, владелец склада собственных товаров</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таможенного транзита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разрешения на разгрузку товара в месте временного хранения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перевозчик, владелец места временного хранения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Таможенные операции, предшествующие подаче таможенной декларации:</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проб и образцов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 уполномоченный орган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документа об оценке соответствия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по оценке соответствия – декларант, таможенный представитель – таможенный орган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Таможенное декларирование:</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декларации на товары, содержащей сведения о:</w:t>
            </w:r>
            <w:r>
              <w:br/>
            </w:r>
            <w:r>
              <w:rPr>
                <w:rFonts w:ascii="Times New Roman"/>
                <w:b w:val="false"/>
                <w:i w:val="false"/>
                <w:color w:val="000000"/>
                <w:sz w:val="20"/>
              </w:rPr>
              <w:t>
</w:t>
            </w:r>
            <w:r>
              <w:rPr>
                <w:rFonts w:ascii="Times New Roman"/>
                <w:b w:val="false"/>
                <w:i w:val="false"/>
                <w:color w:val="000000"/>
                <w:sz w:val="20"/>
              </w:rPr>
              <w:t>заявляемой таможенной процедуре декларанте, таможенном представителе, отправителе и получателе товара транспортных средствах, используемых для международной перевозки товаре: наименование, описание;</w:t>
            </w:r>
            <w:r>
              <w:br/>
            </w:r>
            <w:r>
              <w:rPr>
                <w:rFonts w:ascii="Times New Roman"/>
                <w:b w:val="false"/>
                <w:i w:val="false"/>
                <w:color w:val="000000"/>
                <w:sz w:val="20"/>
              </w:rPr>
              <w:t>
</w:t>
            </w:r>
            <w:r>
              <w:rPr>
                <w:rFonts w:ascii="Times New Roman"/>
                <w:b w:val="false"/>
                <w:i w:val="false"/>
                <w:color w:val="000000"/>
                <w:sz w:val="20"/>
              </w:rPr>
              <w:t xml:space="preserve">классификационный код товара по ТН ВЭД ЕАЭС; описание упаковок (количество, вид, маркировка и порядковые номера); количество </w:t>
            </w:r>
            <w:r>
              <w:rPr>
                <w:rFonts w:ascii="Times New Roman"/>
                <w:b w:val="false"/>
                <w:i w:val="false"/>
                <w:color w:val="000000"/>
                <w:sz w:val="20"/>
              </w:rPr>
              <w:t>(в килограммах (вес брутто и вес нетто) и других единицах измерения); таможенная стоимость;</w:t>
            </w:r>
            <w:r>
              <w:br/>
            </w:r>
            <w:r>
              <w:rPr>
                <w:rFonts w:ascii="Times New Roman"/>
                <w:b w:val="false"/>
                <w:i w:val="false"/>
                <w:color w:val="000000"/>
                <w:sz w:val="20"/>
              </w:rPr>
              <w:t>
</w:t>
            </w:r>
            <w:r>
              <w:rPr>
                <w:rFonts w:ascii="Times New Roman"/>
                <w:b w:val="false"/>
                <w:i w:val="false"/>
                <w:color w:val="000000"/>
                <w:sz w:val="20"/>
              </w:rPr>
              <w:t>статистическая стоимость исчислении таможенных платежей: ставки таможенных пошлин, налогов, таможенных сборов; применение льгот по уплате таможенных платежей;</w:t>
            </w:r>
            <w:r>
              <w:br/>
            </w:r>
            <w:r>
              <w:rPr>
                <w:rFonts w:ascii="Times New Roman"/>
                <w:b w:val="false"/>
                <w:i w:val="false"/>
                <w:color w:val="000000"/>
                <w:sz w:val="20"/>
              </w:rPr>
              <w:t>
</w:t>
            </w:r>
            <w:r>
              <w:rPr>
                <w:rFonts w:ascii="Times New Roman"/>
                <w:b w:val="false"/>
                <w:i w:val="false"/>
                <w:color w:val="000000"/>
                <w:sz w:val="20"/>
              </w:rPr>
              <w:t>суммы исчисленных таможенных пошлин, налогов, таможенных сборов; курс валют внешнеэкономической сделке и ее основных условиях соблюдении ограничений производителе товара подтверждении соблюдения условий помещения товара под таможенную процедуру документах, представляемых при таможенном декларировании лице, составившем декларацию на товары</w:t>
            </w:r>
          </w:p>
          <w:p>
            <w:pPr>
              <w:spacing w:after="20"/>
              <w:ind w:left="20"/>
              <w:jc w:val="both"/>
            </w:pPr>
            <w:r>
              <w:rPr>
                <w:rFonts w:ascii="Times New Roman"/>
                <w:b w:val="false"/>
                <w:i w:val="false"/>
                <w:color w:val="000000"/>
                <w:sz w:val="20"/>
              </w:rPr>
              <w:t>месте и дате составления декларации на товары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(направление) декларации на товары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декларации на товары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декларации на товары (форматно-логический контроль)</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и дополнение сведений, заявленных в декларации на товары </w:t>
            </w:r>
            <w:r>
              <w:rPr>
                <w:rFonts w:ascii="Times New Roman"/>
                <w:b w:val="false"/>
                <w:i w:val="false"/>
                <w:color w:val="000000"/>
                <w:sz w:val="20"/>
              </w:rPr>
              <w:t>до выпуска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системы управления рисками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таможенного контроля </w:t>
            </w:r>
            <w:r>
              <w:rPr>
                <w:rFonts w:ascii="Times New Roman"/>
                <w:b w:val="false"/>
                <w:i w:val="false"/>
                <w:color w:val="000000"/>
                <w:sz w:val="20"/>
              </w:rPr>
              <w:t>(в случае срабатывания системы управления рисками)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проб и образцов для проведения таможенной экспертизы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таможенной экспертизы</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экспертные организации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товара из места временного хранения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 – владелец места временного хранения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Таможенный контроль после выпуска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достоверности сведений, указанных в декларации на товары:</w:t>
            </w:r>
          </w:p>
          <w:p>
            <w:pPr>
              <w:spacing w:after="20"/>
              <w:ind w:left="20"/>
              <w:jc w:val="both"/>
            </w:pPr>
            <w:r>
              <w:rPr>
                <w:rFonts w:ascii="Times New Roman"/>
                <w:b w:val="false"/>
                <w:i w:val="false"/>
                <w:color w:val="000000"/>
                <w:sz w:val="20"/>
              </w:rPr>
              <w:t xml:space="preserve">классификация товара по </w:t>
            </w:r>
            <w:r>
              <w:rPr>
                <w:rFonts w:ascii="Times New Roman"/>
                <w:b w:val="false"/>
                <w:i w:val="false"/>
                <w:color w:val="000000"/>
                <w:sz w:val="20"/>
              </w:rPr>
              <w:t>ТН ВЭД ЕАЭС</w:t>
            </w:r>
          </w:p>
          <w:p>
            <w:pPr>
              <w:spacing w:after="20"/>
              <w:ind w:left="20"/>
              <w:jc w:val="both"/>
            </w:pPr>
            <w:r>
              <w:rPr>
                <w:rFonts w:ascii="Times New Roman"/>
                <w:b w:val="false"/>
                <w:i w:val="false"/>
                <w:color w:val="000000"/>
                <w:sz w:val="20"/>
              </w:rPr>
              <w:t xml:space="preserve">страна происхождения товара, </w:t>
            </w:r>
            <w:r>
              <w:rPr>
                <w:rFonts w:ascii="Times New Roman"/>
                <w:b w:val="false"/>
                <w:i w:val="false"/>
                <w:color w:val="000000"/>
                <w:sz w:val="20"/>
              </w:rPr>
              <w:t>а также соблюдение условий предоставления тарифных преференций контроль таможенной стоимости товара запреты и ограничения, установленные законодательством государств-членов защита прав интеллектуальной собственности помещение товара под таможенную процедуру порядок и условия предоставления льгот по уплате таможенных платежей, иных освобождений, отсрочек, рассрочек по уплате таможенных платежей исчисление, полнота и своевременность уплаты таможенных платежей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документами и сведениями в электронном виде между таможенным органом и участником внешнеэкономической деятельности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уведомления о проведении таможенного контроля по результатам проверки системой управления рисками:</w:t>
            </w:r>
          </w:p>
          <w:p>
            <w:pPr>
              <w:spacing w:after="20"/>
              <w:ind w:left="20"/>
              <w:jc w:val="both"/>
            </w:pPr>
            <w:r>
              <w:rPr>
                <w:rFonts w:ascii="Times New Roman"/>
                <w:b w:val="false"/>
                <w:i w:val="false"/>
                <w:color w:val="000000"/>
                <w:sz w:val="20"/>
              </w:rPr>
              <w:t>выездная таможенная проверка</w:t>
            </w:r>
          </w:p>
          <w:p>
            <w:pPr>
              <w:spacing w:after="20"/>
              <w:ind w:left="20"/>
              <w:jc w:val="both"/>
            </w:pPr>
            <w:r>
              <w:rPr>
                <w:rFonts w:ascii="Times New Roman"/>
                <w:b w:val="false"/>
                <w:i w:val="false"/>
                <w:color w:val="000000"/>
                <w:sz w:val="20"/>
              </w:rPr>
              <w:t>камеральная таможенная проверка</w:t>
            </w:r>
          </w:p>
          <w:p>
            <w:pPr>
              <w:spacing w:after="20"/>
              <w:ind w:left="20"/>
              <w:jc w:val="both"/>
            </w:pPr>
            <w:r>
              <w:rPr>
                <w:rFonts w:ascii="Times New Roman"/>
                <w:b w:val="false"/>
                <w:i w:val="false"/>
                <w:color w:val="000000"/>
                <w:sz w:val="20"/>
              </w:rPr>
              <w:t>иные формы таможенного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от иных уполномоченных органов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уполномоченный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 документов у участника внешнеэкономической деятельности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направление акта по результатам таможенной проверки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импортер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Транзит товара через таможенную территорию Союза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Оплата, платежи и электронная коммерция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Оплата услуг по перевозке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перевозчик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Оплата страховой премии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 – страховая компания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Оплата услуг таможенного представителя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банк</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Транспорт и логистика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Транспортировка товара: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транспортной компании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перевозчик,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экспедитор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 на перевозку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проекта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экспедитор – экспортер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подтверждения заявки</w:t>
            </w:r>
            <w:r>
              <w:br/>
            </w:r>
            <w:r>
              <w:rPr>
                <w:rFonts w:ascii="Times New Roman"/>
                <w:b w:val="false"/>
                <w:i w:val="false"/>
                <w:color w:val="000000"/>
                <w:sz w:val="20"/>
              </w:rPr>
              <w:t>
</w:t>
            </w:r>
            <w:r>
              <w:rPr>
                <w:rFonts w:ascii="Times New Roman"/>
                <w:b w:val="false"/>
                <w:i w:val="false"/>
                <w:color w:val="000000"/>
                <w:sz w:val="20"/>
              </w:rPr>
              <w:t>на транспорт</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резервирование транспорта для перевозки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погрузка товара у экспортера</w:t>
            </w:r>
            <w:r>
              <w:br/>
            </w:r>
            <w:r>
              <w:rPr>
                <w:rFonts w:ascii="Times New Roman"/>
                <w:b w:val="false"/>
                <w:i w:val="false"/>
                <w:color w:val="000000"/>
                <w:sz w:val="20"/>
              </w:rPr>
              <w:t>
</w:t>
            </w:r>
            <w:r>
              <w:rPr>
                <w:rFonts w:ascii="Times New Roman"/>
                <w:b w:val="false"/>
                <w:i w:val="false"/>
                <w:color w:val="000000"/>
                <w:sz w:val="20"/>
              </w:rPr>
              <w:t>(начало перевозки)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перевозчик – экспедитор – импортер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Страхование груза: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страховой компании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заявки на страхование груза:</w:t>
            </w:r>
            <w:r>
              <w:br/>
            </w:r>
            <w:r>
              <w:rPr>
                <w:rFonts w:ascii="Times New Roman"/>
                <w:b w:val="false"/>
                <w:i w:val="false"/>
                <w:color w:val="000000"/>
                <w:sz w:val="20"/>
              </w:rPr>
              <w:t>
</w:t>
            </w:r>
            <w:r>
              <w:rPr>
                <w:rFonts w:ascii="Times New Roman"/>
                <w:b w:val="false"/>
                <w:i w:val="false"/>
                <w:color w:val="000000"/>
                <w:sz w:val="20"/>
              </w:rPr>
              <w:t>заявка на страхование груза аккредитив инвойс упаковочный лист проект транспортной накладной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рисков, а также величины страховой премии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объема страхового покрытия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страхового свидетельства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контракта на транспортировку</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страховая компания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страхового полиса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компания –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страховой премии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 банк – страховая компания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Электронная таможня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Таможенный представитель:</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таможенного представителя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запроса о необходимости обращения к услугам таможенного представителя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о товаре и подготовка предложения заключить контракт</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представитель – импортер, перевозчик, экспедитор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документов для подготовки предварительной информации и последующего таможенного декларирования </w:t>
            </w:r>
            <w:r>
              <w:rPr>
                <w:rFonts w:ascii="Times New Roman"/>
                <w:b w:val="false"/>
                <w:i w:val="false"/>
                <w:color w:val="000000"/>
                <w:sz w:val="20"/>
              </w:rPr>
              <w:t>(в том числе предварительного декларирования):</w:t>
            </w:r>
            <w:r>
              <w:br/>
            </w:r>
            <w:r>
              <w:rPr>
                <w:rFonts w:ascii="Times New Roman"/>
                <w:b w:val="false"/>
                <w:i w:val="false"/>
                <w:color w:val="000000"/>
                <w:sz w:val="20"/>
              </w:rPr>
              <w:t>
</w:t>
            </w:r>
            <w:r>
              <w:rPr>
                <w:rFonts w:ascii="Times New Roman"/>
                <w:b w:val="false"/>
                <w:i w:val="false"/>
                <w:color w:val="000000"/>
                <w:sz w:val="20"/>
              </w:rPr>
              <w:t>контракт коммерческие документы (инвойс) упаковочный лист каталог транспортные (перевозочные) документы разрешительные документы сертификат о происхождении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перевозчик, экспедитор – таможенный представитель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Предварительное информирование:</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 менее чем за 2 часа до ввоза информации в отношении ввозимого автомобильным транспортом товара, содержащей сведения о:</w:t>
            </w:r>
            <w:r>
              <w:br/>
            </w:r>
            <w:r>
              <w:rPr>
                <w:rFonts w:ascii="Times New Roman"/>
                <w:b w:val="false"/>
                <w:i w:val="false"/>
                <w:color w:val="000000"/>
                <w:sz w:val="20"/>
              </w:rPr>
              <w:t>
</w:t>
            </w:r>
            <w:r>
              <w:rPr>
                <w:rFonts w:ascii="Times New Roman"/>
                <w:b w:val="false"/>
                <w:i w:val="false"/>
                <w:color w:val="000000"/>
                <w:sz w:val="20"/>
              </w:rPr>
              <w:t xml:space="preserve">отправителе, получателе товара в соответствии с транспортными (перевозочными) документами стране отправления и назначения товара декларанте перевозчике транспортном средстве международной перевозки, на котором перемещается товар наименовании, количестве, стоимости товара в соответствии с коммерческими, транспортными (перевозочными) документами коде товара на уровне не менее первых 6 знаков весе товара брутто или объеме, </w:t>
            </w:r>
            <w:r>
              <w:rPr>
                <w:rFonts w:ascii="Times New Roman"/>
                <w:b w:val="false"/>
                <w:i w:val="false"/>
                <w:color w:val="000000"/>
                <w:sz w:val="20"/>
              </w:rPr>
              <w:t xml:space="preserve">а также количестве товара в дополнительных единицах измерения по каждому коду </w:t>
            </w:r>
            <w:r>
              <w:rPr>
                <w:rFonts w:ascii="Times New Roman"/>
                <w:b w:val="false"/>
                <w:i w:val="false"/>
                <w:color w:val="000000"/>
                <w:sz w:val="20"/>
              </w:rPr>
              <w:t xml:space="preserve">ТН ВЭД ЕАЭС (при наличии) количестве грузовых мест пункте назначения товара </w:t>
            </w:r>
            <w:r>
              <w:rPr>
                <w:rFonts w:ascii="Times New Roman"/>
                <w:b w:val="false"/>
                <w:i w:val="false"/>
                <w:color w:val="000000"/>
                <w:sz w:val="20"/>
              </w:rPr>
              <w:t>в соответствии с транспортными (перевозочными) документами документах, подтверждающих соблюдение ограничений планируемой перегрузке товара или грузовых операциях в пути времени и месте прибытия товара на территорию Союза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 уполномоченного экономического оператора, перевозчика (таможенного перевозчика), таможенного представителя – информационные системы таможенных органов</w:t>
            </w:r>
          </w:p>
          <w:p>
            <w:pPr>
              <w:spacing w:after="20"/>
              <w:ind w:left="20"/>
              <w:jc w:val="both"/>
            </w:pPr>
            <w:r>
              <w:rPr>
                <w:rFonts w:ascii="Times New Roman"/>
                <w:b w:val="false"/>
                <w:i w:val="false"/>
                <w:color w:val="000000"/>
                <w:sz w:val="20"/>
              </w:rPr>
              <w:t>уполномоченный экономический оператор, перевозчик (таможенный перевозчик),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электронное сообщение, содержащее уникальный идентификационный номер перевозки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 таможенных органов – информационные системы уполномоченного экономического оператора, перевозчика (таможенного перевозчика), таможенного представителя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Прибытие товара на таможенную территорию Союза:</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пограничного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пограничного контроля</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документов и сведений, а также уникального идентификационного номера перевозки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соблюдения запретов и ограничений (проверка наличия разрешительных документов)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транспортного, ветеринарного, фитосанитарного или санитарно-карантинного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орган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по уникальному идентификационному номеру перевозки предварительной информации из базы данных таможенных органов и сравнение сведений, содержащихся в представленных документах, </w:t>
            </w:r>
            <w:r>
              <w:rPr>
                <w:rFonts w:ascii="Times New Roman"/>
                <w:b w:val="false"/>
                <w:i w:val="false"/>
                <w:color w:val="000000"/>
                <w:sz w:val="20"/>
              </w:rPr>
              <w:t>со сведениями из базы данных</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информации с использованием системы управления рисками и применение форм таможенного контроля</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системы управления рисками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таможенного осмотра (досмотра)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перевозчик</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проб и образцов уполномоченными органами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 таможенный орган, другие уполномоченные органы</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разгрузки, перегрузки, перевалки, замены транспортного средства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таможенный представитель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для помещения товара и транспортных средств под таможенную процедуру таможенного транзита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Таможенный транзит:</w:t>
            </w:r>
          </w:p>
        </w:tc>
        <w:tc>
          <w:tcPr>
            <w:tcW w:w="5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уплаты таможенных платежей и налогов при таможенном транзите (залог, банковская гарантия, поручительство, договор страхования, деньги) либо таможенное сопровождение транспортных средств</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банк, страховая компания, поручитель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транзитной декларации </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таможенный представитель, перевозчик, экспедитор, импортер</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транзитной декларации, документов и сведений</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 – 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транзитной декларации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транзитной декларации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системы управления рисками</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таможенного контроля </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 декларант</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товара</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bl>
    <w:bookmarkStart w:name="z98" w:id="37"/>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состояния развития национальных</w:t>
      </w:r>
      <w:r>
        <w:br/>
      </w:r>
      <w:r>
        <w:rPr>
          <w:rFonts w:ascii="Times New Roman"/>
          <w:b w:val="false"/>
          <w:i w:val="false"/>
          <w:color w:val="000000"/>
          <w:sz w:val="28"/>
        </w:rPr>
        <w:t xml:space="preserve">
механизмов «единого окна»   </w:t>
      </w:r>
    </w:p>
    <w:bookmarkEnd w:id="37"/>
    <w:bookmarkStart w:name="z105" w:id="38"/>
    <w:p>
      <w:pPr>
        <w:spacing w:after="0"/>
        <w:ind w:left="0"/>
        <w:jc w:val="left"/>
      </w:pPr>
      <w:r>
        <w:rPr>
          <w:rFonts w:ascii="Times New Roman"/>
          <w:b/>
          <w:i w:val="false"/>
          <w:color w:val="000000"/>
        </w:rPr>
        <w:t xml:space="preserve"> 
ПРИМЕРНЫЙ ПЕРЕЧЕНЬ</w:t>
      </w:r>
      <w:r>
        <w:br/>
      </w:r>
      <w:r>
        <w:rPr>
          <w:rFonts w:ascii="Times New Roman"/>
          <w:b/>
          <w:i w:val="false"/>
          <w:color w:val="000000"/>
        </w:rPr>
        <w:t>
вопросов для организации проведения опросов, собеседований,</w:t>
      </w:r>
      <w:r>
        <w:br/>
      </w:r>
      <w:r>
        <w:rPr>
          <w:rFonts w:ascii="Times New Roman"/>
          <w:b/>
          <w:i w:val="false"/>
          <w:color w:val="000000"/>
        </w:rPr>
        <w:t>
встреч, совещаний, консультаций</w:t>
      </w:r>
    </w:p>
    <w:bookmarkEnd w:id="38"/>
    <w:p>
      <w:pPr>
        <w:spacing w:after="0"/>
        <w:ind w:left="0"/>
        <w:jc w:val="both"/>
      </w:pPr>
      <w:r>
        <w:rPr>
          <w:rFonts w:ascii="Times New Roman"/>
          <w:b w:val="false"/>
          <w:i w:val="false"/>
          <w:color w:val="000000"/>
          <w:sz w:val="28"/>
        </w:rPr>
        <w:t>      1. Каковы задачи анализируемой приоритетной операции?</w:t>
      </w:r>
      <w:r>
        <w:br/>
      </w:r>
      <w:r>
        <w:rPr>
          <w:rFonts w:ascii="Times New Roman"/>
          <w:b w:val="false"/>
          <w:i w:val="false"/>
          <w:color w:val="000000"/>
          <w:sz w:val="28"/>
        </w:rPr>
        <w:t>
      2. Кто является участником приоритетной операции?</w:t>
      </w:r>
      <w:r>
        <w:br/>
      </w:r>
      <w:r>
        <w:rPr>
          <w:rFonts w:ascii="Times New Roman"/>
          <w:b w:val="false"/>
          <w:i w:val="false"/>
          <w:color w:val="000000"/>
          <w:sz w:val="28"/>
        </w:rPr>
        <w:t>
      3. Какие действия нужно совершить участнику, чтобы получить документ, необходимый для осуществления внешнеэкономической деятельности?</w:t>
      </w:r>
      <w:r>
        <w:br/>
      </w:r>
      <w:r>
        <w:rPr>
          <w:rFonts w:ascii="Times New Roman"/>
          <w:b w:val="false"/>
          <w:i w:val="false"/>
          <w:color w:val="000000"/>
          <w:sz w:val="28"/>
        </w:rPr>
        <w:t>
      4. Каким нормативным правовым актом государства – члена Евразийского экономического союза установлен порядок получения документа, необходимого для осуществления внешнеэкономической деятельности?</w:t>
      </w:r>
      <w:r>
        <w:br/>
      </w:r>
      <w:r>
        <w:rPr>
          <w:rFonts w:ascii="Times New Roman"/>
          <w:b w:val="false"/>
          <w:i w:val="false"/>
          <w:color w:val="000000"/>
          <w:sz w:val="28"/>
        </w:rPr>
        <w:t>
      5. В какой форме осуществляется взаимодействие участников при получении документа, необходимого для осуществления внешнеэкономической деятельности?</w:t>
      </w:r>
      <w:r>
        <w:br/>
      </w:r>
      <w:r>
        <w:rPr>
          <w:rFonts w:ascii="Times New Roman"/>
          <w:b w:val="false"/>
          <w:i w:val="false"/>
          <w:color w:val="000000"/>
          <w:sz w:val="28"/>
        </w:rPr>
        <w:t>
      6. Как в дальнейшем используются полученный документ и содержащиеся в нем сведения?</w:t>
      </w:r>
      <w:r>
        <w:br/>
      </w:r>
      <w:r>
        <w:rPr>
          <w:rFonts w:ascii="Times New Roman"/>
          <w:b w:val="false"/>
          <w:i w:val="false"/>
          <w:color w:val="000000"/>
          <w:sz w:val="28"/>
        </w:rPr>
        <w:t>
      7. Какие приоритетные операции могут выполняться одновременно?</w:t>
      </w:r>
      <w:r>
        <w:br/>
      </w:r>
      <w:r>
        <w:rPr>
          <w:rFonts w:ascii="Times New Roman"/>
          <w:b w:val="false"/>
          <w:i w:val="false"/>
          <w:color w:val="000000"/>
          <w:sz w:val="28"/>
        </w:rPr>
        <w:t>
      8. Какие приоритетные операции должны выполняться в четкой последовательности?</w:t>
      </w:r>
      <w:r>
        <w:br/>
      </w:r>
      <w:r>
        <w:rPr>
          <w:rFonts w:ascii="Times New Roman"/>
          <w:b w:val="false"/>
          <w:i w:val="false"/>
          <w:color w:val="000000"/>
          <w:sz w:val="28"/>
        </w:rPr>
        <w:t>
      9. Каким участникам приоритетных операций требуются полученный документ и содержащиеся в нем сведения?</w:t>
      </w:r>
      <w:r>
        <w:br/>
      </w:r>
      <w:r>
        <w:rPr>
          <w:rFonts w:ascii="Times New Roman"/>
          <w:b w:val="false"/>
          <w:i w:val="false"/>
          <w:color w:val="000000"/>
          <w:sz w:val="28"/>
        </w:rPr>
        <w:t>
      10. Сколько времени занимает выполнение приоритетной операции?</w:t>
      </w:r>
      <w:r>
        <w:br/>
      </w:r>
      <w:r>
        <w:rPr>
          <w:rFonts w:ascii="Times New Roman"/>
          <w:b w:val="false"/>
          <w:i w:val="false"/>
          <w:color w:val="000000"/>
          <w:sz w:val="28"/>
        </w:rPr>
        <w:t>
      11. Какие финансовые затраты требуются для выполнения приоритетной операции?</w:t>
      </w:r>
      <w:r>
        <w:br/>
      </w:r>
      <w:r>
        <w:rPr>
          <w:rFonts w:ascii="Times New Roman"/>
          <w:b w:val="false"/>
          <w:i w:val="false"/>
          <w:color w:val="000000"/>
          <w:sz w:val="28"/>
        </w:rPr>
        <w:t>
      12. Как можно улучшить выполняемую приоритетную операцию?</w:t>
      </w:r>
    </w:p>
    <w:bookmarkStart w:name="z99" w:id="39"/>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состояния развития национальных</w:t>
      </w:r>
      <w:r>
        <w:br/>
      </w:r>
      <w:r>
        <w:rPr>
          <w:rFonts w:ascii="Times New Roman"/>
          <w:b w:val="false"/>
          <w:i w:val="false"/>
          <w:color w:val="000000"/>
          <w:sz w:val="28"/>
        </w:rPr>
        <w:t xml:space="preserve">
механизмов «единого окна»  </w:t>
      </w:r>
    </w:p>
    <w:bookmarkEnd w:id="39"/>
    <w:bookmarkStart w:name="z106" w:id="40"/>
    <w:p>
      <w:pPr>
        <w:spacing w:after="0"/>
        <w:ind w:left="0"/>
        <w:jc w:val="both"/>
      </w:pPr>
      <w:r>
        <w:rPr>
          <w:rFonts w:ascii="Times New Roman"/>
          <w:b w:val="false"/>
          <w:i w:val="false"/>
          <w:color w:val="000000"/>
          <w:sz w:val="28"/>
        </w:rPr>
        <w:t>
</w:t>
      </w:r>
      <w:r>
        <w:rPr>
          <w:rFonts w:ascii="Times New Roman"/>
          <w:b/>
          <w:i w:val="false"/>
          <w:color w:val="000000"/>
          <w:sz w:val="28"/>
        </w:rPr>
        <w:t>                             АЛГОРИТМ</w:t>
      </w:r>
      <w:r>
        <w:br/>
      </w:r>
      <w:r>
        <w:rPr>
          <w:rFonts w:ascii="Times New Roman"/>
          <w:b w:val="false"/>
          <w:i w:val="false"/>
          <w:color w:val="000000"/>
          <w:sz w:val="28"/>
        </w:rPr>
        <w:t>
                      </w:t>
      </w:r>
      <w:r>
        <w:rPr>
          <w:rFonts w:ascii="Times New Roman"/>
          <w:b/>
          <w:i w:val="false"/>
          <w:color w:val="000000"/>
          <w:sz w:val="28"/>
        </w:rPr>
        <w:t>описания бизнес-процессов</w:t>
      </w:r>
    </w:p>
    <w:bookmarkEnd w:id="40"/>
    <w:p>
      <w:pPr>
        <w:spacing w:after="0"/>
        <w:ind w:left="0"/>
        <w:jc w:val="both"/>
      </w:pPr>
      <w:r>
        <w:rPr>
          <w:rFonts w:ascii="Times New Roman"/>
          <w:b/>
          <w:i w:val="false"/>
          <w:color w:val="000000"/>
          <w:sz w:val="28"/>
        </w:rPr>
        <w:t>           I. Пример построения диаграммы прецедентов</w:t>
      </w:r>
    </w:p>
    <w:p>
      <w:pPr>
        <w:spacing w:after="0"/>
        <w:ind w:left="0"/>
        <w:jc w:val="both"/>
      </w:pPr>
      <w:r>
        <w:drawing>
          <wp:inline distT="0" distB="0" distL="0" distR="0">
            <wp:extent cx="86741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6985000"/>
                    </a:xfrm>
                    <a:prstGeom prst="rect">
                      <a:avLst/>
                    </a:prstGeom>
                  </pic:spPr>
                </pic:pic>
              </a:graphicData>
            </a:graphic>
          </wp:inline>
        </w:drawing>
      </w:r>
    </w:p>
    <w:p>
      <w:pPr>
        <w:spacing w:after="0"/>
        <w:ind w:left="0"/>
        <w:jc w:val="both"/>
      </w:pPr>
      <w:r>
        <w:rPr>
          <w:rFonts w:ascii="Times New Roman"/>
          <w:b/>
          <w:i w:val="false"/>
          <w:color w:val="000000"/>
          <w:sz w:val="28"/>
        </w:rPr>
        <w:t>    Обозначения, используемые в примере, означают следующее:</w:t>
      </w:r>
    </w:p>
    <w:p>
      <w:pPr>
        <w:spacing w:after="0"/>
        <w:ind w:left="0"/>
        <w:jc w:val="both"/>
      </w:pPr>
      <w:r>
        <w:drawing>
          <wp:inline distT="0" distB="0" distL="0" distR="0">
            <wp:extent cx="82423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42300" cy="4572000"/>
                    </a:xfrm>
                    <a:prstGeom prst="rect">
                      <a:avLst/>
                    </a:prstGeom>
                  </pic:spPr>
                </pic:pic>
              </a:graphicData>
            </a:graphic>
          </wp:inline>
        </w:drawing>
      </w:r>
    </w:p>
    <w:p>
      <w:pPr>
        <w:spacing w:after="0"/>
        <w:ind w:left="0"/>
        <w:jc w:val="both"/>
      </w:pPr>
      <w:r>
        <w:rPr>
          <w:rFonts w:ascii="Times New Roman"/>
          <w:b/>
          <w:i w:val="false"/>
          <w:color w:val="000000"/>
          <w:sz w:val="28"/>
        </w:rPr>
        <w:t>           II. Пример построения схемы действий</w:t>
      </w:r>
    </w:p>
    <w:p>
      <w:pPr>
        <w:spacing w:after="0"/>
        <w:ind w:left="0"/>
        <w:jc w:val="both"/>
      </w:pPr>
      <w:r>
        <w:drawing>
          <wp:inline distT="0" distB="0" distL="0" distR="0">
            <wp:extent cx="80518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8636000"/>
                    </a:xfrm>
                    <a:prstGeom prst="rect">
                      <a:avLst/>
                    </a:prstGeom>
                  </pic:spPr>
                </pic:pic>
              </a:graphicData>
            </a:graphic>
          </wp:inline>
        </w:drawing>
      </w:r>
    </w:p>
    <w:p>
      <w:pPr>
        <w:spacing w:after="0"/>
        <w:ind w:left="0"/>
        <w:jc w:val="both"/>
      </w:pPr>
      <w:r>
        <w:rPr>
          <w:rFonts w:ascii="Times New Roman"/>
          <w:b/>
          <w:i w:val="false"/>
          <w:color w:val="000000"/>
          <w:sz w:val="28"/>
        </w:rPr>
        <w:t>   Обозначения, используемые в примере, означают следующее:</w:t>
      </w:r>
    </w:p>
    <w:p>
      <w:pPr>
        <w:spacing w:after="0"/>
        <w:ind w:left="0"/>
        <w:jc w:val="both"/>
      </w:pPr>
      <w:r>
        <w:drawing>
          <wp:inline distT="0" distB="0" distL="0" distR="0">
            <wp:extent cx="79375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37500" cy="9385300"/>
                    </a:xfrm>
                    <a:prstGeom prst="rect">
                      <a:avLst/>
                    </a:prstGeom>
                  </pic:spPr>
                </pic:pic>
              </a:graphicData>
            </a:graphic>
          </wp:inline>
        </w:drawing>
      </w:r>
    </w:p>
    <w:p>
      <w:pPr>
        <w:spacing w:after="0"/>
        <w:ind w:left="0"/>
        <w:jc w:val="both"/>
      </w:pPr>
      <w:r>
        <w:rPr>
          <w:rFonts w:ascii="Times New Roman"/>
          <w:b/>
          <w:i w:val="false"/>
          <w:color w:val="000000"/>
          <w:sz w:val="28"/>
        </w:rPr>
        <w:t>     III. Карточка бизнес-процесса и пример ее заполнения</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i w:val="false"/>
          <w:color w:val="000000"/>
          <w:sz w:val="28"/>
        </w:rPr>
        <w:t>                     Карточка бизнес-процесса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1"/>
        <w:gridCol w:w="6259"/>
      </w:tblGrid>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Сфера регулирования</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Вид взаимодействия</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бизнес-процесса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Акты, в том числе правила, инструкции</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Участники бизнес-процесса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Исходные ресурсы и критерии начала бизнес-процесса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Действия и связанные с ними документы</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Результат и критерии завершения бизнес-процесса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Наименование документа, выданного после завершения бизнес-процесса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Перечень сведений в выданном документе</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Время, необходимое для завершения бизнес-процесса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Способ передачи сведений</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Автоматизация бизнес-процесса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Финансовые затраты</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Источники финансирования</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Используемые информационные системы и программные средства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Показатели и индикаторы, характеризующие бизнес-процесс</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Акты, в которых определены показатели и индикаторы оенки бизнес-процесса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Пример заполнения карточки бизнес-процесса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0"/>
        <w:gridCol w:w="8330"/>
      </w:tblGrid>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Сфера регулирования</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регулирование</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Вид взаимодействия</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B2G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бизнес-процесса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предварительного решения по классификации товара по единой Товарной номенклатуре внешнеэкономической деятельности Евразийского экономического союза (ТН ВЭД ЕАЭС)</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Акты, в том числе правила, инструкции</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53 – 57 Таможенного кодекса Таможенного союза Федеральный закон от 27 ноября 2010 г. № 311-ФЗ «О таможенном регулировании в Российской Федерации» приказ Федеральной таможенной службы от 18 февраля 2012 г. № 760 «Об утверждении Административного регламента Федеральной таможенной службы и определяемых ею таможенных органов по предоставлению государственной услуги по принятию предварительных решений по классификации товаров по единой Товарной номенклатуре внешнеэкономической деятельности Таможенного союза»</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Участники бизнес-процесса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(лицо, определенное в соответствии с требованиями приказа Федеральной таможенной службы от 18 февраля 2012 г. № 760) таможенный орган</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Исходные ресурсы и критерии начала бизнес-процесса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изучает информацию по принятию таможенным органом предварительного решения по ТН ВЭД ЕАЭС (присвоение товару классификационного кода на уровне 10 знаков) на информационном ресурсе федеральной государственной информационной системы в информационно-телекоммуникационной сети «Интернет» на сайте «Единый портал государственных и муниципальных услуг (функций)» Федеральной таможенной службы, а также на информационных стендах таможенного органа</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Действия и связанные с ними документы</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Заявитель принимает решение о получении предварительного классификационного решения 2. Заявитель составляет заявление по образцу, которое должно содержать следующие сведения:</w:t>
            </w:r>
            <w:r>
              <w:br/>
            </w:r>
            <w:r>
              <w:rPr>
                <w:rFonts w:ascii="Times New Roman"/>
                <w:b w:val="false"/>
                <w:i w:val="false"/>
                <w:color w:val="000000"/>
                <w:sz w:val="20"/>
              </w:rPr>
              <w:t>
</w:t>
            </w:r>
            <w:r>
              <w:rPr>
                <w:rFonts w:ascii="Times New Roman"/>
                <w:b w:val="false"/>
                <w:i w:val="false"/>
                <w:color w:val="000000"/>
                <w:sz w:val="20"/>
              </w:rPr>
              <w:t>сведения о заявителе: фамилия, имя, отчество, должность (не указывается для физического лица), наименование юридического лица (организации), для физического лица – серия и номер паспорта или иного документа, удостоверяющего личность, кем и когда выдан местонахождение (место жительства) и почтовый адрес контактный телефон индивидуальный идентификационный номер заявителя (ИНН) согласие заявителя на обработку его персональных данных (в произвольной форме) наименование товара описание товара информация о том, в какой форме (бумажной или электронной) необходимо принять предварительное решение информация о дополнительном направлении документов, указанных в заявлении перечень документов, представляемых заявителем, с указанием количества листов приложения (кроме сброшюрованных приложений) 3. Заявитель прикладывает к заявлению следующие документы и сведения:</w:t>
            </w:r>
            <w:r>
              <w:br/>
            </w:r>
            <w:r>
              <w:rPr>
                <w:rFonts w:ascii="Times New Roman"/>
                <w:b w:val="false"/>
                <w:i w:val="false"/>
                <w:color w:val="000000"/>
                <w:sz w:val="20"/>
              </w:rPr>
              <w:t>
</w:t>
            </w:r>
            <w:r>
              <w:rPr>
                <w:rFonts w:ascii="Times New Roman"/>
                <w:b w:val="false"/>
                <w:i w:val="false"/>
                <w:color w:val="000000"/>
                <w:sz w:val="20"/>
              </w:rPr>
              <w:t>документы, содержащие сведения о составе товара, если в ТН ВЭД ЕАЭС примечанием к группе и позиции в отношении товара установлены требования по содержанию каких-либо веществ (элементов), материалов в товаре документы, содержащие сведения о процессах переработки и видах переработки товара, если классификационным признаком, определенным в примечаниях к группе и позиции ТН ВЭД ЕАЭС, является вид обработки товара или степень обработки товара (технологические схемы, технологические инструкции, описание технологического процесса, иные документы, содержащие сведения о процессах и видах переработки товара) документы, содержащие сведения о технических характеристиках товара и принципе его действия, если классификационным признаком, определенным в примечаниях к группе и позиции ТН ВЭД ЕАЭС, являются вес, размер, мощность, производительность, иные технические характеристики товара (техническая документация, чертежи, блок-схемы, технический паспорт, инструкция по эксплуатации, технологические схемы, руководство пользователя, иные документы, содержащие сведения о технических характеристиках товара и принципе его действия) документ (доверенность), подтверждающий полномочия лица, если заявление о принятии предварительного решения и документы к нему подписаны уполномоченным лицом</w:t>
            </w:r>
            <w:r>
              <w:br/>
            </w:r>
            <w:r>
              <w:rPr>
                <w:rFonts w:ascii="Times New Roman"/>
                <w:b w:val="false"/>
                <w:i w:val="false"/>
                <w:color w:val="000000"/>
                <w:sz w:val="20"/>
              </w:rPr>
              <w:t>
</w:t>
            </w:r>
            <w:r>
              <w:rPr>
                <w:rFonts w:ascii="Times New Roman"/>
                <w:b w:val="false"/>
                <w:i w:val="false"/>
                <w:color w:val="000000"/>
                <w:sz w:val="20"/>
              </w:rPr>
              <w:t>4. Заявитель (уполномоченное заявителем лицо) подписывает заявление (в случае подачи заявления в электронном виде заверяет электронной цифровой подписью) и направляет по почте или посредством электронного канала связи</w:t>
            </w:r>
            <w:r>
              <w:br/>
            </w:r>
            <w:r>
              <w:rPr>
                <w:rFonts w:ascii="Times New Roman"/>
                <w:b w:val="false"/>
                <w:i w:val="false"/>
                <w:color w:val="000000"/>
                <w:sz w:val="20"/>
              </w:rPr>
              <w:t>
</w:t>
            </w:r>
            <w:r>
              <w:rPr>
                <w:rFonts w:ascii="Times New Roman"/>
                <w:b w:val="false"/>
                <w:i w:val="false"/>
                <w:color w:val="000000"/>
                <w:sz w:val="20"/>
              </w:rPr>
              <w:t>5. Таможенный орган принимает (регистрирует) заявление</w:t>
            </w:r>
            <w:r>
              <w:br/>
            </w:r>
            <w:r>
              <w:rPr>
                <w:rFonts w:ascii="Times New Roman"/>
                <w:b w:val="false"/>
                <w:i w:val="false"/>
                <w:color w:val="000000"/>
                <w:sz w:val="20"/>
              </w:rPr>
              <w:t>
</w:t>
            </w:r>
            <w:r>
              <w:rPr>
                <w:rFonts w:ascii="Times New Roman"/>
                <w:b w:val="false"/>
                <w:i w:val="false"/>
                <w:color w:val="000000"/>
                <w:sz w:val="20"/>
              </w:rPr>
              <w:t>6. Таможенные органы в рамках конкретного бизнес-процесса посредством межведомственного информационного взаимодействия получают от федеральных органов исполнительной власти документы и информацию, необходимые для принятия предварительного классификационного решения. К таким документам и сведениям могут относиться:</w:t>
            </w:r>
            <w:r>
              <w:br/>
            </w:r>
            <w:r>
              <w:rPr>
                <w:rFonts w:ascii="Times New Roman"/>
                <w:b w:val="false"/>
                <w:i w:val="false"/>
                <w:color w:val="000000"/>
                <w:sz w:val="20"/>
              </w:rPr>
              <w:t>
</w:t>
            </w:r>
            <w:r>
              <w:rPr>
                <w:rFonts w:ascii="Times New Roman"/>
                <w:b w:val="false"/>
                <w:i w:val="false"/>
                <w:color w:val="000000"/>
                <w:sz w:val="20"/>
              </w:rPr>
              <w:t>письмо уполномоченного федерального органа исполнительной власти или другого государственного органа о подтверждении целевого назначения ввозимых плазменных модулей (экранов) для аппаратуры товарной позиции 8528 ТН ВЭД ЕАЭС письмо уполномоченного федерального органа исполнительной власти или другого государственного органа о подтверждении целевого назначения ввозимых центральных смазывающих систем для оборудования товарной позиции 8439 ТН ВЭД ЕАЭС письмо уполномоченного федерального органа исполнительной власти или другого государственного органа о подтверждении целевого назначения ввозимых товаров для вальцовки и шлифования заготовок столовых приборов письмо уполномоченного федерального органа исполнительной власти или другого государственного органа о подтверждении целевого назначения ввозимых товаров для медицинской промышленности письмо уполномоченного федерального органа исполнительной власти или другого государственного органа о подтверждении целевого назначения ввозимых товаров для производства фильтровальной бумаги письмо уполномоченного федерального органа исполнительной власти или другого государственного органа о подтверждении целевого назначения ввозимых товаров для производства авиационных двигателей письмо уполномоченного федерального органа исполнительной власти или другого государственного органа о подтверждениицелевого назначения ввозимого оборудования для авиационной промышленности письмо уполномоченного федерального органа исполнительной власти или другого государственного органа о подтверждении целевого назначения товара для медицинских целей</w:t>
            </w:r>
            <w:r>
              <w:br/>
            </w:r>
            <w:r>
              <w:rPr>
                <w:rFonts w:ascii="Times New Roman"/>
                <w:b w:val="false"/>
                <w:i w:val="false"/>
                <w:color w:val="000000"/>
                <w:sz w:val="20"/>
              </w:rPr>
              <w:t>
</w:t>
            </w:r>
            <w:r>
              <w:rPr>
                <w:rFonts w:ascii="Times New Roman"/>
                <w:b w:val="false"/>
                <w:i w:val="false"/>
                <w:color w:val="000000"/>
                <w:sz w:val="20"/>
              </w:rPr>
              <w:t>письмо уполномоченного федерального органа исполнительной власти или другого государственного органа о подтверждении факта добычи нефти с определенными физико-химическими характеристиками в определенных месторождениях письмо уполномоченного федерального органа исполнительной власти или другого государственного органа о подтверждении целевого назначения ввозимого товара (котлов паровых и котлов с пароперегревателем) для судового оборудования регистрационное удостоверение изделия медицинского назначения, выданное уполномоченным федеральным органом исполнительной власти, или сведения о регистрации товара в качестве изделия медицинского применения регистрационное удостоверение лекарственного препарата для медицинского применения, выданное уполномоченным федеральным органом исполнительной власти, или сведения о регистрации товара в качестве лекарственного препарата для медицинского применения свидетельство о регистрации средства массовой информации справка уполномоченного федерального органа исполнительной власти или другого государственного органа на право пользования льготамисведения из единого реестра сертификатов соответствия информация из реестра одобрений типа транспортного средства сведения из реестра свидетельств на право вывоза культурных ценностей с территории Российской Федерации</w:t>
            </w:r>
            <w:r>
              <w:br/>
            </w:r>
            <w:r>
              <w:rPr>
                <w:rFonts w:ascii="Times New Roman"/>
                <w:b w:val="false"/>
                <w:i w:val="false"/>
                <w:color w:val="000000"/>
                <w:sz w:val="20"/>
              </w:rPr>
              <w:t>
</w:t>
            </w:r>
            <w:r>
              <w:rPr>
                <w:rFonts w:ascii="Times New Roman"/>
                <w:b w:val="false"/>
                <w:i w:val="false"/>
                <w:color w:val="000000"/>
                <w:sz w:val="20"/>
              </w:rPr>
              <w:t>7. Таможенный орган принимает предварительное классификационное решение</w:t>
            </w:r>
            <w:r>
              <w:br/>
            </w:r>
            <w:r>
              <w:rPr>
                <w:rFonts w:ascii="Times New Roman"/>
                <w:b w:val="false"/>
                <w:i w:val="false"/>
                <w:color w:val="000000"/>
                <w:sz w:val="20"/>
              </w:rPr>
              <w:t>
</w:t>
            </w:r>
            <w:r>
              <w:rPr>
                <w:rFonts w:ascii="Times New Roman"/>
                <w:b w:val="false"/>
                <w:i w:val="false"/>
                <w:color w:val="000000"/>
                <w:sz w:val="20"/>
              </w:rPr>
              <w:t>8. Таможенный орган уведомляет заявителя о принятии предварительного классификационного решения:</w:t>
            </w:r>
            <w:r>
              <w:br/>
            </w:r>
            <w:r>
              <w:rPr>
                <w:rFonts w:ascii="Times New Roman"/>
                <w:b w:val="false"/>
                <w:i w:val="false"/>
                <w:color w:val="000000"/>
                <w:sz w:val="20"/>
              </w:rPr>
              <w:t>
</w:t>
            </w:r>
            <w:r>
              <w:rPr>
                <w:rFonts w:ascii="Times New Roman"/>
                <w:b w:val="false"/>
                <w:i w:val="false"/>
                <w:color w:val="000000"/>
                <w:sz w:val="20"/>
              </w:rPr>
              <w:t>в письменном виде – на бланке письма (предварительное классификационное решение является приложением к этому письму) в электронном виде – посредством единого портала государственных и муниципальных услуг (личный кабинет). В уведомлении заявителю сообщаются также дата и исходящий номер сопроводительного письма, которым было направлено первоначальное заявление в таможенный орган</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Результат и критерии завершения бизнес-процесса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предварительного решения по классификации товара по ТН ВЭД ЕАЭС в целях дальнейшего планирования условий поставки товара (предварительный расчет платежей, уточнение разрешительных документов, необходимых для ввоза товара)</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Наименование документа, выданного после завершения бизнес-процесса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предварительное решение по классификации товара по ТН ВЭД ЕАЭС</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Перечень сведений в выданном документе</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таможенного органа, принявшего предварительное классификационное решение заявитель регистрационный номер решения дата принятия решения (число, месяц и год) наименование товара код товара по ТН ВЭД ЕАЭС сведения о товаре, необходимые для классификации обоснование принятия решения служебные отметки (указывается информация, которую должен принять к сведению таможенный орган при таможенном декларировании товара, в отношении которого принято предварительное решение) подпись должностного лица таможенного органа (электронная цифровая подпись)</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Время, необходимое для завершения бизнес-процесса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предельное время получения предварительного классификационного решения составляет 90 календарных дней со дня регистрации письменного заявления</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Способ передачи сведений</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бумажном носителе в письменном виде</w:t>
            </w:r>
            <w:r>
              <w:br/>
            </w:r>
            <w:r>
              <w:rPr>
                <w:rFonts w:ascii="Times New Roman"/>
                <w:b w:val="false"/>
                <w:i w:val="false"/>
                <w:color w:val="000000"/>
                <w:sz w:val="20"/>
              </w:rPr>
              <w:t>
</w:t>
            </w:r>
            <w:r>
              <w:rPr>
                <w:rFonts w:ascii="Times New Roman"/>
                <w:b w:val="false"/>
                <w:i w:val="false"/>
                <w:color w:val="000000"/>
                <w:sz w:val="20"/>
              </w:rPr>
              <w:t>в электронном виде с использованием федеральной государственной информационной системы «Единый портал государственных и муниципальных услуг (функций)»</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Автоматизация бизнес-процесса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Финансовые затраты</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российских рублей</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Источники финансирования</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оплачивается заявителем</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Используемые информационные системы и программные средства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федеральная государственная информационная система «Единый портал государственных и муниципальных услуг (функций)» официальный сайт Федеральной таможенной службы в информационно-телекоммуникационной сети «Интернет»</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Показатели и индикаторы, характеризующие бизнес-процесс</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Акты, в которых определены показатели и индикаторы оценки бизнес-процесса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p>
        </w:tc>
      </w:tr>
    </w:tbl>
    <w:p>
      <w:pPr>
        <w:spacing w:after="0"/>
        <w:ind w:left="0"/>
        <w:jc w:val="both"/>
      </w:pPr>
      <w:r>
        <w:rPr>
          <w:rFonts w:ascii="Times New Roman"/>
          <w:b w:val="false"/>
          <w:i w:val="false"/>
          <w:color w:val="000000"/>
          <w:sz w:val="28"/>
        </w:rPr>
        <w:t>      Примечание. Пример заполнения карточки бизнес-процесса основан на положениях Таможенного кодекса Таможенного союза и нормативных правовых актов Российской Федерации.</w:t>
      </w:r>
    </w:p>
    <w:p>
      <w:pPr>
        <w:spacing w:after="0"/>
        <w:ind w:left="0"/>
        <w:jc w:val="both"/>
      </w:pPr>
      <w:r>
        <w:rPr>
          <w:rFonts w:ascii="Times New Roman"/>
          <w:b/>
          <w:i w:val="false"/>
          <w:color w:val="000000"/>
          <w:sz w:val="28"/>
        </w:rPr>
        <w:t>          IV. Пример построения графика временных затрат</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62400"/>
                    </a:xfrm>
                    <a:prstGeom prst="rect">
                      <a:avLst/>
                    </a:prstGeom>
                  </pic:spPr>
                </pic:pic>
              </a:graphicData>
            </a:graphic>
          </wp:inline>
        </w:drawing>
      </w:r>
    </w:p>
    <w:p>
      <w:pPr>
        <w:spacing w:after="0"/>
        <w:ind w:left="0"/>
        <w:jc w:val="both"/>
      </w:pPr>
      <w:r>
        <w:rPr>
          <w:rFonts w:ascii="Times New Roman"/>
          <w:b/>
          <w:i w:val="false"/>
          <w:color w:val="000000"/>
          <w:sz w:val="28"/>
        </w:rPr>
        <w:t>         V. Пример построения графика финансовых затрат</w:t>
      </w:r>
    </w:p>
    <w:p>
      <w:pPr>
        <w:spacing w:after="0"/>
        <w:ind w:left="0"/>
        <w:jc w:val="both"/>
      </w:pPr>
      <w:r>
        <w:drawing>
          <wp:inline distT="0" distB="0" distL="0" distR="0">
            <wp:extent cx="85217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21700" cy="4610100"/>
                    </a:xfrm>
                    <a:prstGeom prst="rect">
                      <a:avLst/>
                    </a:prstGeom>
                  </pic:spPr>
                </pic:pic>
              </a:graphicData>
            </a:graphic>
          </wp:inline>
        </w:drawing>
      </w:r>
    </w:p>
    <w:bookmarkStart w:name="z100" w:id="41"/>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состояния развития национальных</w:t>
      </w:r>
      <w:r>
        <w:br/>
      </w:r>
      <w:r>
        <w:rPr>
          <w:rFonts w:ascii="Times New Roman"/>
          <w:b w:val="false"/>
          <w:i w:val="false"/>
          <w:color w:val="000000"/>
          <w:sz w:val="28"/>
        </w:rPr>
        <w:t xml:space="preserve">
механизмов «единого окна»  </w:t>
      </w:r>
    </w:p>
    <w:bookmarkEnd w:id="41"/>
    <w:bookmarkStart w:name="z107" w:id="42"/>
    <w:p>
      <w:pPr>
        <w:spacing w:after="0"/>
        <w:ind w:left="0"/>
        <w:jc w:val="left"/>
      </w:pPr>
      <w:r>
        <w:rPr>
          <w:rFonts w:ascii="Times New Roman"/>
          <w:b/>
          <w:i w:val="false"/>
          <w:color w:val="000000"/>
        </w:rPr>
        <w:t xml:space="preserve"> 
РЕКОМЕНДАЦИИ</w:t>
      </w:r>
      <w:r>
        <w:br/>
      </w:r>
      <w:r>
        <w:rPr>
          <w:rFonts w:ascii="Times New Roman"/>
          <w:b/>
          <w:i w:val="false"/>
          <w:color w:val="000000"/>
        </w:rPr>
        <w:t>
по оформлению отчета о результатах анализа технологической</w:t>
      </w:r>
      <w:r>
        <w:br/>
      </w:r>
      <w:r>
        <w:rPr>
          <w:rFonts w:ascii="Times New Roman"/>
          <w:b/>
          <w:i w:val="false"/>
          <w:color w:val="000000"/>
        </w:rPr>
        <w:t>
основы развития национального механизма «единого окна»</w:t>
      </w:r>
    </w:p>
    <w:bookmarkEnd w:id="42"/>
    <w:p>
      <w:pPr>
        <w:spacing w:after="0"/>
        <w:ind w:left="0"/>
        <w:jc w:val="both"/>
      </w:pPr>
      <w:r>
        <w:rPr>
          <w:rFonts w:ascii="Times New Roman"/>
          <w:b w:val="false"/>
          <w:i w:val="false"/>
          <w:color w:val="000000"/>
          <w:sz w:val="28"/>
        </w:rPr>
        <w:t>      1. Отчет о результатах анализа технологической основы развития национальных механизмов «единого окна» включает в себя:</w:t>
      </w:r>
      <w:r>
        <w:br/>
      </w:r>
      <w:r>
        <w:rPr>
          <w:rFonts w:ascii="Times New Roman"/>
          <w:b w:val="false"/>
          <w:i w:val="false"/>
          <w:color w:val="000000"/>
          <w:sz w:val="28"/>
        </w:rPr>
        <w:t>
      а) введение (требования к разделу указаны в пункте 57 Методики оценки состояния развития национальных механизмов «единого окна»).</w:t>
      </w:r>
      <w:r>
        <w:br/>
      </w:r>
      <w:r>
        <w:rPr>
          <w:rFonts w:ascii="Times New Roman"/>
          <w:b w:val="false"/>
          <w:i w:val="false"/>
          <w:color w:val="000000"/>
          <w:sz w:val="28"/>
        </w:rPr>
        <w:t>
      б) результаты анализа технологической основы развития национальных механизмов «единого окна», содержащие:</w:t>
      </w:r>
      <w:r>
        <w:br/>
      </w:r>
      <w:r>
        <w:rPr>
          <w:rFonts w:ascii="Times New Roman"/>
          <w:b w:val="false"/>
          <w:i w:val="false"/>
          <w:color w:val="000000"/>
          <w:sz w:val="28"/>
        </w:rPr>
        <w:t>
      диаграмму прецедентов;</w:t>
      </w:r>
      <w:r>
        <w:br/>
      </w:r>
      <w:r>
        <w:rPr>
          <w:rFonts w:ascii="Times New Roman"/>
          <w:b w:val="false"/>
          <w:i w:val="false"/>
          <w:color w:val="000000"/>
          <w:sz w:val="28"/>
        </w:rPr>
        <w:t>
      схемы действий;</w:t>
      </w:r>
      <w:r>
        <w:br/>
      </w:r>
      <w:r>
        <w:rPr>
          <w:rFonts w:ascii="Times New Roman"/>
          <w:b w:val="false"/>
          <w:i w:val="false"/>
          <w:color w:val="000000"/>
          <w:sz w:val="28"/>
        </w:rPr>
        <w:t>
      карточки бизнес-процессов;</w:t>
      </w:r>
      <w:r>
        <w:br/>
      </w:r>
      <w:r>
        <w:rPr>
          <w:rFonts w:ascii="Times New Roman"/>
          <w:b w:val="false"/>
          <w:i w:val="false"/>
          <w:color w:val="000000"/>
          <w:sz w:val="28"/>
        </w:rPr>
        <w:t>
      графики временных и финансовых затрат;</w:t>
      </w:r>
      <w:r>
        <w:br/>
      </w:r>
      <w:r>
        <w:rPr>
          <w:rFonts w:ascii="Times New Roman"/>
          <w:b w:val="false"/>
          <w:i w:val="false"/>
          <w:color w:val="000000"/>
          <w:sz w:val="28"/>
        </w:rPr>
        <w:t>
      в) заключение (требования к разделу указаны в пункте 62 Методики оценки состояния развития национальных механизмов «единого окна»).</w:t>
      </w:r>
      <w:r>
        <w:br/>
      </w:r>
      <w:r>
        <w:rPr>
          <w:rFonts w:ascii="Times New Roman"/>
          <w:b w:val="false"/>
          <w:i w:val="false"/>
          <w:color w:val="000000"/>
          <w:sz w:val="28"/>
        </w:rPr>
        <w:t>
      г) выводы и рекомендации.</w:t>
      </w:r>
      <w:r>
        <w:br/>
      </w:r>
      <w:r>
        <w:rPr>
          <w:rFonts w:ascii="Times New Roman"/>
          <w:b w:val="false"/>
          <w:i w:val="false"/>
          <w:color w:val="000000"/>
          <w:sz w:val="28"/>
        </w:rPr>
        <w:t>
      2. Выводы и рекомендации разрабатываются участниками анализа совместно с лицами, выполняющими различные функции в рамках анализируемых бизнес-процессов. Результаты можно сравнить с установленными в органах государственной власти (организациях) государств – членов Евразийского экономического союза нормами работы и (или) результатами предыдущих исследований.</w:t>
      </w:r>
      <w:r>
        <w:br/>
      </w:r>
      <w:r>
        <w:rPr>
          <w:rFonts w:ascii="Times New Roman"/>
          <w:b w:val="false"/>
          <w:i w:val="false"/>
          <w:color w:val="000000"/>
          <w:sz w:val="28"/>
        </w:rPr>
        <w:t>
      Выводы должны быть сосредоточены на бизнес-процессах, в которых по каким-либо причинам происходят существенные временные и финансовые потери, а также должны содержать причины, по которым происходят такие потери. Выводы содержат перечень областей, которые требуют улучшения и оптимизации.</w:t>
      </w:r>
      <w:r>
        <w:br/>
      </w:r>
      <w:r>
        <w:rPr>
          <w:rFonts w:ascii="Times New Roman"/>
          <w:b w:val="false"/>
          <w:i w:val="false"/>
          <w:color w:val="000000"/>
          <w:sz w:val="28"/>
        </w:rPr>
        <w:t>
      Рекомендации должны быть направлены на конкретные предложения по совершенствованию проанализированных</w:t>
      </w:r>
      <w:r>
        <w:br/>
      </w:r>
      <w:r>
        <w:rPr>
          <w:rFonts w:ascii="Times New Roman"/>
          <w:b w:val="false"/>
          <w:i w:val="false"/>
          <w:color w:val="000000"/>
          <w:sz w:val="28"/>
        </w:rPr>
        <w:t>
бизнес-процессов.</w:t>
      </w:r>
    </w:p>
    <w:bookmarkStart w:name="z101" w:id="43"/>
    <w:p>
      <w:pPr>
        <w:spacing w:after="0"/>
        <w:ind w:left="0"/>
        <w:jc w:val="both"/>
      </w:pPr>
      <w:r>
        <w:rPr>
          <w:rFonts w:ascii="Times New Roman"/>
          <w:b w:val="false"/>
          <w:i w:val="false"/>
          <w:color w:val="000000"/>
          <w:sz w:val="28"/>
        </w:rPr>
        <w:t xml:space="preserve">
ПРИЛОЖЕНИЕ № 7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состояния развития национальных</w:t>
      </w:r>
      <w:r>
        <w:br/>
      </w:r>
      <w:r>
        <w:rPr>
          <w:rFonts w:ascii="Times New Roman"/>
          <w:b w:val="false"/>
          <w:i w:val="false"/>
          <w:color w:val="000000"/>
          <w:sz w:val="28"/>
        </w:rPr>
        <w:t xml:space="preserve">
механизмов «единого окна»  </w:t>
      </w:r>
    </w:p>
    <w:bookmarkEnd w:id="43"/>
    <w:p>
      <w:pPr>
        <w:spacing w:after="0"/>
        <w:ind w:left="0"/>
        <w:jc w:val="both"/>
      </w:pPr>
      <w:r>
        <w:rPr>
          <w:rFonts w:ascii="Times New Roman"/>
          <w:b w:val="false"/>
          <w:i w:val="false"/>
          <w:color w:val="000000"/>
          <w:sz w:val="28"/>
        </w:rPr>
        <w:t>(форма)</w:t>
      </w:r>
    </w:p>
    <w:bookmarkStart w:name="z108" w:id="44"/>
    <w:p>
      <w:pPr>
        <w:spacing w:after="0"/>
        <w:ind w:left="0"/>
        <w:jc w:val="both"/>
      </w:pPr>
      <w:r>
        <w:rPr>
          <w:rFonts w:ascii="Times New Roman"/>
          <w:b w:val="false"/>
          <w:i w:val="false"/>
          <w:color w:val="000000"/>
          <w:sz w:val="28"/>
        </w:rPr>
        <w:t>
</w:t>
      </w:r>
      <w:r>
        <w:rPr>
          <w:rFonts w:ascii="Times New Roman"/>
          <w:b/>
          <w:i w:val="false"/>
          <w:color w:val="000000"/>
          <w:sz w:val="28"/>
        </w:rPr>
        <w:t>                          ОПРОСНЫЙ ЛИСТ</w:t>
      </w:r>
      <w:r>
        <w:br/>
      </w:r>
      <w:r>
        <w:rPr>
          <w:rFonts w:ascii="Times New Roman"/>
          <w:b w:val="false"/>
          <w:i w:val="false"/>
          <w:color w:val="000000"/>
          <w:sz w:val="28"/>
        </w:rPr>
        <w:t>
     </w:t>
      </w:r>
      <w:r>
        <w:rPr>
          <w:rFonts w:ascii="Times New Roman"/>
          <w:b/>
          <w:i w:val="false"/>
          <w:color w:val="000000"/>
          <w:sz w:val="28"/>
        </w:rPr>
        <w:t>для проведения анализа информационно-технической основы</w:t>
      </w:r>
      <w:r>
        <w:br/>
      </w:r>
      <w:r>
        <w:rPr>
          <w:rFonts w:ascii="Times New Roman"/>
          <w:b w:val="false"/>
          <w:i w:val="false"/>
          <w:color w:val="000000"/>
          <w:sz w:val="28"/>
        </w:rPr>
        <w:t>
   </w:t>
      </w:r>
      <w:r>
        <w:rPr>
          <w:rFonts w:ascii="Times New Roman"/>
          <w:b/>
          <w:i w:val="false"/>
          <w:color w:val="000000"/>
          <w:sz w:val="28"/>
        </w:rPr>
        <w:t>внедрения и развития национального механизма «единого окна»</w:t>
      </w:r>
    </w:p>
    <w:bookmarkEnd w:id="44"/>
    <w:p>
      <w:pPr>
        <w:spacing w:after="0"/>
        <w:ind w:left="0"/>
        <w:jc w:val="both"/>
      </w:pPr>
      <w:r>
        <w:rPr>
          <w:rFonts w:ascii="Times New Roman"/>
          <w:b/>
          <w:i w:val="false"/>
          <w:color w:val="000000"/>
          <w:sz w:val="28"/>
        </w:rPr>
        <w:t>        I. Анализ степени реализации отдельных элементов</w:t>
      </w:r>
      <w:r>
        <w:br/>
      </w:r>
      <w:r>
        <w:rPr>
          <w:rFonts w:ascii="Times New Roman"/>
          <w:b w:val="false"/>
          <w:i w:val="false"/>
          <w:color w:val="000000"/>
          <w:sz w:val="28"/>
        </w:rPr>
        <w:t>
</w:t>
      </w:r>
      <w:r>
        <w:rPr>
          <w:rFonts w:ascii="Times New Roman"/>
          <w:b/>
          <w:i w:val="false"/>
          <w:color w:val="000000"/>
          <w:sz w:val="28"/>
        </w:rPr>
        <w:t>    национального механизма «единого окна» (экспресс-анализ)</w:t>
      </w:r>
    </w:p>
    <w:p>
      <w:pPr>
        <w:spacing w:after="0"/>
        <w:ind w:left="0"/>
        <w:jc w:val="both"/>
      </w:pPr>
      <w:r>
        <w:rPr>
          <w:rFonts w:ascii="Times New Roman"/>
          <w:b w:val="false"/>
          <w:i w:val="false"/>
          <w:color w:val="000000"/>
          <w:sz w:val="28"/>
        </w:rPr>
        <w:t>      1. Настоящий экспресс-анализ позволяет получить общее</w:t>
      </w:r>
      <w:r>
        <w:br/>
      </w:r>
      <w:r>
        <w:rPr>
          <w:rFonts w:ascii="Times New Roman"/>
          <w:b w:val="false"/>
          <w:i w:val="false"/>
          <w:color w:val="000000"/>
          <w:sz w:val="28"/>
        </w:rPr>
        <w:t>
представление об уровне реализации отдельных элементов механизма</w:t>
      </w:r>
      <w:r>
        <w:br/>
      </w:r>
      <w:r>
        <w:rPr>
          <w:rFonts w:ascii="Times New Roman"/>
          <w:b w:val="false"/>
          <w:i w:val="false"/>
          <w:color w:val="000000"/>
          <w:sz w:val="28"/>
        </w:rPr>
        <w:t>
«единого окна» в государствах – членах Евразийского экономического</w:t>
      </w:r>
      <w:r>
        <w:br/>
      </w:r>
      <w:r>
        <w:rPr>
          <w:rFonts w:ascii="Times New Roman"/>
          <w:b w:val="false"/>
          <w:i w:val="false"/>
          <w:color w:val="000000"/>
          <w:sz w:val="28"/>
        </w:rPr>
        <w:t>
союза (далее – государства-члены).</w:t>
      </w:r>
      <w:r>
        <w:br/>
      </w:r>
      <w:r>
        <w:rPr>
          <w:rFonts w:ascii="Times New Roman"/>
          <w:b w:val="false"/>
          <w:i w:val="false"/>
          <w:color w:val="000000"/>
          <w:sz w:val="28"/>
        </w:rPr>
        <w:t>
      2. Перечень элементов, составляющих основу национального</w:t>
      </w:r>
      <w:r>
        <w:br/>
      </w:r>
      <w:r>
        <w:rPr>
          <w:rFonts w:ascii="Times New Roman"/>
          <w:b w:val="false"/>
          <w:i w:val="false"/>
          <w:color w:val="000000"/>
          <w:sz w:val="28"/>
        </w:rPr>
        <w:t>
механизма «единого окна» в различных государствах-членах, приведен в</w:t>
      </w:r>
      <w:r>
        <w:br/>
      </w:r>
      <w:r>
        <w:rPr>
          <w:rFonts w:ascii="Times New Roman"/>
          <w:b w:val="false"/>
          <w:i w:val="false"/>
          <w:color w:val="000000"/>
          <w:sz w:val="28"/>
        </w:rPr>
        <w:t>
таблице. Указанный перечень используется для целей Методики оценки</w:t>
      </w:r>
      <w:r>
        <w:br/>
      </w:r>
      <w:r>
        <w:rPr>
          <w:rFonts w:ascii="Times New Roman"/>
          <w:b w:val="false"/>
          <w:i w:val="false"/>
          <w:color w:val="000000"/>
          <w:sz w:val="28"/>
        </w:rPr>
        <w:t>
состояния развития национальных механизмов «единого окна» и не</w:t>
      </w:r>
      <w:r>
        <w:br/>
      </w:r>
      <w:r>
        <w:rPr>
          <w:rFonts w:ascii="Times New Roman"/>
          <w:b w:val="false"/>
          <w:i w:val="false"/>
          <w:color w:val="000000"/>
          <w:sz w:val="28"/>
        </w:rPr>
        <w:t>
является исчерпывающим.</w:t>
      </w:r>
      <w:r>
        <w:br/>
      </w:r>
      <w:r>
        <w:rPr>
          <w:rFonts w:ascii="Times New Roman"/>
          <w:b w:val="false"/>
          <w:i w:val="false"/>
          <w:color w:val="000000"/>
          <w:sz w:val="28"/>
        </w:rPr>
        <w:t>
      3. По каждому элементу необходимо оценить уровень его</w:t>
      </w:r>
      <w:r>
        <w:br/>
      </w:r>
      <w:r>
        <w:rPr>
          <w:rFonts w:ascii="Times New Roman"/>
          <w:b w:val="false"/>
          <w:i w:val="false"/>
          <w:color w:val="000000"/>
          <w:sz w:val="28"/>
        </w:rPr>
        <w:t>
реализации (реализован, в процессе реализации, запланирован, не</w:t>
      </w:r>
      <w:r>
        <w:br/>
      </w:r>
      <w:r>
        <w:rPr>
          <w:rFonts w:ascii="Times New Roman"/>
          <w:b w:val="false"/>
          <w:i w:val="false"/>
          <w:color w:val="000000"/>
          <w:sz w:val="28"/>
        </w:rPr>
        <w:t>
предполагается) и внести отметку в соответствующую графу таблицы. При</w:t>
      </w:r>
      <w:r>
        <w:br/>
      </w:r>
      <w:r>
        <w:rPr>
          <w:rFonts w:ascii="Times New Roman"/>
          <w:b w:val="false"/>
          <w:i w:val="false"/>
          <w:color w:val="000000"/>
          <w:sz w:val="28"/>
        </w:rPr>
        <w:t>
этом отметка в графе «планируется в будущем» ставится в случае, если</w:t>
      </w:r>
      <w:r>
        <w:br/>
      </w:r>
      <w:r>
        <w:rPr>
          <w:rFonts w:ascii="Times New Roman"/>
          <w:b w:val="false"/>
          <w:i w:val="false"/>
          <w:color w:val="000000"/>
          <w:sz w:val="28"/>
        </w:rPr>
        <w:t>
реализация элемента закреплена в концепции или в планах реализации</w:t>
      </w:r>
      <w:r>
        <w:br/>
      </w:r>
      <w:r>
        <w:rPr>
          <w:rFonts w:ascii="Times New Roman"/>
          <w:b w:val="false"/>
          <w:i w:val="false"/>
          <w:color w:val="000000"/>
          <w:sz w:val="28"/>
        </w:rPr>
        <w:t>
механизма «единого окна» государства-члена.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8"/>
        <w:gridCol w:w="2128"/>
        <w:gridCol w:w="2332"/>
        <w:gridCol w:w="2312"/>
        <w:gridCol w:w="2720"/>
      </w:tblGrid>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процессе реализации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Планируется в будущем</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предполагается</w:t>
            </w:r>
          </w:p>
        </w:tc>
      </w:tr>
    </w:tbl>
    <w:tbl>
      <w:tblPr>
        <w:tblW w:w="0" w:type="auto"/>
        <w:tblCellSpacing w:w="0" w:type="auto"/>
        <w:tblBorders>
          <w:top w:val="none"/>
          <w:left w:val="none"/>
          <w:bottom w:val="none"/>
          <w:right w:val="none"/>
          <w:insideH w:val="none"/>
          <w:insideV w:val="none"/>
        </w:tblBorders>
      </w:tblPr>
      <w:tblGrid>
        <w:gridCol w:w="4582"/>
        <w:gridCol w:w="2176"/>
        <w:gridCol w:w="2314"/>
        <w:gridCol w:w="2246"/>
        <w:gridCol w:w="2682"/>
      </w:tblGrid>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Единый информационный портал для заинтересованных лиц</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Принцип «одна остановка» </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Электронное таможенное декларирование</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Подача в электронном виде документов, на основании которых была заполнена таможенная декларация </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Оплата таможенных платежей посредством электронных платежей</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Оплата сборов</w:t>
            </w:r>
            <w:r>
              <w:br/>
            </w:r>
            <w:r>
              <w:rPr>
                <w:rFonts w:ascii="Times New Roman"/>
                <w:b w:val="false"/>
                <w:i w:val="false"/>
                <w:color w:val="000000"/>
                <w:sz w:val="20"/>
              </w:rPr>
              <w:t>
</w:t>
            </w:r>
            <w:r>
              <w:rPr>
                <w:rFonts w:ascii="Times New Roman"/>
                <w:b w:val="false"/>
                <w:i w:val="false"/>
                <w:color w:val="000000"/>
                <w:sz w:val="20"/>
              </w:rPr>
              <w:t>за оказание услуг государственных органов</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Выдача электронных разрешительных документов</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Межведомственное информационное взаимодействие контролирующих органов и органов, осуществляющих выдачу разрешительных документов</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Межведомственная система управления рисками</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Локальный механизм «единого окна» в морских портах, воздушных портах, на железнодорожных и автомобильных пунктах пропуска</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Интегрированный контроль на границе </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Комплексное управление границей</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Национальный механизм «единого окна» </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Взаимодействие с другими национальными механизмами «единого окна» </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Для целей настоящего раздела используются понятия, которые</w:t>
      </w:r>
      <w:r>
        <w:br/>
      </w:r>
      <w:r>
        <w:rPr>
          <w:rFonts w:ascii="Times New Roman"/>
          <w:b w:val="false"/>
          <w:i w:val="false"/>
          <w:color w:val="000000"/>
          <w:sz w:val="28"/>
        </w:rPr>
        <w:t>
означают следующее:</w:t>
      </w:r>
      <w:r>
        <w:br/>
      </w:r>
      <w:r>
        <w:rPr>
          <w:rFonts w:ascii="Times New Roman"/>
          <w:b w:val="false"/>
          <w:i w:val="false"/>
          <w:color w:val="000000"/>
          <w:sz w:val="28"/>
        </w:rPr>
        <w:t>
      «взаимодействие с другими национальными механизмами «единого</w:t>
      </w:r>
      <w:r>
        <w:br/>
      </w:r>
      <w:r>
        <w:rPr>
          <w:rFonts w:ascii="Times New Roman"/>
          <w:b w:val="false"/>
          <w:i w:val="false"/>
          <w:color w:val="000000"/>
          <w:sz w:val="28"/>
        </w:rPr>
        <w:t>
окна» – возможность национального механизма «единого окна»</w:t>
      </w:r>
      <w:r>
        <w:br/>
      </w:r>
      <w:r>
        <w:rPr>
          <w:rFonts w:ascii="Times New Roman"/>
          <w:b w:val="false"/>
          <w:i w:val="false"/>
          <w:color w:val="000000"/>
          <w:sz w:val="28"/>
        </w:rPr>
        <w:t>
осуществлять обмен информацией с национальным механизмом «единого</w:t>
      </w:r>
      <w:r>
        <w:br/>
      </w:r>
      <w:r>
        <w:rPr>
          <w:rFonts w:ascii="Times New Roman"/>
          <w:b w:val="false"/>
          <w:i w:val="false"/>
          <w:color w:val="000000"/>
          <w:sz w:val="28"/>
        </w:rPr>
        <w:t>
окна» другого государства;</w:t>
      </w:r>
      <w:r>
        <w:br/>
      </w:r>
      <w:r>
        <w:rPr>
          <w:rFonts w:ascii="Times New Roman"/>
          <w:b w:val="false"/>
          <w:i w:val="false"/>
          <w:color w:val="000000"/>
          <w:sz w:val="28"/>
        </w:rPr>
        <w:t>
      «выдача электронных разрешительных документов» – выдача</w:t>
      </w:r>
      <w:r>
        <w:br/>
      </w:r>
      <w:r>
        <w:rPr>
          <w:rFonts w:ascii="Times New Roman"/>
          <w:b w:val="false"/>
          <w:i w:val="false"/>
          <w:color w:val="000000"/>
          <w:sz w:val="28"/>
        </w:rPr>
        <w:t>
государственными органами и (или) уполномоченными организациями</w:t>
      </w:r>
      <w:r>
        <w:br/>
      </w:r>
      <w:r>
        <w:rPr>
          <w:rFonts w:ascii="Times New Roman"/>
          <w:b w:val="false"/>
          <w:i w:val="false"/>
          <w:color w:val="000000"/>
          <w:sz w:val="28"/>
        </w:rPr>
        <w:t>
документов в электронном виде, наличие которых необходимо для</w:t>
      </w:r>
      <w:r>
        <w:br/>
      </w:r>
      <w:r>
        <w:rPr>
          <w:rFonts w:ascii="Times New Roman"/>
          <w:b w:val="false"/>
          <w:i w:val="false"/>
          <w:color w:val="000000"/>
          <w:sz w:val="28"/>
        </w:rPr>
        <w:t>
осуществления внешнеэкономической деятельности;</w:t>
      </w:r>
      <w:r>
        <w:br/>
      </w:r>
      <w:r>
        <w:rPr>
          <w:rFonts w:ascii="Times New Roman"/>
          <w:b w:val="false"/>
          <w:i w:val="false"/>
          <w:color w:val="000000"/>
          <w:sz w:val="28"/>
        </w:rPr>
        <w:t>
      «единый информационный портал для заинтересованных лиц» –</w:t>
      </w:r>
      <w:r>
        <w:br/>
      </w:r>
      <w:r>
        <w:rPr>
          <w:rFonts w:ascii="Times New Roman"/>
          <w:b w:val="false"/>
          <w:i w:val="false"/>
          <w:color w:val="000000"/>
          <w:sz w:val="28"/>
        </w:rPr>
        <w:t>
информационно-справочный ресурс для заинтересованных лиц, который</w:t>
      </w:r>
      <w:r>
        <w:br/>
      </w:r>
      <w:r>
        <w:rPr>
          <w:rFonts w:ascii="Times New Roman"/>
          <w:b w:val="false"/>
          <w:i w:val="false"/>
          <w:color w:val="000000"/>
          <w:sz w:val="28"/>
        </w:rPr>
        <w:t>
содержит полную актуальную информацию о механизмах и правилах</w:t>
      </w:r>
      <w:r>
        <w:br/>
      </w:r>
      <w:r>
        <w:rPr>
          <w:rFonts w:ascii="Times New Roman"/>
          <w:b w:val="false"/>
          <w:i w:val="false"/>
          <w:color w:val="000000"/>
          <w:sz w:val="28"/>
        </w:rPr>
        <w:t>
осуществления внешнеэкономической деятельности, ссылки на</w:t>
      </w:r>
      <w:r>
        <w:br/>
      </w:r>
      <w:r>
        <w:rPr>
          <w:rFonts w:ascii="Times New Roman"/>
          <w:b w:val="false"/>
          <w:i w:val="false"/>
          <w:color w:val="000000"/>
          <w:sz w:val="28"/>
        </w:rPr>
        <w:t>
информационные ресурсы государственных органов и организаций,</w:t>
      </w:r>
      <w:r>
        <w:br/>
      </w:r>
      <w:r>
        <w:rPr>
          <w:rFonts w:ascii="Times New Roman"/>
          <w:b w:val="false"/>
          <w:i w:val="false"/>
          <w:color w:val="000000"/>
          <w:sz w:val="28"/>
        </w:rPr>
        <w:t>
оказывающих услуги в сфере внешнеэкономической деятельности, и иную</w:t>
      </w:r>
      <w:r>
        <w:br/>
      </w:r>
      <w:r>
        <w:rPr>
          <w:rFonts w:ascii="Times New Roman"/>
          <w:b w:val="false"/>
          <w:i w:val="false"/>
          <w:color w:val="000000"/>
          <w:sz w:val="28"/>
        </w:rPr>
        <w:t>
необходимую информацию;</w:t>
      </w:r>
      <w:r>
        <w:br/>
      </w:r>
      <w:r>
        <w:rPr>
          <w:rFonts w:ascii="Times New Roman"/>
          <w:b w:val="false"/>
          <w:i w:val="false"/>
          <w:color w:val="000000"/>
          <w:sz w:val="28"/>
        </w:rPr>
        <w:t>
      «интегрированный контроль на границе» – осуществление контроля</w:t>
      </w:r>
      <w:r>
        <w:br/>
      </w:r>
      <w:r>
        <w:rPr>
          <w:rFonts w:ascii="Times New Roman"/>
          <w:b w:val="false"/>
          <w:i w:val="false"/>
          <w:color w:val="000000"/>
          <w:sz w:val="28"/>
        </w:rPr>
        <w:t>
на границе пограничной и таможенной службой, при этом часть функций</w:t>
      </w:r>
      <w:r>
        <w:br/>
      </w:r>
      <w:r>
        <w:rPr>
          <w:rFonts w:ascii="Times New Roman"/>
          <w:b w:val="false"/>
          <w:i w:val="false"/>
          <w:color w:val="000000"/>
          <w:sz w:val="28"/>
        </w:rPr>
        <w:t>
по фактическому контролю других служб переданы таможенным органам;</w:t>
      </w:r>
      <w:r>
        <w:br/>
      </w:r>
      <w:r>
        <w:rPr>
          <w:rFonts w:ascii="Times New Roman"/>
          <w:b w:val="false"/>
          <w:i w:val="false"/>
          <w:color w:val="000000"/>
          <w:sz w:val="28"/>
        </w:rPr>
        <w:t>
      «комплексное управление границей» – подход к управлению</w:t>
      </w:r>
      <w:r>
        <w:br/>
      </w:r>
      <w:r>
        <w:rPr>
          <w:rFonts w:ascii="Times New Roman"/>
          <w:b w:val="false"/>
          <w:i w:val="false"/>
          <w:color w:val="000000"/>
          <w:sz w:val="28"/>
        </w:rPr>
        <w:t>
границами государств-членов с участием государственных ведомств 2 или</w:t>
      </w:r>
      <w:r>
        <w:br/>
      </w:r>
      <w:r>
        <w:rPr>
          <w:rFonts w:ascii="Times New Roman"/>
          <w:b w:val="false"/>
          <w:i w:val="false"/>
          <w:color w:val="000000"/>
          <w:sz w:val="28"/>
        </w:rPr>
        <w:t>
более стран, скоординировано работающих для достижения общей цели</w:t>
      </w:r>
      <w:r>
        <w:br/>
      </w:r>
      <w:r>
        <w:rPr>
          <w:rFonts w:ascii="Times New Roman"/>
          <w:b w:val="false"/>
          <w:i w:val="false"/>
          <w:color w:val="000000"/>
          <w:sz w:val="28"/>
        </w:rPr>
        <w:t>
соблюдения законодательства в части перемещения товаров и</w:t>
      </w:r>
      <w:r>
        <w:br/>
      </w:r>
      <w:r>
        <w:rPr>
          <w:rFonts w:ascii="Times New Roman"/>
          <w:b w:val="false"/>
          <w:i w:val="false"/>
          <w:color w:val="000000"/>
          <w:sz w:val="28"/>
        </w:rPr>
        <w:t>
транспортных средств через границу;</w:t>
      </w:r>
      <w:r>
        <w:br/>
      </w:r>
      <w:r>
        <w:rPr>
          <w:rFonts w:ascii="Times New Roman"/>
          <w:b w:val="false"/>
          <w:i w:val="false"/>
          <w:color w:val="000000"/>
          <w:sz w:val="28"/>
        </w:rPr>
        <w:t>
      «локальный механизм «единого окна» в морских портах, воздушных</w:t>
      </w:r>
      <w:r>
        <w:br/>
      </w:r>
      <w:r>
        <w:rPr>
          <w:rFonts w:ascii="Times New Roman"/>
          <w:b w:val="false"/>
          <w:i w:val="false"/>
          <w:color w:val="000000"/>
          <w:sz w:val="28"/>
        </w:rPr>
        <w:t>
портах, на железнодорожных и автомобильных пунктах пропуска» –</w:t>
      </w:r>
      <w:r>
        <w:br/>
      </w:r>
      <w:r>
        <w:rPr>
          <w:rFonts w:ascii="Times New Roman"/>
          <w:b w:val="false"/>
          <w:i w:val="false"/>
          <w:color w:val="000000"/>
          <w:sz w:val="28"/>
        </w:rPr>
        <w:t>
наличие действующих информационных систем и технологий, использующих</w:t>
      </w:r>
      <w:r>
        <w:br/>
      </w:r>
      <w:r>
        <w:rPr>
          <w:rFonts w:ascii="Times New Roman"/>
          <w:b w:val="false"/>
          <w:i w:val="false"/>
          <w:color w:val="000000"/>
          <w:sz w:val="28"/>
        </w:rPr>
        <w:t>
принцип «единого окна», для совершения государственных процедур и</w:t>
      </w:r>
      <w:r>
        <w:br/>
      </w:r>
      <w:r>
        <w:rPr>
          <w:rFonts w:ascii="Times New Roman"/>
          <w:b w:val="false"/>
          <w:i w:val="false"/>
          <w:color w:val="000000"/>
          <w:sz w:val="28"/>
        </w:rPr>
        <w:t>
реализации бизнес-процессов на различных видах пунктах пропуска</w:t>
      </w:r>
      <w:r>
        <w:br/>
      </w:r>
      <w:r>
        <w:rPr>
          <w:rFonts w:ascii="Times New Roman"/>
          <w:b w:val="false"/>
          <w:i w:val="false"/>
          <w:color w:val="000000"/>
          <w:sz w:val="28"/>
        </w:rPr>
        <w:t>
(например, портал «Морской порт», Port Сommunity System);</w:t>
      </w:r>
      <w:r>
        <w:br/>
      </w:r>
      <w:r>
        <w:rPr>
          <w:rFonts w:ascii="Times New Roman"/>
          <w:b w:val="false"/>
          <w:i w:val="false"/>
          <w:color w:val="000000"/>
          <w:sz w:val="28"/>
        </w:rPr>
        <w:t>
      «межведомственная система управления рисками» – элемент</w:t>
      </w:r>
      <w:r>
        <w:br/>
      </w:r>
      <w:r>
        <w:rPr>
          <w:rFonts w:ascii="Times New Roman"/>
          <w:b w:val="false"/>
          <w:i w:val="false"/>
          <w:color w:val="000000"/>
          <w:sz w:val="28"/>
        </w:rPr>
        <w:t>
механизма «единого окна», позволяющий за счет межведомственного</w:t>
      </w:r>
      <w:r>
        <w:br/>
      </w:r>
      <w:r>
        <w:rPr>
          <w:rFonts w:ascii="Times New Roman"/>
          <w:b w:val="false"/>
          <w:i w:val="false"/>
          <w:color w:val="000000"/>
          <w:sz w:val="28"/>
        </w:rPr>
        <w:t>
обмена информацией осуществлять выявление, предупреждение и</w:t>
      </w:r>
      <w:r>
        <w:br/>
      </w:r>
      <w:r>
        <w:rPr>
          <w:rFonts w:ascii="Times New Roman"/>
          <w:b w:val="false"/>
          <w:i w:val="false"/>
          <w:color w:val="000000"/>
          <w:sz w:val="28"/>
        </w:rPr>
        <w:t>
минимизацию рисков при проведении всех видов государственного</w:t>
      </w:r>
      <w:r>
        <w:br/>
      </w:r>
      <w:r>
        <w:rPr>
          <w:rFonts w:ascii="Times New Roman"/>
          <w:b w:val="false"/>
          <w:i w:val="false"/>
          <w:color w:val="000000"/>
          <w:sz w:val="28"/>
        </w:rPr>
        <w:t>
контроля при перемещении товаров через таможенную границу;</w:t>
      </w:r>
      <w:r>
        <w:br/>
      </w:r>
      <w:r>
        <w:rPr>
          <w:rFonts w:ascii="Times New Roman"/>
          <w:b w:val="false"/>
          <w:i w:val="false"/>
          <w:color w:val="000000"/>
          <w:sz w:val="28"/>
        </w:rPr>
        <w:t>
      «межведомственное информационное взаимодействие контролирующих</w:t>
      </w:r>
      <w:r>
        <w:br/>
      </w:r>
      <w:r>
        <w:rPr>
          <w:rFonts w:ascii="Times New Roman"/>
          <w:b w:val="false"/>
          <w:i w:val="false"/>
          <w:color w:val="000000"/>
          <w:sz w:val="28"/>
        </w:rPr>
        <w:t>
органов и органов, осуществляющих выдачу разрешительных документов» –</w:t>
      </w:r>
      <w:r>
        <w:br/>
      </w:r>
      <w:r>
        <w:rPr>
          <w:rFonts w:ascii="Times New Roman"/>
          <w:b w:val="false"/>
          <w:i w:val="false"/>
          <w:color w:val="000000"/>
          <w:sz w:val="28"/>
        </w:rPr>
        <w:t>
возможность в ходе совершения государственных процедур направлять</w:t>
      </w:r>
      <w:r>
        <w:br/>
      </w:r>
      <w:r>
        <w:rPr>
          <w:rFonts w:ascii="Times New Roman"/>
          <w:b w:val="false"/>
          <w:i w:val="false"/>
          <w:color w:val="000000"/>
          <w:sz w:val="28"/>
        </w:rPr>
        <w:t>
запросы, получать информацию у других государственных органов с</w:t>
      </w:r>
      <w:r>
        <w:br/>
      </w:r>
      <w:r>
        <w:rPr>
          <w:rFonts w:ascii="Times New Roman"/>
          <w:b w:val="false"/>
          <w:i w:val="false"/>
          <w:color w:val="000000"/>
          <w:sz w:val="28"/>
        </w:rPr>
        <w:t>
использованием систем межведомственного информационного</w:t>
      </w:r>
      <w:r>
        <w:br/>
      </w:r>
      <w:r>
        <w:rPr>
          <w:rFonts w:ascii="Times New Roman"/>
          <w:b w:val="false"/>
          <w:i w:val="false"/>
          <w:color w:val="000000"/>
          <w:sz w:val="28"/>
        </w:rPr>
        <w:t>
взаимодействия;</w:t>
      </w:r>
      <w:r>
        <w:br/>
      </w:r>
      <w:r>
        <w:rPr>
          <w:rFonts w:ascii="Times New Roman"/>
          <w:b w:val="false"/>
          <w:i w:val="false"/>
          <w:color w:val="000000"/>
          <w:sz w:val="28"/>
        </w:rPr>
        <w:t>
      «национальный механизм «единого окна» – различные подсистемы и</w:t>
      </w:r>
      <w:r>
        <w:br/>
      </w:r>
      <w:r>
        <w:rPr>
          <w:rFonts w:ascii="Times New Roman"/>
          <w:b w:val="false"/>
          <w:i w:val="false"/>
          <w:color w:val="000000"/>
          <w:sz w:val="28"/>
        </w:rPr>
        <w:t>
модули локальных механизмов «единого окна» интегрированы между собой;</w:t>
      </w:r>
      <w:r>
        <w:br/>
      </w:r>
      <w:r>
        <w:rPr>
          <w:rFonts w:ascii="Times New Roman"/>
          <w:b w:val="false"/>
          <w:i w:val="false"/>
          <w:color w:val="000000"/>
          <w:sz w:val="28"/>
        </w:rPr>
        <w:t>
      «оплата сборов за оказание услуг государственных органов» –</w:t>
      </w:r>
      <w:r>
        <w:br/>
      </w:r>
      <w:r>
        <w:rPr>
          <w:rFonts w:ascii="Times New Roman"/>
          <w:b w:val="false"/>
          <w:i w:val="false"/>
          <w:color w:val="000000"/>
          <w:sz w:val="28"/>
        </w:rPr>
        <w:t>
возможность оплаты сборов за оказание государственных услуг, а также</w:t>
      </w:r>
      <w:r>
        <w:br/>
      </w:r>
      <w:r>
        <w:rPr>
          <w:rFonts w:ascii="Times New Roman"/>
          <w:b w:val="false"/>
          <w:i w:val="false"/>
          <w:color w:val="000000"/>
          <w:sz w:val="28"/>
        </w:rPr>
        <w:t>
налогов с использованием электронных платежных систем;</w:t>
      </w:r>
      <w:r>
        <w:br/>
      </w:r>
      <w:r>
        <w:rPr>
          <w:rFonts w:ascii="Times New Roman"/>
          <w:b w:val="false"/>
          <w:i w:val="false"/>
          <w:color w:val="000000"/>
          <w:sz w:val="28"/>
        </w:rPr>
        <w:t>
      «оплата таможенных платежей посредством электронных платежей» –</w:t>
      </w:r>
      <w:r>
        <w:br/>
      </w:r>
      <w:r>
        <w:rPr>
          <w:rFonts w:ascii="Times New Roman"/>
          <w:b w:val="false"/>
          <w:i w:val="false"/>
          <w:color w:val="000000"/>
          <w:sz w:val="28"/>
        </w:rPr>
        <w:t>
возможность оплаты таможенных платежей с использованием электронных</w:t>
      </w:r>
      <w:r>
        <w:br/>
      </w:r>
      <w:r>
        <w:rPr>
          <w:rFonts w:ascii="Times New Roman"/>
          <w:b w:val="false"/>
          <w:i w:val="false"/>
          <w:color w:val="000000"/>
          <w:sz w:val="28"/>
        </w:rPr>
        <w:t>
платежных систем непосредственно в ходе совершения таможенных</w:t>
      </w:r>
      <w:r>
        <w:br/>
      </w:r>
      <w:r>
        <w:rPr>
          <w:rFonts w:ascii="Times New Roman"/>
          <w:b w:val="false"/>
          <w:i w:val="false"/>
          <w:color w:val="000000"/>
          <w:sz w:val="28"/>
        </w:rPr>
        <w:t>
операций;</w:t>
      </w:r>
      <w:r>
        <w:br/>
      </w:r>
      <w:r>
        <w:rPr>
          <w:rFonts w:ascii="Times New Roman"/>
          <w:b w:val="false"/>
          <w:i w:val="false"/>
          <w:color w:val="000000"/>
          <w:sz w:val="28"/>
        </w:rPr>
        <w:t>
      «подача в электронном виде документов, на основании которых</w:t>
      </w:r>
      <w:r>
        <w:br/>
      </w:r>
      <w:r>
        <w:rPr>
          <w:rFonts w:ascii="Times New Roman"/>
          <w:b w:val="false"/>
          <w:i w:val="false"/>
          <w:color w:val="000000"/>
          <w:sz w:val="28"/>
        </w:rPr>
        <w:t>
была заполнена таможенная декларация» – представление таможенным</w:t>
      </w:r>
      <w:r>
        <w:br/>
      </w:r>
      <w:r>
        <w:rPr>
          <w:rFonts w:ascii="Times New Roman"/>
          <w:b w:val="false"/>
          <w:i w:val="false"/>
          <w:color w:val="000000"/>
          <w:sz w:val="28"/>
        </w:rPr>
        <w:t>
органам необходимых разрешительных и иных документов, на основании</w:t>
      </w:r>
      <w:r>
        <w:br/>
      </w:r>
      <w:r>
        <w:rPr>
          <w:rFonts w:ascii="Times New Roman"/>
          <w:b w:val="false"/>
          <w:i w:val="false"/>
          <w:color w:val="000000"/>
          <w:sz w:val="28"/>
        </w:rPr>
        <w:t>
которых составлена декларация на товары, в электронном виде без</w:t>
      </w:r>
      <w:r>
        <w:br/>
      </w:r>
      <w:r>
        <w:rPr>
          <w:rFonts w:ascii="Times New Roman"/>
          <w:b w:val="false"/>
          <w:i w:val="false"/>
          <w:color w:val="000000"/>
          <w:sz w:val="28"/>
        </w:rPr>
        <w:t>
необходимости их представления на бумажном носителе;</w:t>
      </w:r>
      <w:r>
        <w:br/>
      </w:r>
      <w:r>
        <w:rPr>
          <w:rFonts w:ascii="Times New Roman"/>
          <w:b w:val="false"/>
          <w:i w:val="false"/>
          <w:color w:val="000000"/>
          <w:sz w:val="28"/>
        </w:rPr>
        <w:t>
      «принцип «одна остановка» – принцип проведения государственного</w:t>
      </w:r>
      <w:r>
        <w:br/>
      </w:r>
      <w:r>
        <w:rPr>
          <w:rFonts w:ascii="Times New Roman"/>
          <w:b w:val="false"/>
          <w:i w:val="false"/>
          <w:color w:val="000000"/>
          <w:sz w:val="28"/>
        </w:rPr>
        <w:t>
контроля в пунктах пропуска, при котором различные государственные</w:t>
      </w:r>
      <w:r>
        <w:br/>
      </w:r>
      <w:r>
        <w:rPr>
          <w:rFonts w:ascii="Times New Roman"/>
          <w:b w:val="false"/>
          <w:i w:val="false"/>
          <w:color w:val="000000"/>
          <w:sz w:val="28"/>
        </w:rPr>
        <w:t>
органы (органы пограничного контроля, таможенная служба,</w:t>
      </w:r>
      <w:r>
        <w:br/>
      </w:r>
      <w:r>
        <w:rPr>
          <w:rFonts w:ascii="Times New Roman"/>
          <w:b w:val="false"/>
          <w:i w:val="false"/>
          <w:color w:val="000000"/>
          <w:sz w:val="28"/>
        </w:rPr>
        <w:t>
санитарно-эпидемиологическая служба, ветеринарно-фитосанитарная</w:t>
      </w:r>
      <w:r>
        <w:br/>
      </w:r>
      <w:r>
        <w:rPr>
          <w:rFonts w:ascii="Times New Roman"/>
          <w:b w:val="false"/>
          <w:i w:val="false"/>
          <w:color w:val="000000"/>
          <w:sz w:val="28"/>
        </w:rPr>
        <w:t>
служба и др.) одновременно осуществляют соответствующие виды</w:t>
      </w:r>
      <w:r>
        <w:br/>
      </w:r>
      <w:r>
        <w:rPr>
          <w:rFonts w:ascii="Times New Roman"/>
          <w:b w:val="false"/>
          <w:i w:val="false"/>
          <w:color w:val="000000"/>
          <w:sz w:val="28"/>
        </w:rPr>
        <w:t>
контроля;</w:t>
      </w:r>
      <w:r>
        <w:br/>
      </w:r>
      <w:r>
        <w:rPr>
          <w:rFonts w:ascii="Times New Roman"/>
          <w:b w:val="false"/>
          <w:i w:val="false"/>
          <w:color w:val="000000"/>
          <w:sz w:val="28"/>
        </w:rPr>
        <w:t>
      «электронное таможенное декларирование» – представление</w:t>
      </w:r>
      <w:r>
        <w:br/>
      </w:r>
      <w:r>
        <w:rPr>
          <w:rFonts w:ascii="Times New Roman"/>
          <w:b w:val="false"/>
          <w:i w:val="false"/>
          <w:color w:val="000000"/>
          <w:sz w:val="28"/>
        </w:rPr>
        <w:t>
декларации на товары в электронном виде таможенным органам без</w:t>
      </w:r>
      <w:r>
        <w:br/>
      </w:r>
      <w:r>
        <w:rPr>
          <w:rFonts w:ascii="Times New Roman"/>
          <w:b w:val="false"/>
          <w:i w:val="false"/>
          <w:color w:val="000000"/>
          <w:sz w:val="28"/>
        </w:rPr>
        <w:t>
необходимости ее представления на бумажном носителе.</w:t>
      </w:r>
      <w:r>
        <w:br/>
      </w:r>
      <w:r>
        <w:rPr>
          <w:rFonts w:ascii="Times New Roman"/>
          <w:b w:val="false"/>
          <w:i w:val="false"/>
          <w:color w:val="000000"/>
          <w:sz w:val="28"/>
        </w:rPr>
        <w:t>
                     Пример заполнения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1"/>
        <w:gridCol w:w="2281"/>
        <w:gridCol w:w="2074"/>
        <w:gridCol w:w="2282"/>
        <w:gridCol w:w="2722"/>
      </w:tblGrid>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процессе реализации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Планируется в будущем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предполагается</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Единый информационный портал для заинтересованных лиц</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Принцип «одна остановка»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II. Анализ принятых национальных программ</w:t>
      </w:r>
      <w:r>
        <w:br/>
      </w:r>
      <w:r>
        <w:rPr>
          <w:rFonts w:ascii="Times New Roman"/>
          <w:b w:val="false"/>
          <w:i w:val="false"/>
          <w:color w:val="000000"/>
          <w:sz w:val="28"/>
        </w:rPr>
        <w:t>
</w:t>
      </w:r>
      <w:r>
        <w:rPr>
          <w:rFonts w:ascii="Times New Roman"/>
          <w:b/>
          <w:i w:val="false"/>
          <w:color w:val="000000"/>
          <w:sz w:val="28"/>
        </w:rPr>
        <w:t>         по развитию локальных механизмов «единого окна»</w:t>
      </w:r>
    </w:p>
    <w:p>
      <w:pPr>
        <w:spacing w:after="0"/>
        <w:ind w:left="0"/>
        <w:jc w:val="both"/>
      </w:pPr>
      <w:r>
        <w:rPr>
          <w:rFonts w:ascii="Times New Roman"/>
          <w:b w:val="false"/>
          <w:i w:val="false"/>
          <w:color w:val="000000"/>
          <w:sz w:val="28"/>
        </w:rPr>
        <w:t>      В настоящем разделе приводятся вопросы, нацеленные на получение</w:t>
      </w:r>
      <w:r>
        <w:br/>
      </w:r>
      <w:r>
        <w:rPr>
          <w:rFonts w:ascii="Times New Roman"/>
          <w:b w:val="false"/>
          <w:i w:val="false"/>
          <w:color w:val="000000"/>
          <w:sz w:val="28"/>
        </w:rPr>
        <w:t>
информации о реализации локальных механизмов «единого окна».</w:t>
      </w:r>
      <w:r>
        <w:br/>
      </w:r>
      <w:r>
        <w:rPr>
          <w:rFonts w:ascii="Times New Roman"/>
          <w:b w:val="false"/>
          <w:i w:val="false"/>
          <w:color w:val="000000"/>
          <w:sz w:val="28"/>
        </w:rPr>
        <w:t>
      Представьте наиболее полную информацию по каждому вопросу, а</w:t>
      </w:r>
      <w:r>
        <w:br/>
      </w:r>
      <w:r>
        <w:rPr>
          <w:rFonts w:ascii="Times New Roman"/>
          <w:b w:val="false"/>
          <w:i w:val="false"/>
          <w:color w:val="000000"/>
          <w:sz w:val="28"/>
        </w:rPr>
        <w:t>
также оцените возможность использования положительного опыта,</w:t>
      </w:r>
      <w:r>
        <w:br/>
      </w:r>
      <w:r>
        <w:rPr>
          <w:rFonts w:ascii="Times New Roman"/>
          <w:b w:val="false"/>
          <w:i w:val="false"/>
          <w:color w:val="000000"/>
          <w:sz w:val="28"/>
        </w:rPr>
        <w:t>
полученного при реализации локальных механизмов «единого окна» в</w:t>
      </w:r>
      <w:r>
        <w:br/>
      </w:r>
      <w:r>
        <w:rPr>
          <w:rFonts w:ascii="Times New Roman"/>
          <w:b w:val="false"/>
          <w:i w:val="false"/>
          <w:color w:val="000000"/>
          <w:sz w:val="28"/>
        </w:rPr>
        <w:t>
случае принятия решения об их распространении в других</w:t>
      </w:r>
      <w:r>
        <w:br/>
      </w:r>
      <w:r>
        <w:rPr>
          <w:rFonts w:ascii="Times New Roman"/>
          <w:b w:val="false"/>
          <w:i w:val="false"/>
          <w:color w:val="000000"/>
          <w:sz w:val="28"/>
        </w:rPr>
        <w:t>
государствах-членах.</w:t>
      </w:r>
    </w:p>
    <w:p>
      <w:pPr>
        <w:spacing w:after="0"/>
        <w:ind w:left="0"/>
        <w:jc w:val="both"/>
      </w:pPr>
      <w:r>
        <w:rPr>
          <w:rFonts w:ascii="Times New Roman"/>
          <w:b w:val="false"/>
          <w:i w:val="false"/>
          <w:color w:val="000000"/>
          <w:sz w:val="28"/>
        </w:rPr>
        <w:t>      1. Какие программы по развитию локальных механизмов «единого</w:t>
      </w:r>
      <w:r>
        <w:br/>
      </w:r>
      <w:r>
        <w:rPr>
          <w:rFonts w:ascii="Times New Roman"/>
          <w:b w:val="false"/>
          <w:i w:val="false"/>
          <w:color w:val="000000"/>
          <w:sz w:val="28"/>
        </w:rPr>
        <w:t>
окна» приняты и реализуются в настоящее время?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 случае реализации локальных механизмов «единого окна»</w:t>
      </w:r>
      <w:r>
        <w:br/>
      </w:r>
      <w:r>
        <w:rPr>
          <w:rFonts w:ascii="Times New Roman"/>
          <w:b w:val="false"/>
          <w:i w:val="false"/>
          <w:color w:val="000000"/>
          <w:sz w:val="28"/>
        </w:rPr>
        <w:t>
предусматривается ли их интеграция в единую систему национального</w:t>
      </w:r>
      <w:r>
        <w:br/>
      </w:r>
      <w:r>
        <w:rPr>
          <w:rFonts w:ascii="Times New Roman"/>
          <w:b w:val="false"/>
          <w:i w:val="false"/>
          <w:color w:val="000000"/>
          <w:sz w:val="28"/>
        </w:rPr>
        <w:t>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Какие цели и задачи преследует реализация каждого локального</w:t>
      </w:r>
      <w:r>
        <w:br/>
      </w:r>
      <w:r>
        <w:rPr>
          <w:rFonts w:ascii="Times New Roman"/>
          <w:b w:val="false"/>
          <w:i w:val="false"/>
          <w:color w:val="000000"/>
          <w:sz w:val="28"/>
        </w:rPr>
        <w:t>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Оцените возможность использования опыта, полученного при</w:t>
      </w:r>
      <w:r>
        <w:br/>
      </w:r>
      <w:r>
        <w:rPr>
          <w:rFonts w:ascii="Times New Roman"/>
          <w:b w:val="false"/>
          <w:i w:val="false"/>
          <w:color w:val="000000"/>
          <w:sz w:val="28"/>
        </w:rPr>
        <w:t>
реализации локальных механизмов «единого окна», в</w:t>
      </w:r>
      <w:r>
        <w:br/>
      </w:r>
      <w:r>
        <w:rPr>
          <w:rFonts w:ascii="Times New Roman"/>
          <w:b w:val="false"/>
          <w:i w:val="false"/>
          <w:color w:val="000000"/>
          <w:sz w:val="28"/>
        </w:rPr>
        <w:t>
государствах-членах: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III. Анализ технической возможности создания</w:t>
      </w:r>
      <w:r>
        <w:br/>
      </w:r>
      <w:r>
        <w:rPr>
          <w:rFonts w:ascii="Times New Roman"/>
          <w:b w:val="false"/>
          <w:i w:val="false"/>
          <w:color w:val="000000"/>
          <w:sz w:val="28"/>
        </w:rPr>
        <w:t>
</w:t>
      </w:r>
      <w:r>
        <w:rPr>
          <w:rFonts w:ascii="Times New Roman"/>
          <w:b/>
          <w:i w:val="false"/>
          <w:color w:val="000000"/>
          <w:sz w:val="28"/>
        </w:rPr>
        <w:t>         портала национального механизма «единого окна»</w:t>
      </w:r>
    </w:p>
    <w:p>
      <w:pPr>
        <w:spacing w:after="0"/>
        <w:ind w:left="0"/>
        <w:jc w:val="both"/>
      </w:pPr>
      <w:r>
        <w:rPr>
          <w:rFonts w:ascii="Times New Roman"/>
          <w:b w:val="false"/>
          <w:i w:val="false"/>
          <w:color w:val="000000"/>
          <w:sz w:val="28"/>
        </w:rPr>
        <w:t>      Настоящий раздел направлен на оценку состояния развития портала</w:t>
      </w:r>
      <w:r>
        <w:br/>
      </w:r>
      <w:r>
        <w:rPr>
          <w:rFonts w:ascii="Times New Roman"/>
          <w:b w:val="false"/>
          <w:i w:val="false"/>
          <w:color w:val="000000"/>
          <w:sz w:val="28"/>
        </w:rPr>
        <w:t>
национального механизма «единого окна».</w:t>
      </w:r>
    </w:p>
    <w:p>
      <w:pPr>
        <w:spacing w:after="0"/>
        <w:ind w:left="0"/>
        <w:jc w:val="both"/>
      </w:pPr>
      <w:r>
        <w:rPr>
          <w:rFonts w:ascii="Times New Roman"/>
          <w:b w:val="false"/>
          <w:i w:val="false"/>
          <w:color w:val="000000"/>
          <w:sz w:val="28"/>
        </w:rPr>
        <w:t>      1. Реализован ли в настоящее время портал национального</w:t>
      </w:r>
      <w:r>
        <w:br/>
      </w:r>
      <w:r>
        <w:rPr>
          <w:rFonts w:ascii="Times New Roman"/>
          <w:b w:val="false"/>
          <w:i w:val="false"/>
          <w:color w:val="000000"/>
          <w:sz w:val="28"/>
        </w:rPr>
        <w:t>
механизма «единого окна»? Если да, укажите ссылку на портал.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Если портал национального механизма «единого окна» в</w:t>
      </w:r>
      <w:r>
        <w:br/>
      </w:r>
      <w:r>
        <w:rPr>
          <w:rFonts w:ascii="Times New Roman"/>
          <w:b w:val="false"/>
          <w:i w:val="false"/>
          <w:color w:val="000000"/>
          <w:sz w:val="28"/>
        </w:rPr>
        <w:t>
настоящее время не реализован, предусматривается ли его создание в</w:t>
      </w:r>
      <w:r>
        <w:br/>
      </w:r>
      <w:r>
        <w:rPr>
          <w:rFonts w:ascii="Times New Roman"/>
          <w:b w:val="false"/>
          <w:i w:val="false"/>
          <w:color w:val="000000"/>
          <w:sz w:val="28"/>
        </w:rPr>
        <w:t>
ближайшее время? Если да, укажите орган, ответственный за его</w:t>
      </w:r>
      <w:r>
        <w:br/>
      </w:r>
      <w:r>
        <w:rPr>
          <w:rFonts w:ascii="Times New Roman"/>
          <w:b w:val="false"/>
          <w:i w:val="false"/>
          <w:color w:val="000000"/>
          <w:sz w:val="28"/>
        </w:rPr>
        <w:t>
реализацию, и планируемые сроки реализации портала национального</w:t>
      </w:r>
      <w:r>
        <w:br/>
      </w:r>
      <w:r>
        <w:rPr>
          <w:rFonts w:ascii="Times New Roman"/>
          <w:b w:val="false"/>
          <w:i w:val="false"/>
          <w:color w:val="000000"/>
          <w:sz w:val="28"/>
        </w:rPr>
        <w:t>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Если портал национального механизма «единого окна» в</w:t>
      </w:r>
      <w:r>
        <w:br/>
      </w:r>
      <w:r>
        <w:rPr>
          <w:rFonts w:ascii="Times New Roman"/>
          <w:b w:val="false"/>
          <w:i w:val="false"/>
          <w:color w:val="000000"/>
          <w:sz w:val="28"/>
        </w:rPr>
        <w:t>
настоящее время не реализован и его создание не планируется в</w:t>
      </w:r>
      <w:r>
        <w:br/>
      </w:r>
      <w:r>
        <w:rPr>
          <w:rFonts w:ascii="Times New Roman"/>
          <w:b w:val="false"/>
          <w:i w:val="false"/>
          <w:color w:val="000000"/>
          <w:sz w:val="28"/>
        </w:rPr>
        <w:t>
ближайшее время, укажите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Какие услуги предоставляются (планируются к предоставлению)</w:t>
      </w:r>
      <w:r>
        <w:br/>
      </w:r>
      <w:r>
        <w:rPr>
          <w:rFonts w:ascii="Times New Roman"/>
          <w:b w:val="false"/>
          <w:i w:val="false"/>
          <w:color w:val="000000"/>
          <w:sz w:val="28"/>
        </w:rPr>
        <w:t>
с использованием портала национального механизма «единого окна»?</w:t>
      </w:r>
      <w:r>
        <w:br/>
      </w:r>
      <w:r>
        <w:rPr>
          <w:rFonts w:ascii="Times New Roman"/>
          <w:b w:val="false"/>
          <w:i w:val="false"/>
          <w:color w:val="000000"/>
          <w:sz w:val="28"/>
        </w:rPr>
        <w:t>
Укажите, реализована ли услуга или только планируется ее реализация.</w:t>
      </w:r>
      <w:r>
        <w:br/>
      </w:r>
      <w:r>
        <w:rPr>
          <w:rFonts w:ascii="Times New Roman"/>
          <w:b w:val="false"/>
          <w:i w:val="false"/>
          <w:color w:val="000000"/>
          <w:sz w:val="28"/>
        </w:rPr>
        <w:t>
Если имеются реализованные услуги, то укажите такие услуги.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 какими государственными органами и (или) уполномоченными</w:t>
      </w:r>
      <w:r>
        <w:br/>
      </w:r>
      <w:r>
        <w:rPr>
          <w:rFonts w:ascii="Times New Roman"/>
          <w:b w:val="false"/>
          <w:i w:val="false"/>
          <w:color w:val="000000"/>
          <w:sz w:val="28"/>
        </w:rPr>
        <w:t>
организациями взаимодействует (планирует взаимодействовать) портал</w:t>
      </w:r>
      <w:r>
        <w:br/>
      </w:r>
      <w:r>
        <w:rPr>
          <w:rFonts w:ascii="Times New Roman"/>
          <w:b w:val="false"/>
          <w:i w:val="false"/>
          <w:color w:val="000000"/>
          <w:sz w:val="28"/>
        </w:rPr>
        <w:t>
национального механизма «единого окна»? Перечислите государственные органы и (или) уполномоченные организации с указанием, реализовано ли взаимодействие или только планируется его реализация.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Имеется ли (планируется ли) возможность подключения портала</w:t>
      </w:r>
      <w:r>
        <w:br/>
      </w:r>
      <w:r>
        <w:rPr>
          <w:rFonts w:ascii="Times New Roman"/>
          <w:b w:val="false"/>
          <w:i w:val="false"/>
          <w:color w:val="000000"/>
          <w:sz w:val="28"/>
        </w:rPr>
        <w:t>
национального механизма «единого окна» к национальной системе</w:t>
      </w:r>
      <w:r>
        <w:br/>
      </w:r>
      <w:r>
        <w:rPr>
          <w:rFonts w:ascii="Times New Roman"/>
          <w:b w:val="false"/>
          <w:i w:val="false"/>
          <w:color w:val="000000"/>
          <w:sz w:val="28"/>
        </w:rPr>
        <w:t>
межведомственного информационного взаимодействия?</w:t>
      </w:r>
      <w:r>
        <w:br/>
      </w:r>
      <w:r>
        <w:rPr>
          <w:rFonts w:ascii="Times New Roman"/>
          <w:b w:val="false"/>
          <w:i w:val="false"/>
          <w:color w:val="000000"/>
          <w:sz w:val="28"/>
        </w:rPr>
        <w:t>
(да, нет, планируется).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Имеется ли (планируется ли) возможность представления</w:t>
      </w:r>
      <w:r>
        <w:br/>
      </w:r>
      <w:r>
        <w:rPr>
          <w:rFonts w:ascii="Times New Roman"/>
          <w:b w:val="false"/>
          <w:i w:val="false"/>
          <w:color w:val="000000"/>
          <w:sz w:val="28"/>
        </w:rPr>
        <w:t>
заинтересованным лицам через портал национального механизма «единого</w:t>
      </w:r>
      <w:r>
        <w:br/>
      </w:r>
      <w:r>
        <w:rPr>
          <w:rFonts w:ascii="Times New Roman"/>
          <w:b w:val="false"/>
          <w:i w:val="false"/>
          <w:color w:val="000000"/>
          <w:sz w:val="28"/>
        </w:rPr>
        <w:t>
окна» обобщенной и детальной информации о совершаемых экспортных,</w:t>
      </w:r>
      <w:r>
        <w:br/>
      </w:r>
      <w:r>
        <w:rPr>
          <w:rFonts w:ascii="Times New Roman"/>
          <w:b w:val="false"/>
          <w:i w:val="false"/>
          <w:color w:val="000000"/>
          <w:sz w:val="28"/>
        </w:rPr>
        <w:t>
импортных и транзитных операциях на всех этапах цепи поставок</w:t>
      </w:r>
      <w:r>
        <w:br/>
      </w:r>
      <w:r>
        <w:rPr>
          <w:rFonts w:ascii="Times New Roman"/>
          <w:b w:val="false"/>
          <w:i w:val="false"/>
          <w:color w:val="000000"/>
          <w:sz w:val="28"/>
        </w:rPr>
        <w:t>
товаров? (да, нет, планируется). Если нет, укажите причины отсутствия</w:t>
      </w:r>
      <w:r>
        <w:br/>
      </w:r>
      <w:r>
        <w:rPr>
          <w:rFonts w:ascii="Times New Roman"/>
          <w:b w:val="false"/>
          <w:i w:val="false"/>
          <w:color w:val="000000"/>
          <w:sz w:val="28"/>
        </w:rPr>
        <w:t>
возможности и действия, предпринимаемые для создания такой</w:t>
      </w:r>
      <w:r>
        <w:br/>
      </w:r>
      <w:r>
        <w:rPr>
          <w:rFonts w:ascii="Times New Roman"/>
          <w:b w:val="false"/>
          <w:i w:val="false"/>
          <w:color w:val="000000"/>
          <w:sz w:val="28"/>
        </w:rPr>
        <w:t>
возможности.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Имеется ли (планируется ли) возможность получения</w:t>
      </w:r>
      <w:r>
        <w:br/>
      </w:r>
      <w:r>
        <w:rPr>
          <w:rFonts w:ascii="Times New Roman"/>
          <w:b w:val="false"/>
          <w:i w:val="false"/>
          <w:color w:val="000000"/>
          <w:sz w:val="28"/>
        </w:rPr>
        <w:t>
заинтересованным лицам через портал национального механизма «единого</w:t>
      </w:r>
      <w:r>
        <w:br/>
      </w:r>
      <w:r>
        <w:rPr>
          <w:rFonts w:ascii="Times New Roman"/>
          <w:b w:val="false"/>
          <w:i w:val="false"/>
          <w:color w:val="000000"/>
          <w:sz w:val="28"/>
        </w:rPr>
        <w:t>
окна» исчерпывающей информации об услугах, предоставляемых в рамках</w:t>
      </w:r>
      <w:r>
        <w:br/>
      </w:r>
      <w:r>
        <w:rPr>
          <w:rFonts w:ascii="Times New Roman"/>
          <w:b w:val="false"/>
          <w:i w:val="false"/>
          <w:color w:val="000000"/>
          <w:sz w:val="28"/>
        </w:rPr>
        <w:t>
национального механизма «единого окна»? (да, нет). Если нет, укажите</w:t>
      </w:r>
      <w:r>
        <w:br/>
      </w:r>
      <w:r>
        <w:rPr>
          <w:rFonts w:ascii="Times New Roman"/>
          <w:b w:val="false"/>
          <w:i w:val="false"/>
          <w:color w:val="000000"/>
          <w:sz w:val="28"/>
        </w:rPr>
        <w:t>
причины отсутствия возможности. Если да, укажите, какого рода</w:t>
      </w:r>
      <w:r>
        <w:br/>
      </w:r>
      <w:r>
        <w:rPr>
          <w:rFonts w:ascii="Times New Roman"/>
          <w:b w:val="false"/>
          <w:i w:val="false"/>
          <w:color w:val="000000"/>
          <w:sz w:val="28"/>
        </w:rPr>
        <w:t>
информация об услугах представляется (планируется к представлению).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Какие способы аутентификации заинтересованных лиц</w:t>
      </w:r>
      <w:r>
        <w:br/>
      </w:r>
      <w:r>
        <w:rPr>
          <w:rFonts w:ascii="Times New Roman"/>
          <w:b w:val="false"/>
          <w:i w:val="false"/>
          <w:color w:val="000000"/>
          <w:sz w:val="28"/>
        </w:rPr>
        <w:t>
используются (планируются к использованию) на портале национального</w:t>
      </w:r>
      <w:r>
        <w:br/>
      </w:r>
      <w:r>
        <w:rPr>
          <w:rFonts w:ascii="Times New Roman"/>
          <w:b w:val="false"/>
          <w:i w:val="false"/>
          <w:color w:val="000000"/>
          <w:sz w:val="28"/>
        </w:rPr>
        <w:t>
механизма «единого окна»? (логин (пароль), электронная цифровая</w:t>
      </w:r>
      <w:r>
        <w:br/>
      </w:r>
      <w:r>
        <w:rPr>
          <w:rFonts w:ascii="Times New Roman"/>
          <w:b w:val="false"/>
          <w:i w:val="false"/>
          <w:color w:val="000000"/>
          <w:sz w:val="28"/>
        </w:rPr>
        <w:t>
подпись (электронная подпись), другое (укажите, что именно)).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Существует ли (планируется ли) общий сервис идентификации</w:t>
      </w:r>
      <w:r>
        <w:br/>
      </w:r>
      <w:r>
        <w:rPr>
          <w:rFonts w:ascii="Times New Roman"/>
          <w:b w:val="false"/>
          <w:i w:val="false"/>
          <w:color w:val="000000"/>
          <w:sz w:val="28"/>
        </w:rPr>
        <w:t>
заинтересованных лиц, используемый на портале национального механизма</w:t>
      </w:r>
      <w:r>
        <w:br/>
      </w:r>
      <w:r>
        <w:rPr>
          <w:rFonts w:ascii="Times New Roman"/>
          <w:b w:val="false"/>
          <w:i w:val="false"/>
          <w:color w:val="000000"/>
          <w:sz w:val="28"/>
        </w:rPr>
        <w:t>
«единого окна»? (да, нет, планируется).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Имеется ли (планируется ли) возможность подачи через портал</w:t>
      </w:r>
      <w:r>
        <w:br/>
      </w:r>
      <w:r>
        <w:rPr>
          <w:rFonts w:ascii="Times New Roman"/>
          <w:b w:val="false"/>
          <w:i w:val="false"/>
          <w:color w:val="000000"/>
          <w:sz w:val="28"/>
        </w:rPr>
        <w:t>
национального механизма «единого окна» сведений, подписанных</w:t>
      </w:r>
      <w:r>
        <w:br/>
      </w:r>
      <w:r>
        <w:rPr>
          <w:rFonts w:ascii="Times New Roman"/>
          <w:b w:val="false"/>
          <w:i w:val="false"/>
          <w:color w:val="000000"/>
          <w:sz w:val="28"/>
        </w:rPr>
        <w:t>
посредством электронной цифровой подписи (электронной подписи)? (да,</w:t>
      </w:r>
      <w:r>
        <w:br/>
      </w:r>
      <w:r>
        <w:rPr>
          <w:rFonts w:ascii="Times New Roman"/>
          <w:b w:val="false"/>
          <w:i w:val="false"/>
          <w:color w:val="000000"/>
          <w:sz w:val="28"/>
        </w:rPr>
        <w:t>
нет, планируется). Если нет, укажите причины отсутствия возможности.</w:t>
      </w:r>
      <w:r>
        <w:br/>
      </w:r>
      <w:r>
        <w:rPr>
          <w:rFonts w:ascii="Times New Roman"/>
          <w:b w:val="false"/>
          <w:i w:val="false"/>
          <w:color w:val="000000"/>
          <w:sz w:val="28"/>
        </w:rPr>
        <w:t>
Если да, укажите национальные и международные стандарты, в</w:t>
      </w:r>
      <w:r>
        <w:br/>
      </w:r>
      <w:r>
        <w:rPr>
          <w:rFonts w:ascii="Times New Roman"/>
          <w:b w:val="false"/>
          <w:i w:val="false"/>
          <w:color w:val="000000"/>
          <w:sz w:val="28"/>
        </w:rPr>
        <w:t>
соответствии с которыми формируется (планируется) электронная</w:t>
      </w:r>
      <w:r>
        <w:br/>
      </w:r>
      <w:r>
        <w:rPr>
          <w:rFonts w:ascii="Times New Roman"/>
          <w:b w:val="false"/>
          <w:i w:val="false"/>
          <w:color w:val="000000"/>
          <w:sz w:val="28"/>
        </w:rPr>
        <w:t>
цифровая подпись (электронная подпись) при подаче электронных</w:t>
      </w:r>
      <w:r>
        <w:br/>
      </w:r>
      <w:r>
        <w:rPr>
          <w:rFonts w:ascii="Times New Roman"/>
          <w:b w:val="false"/>
          <w:i w:val="false"/>
          <w:color w:val="000000"/>
          <w:sz w:val="28"/>
        </w:rPr>
        <w:t>
документов через портал национального механизма «единого окна».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IV. Анализ степени развития электронных сервисов</w:t>
      </w:r>
      <w:r>
        <w:br/>
      </w:r>
      <w:r>
        <w:rPr>
          <w:rFonts w:ascii="Times New Roman"/>
          <w:b w:val="false"/>
          <w:i w:val="false"/>
          <w:color w:val="000000"/>
          <w:sz w:val="28"/>
        </w:rPr>
        <w:t>
 </w:t>
      </w:r>
      <w:r>
        <w:rPr>
          <w:rFonts w:ascii="Times New Roman"/>
          <w:b/>
          <w:i w:val="false"/>
          <w:color w:val="000000"/>
          <w:sz w:val="28"/>
        </w:rPr>
        <w:t>для упрощения процедур взаимодействия общества и государства</w:t>
      </w:r>
    </w:p>
    <w:p>
      <w:pPr>
        <w:spacing w:after="0"/>
        <w:ind w:left="0"/>
        <w:jc w:val="both"/>
      </w:pPr>
      <w:r>
        <w:rPr>
          <w:rFonts w:ascii="Times New Roman"/>
          <w:b w:val="false"/>
          <w:i w:val="false"/>
          <w:color w:val="000000"/>
          <w:sz w:val="28"/>
        </w:rPr>
        <w:t>      Настоящий раздел направлен на оценку степени развития систем</w:t>
      </w:r>
      <w:r>
        <w:br/>
      </w:r>
      <w:r>
        <w:rPr>
          <w:rFonts w:ascii="Times New Roman"/>
          <w:b w:val="false"/>
          <w:i w:val="false"/>
          <w:color w:val="000000"/>
          <w:sz w:val="28"/>
        </w:rPr>
        <w:t>
электронного правительства.</w:t>
      </w:r>
    </w:p>
    <w:p>
      <w:pPr>
        <w:spacing w:after="0"/>
        <w:ind w:left="0"/>
        <w:jc w:val="both"/>
      </w:pPr>
      <w:r>
        <w:rPr>
          <w:rFonts w:ascii="Times New Roman"/>
          <w:b w:val="false"/>
          <w:i w:val="false"/>
          <w:color w:val="000000"/>
          <w:sz w:val="28"/>
        </w:rPr>
        <w:t>      1. Укажите, существует ли портал государственных услуг. Если</w:t>
      </w:r>
      <w:r>
        <w:br/>
      </w:r>
      <w:r>
        <w:rPr>
          <w:rFonts w:ascii="Times New Roman"/>
          <w:b w:val="false"/>
          <w:i w:val="false"/>
          <w:color w:val="000000"/>
          <w:sz w:val="28"/>
        </w:rPr>
        <w:t>
да, укажите ссылку на такой портал. Укажите орган, ответственный за</w:t>
      </w:r>
      <w:r>
        <w:br/>
      </w:r>
      <w:r>
        <w:rPr>
          <w:rFonts w:ascii="Times New Roman"/>
          <w:b w:val="false"/>
          <w:i w:val="false"/>
          <w:color w:val="000000"/>
          <w:sz w:val="28"/>
        </w:rPr>
        <w:t>
ведение такого портала.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Укажите, какие информационные системы поддержки малого и</w:t>
      </w:r>
      <w:r>
        <w:br/>
      </w:r>
      <w:r>
        <w:rPr>
          <w:rFonts w:ascii="Times New Roman"/>
          <w:b w:val="false"/>
          <w:i w:val="false"/>
          <w:color w:val="000000"/>
          <w:sz w:val="28"/>
        </w:rPr>
        <w:t>
среднего предпринимательства разработаны и доступны.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Укажите, какие механизмы электронных платежей за</w:t>
      </w:r>
      <w:r>
        <w:br/>
      </w:r>
      <w:r>
        <w:rPr>
          <w:rFonts w:ascii="Times New Roman"/>
          <w:b w:val="false"/>
          <w:i w:val="false"/>
          <w:color w:val="000000"/>
          <w:sz w:val="28"/>
        </w:rPr>
        <w:t>
предоставляемые государственные услуги реализованы и доступны.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Существуют ли требования к открытости информации о</w:t>
      </w:r>
      <w:r>
        <w:br/>
      </w:r>
      <w:r>
        <w:rPr>
          <w:rFonts w:ascii="Times New Roman"/>
          <w:b w:val="false"/>
          <w:i w:val="false"/>
          <w:color w:val="000000"/>
          <w:sz w:val="28"/>
        </w:rPr>
        <w:t>
деятельности государственных органов, а также требования к</w:t>
      </w:r>
      <w:r>
        <w:br/>
      </w:r>
      <w:r>
        <w:rPr>
          <w:rFonts w:ascii="Times New Roman"/>
          <w:b w:val="false"/>
          <w:i w:val="false"/>
          <w:color w:val="000000"/>
          <w:sz w:val="28"/>
        </w:rPr>
        <w:t>
официальным сайтам органов государственной власти? Если да, то</w:t>
      </w:r>
      <w:r>
        <w:br/>
      </w:r>
      <w:r>
        <w:rPr>
          <w:rFonts w:ascii="Times New Roman"/>
          <w:b w:val="false"/>
          <w:i w:val="false"/>
          <w:color w:val="000000"/>
          <w:sz w:val="28"/>
        </w:rPr>
        <w:t>
укажите, какие требования и какими актами они регламентируются.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Имеются ли сервисы для общественного обсуждения и контроля</w:t>
      </w:r>
      <w:r>
        <w:br/>
      </w:r>
      <w:r>
        <w:rPr>
          <w:rFonts w:ascii="Times New Roman"/>
          <w:b w:val="false"/>
          <w:i w:val="false"/>
          <w:color w:val="000000"/>
          <w:sz w:val="28"/>
        </w:rPr>
        <w:t>
за деятельностью органов государственной власти? Если да, укажите в</w:t>
      </w:r>
      <w:r>
        <w:br/>
      </w:r>
      <w:r>
        <w:rPr>
          <w:rFonts w:ascii="Times New Roman"/>
          <w:b w:val="false"/>
          <w:i w:val="false"/>
          <w:color w:val="000000"/>
          <w:sz w:val="28"/>
        </w:rPr>
        <w:t>
каком виде они реализованы и какими нормативными правовыми актами они</w:t>
      </w:r>
      <w:r>
        <w:br/>
      </w:r>
      <w:r>
        <w:rPr>
          <w:rFonts w:ascii="Times New Roman"/>
          <w:b w:val="false"/>
          <w:i w:val="false"/>
          <w:color w:val="000000"/>
          <w:sz w:val="28"/>
        </w:rPr>
        <w:t>
регламентируются.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Имеются ли примеры реализации сервисов оказания</w:t>
      </w:r>
      <w:r>
        <w:br/>
      </w:r>
      <w:r>
        <w:rPr>
          <w:rFonts w:ascii="Times New Roman"/>
          <w:b w:val="false"/>
          <w:i w:val="false"/>
          <w:color w:val="000000"/>
          <w:sz w:val="28"/>
        </w:rPr>
        <w:t>
государственных услуг с использованием мобильных устройств? Если да,</w:t>
      </w:r>
      <w:r>
        <w:br/>
      </w:r>
      <w:r>
        <w:rPr>
          <w:rFonts w:ascii="Times New Roman"/>
          <w:b w:val="false"/>
          <w:i w:val="false"/>
          <w:color w:val="000000"/>
          <w:sz w:val="28"/>
        </w:rPr>
        <w:t>
то приведите примеры таких государственных услуг.</w:t>
      </w:r>
    </w:p>
    <w:p>
      <w:pPr>
        <w:spacing w:after="0"/>
        <w:ind w:left="0"/>
        <w:jc w:val="both"/>
      </w:pPr>
      <w:r>
        <w:rPr>
          <w:rFonts w:ascii="Times New Roman"/>
          <w:b/>
          <w:i w:val="false"/>
          <w:color w:val="000000"/>
          <w:sz w:val="28"/>
        </w:rPr>
        <w:t>    V. Анализ степени развития сервисов межведомственного</w:t>
      </w:r>
      <w:r>
        <w:br/>
      </w:r>
      <w:r>
        <w:rPr>
          <w:rFonts w:ascii="Times New Roman"/>
          <w:b w:val="false"/>
          <w:i w:val="false"/>
          <w:color w:val="000000"/>
          <w:sz w:val="28"/>
        </w:rPr>
        <w:t>
        </w:t>
      </w:r>
      <w:r>
        <w:rPr>
          <w:rFonts w:ascii="Times New Roman"/>
          <w:b/>
          <w:i w:val="false"/>
          <w:color w:val="000000"/>
          <w:sz w:val="28"/>
        </w:rPr>
        <w:t>информационного взаимодействия с использованием</w:t>
      </w:r>
      <w:r>
        <w:br/>
      </w:r>
      <w:r>
        <w:rPr>
          <w:rFonts w:ascii="Times New Roman"/>
          <w:b w:val="false"/>
          <w:i w:val="false"/>
          <w:color w:val="000000"/>
          <w:sz w:val="28"/>
        </w:rPr>
        <w:t>
                    </w:t>
      </w:r>
      <w:r>
        <w:rPr>
          <w:rFonts w:ascii="Times New Roman"/>
          <w:b/>
          <w:i w:val="false"/>
          <w:color w:val="000000"/>
          <w:sz w:val="28"/>
        </w:rPr>
        <w:t>информационных технологий</w:t>
      </w:r>
    </w:p>
    <w:p>
      <w:pPr>
        <w:spacing w:after="0"/>
        <w:ind w:left="0"/>
        <w:jc w:val="both"/>
      </w:pPr>
      <w:r>
        <w:rPr>
          <w:rFonts w:ascii="Times New Roman"/>
          <w:b w:val="false"/>
          <w:i w:val="false"/>
          <w:color w:val="000000"/>
          <w:sz w:val="28"/>
        </w:rPr>
        <w:t>      Настоящий раздел направлен на оценку степени интеграции</w:t>
      </w:r>
      <w:r>
        <w:br/>
      </w:r>
      <w:r>
        <w:rPr>
          <w:rFonts w:ascii="Times New Roman"/>
          <w:b w:val="false"/>
          <w:i w:val="false"/>
          <w:color w:val="000000"/>
          <w:sz w:val="28"/>
        </w:rPr>
        <w:t>
информационных систем уполномоченных органов государств-членов при</w:t>
      </w:r>
      <w:r>
        <w:br/>
      </w:r>
      <w:r>
        <w:rPr>
          <w:rFonts w:ascii="Times New Roman"/>
          <w:b w:val="false"/>
          <w:i w:val="false"/>
          <w:color w:val="000000"/>
          <w:sz w:val="28"/>
        </w:rPr>
        <w:t>
реализации межведомственного информационного взаимодействия на</w:t>
      </w:r>
      <w:r>
        <w:br/>
      </w:r>
      <w:r>
        <w:rPr>
          <w:rFonts w:ascii="Times New Roman"/>
          <w:b w:val="false"/>
          <w:i w:val="false"/>
          <w:color w:val="000000"/>
          <w:sz w:val="28"/>
        </w:rPr>
        <w:t>
национальном уровне, в том числе в рамках систем межведомственного</w:t>
      </w:r>
      <w:r>
        <w:br/>
      </w:r>
      <w:r>
        <w:rPr>
          <w:rFonts w:ascii="Times New Roman"/>
          <w:b w:val="false"/>
          <w:i w:val="false"/>
          <w:color w:val="000000"/>
          <w:sz w:val="28"/>
        </w:rPr>
        <w:t>
информационного взаимодействия.</w:t>
      </w:r>
    </w:p>
    <w:p>
      <w:pPr>
        <w:spacing w:after="0"/>
        <w:ind w:left="0"/>
        <w:jc w:val="both"/>
      </w:pPr>
      <w:r>
        <w:rPr>
          <w:rFonts w:ascii="Times New Roman"/>
          <w:b w:val="false"/>
          <w:i w:val="false"/>
          <w:color w:val="000000"/>
          <w:sz w:val="28"/>
        </w:rPr>
        <w:t>      1. Какие системы межведомственного информационного</w:t>
      </w:r>
      <w:r>
        <w:br/>
      </w:r>
      <w:r>
        <w:rPr>
          <w:rFonts w:ascii="Times New Roman"/>
          <w:b w:val="false"/>
          <w:i w:val="false"/>
          <w:color w:val="000000"/>
          <w:sz w:val="28"/>
        </w:rPr>
        <w:t>
взаимодействия реализованы и используются в настоящее время? Укажите</w:t>
      </w:r>
      <w:r>
        <w:br/>
      </w:r>
      <w:r>
        <w:rPr>
          <w:rFonts w:ascii="Times New Roman"/>
          <w:b w:val="false"/>
          <w:i w:val="false"/>
          <w:color w:val="000000"/>
          <w:sz w:val="28"/>
        </w:rPr>
        <w:t>
правовую, методологическую и организационную базу таких систем, а</w:t>
      </w:r>
      <w:r>
        <w:br/>
      </w:r>
      <w:r>
        <w:rPr>
          <w:rFonts w:ascii="Times New Roman"/>
          <w:b w:val="false"/>
          <w:i w:val="false"/>
          <w:color w:val="000000"/>
          <w:sz w:val="28"/>
        </w:rPr>
        <w:t>
также доступность сервисов.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Укажите степень гармонизации подхода к единому представлению</w:t>
      </w:r>
      <w:r>
        <w:br/>
      </w:r>
      <w:r>
        <w:rPr>
          <w:rFonts w:ascii="Times New Roman"/>
          <w:b w:val="false"/>
          <w:i w:val="false"/>
          <w:color w:val="000000"/>
          <w:sz w:val="28"/>
        </w:rPr>
        <w:t>
данных, используемых уполномоченными органами при межведомственном</w:t>
      </w:r>
      <w:r>
        <w:br/>
      </w:r>
      <w:r>
        <w:rPr>
          <w:rFonts w:ascii="Times New Roman"/>
          <w:b w:val="false"/>
          <w:i w:val="false"/>
          <w:color w:val="000000"/>
          <w:sz w:val="28"/>
        </w:rPr>
        <w:t>
информационном взаимодействии исходя из критериев:</w:t>
      </w:r>
      <w:r>
        <w:br/>
      </w:r>
      <w:r>
        <w:rPr>
          <w:rFonts w:ascii="Times New Roman"/>
          <w:b w:val="false"/>
          <w:i w:val="false"/>
          <w:color w:val="000000"/>
          <w:sz w:val="28"/>
        </w:rPr>
        <w:t>
      единая архитектура государственных данных (имеется или не</w:t>
      </w:r>
      <w:r>
        <w:br/>
      </w:r>
      <w:r>
        <w:rPr>
          <w:rFonts w:ascii="Times New Roman"/>
          <w:b w:val="false"/>
          <w:i w:val="false"/>
          <w:color w:val="000000"/>
          <w:sz w:val="28"/>
        </w:rPr>
        <w:t>
имеется);</w:t>
      </w:r>
      <w:r>
        <w:br/>
      </w:r>
      <w:r>
        <w:rPr>
          <w:rFonts w:ascii="Times New Roman"/>
          <w:b w:val="false"/>
          <w:i w:val="false"/>
          <w:color w:val="000000"/>
          <w:sz w:val="28"/>
        </w:rPr>
        <w:t>
      единая нормативная справочная информация (имеется или не</w:t>
      </w:r>
      <w:r>
        <w:br/>
      </w:r>
      <w:r>
        <w:rPr>
          <w:rFonts w:ascii="Times New Roman"/>
          <w:b w:val="false"/>
          <w:i w:val="false"/>
          <w:color w:val="000000"/>
          <w:sz w:val="28"/>
        </w:rPr>
        <w:t>
имеется);</w:t>
      </w:r>
      <w:r>
        <w:br/>
      </w:r>
      <w:r>
        <w:rPr>
          <w:rFonts w:ascii="Times New Roman"/>
          <w:b w:val="false"/>
          <w:i w:val="false"/>
          <w:color w:val="000000"/>
          <w:sz w:val="28"/>
        </w:rPr>
        <w:t>
      единый реестр структур электронных документов и сервисов</w:t>
      </w:r>
      <w:r>
        <w:br/>
      </w:r>
      <w:r>
        <w:rPr>
          <w:rFonts w:ascii="Times New Roman"/>
          <w:b w:val="false"/>
          <w:i w:val="false"/>
          <w:color w:val="000000"/>
          <w:sz w:val="28"/>
        </w:rPr>
        <w:t>
(имеется или не имеется).</w:t>
      </w:r>
    </w:p>
    <w:p>
      <w:pPr>
        <w:spacing w:after="0"/>
        <w:ind w:left="0"/>
        <w:jc w:val="both"/>
      </w:pPr>
      <w:r>
        <w:rPr>
          <w:rFonts w:ascii="Times New Roman"/>
          <w:b w:val="false"/>
          <w:i w:val="false"/>
          <w:color w:val="000000"/>
          <w:sz w:val="28"/>
        </w:rPr>
        <w:t>      3. Имеются ли системы мониторинга реализации межведомственного</w:t>
      </w:r>
      <w:r>
        <w:br/>
      </w:r>
      <w:r>
        <w:rPr>
          <w:rFonts w:ascii="Times New Roman"/>
          <w:b w:val="false"/>
          <w:i w:val="false"/>
          <w:color w:val="000000"/>
          <w:sz w:val="28"/>
        </w:rPr>
        <w:t>
информационного взаимодействия? Если да, то в каком виде они</w:t>
      </w:r>
      <w:r>
        <w:br/>
      </w:r>
      <w:r>
        <w:rPr>
          <w:rFonts w:ascii="Times New Roman"/>
          <w:b w:val="false"/>
          <w:i w:val="false"/>
          <w:color w:val="000000"/>
          <w:sz w:val="28"/>
        </w:rPr>
        <w:t>
реализованы?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VI. Проблемы и перспективы развития информационно-технической</w:t>
      </w:r>
      <w:r>
        <w:br/>
      </w:r>
      <w:r>
        <w:rPr>
          <w:rFonts w:ascii="Times New Roman"/>
          <w:b w:val="false"/>
          <w:i w:val="false"/>
          <w:color w:val="000000"/>
          <w:sz w:val="28"/>
        </w:rPr>
        <w:t>
</w:t>
      </w:r>
      <w:r>
        <w:rPr>
          <w:rFonts w:ascii="Times New Roman"/>
          <w:b/>
          <w:i w:val="false"/>
          <w:color w:val="000000"/>
          <w:sz w:val="28"/>
        </w:rPr>
        <w:t>    основы развития национального механизма «единого окна»</w:t>
      </w:r>
    </w:p>
    <w:p>
      <w:pPr>
        <w:spacing w:after="0"/>
        <w:ind w:left="0"/>
        <w:jc w:val="both"/>
      </w:pPr>
      <w:r>
        <w:rPr>
          <w:rFonts w:ascii="Times New Roman"/>
          <w:b w:val="false"/>
          <w:i w:val="false"/>
          <w:color w:val="000000"/>
          <w:sz w:val="28"/>
        </w:rPr>
        <w:t>      1. Укажите, какие проблемы в информационно-техническом плане</w:t>
      </w:r>
      <w:r>
        <w:br/>
      </w:r>
      <w:r>
        <w:rPr>
          <w:rFonts w:ascii="Times New Roman"/>
          <w:b w:val="false"/>
          <w:i w:val="false"/>
          <w:color w:val="000000"/>
          <w:sz w:val="28"/>
        </w:rPr>
        <w:t>
существуют для внедрения и развития национального механизма «единого</w:t>
      </w:r>
      <w:r>
        <w:br/>
      </w:r>
      <w:r>
        <w:rPr>
          <w:rFonts w:ascii="Times New Roman"/>
          <w:b w:val="false"/>
          <w:i w:val="false"/>
          <w:color w:val="000000"/>
          <w:sz w:val="28"/>
        </w:rPr>
        <w:t>
окна»:</w:t>
      </w:r>
      <w:r>
        <w:br/>
      </w:r>
      <w:r>
        <w:rPr>
          <w:rFonts w:ascii="Times New Roman"/>
          <w:b w:val="false"/>
          <w:i w:val="false"/>
          <w:color w:val="000000"/>
          <w:sz w:val="28"/>
        </w:rPr>
        <w:t>
      а) на уровне организации взаимодействия заинтересованных лиц с</w:t>
      </w:r>
      <w:r>
        <w:br/>
      </w:r>
      <w:r>
        <w:rPr>
          <w:rFonts w:ascii="Times New Roman"/>
          <w:b w:val="false"/>
          <w:i w:val="false"/>
          <w:color w:val="000000"/>
          <w:sz w:val="28"/>
        </w:rPr>
        <w:t>
государственными органами и уполномоченными организациями: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на уровне организации межведомственного информационного</w:t>
      </w:r>
      <w:r>
        <w:br/>
      </w:r>
      <w:r>
        <w:rPr>
          <w:rFonts w:ascii="Times New Roman"/>
          <w:b w:val="false"/>
          <w:i w:val="false"/>
          <w:color w:val="000000"/>
          <w:sz w:val="28"/>
        </w:rPr>
        <w:t>
взаимодействия: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на уровне организации взаимодействия между заинтересованными</w:t>
      </w:r>
      <w:r>
        <w:br/>
      </w:r>
      <w:r>
        <w:rPr>
          <w:rFonts w:ascii="Times New Roman"/>
          <w:b w:val="false"/>
          <w:i w:val="false"/>
          <w:color w:val="000000"/>
          <w:sz w:val="28"/>
        </w:rPr>
        <w:t>
лицами: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Какие информационно-технические решения возможно применить</w:t>
      </w:r>
      <w:r>
        <w:br/>
      </w:r>
      <w:r>
        <w:rPr>
          <w:rFonts w:ascii="Times New Roman"/>
          <w:b w:val="false"/>
          <w:i w:val="false"/>
          <w:color w:val="000000"/>
          <w:sz w:val="28"/>
        </w:rPr>
        <w:t>
для устранения выявленных проблем и трудностей?</w:t>
      </w:r>
      <w:r>
        <w:br/>
      </w:r>
      <w:r>
        <w:rPr>
          <w:rFonts w:ascii="Times New Roman"/>
          <w:b w:val="false"/>
          <w:i w:val="false"/>
          <w:color w:val="000000"/>
          <w:sz w:val="28"/>
        </w:rPr>
        <w:t>
      а) на уровне организации взаимодействия заинтересованных лиц с</w:t>
      </w:r>
      <w:r>
        <w:br/>
      </w:r>
      <w:r>
        <w:rPr>
          <w:rFonts w:ascii="Times New Roman"/>
          <w:b w:val="false"/>
          <w:i w:val="false"/>
          <w:color w:val="000000"/>
          <w:sz w:val="28"/>
        </w:rPr>
        <w:t>
государственными органами и уполномоченными организациями: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на уровне организации межведомственного информационного</w:t>
      </w:r>
      <w:r>
        <w:br/>
      </w:r>
      <w:r>
        <w:rPr>
          <w:rFonts w:ascii="Times New Roman"/>
          <w:b w:val="false"/>
          <w:i w:val="false"/>
          <w:color w:val="000000"/>
          <w:sz w:val="28"/>
        </w:rPr>
        <w:t>
взаимодействия: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на уровне организации взаимодействия между заинтересованными</w:t>
      </w:r>
      <w:r>
        <w:br/>
      </w:r>
      <w:r>
        <w:rPr>
          <w:rFonts w:ascii="Times New Roman"/>
          <w:b w:val="false"/>
          <w:i w:val="false"/>
          <w:color w:val="000000"/>
          <w:sz w:val="28"/>
        </w:rPr>
        <w:t>
лицами: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02" w:id="45"/>
    <w:p>
      <w:pPr>
        <w:spacing w:after="0"/>
        <w:ind w:left="0"/>
        <w:jc w:val="both"/>
      </w:pPr>
      <w:r>
        <w:rPr>
          <w:rFonts w:ascii="Times New Roman"/>
          <w:b w:val="false"/>
          <w:i w:val="false"/>
          <w:color w:val="000000"/>
          <w:sz w:val="28"/>
        </w:rPr>
        <w:t xml:space="preserve">
ПРИЛОЖЕНИЕ № 8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состояния развития национальных</w:t>
      </w:r>
      <w:r>
        <w:br/>
      </w:r>
      <w:r>
        <w:rPr>
          <w:rFonts w:ascii="Times New Roman"/>
          <w:b w:val="false"/>
          <w:i w:val="false"/>
          <w:color w:val="000000"/>
          <w:sz w:val="28"/>
        </w:rPr>
        <w:t xml:space="preserve">
механизмов «единого окна»  </w:t>
      </w:r>
    </w:p>
    <w:bookmarkEnd w:id="45"/>
    <w:bookmarkStart w:name="z109" w:id="46"/>
    <w:p>
      <w:pPr>
        <w:spacing w:after="0"/>
        <w:ind w:left="0"/>
        <w:jc w:val="left"/>
      </w:pPr>
      <w:r>
        <w:rPr>
          <w:rFonts w:ascii="Times New Roman"/>
          <w:b/>
          <w:i w:val="false"/>
          <w:color w:val="000000"/>
        </w:rPr>
        <w:t xml:space="preserve"> 
РЕКОМЕНДАЦИИ</w:t>
      </w:r>
      <w:r>
        <w:br/>
      </w:r>
      <w:r>
        <w:rPr>
          <w:rFonts w:ascii="Times New Roman"/>
          <w:b/>
          <w:i w:val="false"/>
          <w:color w:val="000000"/>
        </w:rPr>
        <w:t>
по оформлению отчета об анализе информационно-технической</w:t>
      </w:r>
      <w:r>
        <w:br/>
      </w:r>
      <w:r>
        <w:rPr>
          <w:rFonts w:ascii="Times New Roman"/>
          <w:b/>
          <w:i w:val="false"/>
          <w:color w:val="000000"/>
        </w:rPr>
        <w:t>
основы внедрения и развития национального механизма</w:t>
      </w:r>
      <w:r>
        <w:br/>
      </w:r>
      <w:r>
        <w:rPr>
          <w:rFonts w:ascii="Times New Roman"/>
          <w:b/>
          <w:i w:val="false"/>
          <w:color w:val="000000"/>
        </w:rPr>
        <w:t>
«единого окна»</w:t>
      </w:r>
    </w:p>
    <w:bookmarkEnd w:id="46"/>
    <w:p>
      <w:pPr>
        <w:spacing w:after="0"/>
        <w:ind w:left="0"/>
        <w:jc w:val="both"/>
      </w:pPr>
      <w:r>
        <w:rPr>
          <w:rFonts w:ascii="Times New Roman"/>
          <w:b w:val="false"/>
          <w:i w:val="false"/>
          <w:color w:val="000000"/>
          <w:sz w:val="28"/>
        </w:rPr>
        <w:t>      1. Отчет об анализе информационно-технической основы внедрения и развития национального механизма «единого окна» формируется по следующей схеме:</w:t>
      </w:r>
      <w:r>
        <w:br/>
      </w:r>
      <w:r>
        <w:rPr>
          <w:rFonts w:ascii="Times New Roman"/>
          <w:b w:val="false"/>
          <w:i w:val="false"/>
          <w:color w:val="000000"/>
          <w:sz w:val="28"/>
        </w:rPr>
        <w:t>
      а) введение (порядок оформления раздела указан в </w:t>
      </w:r>
      <w:r>
        <w:rPr>
          <w:rFonts w:ascii="Times New Roman"/>
          <w:b w:val="false"/>
          <w:i w:val="false"/>
          <w:color w:val="000000"/>
          <w:sz w:val="28"/>
        </w:rPr>
        <w:t>пункте 57</w:t>
      </w:r>
      <w:r>
        <w:rPr>
          <w:rFonts w:ascii="Times New Roman"/>
          <w:b w:val="false"/>
          <w:i w:val="false"/>
          <w:color w:val="000000"/>
          <w:sz w:val="28"/>
        </w:rPr>
        <w:t xml:space="preserve"> Методики оценки состояния развития национальных механизмов «единого окна»);</w:t>
      </w:r>
      <w:r>
        <w:br/>
      </w:r>
      <w:r>
        <w:rPr>
          <w:rFonts w:ascii="Times New Roman"/>
          <w:b w:val="false"/>
          <w:i w:val="false"/>
          <w:color w:val="000000"/>
          <w:sz w:val="28"/>
        </w:rPr>
        <w:t>
      б) результаты анализа информационно-технической основы внедрения и развития национального механизма «единого окна» по направлениям:</w:t>
      </w:r>
      <w:r>
        <w:br/>
      </w:r>
      <w:r>
        <w:rPr>
          <w:rFonts w:ascii="Times New Roman"/>
          <w:b w:val="false"/>
          <w:i w:val="false"/>
          <w:color w:val="000000"/>
          <w:sz w:val="28"/>
        </w:rPr>
        <w:t>
      оценка состояния реализации отдельных элементов национального механизма «единого окна» (экспресс-анализ);</w:t>
      </w:r>
      <w:r>
        <w:br/>
      </w:r>
      <w:r>
        <w:rPr>
          <w:rFonts w:ascii="Times New Roman"/>
          <w:b w:val="false"/>
          <w:i w:val="false"/>
          <w:color w:val="000000"/>
          <w:sz w:val="28"/>
        </w:rPr>
        <w:t>
      оценка существующих национальных программ по развитию локальных механизмов «единого окна», положительный опыт использования которых возможно применять в государствах – членах Евразийского экономического союза;</w:t>
      </w:r>
      <w:r>
        <w:br/>
      </w:r>
      <w:r>
        <w:rPr>
          <w:rFonts w:ascii="Times New Roman"/>
          <w:b w:val="false"/>
          <w:i w:val="false"/>
          <w:color w:val="000000"/>
          <w:sz w:val="28"/>
        </w:rPr>
        <w:t>
      анализ технической возможности создания в</w:t>
      </w:r>
      <w:r>
        <w:br/>
      </w:r>
      <w:r>
        <w:rPr>
          <w:rFonts w:ascii="Times New Roman"/>
          <w:b w:val="false"/>
          <w:i w:val="false"/>
          <w:color w:val="000000"/>
          <w:sz w:val="28"/>
        </w:rPr>
        <w:t>
государствах – членах Евразийского экономического союза портала национального механизма «единого окна»;</w:t>
      </w:r>
      <w:r>
        <w:br/>
      </w:r>
      <w:r>
        <w:rPr>
          <w:rFonts w:ascii="Times New Roman"/>
          <w:b w:val="false"/>
          <w:i w:val="false"/>
          <w:color w:val="000000"/>
          <w:sz w:val="28"/>
        </w:rPr>
        <w:t>
      оценка степени развития сервисов для упрощения процедур взаимодействия с использованием информационных технологий;</w:t>
      </w:r>
      <w:r>
        <w:br/>
      </w:r>
      <w:r>
        <w:rPr>
          <w:rFonts w:ascii="Times New Roman"/>
          <w:b w:val="false"/>
          <w:i w:val="false"/>
          <w:color w:val="000000"/>
          <w:sz w:val="28"/>
        </w:rPr>
        <w:t>
      оценка степени развития сервисов межведомственного информационного взаимодействия;</w:t>
      </w:r>
      <w:r>
        <w:br/>
      </w:r>
      <w:r>
        <w:rPr>
          <w:rFonts w:ascii="Times New Roman"/>
          <w:b w:val="false"/>
          <w:i w:val="false"/>
          <w:color w:val="000000"/>
          <w:sz w:val="28"/>
        </w:rPr>
        <w:t>
      оценка проблем и перспектив развития информационно-технической основы развития национального механизма «единого окна»;</w:t>
      </w:r>
      <w:r>
        <w:br/>
      </w:r>
      <w:r>
        <w:rPr>
          <w:rFonts w:ascii="Times New Roman"/>
          <w:b w:val="false"/>
          <w:i w:val="false"/>
          <w:color w:val="000000"/>
          <w:sz w:val="28"/>
        </w:rPr>
        <w:t>
      в) рекомендации по развитию информационно-технической основы внедрения и развития национального механизма «единого окна»;</w:t>
      </w:r>
      <w:r>
        <w:br/>
      </w:r>
      <w:r>
        <w:rPr>
          <w:rFonts w:ascii="Times New Roman"/>
          <w:b w:val="false"/>
          <w:i w:val="false"/>
          <w:color w:val="000000"/>
          <w:sz w:val="28"/>
        </w:rPr>
        <w:t>
      г) заключение (порядок оформления раздела указан в </w:t>
      </w:r>
      <w:r>
        <w:rPr>
          <w:rFonts w:ascii="Times New Roman"/>
          <w:b w:val="false"/>
          <w:i w:val="false"/>
          <w:color w:val="000000"/>
          <w:sz w:val="28"/>
        </w:rPr>
        <w:t>пункте 62</w:t>
      </w:r>
      <w:r>
        <w:rPr>
          <w:rFonts w:ascii="Times New Roman"/>
          <w:b w:val="false"/>
          <w:i w:val="false"/>
          <w:color w:val="000000"/>
          <w:sz w:val="28"/>
        </w:rPr>
        <w:t xml:space="preserve"> Методики оценки состояния развития национальных механизмов «единого окна»);</w:t>
      </w:r>
      <w:r>
        <w:br/>
      </w:r>
      <w:r>
        <w:rPr>
          <w:rFonts w:ascii="Times New Roman"/>
          <w:b w:val="false"/>
          <w:i w:val="false"/>
          <w:color w:val="000000"/>
          <w:sz w:val="28"/>
        </w:rPr>
        <w:t>
      д) приложение к отчету об анализе информационно-технической основы внедрения и развития национального механизма «единого окна».</w:t>
      </w:r>
      <w:r>
        <w:br/>
      </w:r>
      <w:r>
        <w:rPr>
          <w:rFonts w:ascii="Times New Roman"/>
          <w:b w:val="false"/>
          <w:i w:val="false"/>
          <w:color w:val="000000"/>
          <w:sz w:val="28"/>
        </w:rPr>
        <w:t>
      2. В качестве приложений к отчету об анализе информационно-технической основы внедрения и развития национального механизма «единого окна» могут быть оформлены:</w:t>
      </w:r>
      <w:r>
        <w:br/>
      </w:r>
      <w:r>
        <w:rPr>
          <w:rFonts w:ascii="Times New Roman"/>
          <w:b w:val="false"/>
          <w:i w:val="false"/>
          <w:color w:val="000000"/>
          <w:sz w:val="28"/>
        </w:rPr>
        <w:t>
      а) справки или информационные обзоры по рассматриваемой в отчете тематике;</w:t>
      </w:r>
      <w:r>
        <w:br/>
      </w:r>
      <w:r>
        <w:rPr>
          <w:rFonts w:ascii="Times New Roman"/>
          <w:b w:val="false"/>
          <w:i w:val="false"/>
          <w:color w:val="000000"/>
          <w:sz w:val="28"/>
        </w:rPr>
        <w:t>
      б) аналитические обзоры основного содержания по соответствующей теме (вопросу);</w:t>
      </w:r>
      <w:r>
        <w:br/>
      </w:r>
      <w:r>
        <w:rPr>
          <w:rFonts w:ascii="Times New Roman"/>
          <w:b w:val="false"/>
          <w:i w:val="false"/>
          <w:color w:val="000000"/>
          <w:sz w:val="28"/>
        </w:rPr>
        <w:t>
      в) статьи, брошюры, монографии и другие печатные работы, раскрывающие проблемы информационно-технической основы внедрения и развития национального механизма «единого окна»;</w:t>
      </w:r>
      <w:r>
        <w:br/>
      </w:r>
      <w:r>
        <w:rPr>
          <w:rFonts w:ascii="Times New Roman"/>
          <w:b w:val="false"/>
          <w:i w:val="false"/>
          <w:color w:val="000000"/>
          <w:sz w:val="28"/>
        </w:rPr>
        <w:t>
      г) докладные записки, письма в заинтересованные органы, содержащие предложения и рекомендации, сформулированные с учетом имеющегося положительного опыта по вопросу внедрения и развития национального механизма «единого окна».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