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91ed" w14:textId="1fd9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22 главы II Единых санитарно-эпидемиологических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разделе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28 мая 2010 г. № 299: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с индексом Е 300 графу третью дополнить словами «, вещество для обработки муки»;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«Фосфорная кислота (Е338) и пищевые фосфаты: Фосфаты: аммония (Е 342), калия (Е340), кальция (Е341, 542), магния (Е343), натрия (Е339), Пирофосфаты (Е450), Трифосфаты (Е451), Полифосфаты (Е452) – добавленный фосфат по отдельности или в комбинации в пересчете на Р2О5» для пищевой продукции «Мясные продукты (в т.ч. колбасные изделия), за исключением необработанных и мясного фарша» в графе «Максимальный уровень в продуктах»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г добавленного фосфата на 1 кг мясного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г общего (добавленного + естественного) фосфата на 1 кг готового продукта».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Решения Совета Евразийской экономической комиссии о внесении изменений, указанных в пункте 1 настоящего Решения, в технический регламент Таможенного союза «Требования безопасности пищевых добавок, ароматизаторов и технологических вспомогательных средств» (ТР ТС 029/2012), но не ранее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