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5519" w14:textId="c255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антидемпинговой меры в отношении стальных бесшовных труб, применяемых для бурения и эксплуатации нефтяных и газовых скважин, происходящих из Китайской Народной Республики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августа 2015 года № 101.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Применить антидемпинговую меру посредством введения антидемпинговой пошлины в размере согласно </w:t>
      </w:r>
      <w:r>
        <w:rPr>
          <w:rFonts w:ascii="Times New Roman"/>
          <w:b w:val="false"/>
          <w:i w:val="false"/>
          <w:color w:val="000000"/>
          <w:sz w:val="28"/>
        </w:rPr>
        <w:t>приложению № 1</w:t>
      </w:r>
      <w:r>
        <w:rPr>
          <w:rFonts w:ascii="Times New Roman"/>
          <w:b w:val="false"/>
          <w:i w:val="false"/>
          <w:color w:val="000000"/>
          <w:sz w:val="28"/>
        </w:rPr>
        <w:t xml:space="preserve"> в отношении ввозимых на таможенную территорию Евразийского экономического союза стальных бесшовных труб, применяемых для бурения и эксплуатации нефтяных и газовых скважин (за исключением разновидностей труб по перечню согласно </w:t>
      </w:r>
      <w:r>
        <w:rPr>
          <w:rFonts w:ascii="Times New Roman"/>
          <w:b w:val="false"/>
          <w:i w:val="false"/>
          <w:color w:val="000000"/>
          <w:sz w:val="28"/>
        </w:rPr>
        <w:t>приложению № 2</w:t>
      </w:r>
      <w:r>
        <w:rPr>
          <w:rFonts w:ascii="Times New Roman"/>
          <w:b w:val="false"/>
          <w:i w:val="false"/>
          <w:color w:val="000000"/>
          <w:sz w:val="28"/>
        </w:rPr>
        <w:t>), происходящих из Китайской Народной Республики, классифицируемых кодами 7304 22 000 1, 7304 22 000 2, 7304 22 000 9, 7304 23 000 1, 7304 23 000 2, 7304 23 000 9, 7304 24 000 1, 7304 24 000 2, 7304 24 000 3, 7304 24 000 4, 7304 24 000 5, 7304 24 000 6, 7304 24 000 9, 7304 29 100 1, 7304 29 100 2, 7304 29 100 3, 7304 29 100 9, 7304 29 300 1, 7304 29 300 2, 7304 29 300 3, 7304 29 300 4, 7304 29 300 9, 7304 29 900 1 и 7304 29 900 9 ТН ВЭД ЕАЭС, установив срок действия данной антидемпинговой меры 5 лет.</w:t>
      </w:r>
    </w:p>
    <w:bookmarkEnd w:id="1"/>
    <w:bookmarkStart w:name="z3" w:id="2"/>
    <w:p>
      <w:pPr>
        <w:spacing w:after="0"/>
        <w:ind w:left="0"/>
        <w:jc w:val="both"/>
      </w:pPr>
      <w:r>
        <w:rPr>
          <w:rFonts w:ascii="Times New Roman"/>
          <w:b w:val="false"/>
          <w:i w:val="false"/>
          <w:color w:val="000000"/>
          <w:sz w:val="28"/>
        </w:rPr>
        <w:t xml:space="preserve">
      2. Одобрить принятые производителями по перечню согласно </w:t>
      </w:r>
      <w:r>
        <w:rPr>
          <w:rFonts w:ascii="Times New Roman"/>
          <w:b w:val="false"/>
          <w:i w:val="false"/>
          <w:color w:val="000000"/>
          <w:sz w:val="28"/>
        </w:rPr>
        <w:t>приложению № 3</w:t>
      </w:r>
      <w:r>
        <w:rPr>
          <w:rFonts w:ascii="Times New Roman"/>
          <w:b w:val="false"/>
          <w:i w:val="false"/>
          <w:color w:val="000000"/>
          <w:sz w:val="28"/>
        </w:rPr>
        <w:t xml:space="preserve"> ценовые обязательства.</w:t>
      </w:r>
    </w:p>
    <w:bookmarkEnd w:id="2"/>
    <w:bookmarkStart w:name="z4" w:id="3"/>
    <w:p>
      <w:pPr>
        <w:spacing w:after="0"/>
        <w:ind w:left="0"/>
        <w:jc w:val="both"/>
      </w:pPr>
      <w:r>
        <w:rPr>
          <w:rFonts w:ascii="Times New Roman"/>
          <w:b w:val="false"/>
          <w:i w:val="false"/>
          <w:color w:val="000000"/>
          <w:sz w:val="28"/>
        </w:rPr>
        <w:t>
      3. Департаменту защиты внутреннего рынка Евразийской экономической комиссии:</w:t>
      </w:r>
    </w:p>
    <w:bookmarkEnd w:id="3"/>
    <w:p>
      <w:pPr>
        <w:spacing w:after="0"/>
        <w:ind w:left="0"/>
        <w:jc w:val="both"/>
      </w:pPr>
      <w:r>
        <w:rPr>
          <w:rFonts w:ascii="Times New Roman"/>
          <w:b w:val="false"/>
          <w:i w:val="false"/>
          <w:color w:val="000000"/>
          <w:sz w:val="28"/>
        </w:rPr>
        <w:t xml:space="preserve">
      направить государственным органам государств - членов Евразийского экономического союза, уполномоченным в сфере таможенного дела, образцы подписей уполномоченных сотрудников и оттисков печатей производителей, указанных в перечне, предусмотренном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осуществлять контроль за исполнением ценовых обязательств, предусмотренных настоящим Решением.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08.06.2017 </w:t>
      </w:r>
      <w:r>
        <w:rPr>
          <w:rFonts w:ascii="Times New Roman"/>
          <w:b w:val="false"/>
          <w:i w:val="false"/>
          <w:color w:val="000000"/>
          <w:sz w:val="28"/>
        </w:rPr>
        <w:t xml:space="preserve">№ 63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Государственным органам государств - членов Евразийского экономического союза, уполномоченным в сфере таможенного дела:</w:t>
      </w:r>
    </w:p>
    <w:bookmarkEnd w:id="4"/>
    <w:p>
      <w:pPr>
        <w:spacing w:after="0"/>
        <w:ind w:left="0"/>
        <w:jc w:val="both"/>
      </w:pPr>
      <w:r>
        <w:rPr>
          <w:rFonts w:ascii="Times New Roman"/>
          <w:b w:val="false"/>
          <w:i w:val="false"/>
          <w:color w:val="000000"/>
          <w:sz w:val="28"/>
        </w:rPr>
        <w:t>
      обеспечить взимание антидемпинговой пошлины, предусмотренной настоящим Решением, руководствуясь как кодами ТН ВЭД ЕАЭС, так и наименованием товара;</w:t>
      </w:r>
    </w:p>
    <w:p>
      <w:pPr>
        <w:spacing w:after="0"/>
        <w:ind w:left="0"/>
        <w:jc w:val="both"/>
      </w:pPr>
      <w:r>
        <w:rPr>
          <w:rFonts w:ascii="Times New Roman"/>
          <w:b w:val="false"/>
          <w:i w:val="false"/>
          <w:color w:val="000000"/>
          <w:sz w:val="28"/>
        </w:rPr>
        <w:t xml:space="preserve">
      не взимать антидемпинговую пошлину, предусмотренную настоящим Решением, в отношении указанных в пункте 1 настоящего Решения труб, изготавливаемых производителями, указанными в перечне, предусмотренном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 при условии представления сертификата производителя по форме согласно </w:t>
      </w:r>
      <w:r>
        <w:rPr>
          <w:rFonts w:ascii="Times New Roman"/>
          <w:b w:val="false"/>
          <w:i w:val="false"/>
          <w:color w:val="000000"/>
          <w:sz w:val="28"/>
        </w:rPr>
        <w:t>приложению № 4</w:t>
      </w:r>
      <w:r>
        <w:rPr>
          <w:rFonts w:ascii="Times New Roman"/>
          <w:b w:val="false"/>
          <w:i w:val="false"/>
          <w:color w:val="000000"/>
          <w:sz w:val="28"/>
        </w:rPr>
        <w:t>, подписанного уполномоченным сотрудником соответствующего производителя и заверенного печатью такого производителя.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08.06.2017 </w:t>
      </w:r>
      <w:r>
        <w:rPr>
          <w:rFonts w:ascii="Times New Roman"/>
          <w:b w:val="false"/>
          <w:i w:val="false"/>
          <w:color w:val="000000"/>
          <w:sz w:val="28"/>
        </w:rPr>
        <w:t xml:space="preserve">№ 63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p>
        </w:tc>
      </w:tr>
    </w:tbl>
    <w:p>
      <w:pPr>
        <w:spacing w:after="0"/>
        <w:ind w:left="0"/>
        <w:jc w:val="left"/>
      </w:pPr>
      <w:r>
        <w:rPr>
          <w:rFonts w:ascii="Times New Roman"/>
          <w:b/>
          <w:i w:val="false"/>
          <w:color w:val="000000"/>
        </w:rPr>
        <w:t xml:space="preserve"> РАЗМЕРЫ СТАВОК</w:t>
      </w:r>
      <w:r>
        <w:br/>
      </w:r>
      <w:r>
        <w:rPr>
          <w:rFonts w:ascii="Times New Roman"/>
          <w:b/>
          <w:i w:val="false"/>
          <w:color w:val="000000"/>
        </w:rPr>
        <w:t>антидемпинговой пошлины</w:t>
      </w:r>
    </w:p>
    <w:p>
      <w:pPr>
        <w:spacing w:after="0"/>
        <w:ind w:left="0"/>
        <w:jc w:val="both"/>
      </w:pPr>
      <w:r>
        <w:rPr>
          <w:rFonts w:ascii="Times New Roman"/>
          <w:b w:val="false"/>
          <w:i w:val="false"/>
          <w:color w:val="ff0000"/>
          <w:sz w:val="28"/>
        </w:rPr>
        <w:t xml:space="preserve">
      Сноска. Приложение 1 с изменением, внесенным решением Коллегии Евразийской экономической комиссии от 16.01.2017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27.04.2021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359"/>
        <w:gridCol w:w="8731"/>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антидемпинговой пошлины (процентов от таможеннойстоимости)</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1418"/>
        <w:gridCol w:w="708"/>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бесшовные трубы, применяемые для бурения и эксплуатации нефтяных и газовых скважин</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Tianjin Pipe Corporation (No. 396, Jintang Road, Dongli District, Tianjin, China)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Hengyang Valin Steel Tube Co., Ltd.</w:t>
            </w:r>
          </w:p>
          <w:p>
            <w:pPr>
              <w:spacing w:after="20"/>
              <w:ind w:left="20"/>
              <w:jc w:val="both"/>
            </w:pPr>
            <w:r>
              <w:rPr>
                <w:rFonts w:ascii="Times New Roman"/>
                <w:b w:val="false"/>
                <w:i w:val="false"/>
                <w:color w:val="000000"/>
                <w:sz w:val="20"/>
              </w:rPr>
              <w:t>
(10 Dalixincun, Hengyang City, Hunan Province, China); Hengyang Valin MPM Co, Ltd.</w:t>
            </w:r>
          </w:p>
          <w:p>
            <w:pPr>
              <w:spacing w:after="20"/>
              <w:ind w:left="20"/>
              <w:jc w:val="both"/>
            </w:pPr>
            <w:r>
              <w:rPr>
                <w:rFonts w:ascii="Times New Roman"/>
                <w:b w:val="false"/>
                <w:i w:val="false"/>
                <w:color w:val="000000"/>
                <w:sz w:val="20"/>
              </w:rPr>
              <w:t>
(10 Dalixincun, Hengyang City, Hunan Province, China)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Energy Services (Wuxi) Co. Ltd. (Lot No. 48, Phase 5, Shuo Fang Industrial Park, New District, Jiangsu Province, 214142 Wuxi City, China)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 Hilong Drill Pipe Co, Ltd. (No. 1825-1, Luodong Road, Baoshan District, Shanghai, China); Nantong Hilong Steel Tube Co, Ltd. (Xinghong Town, Sanchang Town, Haimen City, Jiangsu Province, China); Shanghai Tube-Cote Petroleum Pipe Coating Co, Ltd. (No. 669 Jinle Road, Yuepu Industrial Zone, Baoshan District, Shanghai 200941, China)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Shengli Oil Field Freet Petroleum Equipment Co, Ltd. (No. 203, Nanyi Road, Dongying District, Dongying City, Shandong Province, China); Shengli Oil Field Freet Petroleum Steel Pipe Co, Ltd. (Shengli Industrial Zone, Nan’er Road, Dong Ying City, Shandong Province, 257082, China); Jiangsu ChangBao Steel Tube Limited Co. (No. 558, Yarding Dong Road, Changzhou City, Jiangsu Province, China); Jiangsu ChangBao Precision Steel Tube Co., Ltd. (Jinwu Road No. 88, Jintan, Jiangsu Province, China); Shandong Molong Petroleum Machinery Co., Ltd. (No. 999, WenSheng Street, Shouguang City, Shandong Province, China); Shandong Weima Equipment Science &amp; Technology Corporation Limited (No. 5 Fuqian Street, Dongying Economic Development Zone, Dongying City, Shandong Province, China);</w:t>
            </w:r>
          </w:p>
          <w:p>
            <w:pPr>
              <w:spacing w:after="20"/>
              <w:ind w:left="20"/>
              <w:jc w:val="both"/>
            </w:pPr>
            <w:r>
              <w:rPr>
                <w:rFonts w:ascii="Times New Roman"/>
                <w:b w:val="false"/>
                <w:i w:val="false"/>
                <w:color w:val="000000"/>
                <w:sz w:val="20"/>
              </w:rPr>
              <w:t>
Tianjin Tiangang Special Petroleum Pipe Manufacture Co., Ltd. (Jinnan Development Zone (ShuangGang), Tianjin City, China); Tianjin BinHai TianCheng Drill Equipment Co., Ltd. (Jinnan Development Zone (East Zone), Tianjin City, China); Dalipal Pipe Company (Gong Nong Road, Cangzhou City, Hebei Province, 061000, China); Anhui Tianda Oil Pipe Company Limited (Zhengxing Road, Tongcheng Town, Tianchang City, Anhui Province China);</w:t>
            </w:r>
          </w:p>
          <w:p>
            <w:pPr>
              <w:spacing w:after="20"/>
              <w:ind w:left="20"/>
              <w:jc w:val="both"/>
            </w:pPr>
            <w:r>
              <w:rPr>
                <w:rFonts w:ascii="Times New Roman"/>
                <w:b w:val="false"/>
                <w:i w:val="false"/>
                <w:color w:val="000000"/>
                <w:sz w:val="20"/>
              </w:rPr>
              <w:t>
Pan Gang Group Chengdu Steel &amp; Vanadium Co., Ltd. (Tuanjie Nanlu 268, Qingbaijiang District, Chengdu, Sichuan, China);</w:t>
            </w:r>
          </w:p>
          <w:p>
            <w:pPr>
              <w:spacing w:after="20"/>
              <w:ind w:left="20"/>
              <w:jc w:val="both"/>
            </w:pPr>
            <w:r>
              <w:rPr>
                <w:rFonts w:ascii="Times New Roman"/>
                <w:b w:val="false"/>
                <w:i w:val="false"/>
                <w:color w:val="000000"/>
                <w:sz w:val="20"/>
              </w:rPr>
              <w:t>
Baoji Petroleum Steel Pipe Co., Ltd. (No. 1, Binhe Road, Baoji City, Shaanxi Province, China)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разновидностей труб, в отношении которых не подлежит взиманию</w:t>
      </w:r>
      <w:r>
        <w:br/>
      </w:r>
      <w:r>
        <w:rPr>
          <w:rFonts w:ascii="Times New Roman"/>
          <w:b/>
          <w:i w:val="false"/>
          <w:color w:val="000000"/>
        </w:rPr>
        <w:t>антидемпинговая пошлина</w:t>
      </w:r>
    </w:p>
    <w:p>
      <w:pPr>
        <w:spacing w:after="0"/>
        <w:ind w:left="0"/>
        <w:jc w:val="both"/>
      </w:pPr>
      <w:r>
        <w:rPr>
          <w:rFonts w:ascii="Times New Roman"/>
          <w:b w:val="false"/>
          <w:i w:val="false"/>
          <w:color w:val="000000"/>
          <w:sz w:val="28"/>
        </w:rPr>
        <w:t>
      Бурильные трубы, производимые в соответствии с пунктом 10 стандарта Specification for Rotary Drill Stem Elements (ANSI/API Specification 7-1) в редакции с учетом изменений, внесенных Дополнением 1 (март 2007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производителей, ценовые обязательства которых одобрены</w:t>
      </w:r>
    </w:p>
    <w:p>
      <w:pPr>
        <w:spacing w:after="0"/>
        <w:ind w:left="0"/>
        <w:jc w:val="both"/>
      </w:pPr>
      <w:r>
        <w:rPr>
          <w:rFonts w:ascii="Times New Roman"/>
          <w:b w:val="false"/>
          <w:i w:val="false"/>
          <w:color w:val="ff0000"/>
          <w:sz w:val="28"/>
        </w:rPr>
        <w:t xml:space="preserve">
      Сноска. Приложение 3 с изменениями, внесенными решениями Коллегии Евразийской экономической комиссии от 16.01.2017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27.04.2021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1008"/>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Производитель</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регистрации в Евразийской экономической комиссии письма, которым представлены обязательства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8"/>
        <w:gridCol w:w="1072"/>
      </w:tblGrid>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Tianjin Pipe Corporation (No. 396, Jintang Road, Dongli District, Tianjin, China)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июня 2015 г.</w:t>
            </w:r>
          </w:p>
          <w:p>
            <w:pPr>
              <w:spacing w:after="20"/>
              <w:ind w:left="20"/>
              <w:jc w:val="both"/>
            </w:pPr>
            <w:r>
              <w:rPr>
                <w:rFonts w:ascii="Times New Roman"/>
                <w:b w:val="false"/>
                <w:i w:val="false"/>
                <w:color w:val="000000"/>
                <w:sz w:val="20"/>
              </w:rPr>
              <w:t>
№ ДЗВР-160конф/А016</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Hengyang Valin Steel Tube Co., Ltd. (10 Dalixincun, Hengyang City, Hunan Province, China)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июня 2015 г.</w:t>
            </w:r>
          </w:p>
          <w:p>
            <w:pPr>
              <w:spacing w:after="20"/>
              <w:ind w:left="20"/>
              <w:jc w:val="both"/>
            </w:pPr>
            <w:r>
              <w:rPr>
                <w:rFonts w:ascii="Times New Roman"/>
                <w:b w:val="false"/>
                <w:i w:val="false"/>
                <w:color w:val="000000"/>
                <w:sz w:val="20"/>
              </w:rPr>
              <w:t>
№ ДЗВР-15Эконф/А016</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Hengyang Valin MPM Co., Ltd. (10 Dalixincun, Hengyang City, Hunan Province, China)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июня 2015 г.</w:t>
            </w:r>
          </w:p>
          <w:p>
            <w:pPr>
              <w:spacing w:after="20"/>
              <w:ind w:left="20"/>
              <w:jc w:val="both"/>
            </w:pPr>
            <w:r>
              <w:rPr>
                <w:rFonts w:ascii="Times New Roman"/>
                <w:b w:val="false"/>
                <w:i w:val="false"/>
                <w:color w:val="000000"/>
                <w:sz w:val="20"/>
              </w:rPr>
              <w:t>
№ ДЗВР-153конф/А016</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Hunting Energy Services (Wuxi) Co. Ltd. (Lot No. 48, Phase 5, Shuo Fang Industrial Park, New District, Jiangsu Province, 214142 Wuxi City, China)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июня 2015 г.</w:t>
            </w:r>
          </w:p>
          <w:p>
            <w:pPr>
              <w:spacing w:after="20"/>
              <w:ind w:left="20"/>
              <w:jc w:val="both"/>
            </w:pPr>
            <w:r>
              <w:rPr>
                <w:rFonts w:ascii="Times New Roman"/>
                <w:b w:val="false"/>
                <w:i w:val="false"/>
                <w:color w:val="000000"/>
                <w:sz w:val="20"/>
              </w:rPr>
              <w:t>
№ ДЗВР-154конф/А016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Исключена решением Коллегии Евразийской экономической комиссии от 08.06.2017 </w:t>
            </w:r>
            <w:r>
              <w:rPr>
                <w:rFonts w:ascii="Times New Roman"/>
                <w:b w:val="false"/>
                <w:i w:val="false"/>
                <w:color w:val="ff0000"/>
                <w:sz w:val="20"/>
              </w:rPr>
              <w:t xml:space="preserve">№ 63 </w:t>
            </w:r>
            <w:r>
              <w:rPr>
                <w:rFonts w:ascii="Times New Roman"/>
                <w:b w:val="false"/>
                <w:i w:val="false"/>
                <w:color w:val="ff0000"/>
                <w:sz w:val="20"/>
              </w:rPr>
              <w:t>(вступает в силу по истечении 30 календарных дней с даты его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Сертификат производителя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9"/>
        <w:gridCol w:w="2864"/>
        <w:gridCol w:w="429"/>
        <w:gridCol w:w="1417"/>
        <w:gridCol w:w="1344"/>
        <w:gridCol w:w="13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Производитель, принявший обязательства (наименование,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Порядковый номер и дата выдачи сертификата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Экспортер (наименование,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ПРОИЗВОДИТЕЛЯ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Страна назначения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Импортер - резидент государства - члена Евразийского экономического союза (наименование, место нахождения)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(номер, дата)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Номер транспортного средства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9.Сведения о товаре</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другие примечания (указываются разновидности товара в соответствии с обязательствами)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(тонн)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(долларов США)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 нижеподписавшийся, подтверждаю что продажа с целью экспорта на таможенную Евразийского экономического союза товаров, указанных в пункте 9 настоящего сертификата, совершается с соблюдением принятых обязательств. Я подтверждаю, что информация, изложенная в настоящем сертификате, является полной и точной.</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Подпись___________________ Фамили,имя,должность________________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Действителен в течение 90 календарных дней с даты выдачи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Пункты 1 и 3 сертификата заполняются на английском языке. Остальные пункты сертификата заполняются на русском языке.</w:t>
      </w:r>
    </w:p>
    <w:p>
      <w:pPr>
        <w:spacing w:after="0"/>
        <w:ind w:left="0"/>
        <w:jc w:val="both"/>
      </w:pPr>
      <w:r>
        <w:rPr>
          <w:rFonts w:ascii="Times New Roman"/>
          <w:b w:val="false"/>
          <w:i w:val="false"/>
          <w:color w:val="000000"/>
          <w:sz w:val="28"/>
        </w:rPr>
        <w:t>
      2. В пункте 4 сертификата указывается страна назначения в соответствии с классификатором стран мира, утверждаемым Евразийской экономической комиссией.</w:t>
      </w:r>
    </w:p>
    <w:p>
      <w:pPr>
        <w:spacing w:after="0"/>
        <w:ind w:left="0"/>
        <w:jc w:val="both"/>
      </w:pPr>
      <w:r>
        <w:rPr>
          <w:rFonts w:ascii="Times New Roman"/>
          <w:b w:val="false"/>
          <w:i w:val="false"/>
          <w:color w:val="000000"/>
          <w:sz w:val="28"/>
        </w:rPr>
        <w:t>
      3. В пункте 6 сертификата указываются дата и номер инвойса, выставленного в адрес первого независимого покупателя товара в соответствии со схемой продаж, предусмотренной обязательством.</w:t>
      </w:r>
    </w:p>
    <w:p>
      <w:pPr>
        <w:spacing w:after="0"/>
        <w:ind w:left="0"/>
        <w:jc w:val="both"/>
      </w:pPr>
      <w:r>
        <w:rPr>
          <w:rFonts w:ascii="Times New Roman"/>
          <w:b w:val="false"/>
          <w:i w:val="false"/>
          <w:color w:val="000000"/>
          <w:sz w:val="28"/>
        </w:rPr>
        <w:t>
      4. В пункте 8 сертификата указывается регистрационный номер транспортного средства, посредством которого осуществляется ввоз товара на таможенную территорию Евразийского экономического союза.</w:t>
      </w:r>
    </w:p>
    <w:p>
      <w:pPr>
        <w:spacing w:after="0"/>
        <w:ind w:left="0"/>
        <w:jc w:val="both"/>
      </w:pPr>
      <w:r>
        <w:rPr>
          <w:rFonts w:ascii="Times New Roman"/>
          <w:b w:val="false"/>
          <w:i w:val="false"/>
          <w:color w:val="000000"/>
          <w:sz w:val="28"/>
        </w:rPr>
        <w:t>
      5. В пункте 9 сертификата указываются цифрами цена товара за тонну и стоимость товара, фактически уплаченная или подлежащая уплате первым независимым покупателем товара в соответствии со схемой продаж, предусмотренной обязательством.</w:t>
      </w:r>
    </w:p>
    <w:p>
      <w:pPr>
        <w:spacing w:after="0"/>
        <w:ind w:left="0"/>
        <w:jc w:val="both"/>
      </w:pPr>
      <w:r>
        <w:rPr>
          <w:rFonts w:ascii="Times New Roman"/>
          <w:b w:val="false"/>
          <w:i w:val="false"/>
          <w:color w:val="000000"/>
          <w:sz w:val="28"/>
        </w:rPr>
        <w:t>
      6. Оригинал сертификата представляется при таможенном декларировании товара таможенному органу соответствующего государства - члена Евразийского экономического союза. Представление сертификата производителя после регистрации таможенным органом таможенной декларации не допускается.</w:t>
      </w:r>
    </w:p>
    <w:p>
      <w:pPr>
        <w:spacing w:after="0"/>
        <w:ind w:left="0"/>
        <w:jc w:val="both"/>
      </w:pPr>
      <w:r>
        <w:rPr>
          <w:rFonts w:ascii="Times New Roman"/>
          <w:b w:val="false"/>
          <w:i w:val="false"/>
          <w:color w:val="000000"/>
          <w:sz w:val="28"/>
        </w:rPr>
        <w:t>
      7. Исправления и (или) дополнения вносятся в сертификат путем зачеркивания ошибочной информации и надпечатывания или внесения от руки откорректированных сведений, которые заверяются печатью производителя. В сертификате производителя не допускается наличие подчисток, а также исправлений и (или) дополнений, не заверенных в установленном порядке.</w:t>
      </w:r>
    </w:p>
    <w:p>
      <w:pPr>
        <w:spacing w:after="0"/>
        <w:ind w:left="0"/>
        <w:jc w:val="both"/>
      </w:pPr>
      <w:r>
        <w:rPr>
          <w:rFonts w:ascii="Times New Roman"/>
          <w:b w:val="false"/>
          <w:i w:val="false"/>
          <w:color w:val="000000"/>
          <w:sz w:val="28"/>
        </w:rPr>
        <w:t>
      8. Сертификат признается недействительным в том числе в следующих случаях:</w:t>
      </w:r>
    </w:p>
    <w:p>
      <w:pPr>
        <w:spacing w:after="0"/>
        <w:ind w:left="0"/>
        <w:jc w:val="both"/>
      </w:pPr>
      <w:r>
        <w:rPr>
          <w:rFonts w:ascii="Times New Roman"/>
          <w:b w:val="false"/>
          <w:i w:val="false"/>
          <w:color w:val="000000"/>
          <w:sz w:val="28"/>
        </w:rPr>
        <w:t>
      срок действия сертификата истек;</w:t>
      </w:r>
    </w:p>
    <w:p>
      <w:pPr>
        <w:spacing w:after="0"/>
        <w:ind w:left="0"/>
        <w:jc w:val="both"/>
      </w:pPr>
      <w:r>
        <w:rPr>
          <w:rFonts w:ascii="Times New Roman"/>
          <w:b w:val="false"/>
          <w:i w:val="false"/>
          <w:color w:val="000000"/>
          <w:sz w:val="28"/>
        </w:rPr>
        <w:t>
      сведения, указанные в сертификате, не соответствуют заявленным в таможенной декларации и (или) не позволяют провести однозначную идентификацию товара;</w:t>
      </w:r>
    </w:p>
    <w:p>
      <w:pPr>
        <w:spacing w:after="0"/>
        <w:ind w:left="0"/>
        <w:jc w:val="both"/>
      </w:pPr>
      <w:r>
        <w:rPr>
          <w:rFonts w:ascii="Times New Roman"/>
          <w:b w:val="false"/>
          <w:i w:val="false"/>
          <w:color w:val="000000"/>
          <w:sz w:val="28"/>
        </w:rPr>
        <w:t>
      в представленном сертификате имеются подчистки и (или) не заверенные в установленном порядке исправления и (или) дополнения;</w:t>
      </w:r>
    </w:p>
    <w:p>
      <w:pPr>
        <w:spacing w:after="0"/>
        <w:ind w:left="0"/>
        <w:jc w:val="both"/>
      </w:pPr>
      <w:r>
        <w:rPr>
          <w:rFonts w:ascii="Times New Roman"/>
          <w:b w:val="false"/>
          <w:i w:val="false"/>
          <w:color w:val="000000"/>
          <w:sz w:val="28"/>
        </w:rPr>
        <w:t>
      проставленные в сертификате подпись и (или) печать не соответствуют образцам подписей и (или) оттисков печати, имеющимся в наличии у таможенного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