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f2fb" w14:textId="cd5f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распоряжения Высшего Евразийского экономического совета "О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февраля 2015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 проекте распоряжения Высшего Евразийского экономического совета «О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года» (прилагается) и представить его для рассмотрения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проекте распоряжения Высшего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совета «О результатах работы по реализации Соглашения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регулирования деятельности субъектов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от 9 декабря 2010 года»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распоряжения Высшего Евразийского экономического совета «О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года» (прилагается) и представить его для рассмотрения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результатах работы по реализации Соглашения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регулирования деятельности субъектов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от 9 декабря 2010 года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Евразийской экономической комиссии о результатах работы по реализации в 2014 году Соглашения о единых принципах и правилах регулирования деятельности субъектов естественных монополий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в соответствии с подпунктом 5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 представить для рассмотрения Высшим Евразийским экономическим советом в первом полугодии 2016 г. согласованную с уполномоченными органами государств – членов Евразийского экономического союза информацию о результатах проведенной в 2015 году работы, указанной в подпунктах 3 и 4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